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7"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Filed Pursuant to 424(b)(2)</w:t>
      </w:r>
    </w:p>
    <w:p>
      <w:pPr>
        <w:spacing w:after="0" w:line="23" w:lineRule="exact"/>
        <w:rPr>
          <w:sz w:val="24"/>
          <w:szCs w:val="24"/>
          <w:color w:val="auto"/>
        </w:rPr>
      </w:pPr>
    </w:p>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Registration No. 333-276252</w:t>
      </w:r>
    </w:p>
    <w:p>
      <w:pPr>
        <w:spacing w:after="0" w:line="102"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1"/>
          <w:szCs w:val="11"/>
          <w:b w:val="1"/>
          <w:bCs w:val="1"/>
          <w:color w:val="auto"/>
        </w:rPr>
        <w:t>PROSPECTUS SUPPLEMENT</w:t>
      </w:r>
    </w:p>
    <w:p>
      <w:pPr>
        <w:spacing w:after="0" w:line="3"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1"/>
          <w:szCs w:val="11"/>
          <w:b w:val="1"/>
          <w:bCs w:val="1"/>
          <w:color w:val="auto"/>
        </w:rPr>
        <w:t>(To Prospectus dated December 22, 2023)</w:t>
      </w:r>
    </w:p>
    <w:p>
      <w:pPr>
        <w:spacing w:after="0" w:line="24"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$300,000,000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47625</wp:posOffset>
            </wp:positionV>
            <wp:extent cx="110998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998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5"/>
          <w:szCs w:val="15"/>
          <w:b w:val="1"/>
          <w:bCs w:val="1"/>
          <w:color w:val="auto"/>
        </w:rPr>
        <w:t>5.650% Notes due 2031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129540</wp:posOffset>
            </wp:positionV>
            <wp:extent cx="11430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61" w:lineRule="exact"/>
        <w:rPr>
          <w:sz w:val="24"/>
          <w:szCs w:val="24"/>
          <w:color w:val="auto"/>
        </w:rPr>
      </w:pPr>
    </w:p>
    <w:p>
      <w:pPr>
        <w:ind w:left="1380" w:right="339" w:firstLine="341"/>
        <w:spacing w:after="0" w:line="229" w:lineRule="auto"/>
        <w:rPr>
          <w:sz w:val="20"/>
          <w:szCs w:val="20"/>
          <w:color w:val="auto"/>
        </w:rPr>
      </w:pPr>
      <w:r>
        <w:rPr>
          <w:rFonts w:ascii="Times New Roman" w:cs="Times New Roman" w:eastAsia="Times New Roman" w:hAnsi="Times New Roman"/>
          <w:sz w:val="11"/>
          <w:szCs w:val="11"/>
          <w:color w:val="auto"/>
        </w:rPr>
        <w:t>We are offering $300,000,000 in aggregate principal amount of 5.650% notes due 2031, which we refer to as the Notes. The Notes will mature on August 15, 2031. We will pay interest on the Notes on February 15 and August 15 of each year, beginning on February 15, 2027. We may redeem the Notes in whole or in part at any time or from time to time at the redemption price discussed under the caption “Description of Notes—Optional Redemption”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spacing w:after="0" w:line="56" w:lineRule="exact"/>
        <w:rPr>
          <w:sz w:val="24"/>
          <w:szCs w:val="24"/>
          <w:color w:val="auto"/>
        </w:rPr>
      </w:pPr>
    </w:p>
    <w:p>
      <w:pPr>
        <w:ind w:left="1380" w:right="339" w:firstLine="341"/>
        <w:spacing w:after="0" w:line="232" w:lineRule="auto"/>
        <w:rPr>
          <w:sz w:val="20"/>
          <w:szCs w:val="20"/>
          <w:color w:val="auto"/>
        </w:rPr>
      </w:pPr>
      <w:r>
        <w:rPr>
          <w:rFonts w:ascii="Times New Roman" w:cs="Times New Roman" w:eastAsia="Times New Roman" w:hAnsi="Times New Roman"/>
          <w:sz w:val="11"/>
          <w:szCs w:val="11"/>
          <w:color w:val="auto"/>
        </w:rPr>
        <w:t>The Notes will be our direct, general unsecured obligations and rank pari passu, or equal, with all existing and future unsecured unsubordinated indebtedness issued by us, but will rank senior to our future indebtedness that is expressly subordinated in right of payment to the Notes. We are a specialty finance company that has elected to be regulated as a business development company under the Investment Company Act of 1940. We seek to generate current income primarily in U.S.-domiciled middle market companies through direct originations of senior secured loans and, to a lesser extent, originations of mezzanine and unsecured loans and investments in corporate bonds, equity securities and other instruments.</w:t>
      </w:r>
    </w:p>
    <w:p>
      <w:pPr>
        <w:spacing w:after="0" w:line="55" w:lineRule="exact"/>
        <w:rPr>
          <w:sz w:val="24"/>
          <w:szCs w:val="24"/>
          <w:color w:val="auto"/>
        </w:rPr>
      </w:pPr>
    </w:p>
    <w:p>
      <w:pPr>
        <w:ind w:left="1380" w:right="439" w:firstLine="341"/>
        <w:spacing w:after="0" w:line="237" w:lineRule="auto"/>
        <w:rPr>
          <w:sz w:val="20"/>
          <w:szCs w:val="20"/>
          <w:color w:val="auto"/>
        </w:rPr>
      </w:pPr>
      <w:r>
        <w:rPr>
          <w:rFonts w:ascii="Times New Roman" w:cs="Times New Roman" w:eastAsia="Times New Roman" w:hAnsi="Times New Roman"/>
          <w:sz w:val="11"/>
          <w:szCs w:val="11"/>
          <w:color w:val="auto"/>
        </w:rPr>
        <w:t>As of March 31, 2026, our investment portfolio consisted of investments in 143 portfolio companies (including 36 structured credit investments, which include each series of collateralized loan obligation as a separate portfolio company investment) with an aggregate fair value of $3,313.4 million. We intend to continue to pursue an investment strategy focused primarily on direct origination of loans to middle-market companies domiciled in the United States.</w:t>
      </w:r>
    </w:p>
    <w:p>
      <w:pPr>
        <w:spacing w:after="0" w:line="54" w:lineRule="exact"/>
        <w:rPr>
          <w:sz w:val="24"/>
          <w:szCs w:val="24"/>
          <w:color w:val="auto"/>
        </w:rPr>
      </w:pPr>
    </w:p>
    <w:p>
      <w:pPr>
        <w:ind w:left="1380" w:right="439" w:firstLine="341"/>
        <w:spacing w:after="0" w:line="254" w:lineRule="auto"/>
        <w:rPr>
          <w:sz w:val="20"/>
          <w:szCs w:val="20"/>
          <w:color w:val="auto"/>
        </w:rPr>
      </w:pPr>
      <w:r>
        <w:rPr>
          <w:rFonts w:ascii="Times New Roman" w:cs="Times New Roman" w:eastAsia="Times New Roman" w:hAnsi="Times New Roman"/>
          <w:sz w:val="11"/>
          <w:szCs w:val="11"/>
          <w:color w:val="auto"/>
        </w:rPr>
        <w:t>We are an externally managed, closed-end, non-diversified management investment company. Sixth Street Specialty Lending Advisers, LLC, or the Adviser, acts as our investment adviser and administrator. We and the Adviser are part of Sixth Street Partners, LLC, a global investment firm with over $130 billion in assets under management as of March 31, 2026.</w:t>
      </w:r>
    </w:p>
    <w:p>
      <w:pPr>
        <w:spacing w:after="0" w:line="46" w:lineRule="exact"/>
        <w:rPr>
          <w:sz w:val="24"/>
          <w:szCs w:val="24"/>
          <w:color w:val="auto"/>
        </w:rPr>
      </w:pPr>
    </w:p>
    <w:p>
      <w:pPr>
        <w:ind w:left="1380" w:right="279" w:firstLine="341"/>
        <w:spacing w:after="0" w:line="229" w:lineRule="auto"/>
        <w:rPr>
          <w:sz w:val="20"/>
          <w:szCs w:val="20"/>
          <w:color w:val="auto"/>
        </w:rPr>
      </w:pPr>
      <w:r>
        <w:rPr>
          <w:rFonts w:ascii="Times New Roman" w:cs="Times New Roman" w:eastAsia="Times New Roman" w:hAnsi="Times New Roman"/>
          <w:sz w:val="11"/>
          <w:szCs w:val="11"/>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6" w:lineRule="exact"/>
        <w:rPr>
          <w:sz w:val="24"/>
          <w:szCs w:val="24"/>
          <w:color w:val="auto"/>
        </w:rPr>
      </w:pPr>
    </w:p>
    <w:p>
      <w:pPr>
        <w:ind w:left="1380" w:right="419" w:firstLine="341"/>
        <w:spacing w:after="0" w:line="237" w:lineRule="auto"/>
        <w:rPr>
          <w:sz w:val="20"/>
          <w:szCs w:val="20"/>
          <w:color w:val="auto"/>
        </w:rPr>
      </w:pPr>
      <w:r>
        <w:rPr>
          <w:rFonts w:ascii="Times New Roman" w:cs="Times New Roman" w:eastAsia="Times New Roman" w:hAnsi="Times New Roman"/>
          <w:sz w:val="11"/>
          <w:szCs w:val="11"/>
          <w:color w:val="auto"/>
        </w:rPr>
        <w:t>Substantially all of our debt investments have variable interest rates that reset periodically based on interest rate benchmarks such as the Euro Interbank Offered Rate, the Canadian Dollar Offered Rate, the Secured Overnight Financing Rate, the Sterling Overnight Interbank Average Rate or the Prime Rate. As a result, significant increases in such interest rate benchmarks (or any replacement benchmarks) in the future would make it more difficult for these borrowers to service their obligations under the debt investments that we hold.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111760</wp:posOffset>
            </wp:positionV>
            <wp:extent cx="11430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31" w:lineRule="exact"/>
        <w:rPr>
          <w:sz w:val="24"/>
          <w:szCs w:val="24"/>
          <w:color w:val="auto"/>
        </w:rPr>
      </w:pPr>
    </w:p>
    <w:p>
      <w:pPr>
        <w:jc w:val="both"/>
        <w:ind w:left="1380" w:right="419" w:firstLine="341"/>
        <w:spacing w:after="0" w:line="238" w:lineRule="auto"/>
        <w:rPr>
          <w:sz w:val="20"/>
          <w:szCs w:val="20"/>
          <w:color w:val="auto"/>
        </w:rPr>
      </w:pPr>
      <w:r>
        <w:rPr>
          <w:rFonts w:ascii="Times New Roman" w:cs="Times New Roman" w:eastAsia="Times New Roman" w:hAnsi="Times New Roman"/>
          <w:sz w:val="11"/>
          <w:szCs w:val="11"/>
          <w:b w:val="1"/>
          <w:bCs w:val="1"/>
          <w:color w:val="auto"/>
        </w:rPr>
        <w:t>Investing in the Notes involves risks, including the risk of leverage, that are described in the “</w:t>
      </w:r>
      <w:r>
        <w:rPr>
          <w:rFonts w:ascii="Times New Roman" w:cs="Times New Roman" w:eastAsia="Times New Roman" w:hAnsi="Times New Roman"/>
          <w:sz w:val="11"/>
          <w:szCs w:val="11"/>
          <w:b w:val="1"/>
          <w:bCs w:val="1"/>
          <w:u w:val="single" w:color="auto"/>
          <w:color w:val="0000EE"/>
        </w:rPr>
        <w:t>Risk Factors</w:t>
      </w:r>
      <w:r>
        <w:rPr>
          <w:rFonts w:ascii="Times New Roman" w:cs="Times New Roman" w:eastAsia="Times New Roman" w:hAnsi="Times New Roman"/>
          <w:sz w:val="11"/>
          <w:szCs w:val="11"/>
          <w:b w:val="1"/>
          <w:bCs w:val="1"/>
          <w:color w:val="auto"/>
        </w:rPr>
        <w:t>” section beginning on page S-10 of this prospectus supplement and page 24 of the accompanying prospectus and the matters discussed in the documents incorporated or deemed to be incorporated by reference in this prospectus supplement and the accompanying prospectus.</w:t>
      </w:r>
    </w:p>
    <w:p>
      <w:pPr>
        <w:spacing w:after="0" w:line="55" w:lineRule="exact"/>
        <w:rPr>
          <w:sz w:val="24"/>
          <w:szCs w:val="24"/>
          <w:color w:val="auto"/>
        </w:rPr>
      </w:pPr>
    </w:p>
    <w:p>
      <w:pPr>
        <w:ind w:left="1380" w:right="339" w:firstLine="341"/>
        <w:spacing w:after="0" w:line="226" w:lineRule="auto"/>
        <w:rPr>
          <w:sz w:val="20"/>
          <w:szCs w:val="20"/>
          <w:color w:val="auto"/>
        </w:rPr>
      </w:pPr>
      <w:r>
        <w:rPr>
          <w:rFonts w:ascii="Times New Roman" w:cs="Times New Roman" w:eastAsia="Times New Roman" w:hAnsi="Times New Roman"/>
          <w:sz w:val="11"/>
          <w:szCs w:val="11"/>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2100 McKinney Avenue, Suite 1500, Dallas, TX 75201,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w:t>
      </w:r>
    </w:p>
    <w:p>
      <w:pPr>
        <w:spacing w:after="0" w:line="26" w:lineRule="exact"/>
        <w:rPr>
          <w:sz w:val="24"/>
          <w:szCs w:val="24"/>
          <w:color w:val="auto"/>
        </w:rPr>
      </w:pPr>
    </w:p>
    <w:tbl>
      <w:tblPr>
        <w:tblLayout w:type="fixed"/>
        <w:tblInd w:w="2400" w:type="dxa"/>
        <w:tblCellMar>
          <w:top w:w="0" w:type="dxa"/>
          <w:left w:w="0" w:type="dxa"/>
          <w:bottom w:w="0" w:type="dxa"/>
          <w:right w:w="0" w:type="dxa"/>
        </w:tblCellMar>
      </w:tblPr>
      <w:tr>
        <w:trPr>
          <w:trHeight w:val="120"/>
        </w:trPr>
        <w:tc>
          <w:tcPr>
            <w:tcW w:w="508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5"/>
              </w:rPr>
              <w:t>Per Note</w:t>
            </w:r>
          </w:p>
        </w:tc>
        <w:tc>
          <w:tcPr>
            <w:tcW w:w="2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0" w:type="dxa"/>
            <w:vAlign w:val="bottom"/>
            <w:tcBorders>
              <w:bottom w:val="single" w:sz="8" w:color="CCEEFF"/>
            </w:tcBorders>
          </w:tcPr>
          <w:p>
            <w:pPr>
              <w:spacing w:after="0"/>
              <w:rPr>
                <w:sz w:val="10"/>
                <w:szCs w:val="10"/>
                <w:color w:val="auto"/>
              </w:rPr>
            </w:pPr>
          </w:p>
        </w:tc>
      </w:tr>
      <w:tr>
        <w:trPr>
          <w:trHeight w:val="106"/>
        </w:trPr>
        <w:tc>
          <w:tcPr>
            <w:tcW w:w="50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 xml:space="preserve">Public offering price </w:t>
            </w:r>
            <w:r>
              <w:rPr>
                <w:rFonts w:ascii="Times New Roman" w:cs="Times New Roman" w:eastAsia="Times New Roman" w:hAnsi="Times New Roman"/>
                <w:sz w:val="6"/>
                <w:szCs w:val="6"/>
                <w:color w:val="auto"/>
              </w:rPr>
              <w:t>(1)</w:t>
            </w:r>
          </w:p>
        </w:tc>
        <w:tc>
          <w:tcPr>
            <w:tcW w:w="600" w:type="dxa"/>
            <w:vAlign w:val="bottom"/>
            <w:gridSpan w:val="2"/>
            <w:shd w:val="clear" w:color="auto" w:fill="CCEEFF"/>
          </w:tcPr>
          <w:p>
            <w:pPr>
              <w:jc w:val="right"/>
              <w:ind w:right="140"/>
              <w:spacing w:after="0" w:line="106" w:lineRule="exact"/>
              <w:rPr>
                <w:sz w:val="20"/>
                <w:szCs w:val="20"/>
                <w:color w:val="auto"/>
              </w:rPr>
            </w:pPr>
            <w:r>
              <w:rPr>
                <w:rFonts w:ascii="Times New Roman" w:cs="Times New Roman" w:eastAsia="Times New Roman" w:hAnsi="Times New Roman"/>
                <w:sz w:val="11"/>
                <w:szCs w:val="11"/>
                <w:color w:val="auto"/>
              </w:rPr>
              <w:t>99.094%</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98"/>
              </w:rPr>
              <w:t>297,282,000</w:t>
            </w:r>
          </w:p>
        </w:tc>
        <w:tc>
          <w:tcPr>
            <w:tcW w:w="20" w:type="dxa"/>
            <w:vAlign w:val="bottom"/>
            <w:shd w:val="clear" w:color="auto" w:fill="CCEEFF"/>
          </w:tcPr>
          <w:p>
            <w:pPr>
              <w:spacing w:after="0"/>
              <w:rPr>
                <w:sz w:val="9"/>
                <w:szCs w:val="9"/>
                <w:color w:val="auto"/>
              </w:rPr>
            </w:pPr>
          </w:p>
        </w:tc>
      </w:tr>
      <w:tr>
        <w:trPr>
          <w:trHeight w:val="115"/>
        </w:trPr>
        <w:tc>
          <w:tcPr>
            <w:tcW w:w="50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Underwriting discount (sales load)</w:t>
            </w:r>
          </w:p>
        </w:tc>
        <w:tc>
          <w:tcPr>
            <w:tcW w:w="600" w:type="dxa"/>
            <w:vAlign w:val="bottom"/>
            <w:gridSpan w:val="2"/>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3,000,000</w:t>
            </w:r>
          </w:p>
        </w:tc>
      </w:tr>
      <w:tr>
        <w:trPr>
          <w:trHeight w:val="115"/>
        </w:trPr>
        <w:tc>
          <w:tcPr>
            <w:tcW w:w="50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 xml:space="preserve">Proceeds to us, before expenses </w:t>
            </w:r>
            <w:r>
              <w:rPr>
                <w:rFonts w:ascii="Times New Roman" w:cs="Times New Roman" w:eastAsia="Times New Roman" w:hAnsi="Times New Roman"/>
                <w:sz w:val="6"/>
                <w:szCs w:val="6"/>
                <w:color w:val="auto"/>
              </w:rPr>
              <w:t>(2)</w:t>
            </w:r>
          </w:p>
        </w:tc>
        <w:tc>
          <w:tcPr>
            <w:tcW w:w="600" w:type="dxa"/>
            <w:vAlign w:val="bottom"/>
            <w:gridSpan w:val="2"/>
            <w:shd w:val="clear" w:color="auto" w:fill="CCEEFF"/>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98.094%</w:t>
            </w:r>
          </w:p>
        </w:tc>
        <w:tc>
          <w:tcPr>
            <w:tcW w:w="22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w w:val="98"/>
              </w:rPr>
              <w:t>294,282,000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873125</wp:posOffset>
            </wp:positionH>
            <wp:positionV relativeFrom="paragraph">
              <wp:posOffset>66675</wp:posOffset>
            </wp:positionV>
            <wp:extent cx="5981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109" w:lineRule="exact"/>
        <w:rPr>
          <w:sz w:val="24"/>
          <w:szCs w:val="24"/>
          <w:color w:val="auto"/>
        </w:rPr>
      </w:pPr>
    </w:p>
    <w:p>
      <w:pPr>
        <w:ind w:left="1700" w:hanging="325"/>
        <w:spacing w:after="0"/>
        <w:tabs>
          <w:tab w:leader="none" w:pos="17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public offering price set forth above does not include accrued interest, if any. Interest on the Notes must be paid by the purchaser if the Notes are delivered after May 14, 2026.</w:t>
      </w:r>
    </w:p>
    <w:p>
      <w:pPr>
        <w:ind w:left="1700" w:hanging="325"/>
        <w:spacing w:after="0"/>
        <w:tabs>
          <w:tab w:leader="none" w:pos="17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Before deducting expenses payable by us related to this offering, estimated at $1.1 million.</w:t>
      </w:r>
    </w:p>
    <w:p>
      <w:pPr>
        <w:spacing w:after="0" w:line="58" w:lineRule="exact"/>
        <w:rPr>
          <w:sz w:val="24"/>
          <w:szCs w:val="24"/>
          <w:color w:val="auto"/>
        </w:rPr>
      </w:pPr>
    </w:p>
    <w:p>
      <w:pPr>
        <w:ind w:left="1380" w:right="1059" w:firstLine="341"/>
        <w:spacing w:after="0" w:line="258" w:lineRule="auto"/>
        <w:rPr>
          <w:sz w:val="20"/>
          <w:szCs w:val="20"/>
          <w:color w:val="auto"/>
        </w:rPr>
      </w:pPr>
      <w:r>
        <w:rPr>
          <w:rFonts w:ascii="Times New Roman" w:cs="Times New Roman" w:eastAsia="Times New Roman" w:hAnsi="Times New Roman"/>
          <w:sz w:val="11"/>
          <w:szCs w:val="11"/>
          <w:b w:val="1"/>
          <w:bCs w:val="1"/>
          <w:color w:val="auto"/>
        </w:rPr>
        <w:t>THE NOTES ARE NOT DEPOSITS OR OTHER OBLIGATIONS OF A BANK AND ARE NOT INSURED BY THE FEDERAL DEPOSIT INSURANCE CORPORATION OR ANY OTHER GOVERNMENT AGENCY.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98425</wp:posOffset>
            </wp:positionV>
            <wp:extent cx="11430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10" w:lineRule="exact"/>
        <w:rPr>
          <w:sz w:val="24"/>
          <w:szCs w:val="24"/>
          <w:color w:val="auto"/>
        </w:rPr>
      </w:pPr>
    </w:p>
    <w:p>
      <w:pPr>
        <w:ind w:left="1380" w:right="539" w:firstLine="341"/>
        <w:spacing w:after="0" w:line="258" w:lineRule="auto"/>
        <w:rPr>
          <w:sz w:val="20"/>
          <w:szCs w:val="20"/>
          <w:color w:val="auto"/>
        </w:rPr>
      </w:pPr>
      <w:r>
        <w:rPr>
          <w:rFonts w:ascii="Times New Roman" w:cs="Times New Roman" w:eastAsia="Times New Roman" w:hAnsi="Times New Roman"/>
          <w:sz w:val="11"/>
          <w:szCs w:val="11"/>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44"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1"/>
          <w:szCs w:val="11"/>
          <w:color w:val="auto"/>
        </w:rPr>
        <w:t>Delivery of the Notes in book-entry form only through The Depository Trust Company will be made on or about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3012440</wp:posOffset>
            </wp:positionH>
            <wp:positionV relativeFrom="paragraph">
              <wp:posOffset>123190</wp:posOffset>
            </wp:positionV>
            <wp:extent cx="11430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4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1"/>
          <w:szCs w:val="11"/>
          <w:b w:val="1"/>
          <w:bCs w:val="1"/>
          <w:i w:val="1"/>
          <w:iCs w:val="1"/>
          <w:color w:val="auto"/>
        </w:rPr>
        <w:t>Joint Book-Running Managers</w:t>
      </w:r>
    </w:p>
    <w:p>
      <w:pPr>
        <w:spacing w:after="0" w:line="70" w:lineRule="exact"/>
        <w:rPr>
          <w:sz w:val="24"/>
          <w:szCs w:val="24"/>
          <w:color w:val="auto"/>
        </w:rPr>
      </w:pPr>
    </w:p>
    <w:tbl>
      <w:tblPr>
        <w:tblLayout w:type="fixed"/>
        <w:tblInd w:w="1380" w:type="dxa"/>
        <w:tblCellMar>
          <w:top w:w="0" w:type="dxa"/>
          <w:left w:w="0" w:type="dxa"/>
          <w:bottom w:w="0" w:type="dxa"/>
          <w:right w:w="0" w:type="dxa"/>
        </w:tblCellMar>
      </w:tblPr>
      <w:tr>
        <w:trPr>
          <w:trHeight w:val="195"/>
        </w:trPr>
        <w:tc>
          <w:tcPr>
            <w:tcW w:w="1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BofA Securities</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HSBC</w:t>
            </w:r>
          </w:p>
        </w:tc>
        <w:tc>
          <w:tcPr>
            <w:tcW w:w="2820" w:type="dxa"/>
            <w:vAlign w:val="bottom"/>
          </w:tcPr>
          <w:p>
            <w:pPr>
              <w:jc w:val="center"/>
              <w:ind w:right="466"/>
              <w:spacing w:after="0"/>
              <w:rPr>
                <w:sz w:val="20"/>
                <w:szCs w:val="20"/>
                <w:color w:val="auto"/>
              </w:rPr>
            </w:pPr>
            <w:r>
              <w:rPr>
                <w:rFonts w:ascii="Times New Roman" w:cs="Times New Roman" w:eastAsia="Times New Roman" w:hAnsi="Times New Roman"/>
                <w:sz w:val="17"/>
                <w:szCs w:val="17"/>
                <w:b w:val="1"/>
                <w:bCs w:val="1"/>
                <w:color w:val="auto"/>
                <w:w w:val="98"/>
              </w:rPr>
              <w:t>SMBC Nikko</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Wells Fargo Securities</w:t>
            </w:r>
          </w:p>
        </w:tc>
      </w:tr>
      <w:tr>
        <w:trPr>
          <w:trHeight w:val="188"/>
        </w:trPr>
        <w:tc>
          <w:tcPr>
            <w:tcW w:w="192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J.P. Morgan</w:t>
            </w:r>
          </w:p>
        </w:tc>
        <w:tc>
          <w:tcPr>
            <w:tcW w:w="17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MUFG</w:t>
            </w:r>
          </w:p>
        </w:tc>
        <w:tc>
          <w:tcPr>
            <w:tcW w:w="2820" w:type="dxa"/>
            <w:vAlign w:val="bottom"/>
          </w:tcPr>
          <w:p>
            <w:pPr>
              <w:jc w:val="center"/>
              <w:ind w:right="446"/>
              <w:spacing w:after="0" w:line="189" w:lineRule="exact"/>
              <w:rPr>
                <w:sz w:val="20"/>
                <w:szCs w:val="20"/>
                <w:color w:val="auto"/>
              </w:rPr>
            </w:pPr>
            <w:r>
              <w:rPr>
                <w:rFonts w:ascii="Times New Roman" w:cs="Times New Roman" w:eastAsia="Times New Roman" w:hAnsi="Times New Roman"/>
                <w:sz w:val="17"/>
                <w:szCs w:val="17"/>
                <w:b w:val="1"/>
                <w:bCs w:val="1"/>
                <w:color w:val="auto"/>
                <w:w w:val="97"/>
              </w:rPr>
              <w:t>Truist Securities</w:t>
            </w:r>
          </w:p>
        </w:tc>
        <w:tc>
          <w:tcPr>
            <w:tcW w:w="20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Mizuho</w:t>
            </w:r>
          </w:p>
        </w:tc>
      </w:tr>
      <w:tr>
        <w:trPr>
          <w:trHeight w:val="221"/>
        </w:trPr>
        <w:tc>
          <w:tcPr>
            <w:tcW w:w="1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RBC Capital Markets</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Citigroup</w:t>
            </w:r>
          </w:p>
        </w:tc>
        <w:tc>
          <w:tcPr>
            <w:tcW w:w="2820" w:type="dxa"/>
            <w:vAlign w:val="bottom"/>
          </w:tcPr>
          <w:p>
            <w:pPr>
              <w:jc w:val="center"/>
              <w:ind w:right="446"/>
              <w:spacing w:after="0"/>
              <w:rPr>
                <w:sz w:val="20"/>
                <w:szCs w:val="20"/>
                <w:color w:val="auto"/>
              </w:rPr>
            </w:pPr>
            <w:r>
              <w:rPr>
                <w:rFonts w:ascii="Times New Roman" w:cs="Times New Roman" w:eastAsia="Times New Roman" w:hAnsi="Times New Roman"/>
                <w:sz w:val="17"/>
                <w:szCs w:val="17"/>
                <w:b w:val="1"/>
                <w:bCs w:val="1"/>
                <w:color w:val="auto"/>
                <w:w w:val="98"/>
              </w:rPr>
              <w:t>Goldman Sachs &amp; Co. LLC</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Morgan Stanley</w:t>
            </w:r>
          </w:p>
        </w:tc>
      </w:tr>
      <w:tr>
        <w:trPr>
          <w:trHeight w:val="204"/>
        </w:trPr>
        <w:tc>
          <w:tcPr>
            <w:tcW w:w="1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20" w:type="dxa"/>
            <w:vAlign w:val="bottom"/>
          </w:tcPr>
          <w:p>
            <w:pPr>
              <w:ind w:left="320"/>
              <w:spacing w:after="0"/>
              <w:rPr>
                <w:sz w:val="20"/>
                <w:szCs w:val="20"/>
                <w:color w:val="auto"/>
              </w:rPr>
            </w:pPr>
            <w:r>
              <w:rPr>
                <w:rFonts w:ascii="Times New Roman" w:cs="Times New Roman" w:eastAsia="Times New Roman" w:hAnsi="Times New Roman"/>
                <w:sz w:val="11"/>
                <w:szCs w:val="11"/>
                <w:b w:val="1"/>
                <w:bCs w:val="1"/>
                <w:i w:val="1"/>
                <w:iCs w:val="1"/>
                <w:color w:val="auto"/>
              </w:rPr>
              <w:t>Co-Managers</w:t>
            </w:r>
          </w:p>
        </w:tc>
        <w:tc>
          <w:tcPr>
            <w:tcW w:w="2040" w:type="dxa"/>
            <w:vAlign w:val="bottom"/>
          </w:tcPr>
          <w:p>
            <w:pPr>
              <w:spacing w:after="0"/>
              <w:rPr>
                <w:sz w:val="17"/>
                <w:szCs w:val="17"/>
                <w:color w:val="auto"/>
              </w:rPr>
            </w:pP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Citizens Capital Markets</w:t>
            </w:r>
          </w:p>
        </w:tc>
        <w:tc>
          <w:tcPr>
            <w:tcW w:w="170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w w:val="99"/>
              </w:rPr>
              <w:t>Comerica Securities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ICBC Standard Bank</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Keefe, Bruyette &amp; Woods</w:t>
            </w:r>
          </w:p>
        </w:tc>
      </w:tr>
      <w:tr>
        <w:trPr>
          <w:trHeight w:val="147"/>
        </w:trPr>
        <w:tc>
          <w:tcPr>
            <w:tcW w:w="1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A Stifel Company</w:t>
            </w:r>
          </w:p>
        </w:tc>
      </w:tr>
      <w:tr>
        <w:trPr>
          <w:trHeight w:val="217"/>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Oppenheimer &amp; Co.</w:t>
            </w:r>
          </w:p>
        </w:tc>
        <w:tc>
          <w:tcPr>
            <w:tcW w:w="1700" w:type="dxa"/>
            <w:vAlign w:val="bottom"/>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8"/>
              </w:rPr>
              <w:t>Raymond James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First Citizens Capital Securities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Sixth Street BD, LLC</w:t>
            </w:r>
          </w:p>
        </w:tc>
      </w:tr>
    </w:tbl>
    <w:p>
      <w:pPr>
        <w:spacing w:after="0" w:line="6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1"/>
          <w:szCs w:val="11"/>
          <w:b w:val="1"/>
          <w:bCs w:val="1"/>
          <w:color w:val="auto"/>
        </w:rPr>
        <w:t>The date of this prospectus supplement is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45720</wp:posOffset>
            </wp:positionV>
            <wp:extent cx="7201535" cy="584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58420"/>
                    </a:xfrm>
                    <a:prstGeom prst="rect">
                      <a:avLst/>
                    </a:prstGeom>
                    <a:noFill/>
                  </pic:spPr>
                </pic:pic>
              </a:graphicData>
            </a:graphic>
          </wp:anchor>
        </w:drawing>
      </w: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9" w:lineRule="exact"/>
        <w:rPr>
          <w:sz w:val="24"/>
          <w:szCs w:val="24"/>
          <w:color w:val="auto"/>
        </w:rPr>
      </w:pPr>
    </w:p>
    <w:p>
      <w:pPr>
        <w:ind w:left="1380" w:right="259" w:firstLine="341"/>
        <w:spacing w:after="0" w:line="279" w:lineRule="auto"/>
        <w:rPr>
          <w:sz w:val="20"/>
          <w:szCs w:val="20"/>
          <w:color w:val="auto"/>
        </w:rPr>
      </w:pPr>
      <w:r>
        <w:rPr>
          <w:rFonts w:ascii="Times New Roman" w:cs="Times New Roman" w:eastAsia="Times New Roman" w:hAnsi="Times New Roman"/>
          <w:sz w:val="13"/>
          <w:szCs w:val="13"/>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29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4"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92" w:lineRule="exact"/>
        <w:rPr>
          <w:sz w:val="24"/>
          <w:szCs w:val="24"/>
          <w:color w:val="auto"/>
        </w:rPr>
      </w:pPr>
    </w:p>
    <w:tbl>
      <w:tblPr>
        <w:tblLayout w:type="fixed"/>
        <w:tblInd w:w="1380" w:type="dxa"/>
        <w:tblCellMar>
          <w:top w:w="0" w:type="dxa"/>
          <w:left w:w="0" w:type="dxa"/>
          <w:bottom w:w="0" w:type="dxa"/>
          <w:right w:w="0" w:type="dxa"/>
        </w:tblCellMar>
      </w:tblPr>
      <w:tr>
        <w:trPr>
          <w:trHeight w:val="134"/>
        </w:trPr>
        <w:tc>
          <w:tcPr>
            <w:tcW w:w="818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16"/>
        </w:trPr>
        <w:tc>
          <w:tcPr>
            <w:tcW w:w="8180" w:type="dxa"/>
            <w:vAlign w:val="bottom"/>
            <w:gridSpan w:val="13"/>
            <w:vMerge w:val="continue"/>
          </w:tcPr>
          <w:p>
            <w:pPr>
              <w:spacing w:after="0"/>
              <w:rPr>
                <w:sz w:val="10"/>
                <w:szCs w:val="10"/>
                <w:color w:val="auto"/>
              </w:rPr>
            </w:pPr>
          </w:p>
        </w:tc>
        <w:tc>
          <w:tcPr>
            <w:tcW w:w="32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S-1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120" w:type="dxa"/>
            <w:vAlign w:val="bottom"/>
            <w:tcBorders>
              <w:top w:val="single" w:sz="8" w:color="0000EE"/>
            </w:tcBorders>
            <w:gridSpan w:val="12"/>
          </w:tcPr>
          <w:p>
            <w:pPr>
              <w:spacing w:after="0" w:line="158" w:lineRule="exact"/>
              <w:rPr>
                <w:sz w:val="20"/>
                <w:szCs w:val="20"/>
                <w:color w:val="auto"/>
              </w:rPr>
            </w:pPr>
            <w:r>
              <w:rPr>
                <w:rFonts w:ascii="Times New Roman" w:cs="Times New Roman" w:eastAsia="Times New Roman" w:hAnsi="Times New Roman"/>
                <w:sz w:val="14"/>
                <w:szCs w:val="14"/>
                <w:color w:val="0000EE"/>
              </w:rPr>
              <w:t>THE COMPANY</w:t>
            </w:r>
          </w:p>
        </w:tc>
        <w:tc>
          <w:tcPr>
            <w:tcW w:w="4060" w:type="dxa"/>
            <w:vAlign w:val="bottom"/>
          </w:tcPr>
          <w:p>
            <w:pPr>
              <w:spacing w:after="0"/>
              <w:rPr>
                <w:sz w:val="13"/>
                <w:szCs w:val="13"/>
                <w:color w:val="auto"/>
              </w:rPr>
            </w:pPr>
          </w:p>
        </w:tc>
        <w:tc>
          <w:tcPr>
            <w:tcW w:w="3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4"/>
                <w:szCs w:val="14"/>
                <w:color w:val="auto"/>
              </w:rPr>
              <w:t>S-2</w:t>
            </w: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46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9"/>
              </w:rPr>
              <w:t>SPECIFIC TERMS OF THE NOTES AND THE OFFERING</w:t>
            </w:r>
          </w:p>
        </w:tc>
        <w:tc>
          <w:tcPr>
            <w:tcW w:w="4720" w:type="dxa"/>
            <w:vAlign w:val="bottom"/>
            <w:gridSpan w:val="3"/>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S-6</w:t>
            </w:r>
          </w:p>
        </w:tc>
        <w:tc>
          <w:tcPr>
            <w:tcW w:w="0" w:type="dxa"/>
            <w:vAlign w:val="bottom"/>
          </w:tcPr>
          <w:p>
            <w:pPr>
              <w:spacing w:after="0"/>
              <w:rPr>
                <w:sz w:val="1"/>
                <w:szCs w:val="1"/>
                <w:color w:val="auto"/>
              </w:rPr>
            </w:pPr>
          </w:p>
        </w:tc>
      </w:tr>
      <w:tr>
        <w:trPr>
          <w:trHeight w:val="147"/>
        </w:trPr>
        <w:tc>
          <w:tcPr>
            <w:tcW w:w="818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S-10</w:t>
            </w: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20" w:type="dxa"/>
            <w:vAlign w:val="bottom"/>
            <w:tcBorders>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7"/>
              </w:rPr>
              <w:t>USE OF PROCEEDS</w:t>
            </w:r>
          </w:p>
        </w:tc>
        <w:tc>
          <w:tcPr>
            <w:tcW w:w="6960" w:type="dxa"/>
            <w:vAlign w:val="bottom"/>
            <w:gridSpan w:val="7"/>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S-15</w:t>
            </w:r>
          </w:p>
        </w:tc>
        <w:tc>
          <w:tcPr>
            <w:tcW w:w="0" w:type="dxa"/>
            <w:vAlign w:val="bottom"/>
          </w:tcPr>
          <w:p>
            <w:pPr>
              <w:spacing w:after="0"/>
              <w:rPr>
                <w:sz w:val="1"/>
                <w:szCs w:val="1"/>
                <w:color w:val="auto"/>
              </w:rPr>
            </w:pPr>
          </w:p>
        </w:tc>
      </w:tr>
      <w:tr>
        <w:trPr>
          <w:trHeight w:val="147"/>
        </w:trPr>
        <w:tc>
          <w:tcPr>
            <w:tcW w:w="114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6"/>
              </w:rPr>
              <w:t>CAPITALIZATION</w:t>
            </w:r>
          </w:p>
        </w:tc>
        <w:tc>
          <w:tcPr>
            <w:tcW w:w="7040" w:type="dxa"/>
            <w:vAlign w:val="bottom"/>
            <w:gridSpan w:val="8"/>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S-16</w:t>
            </w:r>
          </w:p>
        </w:tc>
        <w:tc>
          <w:tcPr>
            <w:tcW w:w="0" w:type="dxa"/>
            <w:vAlign w:val="bottom"/>
          </w:tcPr>
          <w:p>
            <w:pPr>
              <w:spacing w:after="0"/>
              <w:rPr>
                <w:sz w:val="1"/>
                <w:szCs w:val="1"/>
                <w:color w:val="auto"/>
              </w:rPr>
            </w:pPr>
          </w:p>
        </w:tc>
      </w:tr>
      <w:tr>
        <w:trPr>
          <w:trHeight w:val="147"/>
        </w:trPr>
        <w:tc>
          <w:tcPr>
            <w:tcW w:w="818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SENIOR SECURITIES</w:t>
            </w: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S-17</w:t>
            </w:r>
          </w:p>
        </w:tc>
        <w:tc>
          <w:tcPr>
            <w:tcW w:w="0" w:type="dxa"/>
            <w:vAlign w:val="bottom"/>
          </w:tcPr>
          <w:p>
            <w:pPr>
              <w:spacing w:after="0"/>
              <w:rPr>
                <w:sz w:val="1"/>
                <w:szCs w:val="1"/>
                <w:color w:val="auto"/>
              </w:rPr>
            </w:pPr>
          </w:p>
        </w:tc>
      </w:tr>
      <w:tr>
        <w:trPr>
          <w:trHeight w:val="147"/>
        </w:trPr>
        <w:tc>
          <w:tcPr>
            <w:tcW w:w="1320" w:type="dxa"/>
            <w:vAlign w:val="bottom"/>
            <w:tcBorders>
              <w:top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rPr>
              <w:t>MANAGEMENT</w:t>
            </w:r>
          </w:p>
        </w:tc>
        <w:tc>
          <w:tcPr>
            <w:tcW w:w="6860" w:type="dxa"/>
            <w:vAlign w:val="bottom"/>
            <w:gridSpan w:val="6"/>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S-18</w:t>
            </w: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600" w:type="dxa"/>
            <w:vAlign w:val="bottom"/>
            <w:tcBorders>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NOTES</w:t>
            </w:r>
          </w:p>
        </w:tc>
        <w:tc>
          <w:tcPr>
            <w:tcW w:w="6580" w:type="dxa"/>
            <w:vAlign w:val="bottom"/>
            <w:gridSpan w:val="5"/>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S-19</w:t>
            </w:r>
          </w:p>
        </w:tc>
        <w:tc>
          <w:tcPr>
            <w:tcW w:w="0" w:type="dxa"/>
            <w:vAlign w:val="bottom"/>
          </w:tcPr>
          <w:p>
            <w:pPr>
              <w:spacing w:after="0"/>
              <w:rPr>
                <w:sz w:val="1"/>
                <w:szCs w:val="1"/>
                <w:color w:val="auto"/>
              </w:rPr>
            </w:pPr>
          </w:p>
        </w:tc>
      </w:tr>
      <w:tr>
        <w:trPr>
          <w:trHeight w:val="147"/>
        </w:trPr>
        <w:tc>
          <w:tcPr>
            <w:tcW w:w="356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8"/>
              </w:rPr>
              <w:t>CERTAIN U.S. FEDERAL INCOME TAX CONSEQUENCES</w:t>
            </w:r>
          </w:p>
        </w:tc>
        <w:tc>
          <w:tcPr>
            <w:tcW w:w="4620" w:type="dxa"/>
            <w:vAlign w:val="bottom"/>
            <w:gridSpan w:val="2"/>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S-33</w:t>
            </w:r>
          </w:p>
        </w:tc>
        <w:tc>
          <w:tcPr>
            <w:tcW w:w="0" w:type="dxa"/>
            <w:vAlign w:val="bottom"/>
          </w:tcPr>
          <w:p>
            <w:pPr>
              <w:spacing w:after="0"/>
              <w:rPr>
                <w:sz w:val="1"/>
                <w:szCs w:val="1"/>
                <w:color w:val="auto"/>
              </w:rPr>
            </w:pPr>
          </w:p>
        </w:tc>
      </w:tr>
      <w:tr>
        <w:trPr>
          <w:trHeight w:val="147"/>
        </w:trPr>
        <w:tc>
          <w:tcPr>
            <w:tcW w:w="1080" w:type="dxa"/>
            <w:vAlign w:val="bottom"/>
            <w:tcBorders>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w w:val="97"/>
              </w:rPr>
              <w:t>UNDERWRITING</w:t>
            </w:r>
          </w:p>
        </w:tc>
        <w:tc>
          <w:tcPr>
            <w:tcW w:w="7100" w:type="dxa"/>
            <w:vAlign w:val="bottom"/>
            <w:gridSpan w:val="10"/>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S-37</w:t>
            </w:r>
          </w:p>
        </w:tc>
        <w:tc>
          <w:tcPr>
            <w:tcW w:w="0" w:type="dxa"/>
            <w:vAlign w:val="bottom"/>
          </w:tcPr>
          <w:p>
            <w:pPr>
              <w:spacing w:after="0"/>
              <w:rPr>
                <w:sz w:val="1"/>
                <w:szCs w:val="1"/>
                <w:color w:val="auto"/>
              </w:rPr>
            </w:pPr>
          </w:p>
        </w:tc>
      </w:tr>
      <w:tr>
        <w:trPr>
          <w:trHeight w:val="147"/>
        </w:trPr>
        <w:tc>
          <w:tcPr>
            <w:tcW w:w="818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S-44</w:t>
            </w:r>
          </w:p>
        </w:tc>
        <w:tc>
          <w:tcPr>
            <w:tcW w:w="0" w:type="dxa"/>
            <w:vAlign w:val="bottom"/>
          </w:tcPr>
          <w:p>
            <w:pPr>
              <w:spacing w:after="0"/>
              <w:rPr>
                <w:sz w:val="1"/>
                <w:szCs w:val="1"/>
                <w:color w:val="auto"/>
              </w:rPr>
            </w:pPr>
          </w:p>
        </w:tc>
      </w:tr>
      <w:tr>
        <w:trPr>
          <w:trHeight w:val="20"/>
        </w:trPr>
        <w:tc>
          <w:tcPr>
            <w:tcW w:w="1120" w:type="dxa"/>
            <w:vAlign w:val="bottom"/>
            <w:gridSpan w:val="4"/>
            <w:shd w:val="clear" w:color="auto" w:fill="0000EE"/>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12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8"/>
              </w:rPr>
              <w:t>INFORMATION INCORPORATED BY REFERENCE</w:t>
            </w:r>
          </w:p>
        </w:tc>
        <w:tc>
          <w:tcPr>
            <w:tcW w:w="5060" w:type="dxa"/>
            <w:vAlign w:val="bottom"/>
            <w:gridSpan w:val="4"/>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S-45</w:t>
            </w:r>
          </w:p>
        </w:tc>
        <w:tc>
          <w:tcPr>
            <w:tcW w:w="0" w:type="dxa"/>
            <w:vAlign w:val="bottom"/>
          </w:tcPr>
          <w:p>
            <w:pPr>
              <w:spacing w:after="0"/>
              <w:rPr>
                <w:sz w:val="1"/>
                <w:szCs w:val="1"/>
                <w:color w:val="auto"/>
              </w:rPr>
            </w:pPr>
          </w:p>
        </w:tc>
      </w:tr>
    </w:tbl>
    <w:p>
      <w:pPr>
        <w:sectPr>
          <w:pgSz w:w="11900" w:h="16838" w:orient="portrait"/>
          <w:cols w:equalWidth="0" w:num="1">
            <w:col w:w="10159"/>
          </w:cols>
          <w:pgMar w:left="300" w:top="207" w:right="1440" w:bottom="71" w:gutter="0" w:footer="0" w:header="0"/>
        </w:sectPr>
      </w:pPr>
    </w:p>
    <w:bookmarkStart w:id="1" w:name="page2"/>
    <w:bookmarkEnd w:id="1"/>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26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27"/>
        </w:trPr>
        <w:tc>
          <w:tcPr>
            <w:tcW w:w="8260" w:type="dxa"/>
            <w:vAlign w:val="bottom"/>
            <w:gridSpan w:val="17"/>
            <w:vMerge w:val="continue"/>
          </w:tcPr>
          <w:p>
            <w:pPr>
              <w:spacing w:after="0"/>
              <w:rPr>
                <w:sz w:val="11"/>
                <w:szCs w:val="11"/>
                <w:color w:val="auto"/>
              </w:rPr>
            </w:pPr>
          </w:p>
        </w:tc>
        <w:tc>
          <w:tcPr>
            <w:tcW w:w="24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i</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720" w:type="dxa"/>
            <w:vAlign w:val="bottom"/>
            <w:tcBorders>
              <w:top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rPr>
              <w:t>SUMMARY</w:t>
            </w:r>
          </w:p>
        </w:tc>
        <w:tc>
          <w:tcPr>
            <w:tcW w:w="6540" w:type="dxa"/>
            <w:vAlign w:val="bottom"/>
            <w:gridSpan w:val="9"/>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6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THE OFFERING</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6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FEES AND EXPENSES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6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FINANCIAL HIGHLIGHTS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7"/>
        </w:trPr>
        <w:tc>
          <w:tcPr>
            <w:tcW w:w="1620" w:type="dxa"/>
            <w:vAlign w:val="bottom"/>
            <w:tcBorders>
              <w:top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6640" w:type="dxa"/>
            <w:vAlign w:val="bottom"/>
            <w:gridSpan w:val="10"/>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6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7"/>
        </w:trPr>
        <w:tc>
          <w:tcPr>
            <w:tcW w:w="1220" w:type="dxa"/>
            <w:vAlign w:val="bottom"/>
            <w:tcBorders>
              <w:top w:val="single" w:sz="8" w:color="0000EE"/>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7"/>
              </w:rPr>
              <w:t>USE OF PROCEEDS</w:t>
            </w:r>
          </w:p>
        </w:tc>
        <w:tc>
          <w:tcPr>
            <w:tcW w:w="2900" w:type="dxa"/>
            <w:vAlign w:val="bottom"/>
            <w:tcBorders>
              <w:top w:val="single" w:sz="8" w:color="0000EE"/>
            </w:tcBorders>
            <w:gridSpan w:val="12"/>
          </w:tcPr>
          <w:p>
            <w:pPr>
              <w:spacing w:after="0"/>
              <w:rPr>
                <w:sz w:val="12"/>
                <w:szCs w:val="12"/>
                <w:color w:val="auto"/>
              </w:rPr>
            </w:pPr>
          </w:p>
        </w:tc>
        <w:tc>
          <w:tcPr>
            <w:tcW w:w="4140" w:type="dxa"/>
            <w:vAlign w:val="bottom"/>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7"/>
        </w:trPr>
        <w:tc>
          <w:tcPr>
            <w:tcW w:w="3720" w:type="dxa"/>
            <w:vAlign w:val="bottom"/>
            <w:tcBorders>
              <w:bottom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w w:val="99"/>
              </w:rPr>
              <w:t>PRICE RANGE OF COMMON STOCK AND DISTRIBUTIONS</w:t>
            </w:r>
          </w:p>
        </w:tc>
        <w:tc>
          <w:tcPr>
            <w:tcW w:w="4540" w:type="dxa"/>
            <w:vAlign w:val="bottom"/>
            <w:gridSpan w:val="3"/>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7"/>
        </w:trPr>
        <w:tc>
          <w:tcPr>
            <w:tcW w:w="826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SENIOR SECURITIES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6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PORTFOLIO COMPANIES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7"/>
        </w:trPr>
        <w:tc>
          <w:tcPr>
            <w:tcW w:w="1580" w:type="dxa"/>
            <w:vAlign w:val="bottom"/>
            <w:tcBorders>
              <w:top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rPr>
              <w:t>MANAGEMENT</w:t>
            </w:r>
          </w:p>
        </w:tc>
        <w:tc>
          <w:tcPr>
            <w:tcW w:w="6680" w:type="dxa"/>
            <w:vAlign w:val="bottom"/>
            <w:gridSpan w:val="11"/>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6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DETERMINATION OF NET ASSET VALUE</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218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6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SALES OF COMMON STOCK BELOW NET ASSET VALUE</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7"/>
        </w:trPr>
        <w:tc>
          <w:tcPr>
            <w:tcW w:w="2180" w:type="dxa"/>
            <w:vAlign w:val="bottom"/>
            <w:tcBorders>
              <w:top w:val="single" w:sz="8" w:color="0000EE"/>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8"/>
              </w:rPr>
              <w:t>DIVIDEND REINVESTMENT PLAN</w:t>
            </w:r>
          </w:p>
        </w:tc>
        <w:tc>
          <w:tcPr>
            <w:tcW w:w="1400" w:type="dxa"/>
            <w:vAlign w:val="bottom"/>
            <w:tcBorders>
              <w:top w:val="single" w:sz="8" w:color="0000EE"/>
            </w:tcBorders>
            <w:gridSpan w:val="4"/>
          </w:tcPr>
          <w:p>
            <w:pPr>
              <w:spacing w:after="0"/>
              <w:rPr>
                <w:sz w:val="12"/>
                <w:szCs w:val="12"/>
                <w:color w:val="auto"/>
              </w:rPr>
            </w:pPr>
          </w:p>
        </w:tc>
        <w:tc>
          <w:tcPr>
            <w:tcW w:w="4680" w:type="dxa"/>
            <w:vAlign w:val="bottom"/>
            <w:gridSpan w:val="4"/>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7"/>
        </w:trPr>
        <w:tc>
          <w:tcPr>
            <w:tcW w:w="826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MATERIAL U.S. FEDERAL INCOME TAX CONSIDERATIONS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7"/>
        </w:trPr>
        <w:tc>
          <w:tcPr>
            <w:tcW w:w="3760" w:type="dxa"/>
            <w:vAlign w:val="bottom"/>
            <w:tcBorders>
              <w:top w:val="single" w:sz="8" w:color="0000EE"/>
            </w:tcBorders>
            <w:gridSpan w:val="15"/>
          </w:tcPr>
          <w:p>
            <w:pPr>
              <w:spacing w:after="0" w:line="147" w:lineRule="exact"/>
              <w:rPr>
                <w:sz w:val="20"/>
                <w:szCs w:val="20"/>
                <w:color w:val="auto"/>
              </w:rPr>
            </w:pPr>
            <w:r>
              <w:rPr>
                <w:rFonts w:ascii="Times New Roman" w:cs="Times New Roman" w:eastAsia="Times New Roman" w:hAnsi="Times New Roman"/>
                <w:sz w:val="14"/>
                <w:szCs w:val="14"/>
                <w:color w:val="0000EE"/>
              </w:rPr>
              <w:t>DESCRIPTION OF OUR SECURITIES</w:t>
            </w:r>
          </w:p>
        </w:tc>
        <w:tc>
          <w:tcPr>
            <w:tcW w:w="4500" w:type="dxa"/>
            <w:vAlign w:val="bottom"/>
            <w:gridSpan w:val="2"/>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
        </w:trPr>
        <w:tc>
          <w:tcPr>
            <w:tcW w:w="2260" w:type="dxa"/>
            <w:vAlign w:val="bottom"/>
            <w:gridSpan w:val="10"/>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6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DESCRIPTION OF OUR CAPITAL STOCK</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
        </w:trPr>
        <w:tc>
          <w:tcPr>
            <w:tcW w:w="2540" w:type="dxa"/>
            <w:vAlign w:val="bottom"/>
            <w:gridSpan w:val="11"/>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760" w:type="dxa"/>
            <w:vAlign w:val="bottom"/>
            <w:tcBorders>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OUR PREFERRED STOCK</w:t>
            </w:r>
          </w:p>
        </w:tc>
        <w:tc>
          <w:tcPr>
            <w:tcW w:w="5500" w:type="dxa"/>
            <w:vAlign w:val="bottom"/>
            <w:gridSpan w:val="5"/>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9019"/>
          </w:cols>
          <w:pgMar w:left="1440" w:top="12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380" w:type="dxa"/>
        <w:tblCellMar>
          <w:top w:w="0" w:type="dxa"/>
          <w:left w:w="0" w:type="dxa"/>
          <w:bottom w:w="0" w:type="dxa"/>
          <w:right w:w="0" w:type="dxa"/>
        </w:tblCellMar>
      </w:tblPr>
      <w:tr>
        <w:trPr>
          <w:trHeight w:val="134"/>
        </w:trPr>
        <w:tc>
          <w:tcPr>
            <w:tcW w:w="826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color w:val="0000EE"/>
              </w:rPr>
              <w:t>DESCRIPTION OF OUR SUBSCRIPTION RIGHTS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27"/>
        </w:trPr>
        <w:tc>
          <w:tcPr>
            <w:tcW w:w="8260" w:type="dxa"/>
            <w:vAlign w:val="bottom"/>
            <w:gridSpan w:val="11"/>
            <w:vMerge w:val="continue"/>
          </w:tcPr>
          <w:p>
            <w:pPr>
              <w:spacing w:after="0"/>
              <w:rPr>
                <w:sz w:val="11"/>
                <w:szCs w:val="11"/>
                <w:color w:val="auto"/>
              </w:rPr>
            </w:pPr>
          </w:p>
        </w:tc>
        <w:tc>
          <w:tcPr>
            <w:tcW w:w="24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000" w:type="dxa"/>
            <w:vAlign w:val="bottom"/>
            <w:tcBorders>
              <w:top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rPr>
              <w:t>DESCRIPTION OF OUR WARRANTS</w:t>
            </w:r>
          </w:p>
        </w:tc>
        <w:tc>
          <w:tcPr>
            <w:tcW w:w="5260" w:type="dxa"/>
            <w:vAlign w:val="bottom"/>
            <w:gridSpan w:val="4"/>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60" w:type="dxa"/>
            <w:vAlign w:val="bottom"/>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DESCRIPTION OF OUR DEBT SECURITIES</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60" w:type="dxa"/>
            <w:vAlign w:val="bottom"/>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CUSTODIAN, TRANSFER AND DIVIDEND PAYING AGENT AND REGISTRAR</w:t>
            </w: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47"/>
        </w:trPr>
        <w:tc>
          <w:tcPr>
            <w:tcW w:w="4820" w:type="dxa"/>
            <w:vAlign w:val="bottom"/>
            <w:tcBorders>
              <w:top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rPr>
              <w:t>BROKERAGE ALLOCATION AND OTHER PRACTICES</w:t>
            </w:r>
          </w:p>
        </w:tc>
        <w:tc>
          <w:tcPr>
            <w:tcW w:w="3440" w:type="dxa"/>
            <w:vAlign w:val="bottom"/>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47"/>
        </w:trPr>
        <w:tc>
          <w:tcPr>
            <w:tcW w:w="3380" w:type="dxa"/>
            <w:vAlign w:val="bottom"/>
            <w:tcBorders>
              <w:top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rPr>
              <w:t>PLAN OF DISTRIBUTION</w:t>
            </w:r>
          </w:p>
        </w:tc>
        <w:tc>
          <w:tcPr>
            <w:tcW w:w="4880" w:type="dxa"/>
            <w:vAlign w:val="bottom"/>
            <w:gridSpan w:val="2"/>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7"/>
        </w:trPr>
        <w:tc>
          <w:tcPr>
            <w:tcW w:w="1580" w:type="dxa"/>
            <w:vAlign w:val="bottom"/>
            <w:tcBorders>
              <w:top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6680" w:type="dxa"/>
            <w:vAlign w:val="bottom"/>
            <w:gridSpan w:val="8"/>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47"/>
        </w:trPr>
        <w:tc>
          <w:tcPr>
            <w:tcW w:w="60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tcPr>
          <w:p>
            <w:pPr>
              <w:spacing w:after="0"/>
              <w:rPr>
                <w:sz w:val="12"/>
                <w:szCs w:val="12"/>
                <w:color w:val="auto"/>
              </w:rPr>
            </w:pPr>
          </w:p>
        </w:tc>
        <w:tc>
          <w:tcPr>
            <w:tcW w:w="7140" w:type="dxa"/>
            <w:vAlign w:val="bottom"/>
            <w:gridSpan w:val="9"/>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7"/>
        </w:trPr>
        <w:tc>
          <w:tcPr>
            <w:tcW w:w="1760" w:type="dxa"/>
            <w:vAlign w:val="bottom"/>
            <w:tcBorders>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5"/>
              </w:rPr>
              <w:t>AVAILABLE INFORMATION</w:t>
            </w:r>
          </w:p>
        </w:tc>
        <w:tc>
          <w:tcPr>
            <w:tcW w:w="6500" w:type="dxa"/>
            <w:vAlign w:val="bottom"/>
            <w:gridSpan w:val="7"/>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47"/>
        </w:trPr>
        <w:tc>
          <w:tcPr>
            <w:tcW w:w="3120" w:type="dxa"/>
            <w:vAlign w:val="bottom"/>
            <w:tcBorders>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w w:val="98"/>
              </w:rPr>
              <w:t>INFORMATION INCORPORATED BY REFERENCE</w:t>
            </w:r>
          </w:p>
        </w:tc>
        <w:tc>
          <w:tcPr>
            <w:tcW w:w="5140" w:type="dxa"/>
            <w:vAlign w:val="bottom"/>
            <w:gridSpan w:val="3"/>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40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6" w:lineRule="exact"/>
        <w:rPr>
          <w:sz w:val="20"/>
          <w:szCs w:val="20"/>
          <w:color w:val="auto"/>
        </w:rPr>
      </w:pPr>
    </w:p>
    <w:p>
      <w:pPr>
        <w:ind w:left="1380" w:right="299" w:firstLine="341"/>
        <w:spacing w:after="0" w:line="254"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47" w:lineRule="exact"/>
        <w:rPr>
          <w:sz w:val="20"/>
          <w:szCs w:val="20"/>
          <w:color w:val="auto"/>
        </w:rPr>
      </w:pPr>
    </w:p>
    <w:p>
      <w:pPr>
        <w:jc w:val="both"/>
        <w:ind w:left="1380" w:right="639" w:firstLine="341"/>
        <w:spacing w:after="0" w:line="265" w:lineRule="auto"/>
        <w:rPr>
          <w:sz w:val="20"/>
          <w:szCs w:val="20"/>
          <w:color w:val="auto"/>
        </w:rPr>
      </w:pPr>
      <w:r>
        <w:rPr>
          <w:rFonts w:ascii="Times New Roman" w:cs="Times New Roman" w:eastAsia="Times New Roman" w:hAnsi="Times New Roman"/>
          <w:sz w:val="14"/>
          <w:szCs w:val="14"/>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63" w:lineRule="exact"/>
        <w:rPr>
          <w:sz w:val="20"/>
          <w:szCs w:val="20"/>
          <w:color w:val="auto"/>
        </w:rPr>
      </w:pPr>
    </w:p>
    <w:p>
      <w:pPr>
        <w:ind w:left="2120" w:right="279" w:hanging="327"/>
        <w:spacing w:after="0" w:line="281"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could impair our portfolio companies’ abilities to continue to operate, which could lead to the loss of some or all of our investments in those portfolio companies;</w:t>
      </w:r>
    </w:p>
    <w:p>
      <w:pPr>
        <w:spacing w:after="0" w:line="52" w:lineRule="exact"/>
        <w:rPr>
          <w:rFonts w:ascii="Times New Roman" w:cs="Times New Roman" w:eastAsia="Times New Roman" w:hAnsi="Times New Roman"/>
          <w:sz w:val="14"/>
          <w:szCs w:val="14"/>
          <w:color w:val="auto"/>
        </w:rPr>
      </w:pPr>
    </w:p>
    <w:p>
      <w:pPr>
        <w:jc w:val="both"/>
        <w:ind w:left="2120" w:right="359" w:hanging="327"/>
        <w:spacing w:after="0" w:line="265"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63"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an economic downturn could also impact availability and pricing of our financing;</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access the capital markets could impair our ability to raise capital and our investment activities;</w:t>
      </w:r>
    </w:p>
    <w:p>
      <w:pPr>
        <w:spacing w:after="0" w:line="100" w:lineRule="exact"/>
        <w:rPr>
          <w:rFonts w:ascii="Times New Roman" w:cs="Times New Roman" w:eastAsia="Times New Roman" w:hAnsi="Times New Roman"/>
          <w:sz w:val="14"/>
          <w:szCs w:val="14"/>
          <w:color w:val="auto"/>
        </w:rPr>
      </w:pPr>
    </w:p>
    <w:p>
      <w:pPr>
        <w:ind w:left="2120" w:right="519" w:hanging="327"/>
        <w:spacing w:after="0" w:line="281"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could negatively impact our business, including our ability to access the debt markets on favorable terms, or could negatively impact our portfolio companies;</w:t>
      </w:r>
    </w:p>
    <w:p>
      <w:pPr>
        <w:spacing w:after="0" w:line="52" w:lineRule="exact"/>
        <w:rPr>
          <w:rFonts w:ascii="Times New Roman" w:cs="Times New Roman" w:eastAsia="Times New Roman" w:hAnsi="Times New Roman"/>
          <w:sz w:val="14"/>
          <w:szCs w:val="14"/>
          <w:color w:val="auto"/>
        </w:rPr>
      </w:pPr>
    </w:p>
    <w:p>
      <w:pPr>
        <w:ind w:left="2120" w:right="739" w:hanging="327"/>
        <w:spacing w:after="0" w:line="281"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including the effects of trade policies, government regulation and geopolitical conflicts; and</w:t>
      </w:r>
    </w:p>
    <w:p>
      <w:pPr>
        <w:spacing w:after="0" w:line="52" w:lineRule="exact"/>
        <w:rPr>
          <w:rFonts w:ascii="Times New Roman" w:cs="Times New Roman" w:eastAsia="Times New Roman" w:hAnsi="Times New Roman"/>
          <w:sz w:val="14"/>
          <w:szCs w:val="14"/>
          <w:color w:val="auto"/>
        </w:rPr>
      </w:pPr>
    </w:p>
    <w:p>
      <w:pPr>
        <w:ind w:left="2120" w:right="279" w:hanging="327"/>
        <w:spacing w:after="0" w:line="257"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risks, uncertainties and other factors we identify in the section entitled “Risk Factors” in this prospectus supplement, the accompanying prospectus and in Part I, Item 1A of our </w:t>
      </w:r>
      <w:hyperlink r:id="rId17">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(the “2025 Annual Report”), Part II, Item 1A of our Quarterly Report on Form 10-Q for the quarter ended March 31, 2026 (the “1Q 2026 Quarterly Report”), any subsequent Quarterly Reports on Form 10-Q or Current Reports on Form 8-K we file after the date of this prospectus supplement, and those discussed in other documents we file with the SEC.</w:t>
      </w:r>
    </w:p>
    <w:p>
      <w:pPr>
        <w:spacing w:after="0" w:line="143" w:lineRule="exact"/>
        <w:rPr>
          <w:sz w:val="20"/>
          <w:szCs w:val="20"/>
          <w:color w:val="auto"/>
        </w:rPr>
      </w:pPr>
    </w:p>
    <w:p>
      <w:pPr>
        <w:ind w:left="1380" w:right="279" w:firstLine="341"/>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w:t>
      </w:r>
      <w:hyperlink r:id="rId17">
        <w:r>
          <w:rPr>
            <w:rFonts w:ascii="Times New Roman" w:cs="Times New Roman" w:eastAsia="Times New Roman" w:hAnsi="Times New Roman"/>
            <w:sz w:val="14"/>
            <w:szCs w:val="14"/>
            <w:u w:val="single" w:color="auto"/>
            <w:color w:val="0000EE"/>
          </w:rPr>
          <w:t>2025 Annual Report</w:t>
        </w:r>
      </w:hyperlink>
      <w:r>
        <w:rPr>
          <w:rFonts w:ascii="Times New Roman" w:cs="Times New Roman" w:eastAsia="Times New Roman" w:hAnsi="Times New Roman"/>
          <w:sz w:val="14"/>
          <w:szCs w:val="14"/>
          <w:color w:val="auto"/>
        </w:rPr>
        <w:t>, in Part II, Item 1A of our 1Q 2026 Quarterly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40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4571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427980" cy="4571365"/>
                    </a:xfrm>
                    <a:prstGeom prst="rect">
                      <a:avLst/>
                    </a:prstGeom>
                    <a:noFill/>
                  </pic:spPr>
                </pic:pic>
              </a:graphicData>
            </a:graphic>
          </wp:anchor>
        </w:drawing>
      </w:r>
    </w:p>
    <w:p>
      <w:pPr>
        <w:spacing w:after="0" w:line="36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4" w:lineRule="exact"/>
        <w:rPr>
          <w:sz w:val="20"/>
          <w:szCs w:val="20"/>
          <w:color w:val="auto"/>
        </w:rPr>
      </w:pPr>
    </w:p>
    <w:p>
      <w:pPr>
        <w:ind w:left="1520" w:right="499" w:firstLine="330"/>
        <w:spacing w:after="0" w:line="279" w:lineRule="auto"/>
        <w:rPr>
          <w:sz w:val="20"/>
          <w:szCs w:val="20"/>
          <w:color w:val="auto"/>
        </w:rPr>
      </w:pPr>
      <w:r>
        <w:rPr>
          <w:rFonts w:ascii="Times New Roman" w:cs="Times New Roman" w:eastAsia="Times New Roman" w:hAnsi="Times New Roman"/>
          <w:sz w:val="13"/>
          <w:szCs w:val="13"/>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12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As used in the prospectus supplement and the accompanying prospectus, except where the context suggests otherwise, references to:</w:t>
      </w:r>
    </w:p>
    <w:p>
      <w:pPr>
        <w:spacing w:after="0" w:line="101" w:lineRule="exact"/>
        <w:rPr>
          <w:sz w:val="20"/>
          <w:szCs w:val="20"/>
          <w:color w:val="auto"/>
        </w:rPr>
      </w:pPr>
    </w:p>
    <w:p>
      <w:pPr>
        <w:ind w:left="2240" w:right="559" w:hanging="316"/>
        <w:spacing w:after="0" w:line="284" w:lineRule="auto"/>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“TSLX,” “Sixth Street Specialty Lending,” “we,” “us,” “our,” the “Company,” and the “Registrant” refer to Sixth Street Specialty Lending, Inc., a Delaware corporation, and its consolidated subsidiaries;</w:t>
      </w:r>
    </w:p>
    <w:p>
      <w:pPr>
        <w:spacing w:after="0" w:line="48" w:lineRule="exact"/>
        <w:rPr>
          <w:rFonts w:ascii="Times New Roman" w:cs="Times New Roman" w:eastAsia="Times New Roman" w:hAnsi="Times New Roman"/>
          <w:sz w:val="14"/>
          <w:szCs w:val="14"/>
          <w:color w:val="auto"/>
        </w:rPr>
      </w:pPr>
    </w:p>
    <w:p>
      <w:pPr>
        <w:ind w:left="2240" w:right="399" w:hanging="316"/>
        <w:spacing w:after="0" w:line="266" w:lineRule="auto"/>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p>
      <w:pPr>
        <w:spacing w:after="0" w:line="61" w:lineRule="exact"/>
        <w:rPr>
          <w:rFonts w:ascii="Times New Roman" w:cs="Times New Roman" w:eastAsia="Times New Roman" w:hAnsi="Times New Roman"/>
          <w:sz w:val="14"/>
          <w:szCs w:val="14"/>
          <w:color w:val="auto"/>
        </w:rPr>
      </w:pPr>
    </w:p>
    <w:p>
      <w:pPr>
        <w:ind w:left="2240" w:hanging="316"/>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“Adviser” refers to Sixth Street Specialty Lending Advisers, LLC, a Delaware limited liability company; and</w:t>
      </w:r>
    </w:p>
    <w:p>
      <w:pPr>
        <w:spacing w:after="0" w:line="100" w:lineRule="exact"/>
        <w:rPr>
          <w:rFonts w:ascii="Times New Roman" w:cs="Times New Roman" w:eastAsia="Times New Roman" w:hAnsi="Times New Roman"/>
          <w:sz w:val="14"/>
          <w:szCs w:val="14"/>
          <w:color w:val="auto"/>
        </w:rPr>
      </w:pPr>
    </w:p>
    <w:p>
      <w:pPr>
        <w:ind w:left="2240" w:hanging="316"/>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“Sixth Street” refers to Sixth Street Partners, LLC together with its affiliates.</w:t>
      </w:r>
    </w:p>
    <w:p>
      <w:pPr>
        <w:spacing w:after="0" w:line="174" w:lineRule="exact"/>
        <w:rPr>
          <w:sz w:val="20"/>
          <w:szCs w:val="20"/>
          <w:color w:val="auto"/>
        </w:rPr>
      </w:pPr>
    </w:p>
    <w:p>
      <w:pPr>
        <w:ind w:left="1520" w:right="439" w:firstLine="330"/>
        <w:spacing w:after="0" w:line="266" w:lineRule="auto"/>
        <w:rPr>
          <w:sz w:val="20"/>
          <w:szCs w:val="20"/>
          <w:color w:val="auto"/>
        </w:rPr>
      </w:pPr>
      <w:r>
        <w:rPr>
          <w:rFonts w:ascii="Times New Roman" w:cs="Times New Roman" w:eastAsia="Times New Roman" w:hAnsi="Times New Roman"/>
          <w:sz w:val="14"/>
          <w:szCs w:val="14"/>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Sixth Street Specialty Lending</w:t>
      </w:r>
    </w:p>
    <w:p>
      <w:pPr>
        <w:spacing w:after="0" w:line="92" w:lineRule="exact"/>
        <w:rPr>
          <w:sz w:val="20"/>
          <w:szCs w:val="20"/>
          <w:color w:val="auto"/>
        </w:rPr>
      </w:pPr>
    </w:p>
    <w:p>
      <w:pPr>
        <w:ind w:left="1520" w:right="479" w:firstLine="330"/>
        <w:spacing w:after="0" w:line="281" w:lineRule="auto"/>
        <w:rPr>
          <w:sz w:val="20"/>
          <w:szCs w:val="20"/>
          <w:color w:val="auto"/>
        </w:rPr>
      </w:pPr>
      <w:r>
        <w:rPr>
          <w:rFonts w:ascii="Times New Roman" w:cs="Times New Roman" w:eastAsia="Times New Roman" w:hAnsi="Times New Roman"/>
          <w:sz w:val="13"/>
          <w:szCs w:val="13"/>
          <w:color w:val="auto"/>
        </w:rPr>
        <w:t>We are a specialty finance company focused on lending to middle-market companies. Since we began our investment activities in July 2011, through March 31, 2026, we have originated approximately $55.2 billion aggregate principal amount of investments and retained approximately $11.9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equity securities and other instruments.</w:t>
      </w:r>
    </w:p>
    <w:p>
      <w:pPr>
        <w:spacing w:after="0" w:line="129" w:lineRule="exact"/>
        <w:rPr>
          <w:sz w:val="20"/>
          <w:szCs w:val="20"/>
          <w:color w:val="auto"/>
        </w:rPr>
      </w:pPr>
    </w:p>
    <w:p>
      <w:pPr>
        <w:ind w:left="1520" w:right="479" w:firstLine="330"/>
        <w:spacing w:after="0" w:line="255" w:lineRule="auto"/>
        <w:rPr>
          <w:sz w:val="20"/>
          <w:szCs w:val="20"/>
          <w:color w:val="auto"/>
        </w:rPr>
      </w:pPr>
      <w:r>
        <w:rPr>
          <w:rFonts w:ascii="Times New Roman" w:cs="Times New Roman" w:eastAsia="Times New Roman" w:hAnsi="Times New Roman"/>
          <w:sz w:val="14"/>
          <w:szCs w:val="14"/>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2026, our core portfolio companies, which exclude certain investments that fall outside of our typical borrower profile and represent 87.8% of our total investments based on fair value, had weighted average annual revenue of $425.1 million and weighted average annual EBITDA of $126.8 million. As of March 31, 2026, our core portfolio companies had a median annual revenue of $174.4 million and a median annual EBITDA of $53.5 million.</w:t>
      </w:r>
    </w:p>
    <w:p>
      <w:pPr>
        <w:spacing w:after="0" w:line="146" w:lineRule="exact"/>
        <w:rPr>
          <w:sz w:val="20"/>
          <w:szCs w:val="20"/>
          <w:color w:val="auto"/>
        </w:rPr>
      </w:pPr>
    </w:p>
    <w:p>
      <w:pPr>
        <w:ind w:left="1520" w:right="699" w:firstLine="330"/>
        <w:spacing w:after="0" w:line="281" w:lineRule="auto"/>
        <w:rPr>
          <w:sz w:val="20"/>
          <w:szCs w:val="20"/>
          <w:color w:val="auto"/>
        </w:rPr>
      </w:pPr>
      <w:r>
        <w:rPr>
          <w:rFonts w:ascii="Times New Roman" w:cs="Times New Roman" w:eastAsia="Times New Roman" w:hAnsi="Times New Roman"/>
          <w:sz w:val="14"/>
          <w:szCs w:val="14"/>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40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4650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427980" cy="4650740"/>
                    </a:xfrm>
                    <a:prstGeom prst="rect">
                      <a:avLst/>
                    </a:prstGeom>
                    <a:noFill/>
                  </pic:spPr>
                </pic:pic>
              </a:graphicData>
            </a:graphic>
          </wp:anchor>
        </w:drawing>
      </w:r>
    </w:p>
    <w:p>
      <w:pPr>
        <w:spacing w:after="0" w:line="365" w:lineRule="exact"/>
        <w:rPr>
          <w:sz w:val="20"/>
          <w:szCs w:val="20"/>
          <w:color w:val="auto"/>
        </w:rPr>
      </w:pPr>
    </w:p>
    <w:p>
      <w:pPr>
        <w:ind w:left="1520" w:right="479" w:firstLine="330"/>
        <w:spacing w:after="0" w:line="321" w:lineRule="auto"/>
        <w:rPr>
          <w:sz w:val="20"/>
          <w:szCs w:val="20"/>
          <w:color w:val="auto"/>
        </w:rPr>
      </w:pPr>
      <w:r>
        <w:rPr>
          <w:rFonts w:ascii="Times New Roman" w:cs="Times New Roman" w:eastAsia="Times New Roman" w:hAnsi="Times New Roman"/>
          <w:sz w:val="13"/>
          <w:szCs w:val="13"/>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18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Investment Portfolio</w:t>
      </w:r>
    </w:p>
    <w:p>
      <w:pPr>
        <w:spacing w:after="0" w:line="92" w:lineRule="exact"/>
        <w:rPr>
          <w:sz w:val="20"/>
          <w:szCs w:val="20"/>
          <w:color w:val="auto"/>
        </w:rPr>
      </w:pPr>
    </w:p>
    <w:p>
      <w:pPr>
        <w:ind w:left="1520" w:right="459" w:firstLine="330"/>
        <w:spacing w:after="0" w:line="281" w:lineRule="auto"/>
        <w:rPr>
          <w:sz w:val="20"/>
          <w:szCs w:val="20"/>
          <w:color w:val="auto"/>
        </w:rPr>
      </w:pPr>
      <w:r>
        <w:rPr>
          <w:rFonts w:ascii="Times New Roman" w:cs="Times New Roman" w:eastAsia="Times New Roman" w:hAnsi="Times New Roman"/>
          <w:sz w:val="14"/>
          <w:szCs w:val="14"/>
          <w:color w:val="auto"/>
        </w:rPr>
        <w:t>The companies in which we invest use our capital to support organic growth, acquisitions, market or product expansion and recapitalizations (including restructurings).</w:t>
      </w:r>
    </w:p>
    <w:p>
      <w:pPr>
        <w:spacing w:after="0" w:line="125" w:lineRule="exact"/>
        <w:rPr>
          <w:sz w:val="20"/>
          <w:szCs w:val="20"/>
          <w:color w:val="auto"/>
        </w:rPr>
      </w:pPr>
    </w:p>
    <w:p>
      <w:pPr>
        <w:ind w:left="1520" w:right="379" w:firstLine="330"/>
        <w:spacing w:after="0" w:line="257" w:lineRule="auto"/>
        <w:rPr>
          <w:sz w:val="20"/>
          <w:szCs w:val="20"/>
          <w:color w:val="auto"/>
        </w:rPr>
      </w:pPr>
      <w:r>
        <w:rPr>
          <w:rFonts w:ascii="Times New Roman" w:cs="Times New Roman" w:eastAsia="Times New Roman" w:hAnsi="Times New Roman"/>
          <w:sz w:val="14"/>
          <w:szCs w:val="14"/>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43" w:lineRule="exact"/>
        <w:rPr>
          <w:sz w:val="20"/>
          <w:szCs w:val="20"/>
          <w:color w:val="auto"/>
        </w:rPr>
      </w:pPr>
    </w:p>
    <w:p>
      <w:pPr>
        <w:ind w:left="1520" w:right="579" w:firstLine="330"/>
        <w:spacing w:after="0" w:line="260" w:lineRule="auto"/>
        <w:rPr>
          <w:sz w:val="20"/>
          <w:szCs w:val="20"/>
          <w:color w:val="auto"/>
        </w:rPr>
      </w:pPr>
      <w:r>
        <w:rPr>
          <w:rFonts w:ascii="Times New Roman" w:cs="Times New Roman" w:eastAsia="Times New Roman" w:hAnsi="Times New Roman"/>
          <w:sz w:val="14"/>
          <w:szCs w:val="14"/>
          <w:color w:val="auto"/>
        </w:rPr>
        <w:t>As of March 31, 2026, our portfolio based on fair value consisted of 89.3% first-lien debt investments, 1.0% second-lien debt investments, 1.9% mezzanine debt investments, 4.6% equity investments, 2.8% structured credit investments and 0.4% joint venture investments. As of March 31, 2026, 96.3% of our debt investments based on fair value bore interest at floating rates, with 100.0% of these subject to interest rate floors, which we believe helps act as a portfolio-wide hedge against inflation.</w:t>
      </w:r>
    </w:p>
    <w:p>
      <w:pPr>
        <w:spacing w:after="0" w:line="140" w:lineRule="exact"/>
        <w:rPr>
          <w:sz w:val="20"/>
          <w:szCs w:val="20"/>
          <w:color w:val="auto"/>
        </w:rPr>
      </w:pPr>
    </w:p>
    <w:p>
      <w:pPr>
        <w:ind w:left="1520" w:right="439" w:firstLine="330"/>
        <w:spacing w:after="0" w:line="260" w:lineRule="auto"/>
        <w:rPr>
          <w:sz w:val="20"/>
          <w:szCs w:val="20"/>
          <w:color w:val="auto"/>
        </w:rPr>
      </w:pPr>
      <w:r>
        <w:rPr>
          <w:rFonts w:ascii="Times New Roman" w:cs="Times New Roman" w:eastAsia="Times New Roman" w:hAnsi="Times New Roman"/>
          <w:sz w:val="14"/>
          <w:szCs w:val="14"/>
          <w:color w:val="auto"/>
        </w:rPr>
        <w:t>As of March 31, 2026, we had investments in 143 portfolio companies (including 36 structured credit investments, which include each series of collateralized loan obligation as a separate portfolio company investment) with an aggregate fair value of $3,313.4 million. For the three months ended March 31, 2026, the principal amount of new investments funded was $134.8 million in three new portfolio companies and four existing portfolio companies. For this period, we had $113.0 million aggregate principal amount in exits and repayments.</w:t>
      </w:r>
    </w:p>
    <w:p>
      <w:pPr>
        <w:spacing w:after="0" w:line="140" w:lineRule="exact"/>
        <w:rPr>
          <w:sz w:val="20"/>
          <w:szCs w:val="20"/>
          <w:color w:val="auto"/>
        </w:rPr>
      </w:pPr>
    </w:p>
    <w:p>
      <w:pPr>
        <w:ind w:left="1520" w:right="519" w:firstLine="330"/>
        <w:spacing w:after="0" w:line="255" w:lineRule="auto"/>
        <w:rPr>
          <w:sz w:val="20"/>
          <w:szCs w:val="20"/>
          <w:color w:val="auto"/>
        </w:rPr>
      </w:pPr>
      <w:r>
        <w:rPr>
          <w:rFonts w:ascii="Times New Roman" w:cs="Times New Roman" w:eastAsia="Times New Roman" w:hAnsi="Times New Roman"/>
          <w:sz w:val="14"/>
          <w:szCs w:val="14"/>
          <w:color w:val="auto"/>
        </w:rPr>
        <w:t>As of March 31, 2026, the largest single investment based on fair value represented 2.4% of our total investment portfolio. As of March 31, 2026, the average investment size in each of our portfolio companies was approximately $23.2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$30.1 million based on fair value as of March 31, 2026. As of March 31, 2026, the largest industry represented 18.3% of our total investment portfolio based on fair value.</w:t>
      </w:r>
    </w:p>
    <w:p>
      <w:pPr>
        <w:spacing w:after="0" w:line="146" w:lineRule="exact"/>
        <w:rPr>
          <w:sz w:val="20"/>
          <w:szCs w:val="20"/>
          <w:color w:val="auto"/>
        </w:rPr>
      </w:pPr>
    </w:p>
    <w:p>
      <w:pPr>
        <w:ind w:left="1520" w:right="459" w:firstLine="330"/>
        <w:spacing w:after="0" w:line="255" w:lineRule="auto"/>
        <w:rPr>
          <w:sz w:val="20"/>
          <w:szCs w:val="20"/>
          <w:color w:val="auto"/>
        </w:rPr>
      </w:pPr>
      <w:r>
        <w:rPr>
          <w:rFonts w:ascii="Times New Roman" w:cs="Times New Roman" w:eastAsia="Times New Roman" w:hAnsi="Times New Roman"/>
          <w:sz w:val="14"/>
          <w:szCs w:val="14"/>
          <w:color w:val="auto"/>
        </w:rPr>
        <w:t>Since we began investing in 2011 through March 31, 2026, weighted by capital invested, our exited investments have generated an average realized gross internal rate of return to us of 16.8% (based on total capital invested of $9.3 billion and total proceeds from these exited investments of $11.9 billion). Ninety-one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1Q 2026 Quarterly Report, which is incorporated herein by reference.</w:t>
      </w:r>
    </w:p>
    <w:p>
      <w:pPr>
        <w:spacing w:after="0" w:line="2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Corporate Structure</w:t>
      </w:r>
    </w:p>
    <w:p>
      <w:pPr>
        <w:spacing w:after="0" w:line="92" w:lineRule="exact"/>
        <w:rPr>
          <w:sz w:val="20"/>
          <w:szCs w:val="20"/>
          <w:color w:val="auto"/>
        </w:rPr>
      </w:pPr>
    </w:p>
    <w:p>
      <w:pPr>
        <w:ind w:left="1520" w:right="459" w:firstLine="330"/>
        <w:spacing w:after="0" w:line="281" w:lineRule="auto"/>
        <w:rPr>
          <w:sz w:val="20"/>
          <w:szCs w:val="20"/>
          <w:color w:val="auto"/>
        </w:rPr>
      </w:pPr>
      <w:r>
        <w:rPr>
          <w:rFonts w:ascii="Times New Roman" w:cs="Times New Roman" w:eastAsia="Times New Roman" w:hAnsi="Times New Roman"/>
          <w:sz w:val="14"/>
          <w:szCs w:val="14"/>
          <w:color w:val="auto"/>
        </w:rPr>
        <w:t>Sixth Street Specialty Lending, Inc. is a Delaware corporation formed on July 21, 2010. Sixth Street Specialty Lending Advisers, LLC is our external manager.</w:t>
      </w: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40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4438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427980" cy="4438015"/>
                    </a:xfrm>
                    <a:prstGeom prst="rect">
                      <a:avLst/>
                    </a:prstGeom>
                    <a:noFill/>
                  </pic:spPr>
                </pic:pic>
              </a:graphicData>
            </a:graphic>
          </wp:anchor>
        </w:drawing>
      </w:r>
    </w:p>
    <w:p>
      <w:pPr>
        <w:spacing w:after="0" w:line="365" w:lineRule="exact"/>
        <w:rPr>
          <w:sz w:val="20"/>
          <w:szCs w:val="20"/>
          <w:color w:val="auto"/>
        </w:rPr>
      </w:pPr>
    </w:p>
    <w:p>
      <w:pPr>
        <w:ind w:left="1520" w:right="419" w:firstLine="330"/>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w:t>
      </w:r>
      <w:hyperlink r:id="rId17">
        <w:r>
          <w:rPr>
            <w:rFonts w:ascii="Times New Roman" w:cs="Times New Roman" w:eastAsia="Times New Roman" w:hAnsi="Times New Roman"/>
            <w:sz w:val="14"/>
            <w:szCs w:val="14"/>
            <w:u w:val="single" w:color="auto"/>
            <w:color w:val="0000EE"/>
          </w:rPr>
          <w:t>2025 Annual Report</w:t>
        </w:r>
      </w:hyperlink>
      <w:r>
        <w:rPr>
          <w:rFonts w:ascii="Times New Roman" w:cs="Times New Roman" w:eastAsia="Times New Roman" w:hAnsi="Times New Roman"/>
          <w:sz w:val="14"/>
          <w:szCs w:val="14"/>
          <w:color w:val="auto"/>
        </w:rPr>
        <w:t>, which is incorporated herein by reference, for more information on these requirements.</w:t>
      </w:r>
    </w:p>
    <w:p>
      <w:pPr>
        <w:spacing w:after="0" w:line="2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About Our Adviser</w:t>
      </w:r>
    </w:p>
    <w:p>
      <w:pPr>
        <w:spacing w:after="0" w:line="92" w:lineRule="exact"/>
        <w:rPr>
          <w:sz w:val="20"/>
          <w:szCs w:val="20"/>
          <w:color w:val="auto"/>
        </w:rPr>
      </w:pPr>
    </w:p>
    <w:p>
      <w:pPr>
        <w:ind w:left="1520" w:right="859" w:firstLine="330"/>
        <w:spacing w:after="0" w:line="281" w:lineRule="auto"/>
        <w:rPr>
          <w:sz w:val="20"/>
          <w:szCs w:val="20"/>
          <w:color w:val="auto"/>
        </w:rPr>
      </w:pPr>
      <w:r>
        <w:rPr>
          <w:rFonts w:ascii="Times New Roman" w:cs="Times New Roman" w:eastAsia="Times New Roman" w:hAnsi="Times New Roman"/>
          <w:sz w:val="14"/>
          <w:szCs w:val="14"/>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25" w:lineRule="exact"/>
        <w:rPr>
          <w:sz w:val="20"/>
          <w:szCs w:val="20"/>
          <w:color w:val="auto"/>
        </w:rPr>
      </w:pPr>
    </w:p>
    <w:p>
      <w:pPr>
        <w:ind w:left="1520" w:right="419" w:firstLine="330"/>
        <w:spacing w:after="0" w:line="279" w:lineRule="auto"/>
        <w:rPr>
          <w:sz w:val="20"/>
          <w:szCs w:val="20"/>
          <w:color w:val="auto"/>
        </w:rPr>
      </w:pPr>
      <w:r>
        <w:rPr>
          <w:rFonts w:ascii="Times New Roman" w:cs="Times New Roman" w:eastAsia="Times New Roman" w:hAnsi="Times New Roman"/>
          <w:sz w:val="13"/>
          <w:szCs w:val="13"/>
          <w:color w:val="auto"/>
        </w:rPr>
        <w:t>Our Adviser sources and manages our portfolio through a dedicated team of investment professionals predominately focused on direct lending, which we refer to as our Investment Team. Our Investment Team is led by our Adviser’s Co-Founding Partner, Co-President and Co-Chief Investment Officer Joshua Easterly, our Co-Head of Sixth Street Direct Lending and Co-Head of Growth Robert “Bo” Stanley, Co-Head of Direct Lending Michael Griffin, and our Adviser’s Co-Founding Partner, Chief Executive Officer, and Co-Chief Investment Officer Alan Waxman, all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29" w:lineRule="exact"/>
        <w:rPr>
          <w:sz w:val="20"/>
          <w:szCs w:val="20"/>
          <w:color w:val="auto"/>
        </w:rPr>
      </w:pPr>
    </w:p>
    <w:p>
      <w:pPr>
        <w:ind w:left="1520" w:right="399" w:firstLine="330"/>
        <w:spacing w:after="0" w:line="252" w:lineRule="auto"/>
        <w:rPr>
          <w:sz w:val="20"/>
          <w:szCs w:val="20"/>
          <w:color w:val="auto"/>
        </w:rPr>
      </w:pPr>
      <w:r>
        <w:rPr>
          <w:rFonts w:ascii="Times New Roman" w:cs="Times New Roman" w:eastAsia="Times New Roman" w:hAnsi="Times New Roman"/>
          <w:sz w:val="14"/>
          <w:szCs w:val="14"/>
          <w:color w:val="auto"/>
        </w:rPr>
        <w:t>Sixth Street is a global investment business with over $130 billion of assets under management as of March 31, 2026. Sixth Street’s direct lending platforms include Sixth Street Specialty Lending and Sixth Street Lending Partners, which are aimed at U.S. middle-market loan originations and upper middle-market loan originations, respectively,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750 investment and operating professionals. As of March 31, 2026, seventy-three (73) of these personnel are dedicated to direct lending, including fifty-nine (59) investment professionals.</w:t>
      </w:r>
    </w:p>
    <w:p>
      <w:pPr>
        <w:spacing w:after="0" w:line="148" w:lineRule="exact"/>
        <w:rPr>
          <w:sz w:val="20"/>
          <w:szCs w:val="20"/>
          <w:color w:val="auto"/>
        </w:rPr>
      </w:pPr>
    </w:p>
    <w:p>
      <w:pPr>
        <w:ind w:left="1520" w:right="459" w:firstLine="330"/>
        <w:spacing w:after="0" w:line="257" w:lineRule="auto"/>
        <w:rPr>
          <w:sz w:val="20"/>
          <w:szCs w:val="20"/>
          <w:color w:val="auto"/>
        </w:rPr>
      </w:pPr>
      <w:r>
        <w:rPr>
          <w:rFonts w:ascii="Times New Roman" w:cs="Times New Roman" w:eastAsia="Times New Roman" w:hAnsi="Times New Roman"/>
          <w:sz w:val="14"/>
          <w:szCs w:val="14"/>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The Adviser will determine whether it would be permissible, advisable or otherwise appropriate for us to pursue a particular investment opportunity allocated to us.</w:t>
      </w:r>
    </w:p>
    <w:p>
      <w:pPr>
        <w:spacing w:after="0" w:line="2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2" w:lineRule="exact"/>
        <w:rPr>
          <w:sz w:val="20"/>
          <w:szCs w:val="20"/>
          <w:color w:val="auto"/>
        </w:rPr>
      </w:pPr>
    </w:p>
    <w:p>
      <w:pPr>
        <w:ind w:left="1520" w:right="979" w:firstLine="330"/>
        <w:spacing w:after="0" w:line="281" w:lineRule="auto"/>
        <w:rPr>
          <w:sz w:val="20"/>
          <w:szCs w:val="20"/>
          <w:color w:val="auto"/>
        </w:rPr>
      </w:pPr>
      <w:r>
        <w:rPr>
          <w:rFonts w:ascii="Times New Roman" w:cs="Times New Roman" w:eastAsia="Times New Roman" w:hAnsi="Times New Roman"/>
          <w:sz w:val="14"/>
          <w:szCs w:val="14"/>
          <w:color w:val="auto"/>
        </w:rPr>
        <w:t>In connection with this offering, we intend to enter into interest rate swaps to better align the interest rates of our liabilities with our investment portfolio, which consists of predominately floating rate loans.</w:t>
      </w: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40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664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427980" cy="664210"/>
                    </a:xfrm>
                    <a:prstGeom prst="rect">
                      <a:avLst/>
                    </a:prstGeom>
                    <a:noFill/>
                  </pic:spPr>
                </pic:pic>
              </a:graphicData>
            </a:graphic>
          </wp:anchor>
        </w:drawing>
      </w:r>
    </w:p>
    <w:p>
      <w:pPr>
        <w:spacing w:after="0" w:line="3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2" w:lineRule="exact"/>
        <w:rPr>
          <w:sz w:val="20"/>
          <w:szCs w:val="20"/>
          <w:color w:val="auto"/>
        </w:rPr>
      </w:pPr>
    </w:p>
    <w:p>
      <w:pPr>
        <w:ind w:left="1520" w:right="459" w:firstLine="330"/>
        <w:spacing w:after="0" w:line="265" w:lineRule="auto"/>
        <w:rPr>
          <w:sz w:val="20"/>
          <w:szCs w:val="20"/>
          <w:color w:val="auto"/>
        </w:rPr>
      </w:pPr>
      <w:r>
        <w:rPr>
          <w:rFonts w:ascii="Times New Roman" w:cs="Times New Roman" w:eastAsia="Times New Roman" w:hAnsi="Times New Roman"/>
          <w:sz w:val="14"/>
          <w:szCs w:val="14"/>
          <w:color w:val="auto"/>
        </w:rPr>
        <w:t>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w:t>
      </w:r>
    </w:p>
    <w:p>
      <w:pPr>
        <w:spacing w:after="0" w:line="2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40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4836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427980" cy="4836795"/>
                    </a:xfrm>
                    <a:prstGeom prst="rect">
                      <a:avLst/>
                    </a:prstGeom>
                    <a:noFill/>
                  </pic:spPr>
                </pic:pic>
              </a:graphicData>
            </a:graphic>
          </wp:anchor>
        </w:drawing>
      </w:r>
    </w:p>
    <w:p>
      <w:pPr>
        <w:spacing w:after="0" w:line="3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SPECIFIC TERMS OF THE NOTES AND THE OFFERING</w:t>
      </w:r>
    </w:p>
    <w:p>
      <w:pPr>
        <w:spacing w:after="0" w:line="174" w:lineRule="exact"/>
        <w:rPr>
          <w:sz w:val="20"/>
          <w:szCs w:val="20"/>
          <w:color w:val="auto"/>
        </w:rPr>
      </w:pPr>
    </w:p>
    <w:p>
      <w:pPr>
        <w:ind w:left="1520" w:right="419" w:firstLine="330"/>
        <w:spacing w:after="0" w:line="256" w:lineRule="auto"/>
        <w:rPr>
          <w:sz w:val="20"/>
          <w:szCs w:val="20"/>
          <w:color w:val="auto"/>
        </w:rPr>
      </w:pPr>
      <w:r>
        <w:rPr>
          <w:rFonts w:ascii="Times New Roman" w:cs="Times New Roman" w:eastAsia="Times New Roman" w:hAnsi="Times New Roman"/>
          <w:sz w:val="14"/>
          <w:szCs w:val="14"/>
          <w:i w:val="1"/>
          <w:iCs w:val="1"/>
          <w:color w:val="auto"/>
        </w:rPr>
        <w:t>This prospectus supplement sets forth certain terms of the Notes that we are offering pursuant to this prospectus supplement and supplements the accompanying prospectus that is attached to the back of this prospectus supplement. This section outlines certain legal and financial terms of the Notes. You should read this section together with the more detailed description of the Notes under the heading “Description of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p>
      <w:pPr>
        <w:sectPr>
          <w:pgSz w:w="11900" w:h="16838" w:orient="portrait"/>
          <w:cols w:equalWidth="0" w:num="1">
            <w:col w:w="10159"/>
          </w:cols>
          <w:pgMar w:left="300" w:top="405" w:right="1440" w:bottom="1440" w:gutter="0" w:footer="0" w:header="0"/>
        </w:sectPr>
      </w:pP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Issuer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Sixth Street Specialty Lending, Inc., a Delaware corporation</w:t>
      </w:r>
    </w:p>
    <w:p>
      <w:pPr>
        <w:spacing w:after="0" w:line="211" w:lineRule="exact"/>
        <w:rPr>
          <w:sz w:val="20"/>
          <w:szCs w:val="20"/>
          <w:color w:val="auto"/>
        </w:rPr>
      </w:pPr>
    </w:p>
    <w:p>
      <w:pPr>
        <w:sectPr>
          <w:pgSz w:w="11900" w:h="16838" w:orient="portrait"/>
          <w:cols w:equalWidth="0" w:num="2">
            <w:col w:w="3920" w:space="720"/>
            <w:col w:w="5519"/>
          </w:cols>
          <w:pgMar w:left="300" w:top="405" w:right="1440" w:bottom="1440" w:gutter="0" w:footer="0" w:header="0"/>
          <w:type w:val="continuous"/>
        </w:sectPr>
      </w:pPr>
    </w:p>
    <w:p>
      <w:pPr>
        <w:spacing w:after="0" w:line="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Title of the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5.650% Notes due 2031</w:t>
      </w:r>
    </w:p>
    <w:p>
      <w:pPr>
        <w:spacing w:after="0" w:line="200" w:lineRule="exact"/>
        <w:rPr>
          <w:sz w:val="20"/>
          <w:szCs w:val="20"/>
          <w:color w:val="auto"/>
        </w:rPr>
      </w:pPr>
    </w:p>
    <w:p>
      <w:pPr>
        <w:sectPr>
          <w:pgSz w:w="11900" w:h="16838" w:orient="portrait"/>
          <w:cols w:equalWidth="0" w:num="2">
            <w:col w:w="3920" w:space="720"/>
            <w:col w:w="5519"/>
          </w:cols>
          <w:pgMar w:left="300" w:top="405" w:right="1440" w:bottom="1440" w:gutter="0" w:footer="0" w:header="0"/>
          <w:type w:val="continuous"/>
        </w:sectPr>
      </w:pPr>
    </w:p>
    <w:p>
      <w:pPr>
        <w:spacing w:after="0" w:line="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Total Aggregate Principal Amount Being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$300,000,000</w:t>
      </w:r>
    </w:p>
    <w:p>
      <w:pPr>
        <w:spacing w:after="0" w:line="200" w:lineRule="exact"/>
        <w:rPr>
          <w:sz w:val="20"/>
          <w:szCs w:val="20"/>
          <w:color w:val="auto"/>
        </w:rPr>
      </w:pPr>
    </w:p>
    <w:p>
      <w:pPr>
        <w:sectPr>
          <w:pgSz w:w="11900" w:h="16838" w:orient="portrait"/>
          <w:cols w:equalWidth="0" w:num="2">
            <w:col w:w="4280" w:space="360"/>
            <w:col w:w="5519"/>
          </w:cols>
          <w:pgMar w:left="300" w:top="405" w:right="1440" w:bottom="1440" w:gutter="0" w:footer="0" w:header="0"/>
          <w:type w:val="continuous"/>
        </w:sectPr>
      </w:pPr>
    </w:p>
    <w:p>
      <w:pPr>
        <w:spacing w:after="0" w:line="5"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3"/>
          <w:szCs w:val="13"/>
          <w:color w:val="auto"/>
        </w:rPr>
        <w:t>Initial Public 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99.094% of the aggregate principal amount of Notes</w:t>
      </w:r>
    </w:p>
    <w:p>
      <w:pPr>
        <w:spacing w:after="0" w:line="200" w:lineRule="exact"/>
        <w:rPr>
          <w:sz w:val="20"/>
          <w:szCs w:val="20"/>
          <w:color w:val="auto"/>
        </w:rPr>
      </w:pPr>
    </w:p>
    <w:p>
      <w:pPr>
        <w:sectPr>
          <w:pgSz w:w="11900" w:h="16838" w:orient="portrait"/>
          <w:cols w:equalWidth="0" w:num="2">
            <w:col w:w="3920" w:space="720"/>
            <w:col w:w="5519"/>
          </w:cols>
          <w:pgMar w:left="300" w:top="405" w:right="1440" w:bottom="1440" w:gutter="0" w:footer="0" w:header="0"/>
          <w:type w:val="continuous"/>
        </w:sectPr>
      </w:pPr>
    </w:p>
    <w:p>
      <w:pPr>
        <w:spacing w:after="0" w:line="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5.650%</w:t>
      </w:r>
    </w:p>
    <w:p>
      <w:pPr>
        <w:spacing w:after="0" w:line="200" w:lineRule="exact"/>
        <w:rPr>
          <w:sz w:val="20"/>
          <w:szCs w:val="20"/>
          <w:color w:val="auto"/>
        </w:rPr>
      </w:pPr>
    </w:p>
    <w:p>
      <w:pPr>
        <w:sectPr>
          <w:pgSz w:w="11900" w:h="16838" w:orient="portrait"/>
          <w:cols w:equalWidth="0" w:num="2">
            <w:col w:w="3920" w:space="720"/>
            <w:col w:w="5519"/>
          </w:cols>
          <w:pgMar w:left="300" w:top="405" w:right="1440" w:bottom="1440" w:gutter="0" w:footer="0" w:header="0"/>
          <w:type w:val="continuous"/>
        </w:sectPr>
      </w:pPr>
    </w:p>
    <w:p>
      <w:pPr>
        <w:spacing w:after="0" w:line="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5.846%</w:t>
      </w:r>
    </w:p>
    <w:p>
      <w:pPr>
        <w:spacing w:after="0" w:line="200" w:lineRule="exact"/>
        <w:rPr>
          <w:sz w:val="20"/>
          <w:szCs w:val="20"/>
          <w:color w:val="auto"/>
        </w:rPr>
      </w:pPr>
    </w:p>
    <w:p>
      <w:pPr>
        <w:sectPr>
          <w:pgSz w:w="11900" w:h="16838" w:orient="portrait"/>
          <w:cols w:equalWidth="0" w:num="2">
            <w:col w:w="3920" w:space="720"/>
            <w:col w:w="5519"/>
          </w:cols>
          <w:pgMar w:left="300" w:top="405" w:right="1440" w:bottom="1440" w:gutter="0" w:footer="0" w:header="0"/>
          <w:type w:val="continuous"/>
        </w:sectPr>
      </w:pPr>
    </w:p>
    <w:p>
      <w:pPr>
        <w:spacing w:after="0" w:line="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May 7, 2026</w:t>
      </w:r>
    </w:p>
    <w:p>
      <w:pPr>
        <w:spacing w:after="0" w:line="200" w:lineRule="exact"/>
        <w:rPr>
          <w:sz w:val="20"/>
          <w:szCs w:val="20"/>
          <w:color w:val="auto"/>
        </w:rPr>
      </w:pPr>
    </w:p>
    <w:p>
      <w:pPr>
        <w:sectPr>
          <w:pgSz w:w="11900" w:h="16838" w:orient="portrait"/>
          <w:cols w:equalWidth="0" w:num="2">
            <w:col w:w="3920" w:space="720"/>
            <w:col w:w="5519"/>
          </w:cols>
          <w:pgMar w:left="300" w:top="405" w:right="1440" w:bottom="1440" w:gutter="0" w:footer="0" w:header="0"/>
          <w:type w:val="continuous"/>
        </w:sectPr>
      </w:pPr>
    </w:p>
    <w:p>
      <w:pPr>
        <w:spacing w:after="0" w:line="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May 14, 2026</w:t>
      </w:r>
    </w:p>
    <w:p>
      <w:pPr>
        <w:spacing w:after="0" w:line="200" w:lineRule="exact"/>
        <w:rPr>
          <w:sz w:val="20"/>
          <w:szCs w:val="20"/>
          <w:color w:val="auto"/>
        </w:rPr>
      </w:pPr>
    </w:p>
    <w:p>
      <w:pPr>
        <w:sectPr>
          <w:pgSz w:w="11900" w:h="16838" w:orient="portrait"/>
          <w:cols w:equalWidth="0" w:num="2">
            <w:col w:w="3920" w:space="720"/>
            <w:col w:w="5519"/>
          </w:cols>
          <w:pgMar w:left="300" w:top="405" w:right="1440" w:bottom="1440" w:gutter="0" w:footer="0" w:header="0"/>
          <w:type w:val="continuous"/>
        </w:sectPr>
      </w:pPr>
    </w:p>
    <w:p>
      <w:pPr>
        <w:spacing w:after="0" w:line="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August 15, 2031</w:t>
      </w:r>
    </w:p>
    <w:p>
      <w:pPr>
        <w:spacing w:after="0" w:line="200" w:lineRule="exact"/>
        <w:rPr>
          <w:sz w:val="20"/>
          <w:szCs w:val="20"/>
          <w:color w:val="auto"/>
        </w:rPr>
      </w:pPr>
    </w:p>
    <w:p>
      <w:pPr>
        <w:sectPr>
          <w:pgSz w:w="11900" w:h="16838" w:orient="portrait"/>
          <w:cols w:equalWidth="0" w:num="2">
            <w:col w:w="3920" w:space="720"/>
            <w:col w:w="5519"/>
          </w:cols>
          <w:pgMar w:left="300" w:top="405" w:right="1440" w:bottom="1440" w:gutter="0" w:footer="0" w:header="0"/>
          <w:type w:val="continuous"/>
        </w:sectPr>
      </w:pPr>
    </w:p>
    <w:p>
      <w:pPr>
        <w:spacing w:after="0" w:line="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February 15 and August 15, commencing February 15, 2027</w:t>
      </w:r>
    </w:p>
    <w:p>
      <w:pPr>
        <w:spacing w:after="0" w:line="211" w:lineRule="exact"/>
        <w:rPr>
          <w:sz w:val="20"/>
          <w:szCs w:val="20"/>
          <w:color w:val="auto"/>
        </w:rPr>
      </w:pPr>
    </w:p>
    <w:p>
      <w:pPr>
        <w:sectPr>
          <w:pgSz w:w="11900" w:h="16838" w:orient="portrait"/>
          <w:cols w:equalWidth="0" w:num="2">
            <w:col w:w="3920" w:space="720"/>
            <w:col w:w="5519"/>
          </w:cols>
          <w:pgMar w:left="300" w:top="405" w:right="1440" w:bottom="1440" w:gutter="0" w:footer="0" w:header="0"/>
          <w:type w:val="continuous"/>
        </w:sectPr>
      </w:pPr>
    </w:p>
    <w:p>
      <w:pPr>
        <w:spacing w:after="0" w:line="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Ranking of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Notes will be our direct, general unsecured obligations and will rank:</w:t>
      </w:r>
    </w:p>
    <w:p>
      <w:pPr>
        <w:spacing w:after="0" w:line="200" w:lineRule="exact"/>
        <w:rPr>
          <w:sz w:val="20"/>
          <w:szCs w:val="20"/>
          <w:color w:val="auto"/>
        </w:rPr>
      </w:pPr>
    </w:p>
    <w:p>
      <w:pPr>
        <w:sectPr>
          <w:pgSz w:w="11900" w:h="16838" w:orient="portrait"/>
          <w:cols w:equalWidth="0" w:num="2">
            <w:col w:w="3920" w:space="720"/>
            <w:col w:w="5519"/>
          </w:cols>
          <w:pgMar w:left="300" w:top="405" w:right="1440" w:bottom="1440" w:gutter="0" w:footer="0" w:header="0"/>
          <w:type w:val="continuous"/>
        </w:sectPr>
      </w:pPr>
    </w:p>
    <w:p>
      <w:pPr>
        <w:spacing w:after="0" w:line="17" w:lineRule="exact"/>
        <w:rPr>
          <w:sz w:val="20"/>
          <w:szCs w:val="20"/>
          <w:color w:val="auto"/>
        </w:rPr>
      </w:pPr>
    </w:p>
    <w:p>
      <w:pPr>
        <w:ind w:left="4820"/>
        <w:spacing w:after="0"/>
        <w:tabs>
          <w:tab w:leader="none" w:pos="5020" w:val="left"/>
        </w:tabs>
        <w:rPr>
          <w:sz w:val="20"/>
          <w:szCs w:val="20"/>
          <w:color w:val="auto"/>
        </w:rPr>
      </w:pPr>
      <w:r>
        <w:rPr>
          <w:rFonts w:ascii="Times New Roman" w:cs="Times New Roman" w:eastAsia="Times New Roman" w:hAnsi="Times New Roman"/>
          <w:sz w:val="14"/>
          <w:szCs w:val="14"/>
          <w:color w:val="auto"/>
        </w:rPr>
        <w:t>•</w:t>
        <w:tab/>
        <w:t>Senior in right of payment to all of our future indebtedness or other obligations that</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are expressly subordinated, or junior, in right of payment to the Notes;</w:t>
      </w:r>
    </w:p>
    <w:p>
      <w:pPr>
        <w:spacing w:after="0" w:line="86" w:lineRule="exact"/>
        <w:rPr>
          <w:sz w:val="20"/>
          <w:szCs w:val="20"/>
          <w:color w:val="auto"/>
        </w:rPr>
      </w:pPr>
    </w:p>
    <w:p>
      <w:pPr>
        <w:ind w:left="4820"/>
        <w:spacing w:after="0"/>
        <w:tabs>
          <w:tab w:leader="none" w:pos="5020" w:val="left"/>
        </w:tabs>
        <w:rPr>
          <w:sz w:val="20"/>
          <w:szCs w:val="20"/>
          <w:color w:val="auto"/>
        </w:rPr>
      </w:pPr>
      <w:r>
        <w:rPr>
          <w:rFonts w:ascii="Times New Roman" w:cs="Times New Roman" w:eastAsia="Times New Roman" w:hAnsi="Times New Roman"/>
          <w:sz w:val="14"/>
          <w:szCs w:val="14"/>
          <w:color w:val="auto"/>
        </w:rPr>
        <w:t>•</w:t>
        <w:tab/>
        <w:t>Pari passu, or equal, in right of payment with all of our existing and future</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indebtedness or other obligations that are not so subordinated, or junior, including,</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without limitation, as of March 31, 2026, approximately $300.0 million aggregate</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3"/>
          <w:szCs w:val="13"/>
          <w:color w:val="auto"/>
        </w:rPr>
        <w:t>principal amount of outstanding indebtedness under our unsecured notes due August</w:t>
      </w:r>
    </w:p>
    <w:p>
      <w:pPr>
        <w:spacing w:after="0" w:line="1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2026, which we refer to as the 2026 Notes, approximately $300.0 million aggregate</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3"/>
          <w:szCs w:val="13"/>
          <w:color w:val="auto"/>
        </w:rPr>
        <w:t>principal amount of outstanding indebtedness under our unsecured notes due August</w:t>
      </w:r>
    </w:p>
    <w:p>
      <w:pPr>
        <w:spacing w:after="0" w:line="1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2028, which we refer to as the 2028 Notes, approximately $350.0 million aggregate</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principal amount of outstanding indebtedness under our unsecured notes due March</w:t>
      </w: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405" w:right="1440"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4385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427980" cy="4385310"/>
                    </a:xfrm>
                    <a:prstGeom prst="rect">
                      <a:avLst/>
                    </a:prstGeom>
                    <a:noFill/>
                  </pic:spPr>
                </pic:pic>
              </a:graphicData>
            </a:graphic>
          </wp:anchor>
        </w:drawing>
      </w:r>
    </w:p>
    <w:p>
      <w:pPr>
        <w:spacing w:after="0" w:line="36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2029, which we refer to as the 2029 Notes, and approximately $300.0 million</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aggregate principal amount of outstanding indebtedness under our unsecured notes</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due August 2030, which we refer to as the 2030 Notes;</w:t>
      </w:r>
    </w:p>
    <w:p>
      <w:pPr>
        <w:spacing w:after="0" w:line="86" w:lineRule="exact"/>
        <w:rPr>
          <w:sz w:val="20"/>
          <w:szCs w:val="20"/>
          <w:color w:val="auto"/>
        </w:rPr>
      </w:pPr>
    </w:p>
    <w:p>
      <w:pPr>
        <w:ind w:left="4820"/>
        <w:spacing w:after="0"/>
        <w:tabs>
          <w:tab w:leader="none" w:pos="5020" w:val="left"/>
        </w:tabs>
        <w:rPr>
          <w:sz w:val="20"/>
          <w:szCs w:val="20"/>
          <w:color w:val="auto"/>
        </w:rPr>
      </w:pPr>
      <w:r>
        <w:rPr>
          <w:rFonts w:ascii="Times New Roman" w:cs="Times New Roman" w:eastAsia="Times New Roman" w:hAnsi="Times New Roman"/>
          <w:sz w:val="14"/>
          <w:szCs w:val="14"/>
          <w:color w:val="auto"/>
        </w:rPr>
        <w:t>•</w:t>
        <w:tab/>
        <w:t>Effectively subordinated, or junior, to any of our secured indebtedness or other</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obligations (including unsecured indebtedness that we later secure) to the extent of</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the value of the assets securing such indebtedness, including, without limitation,</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approximately $577.4 million aggregate principal amount of outstanding</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indebtedness as of March 31, 2026 under our Senior Secured Revolving Credit</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Agreement, dated August 23, 2012, as amended, which we refer to as the Revolving</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Credit Facility; and</w:t>
      </w:r>
    </w:p>
    <w:p>
      <w:pPr>
        <w:spacing w:after="0" w:line="86" w:lineRule="exact"/>
        <w:rPr>
          <w:sz w:val="20"/>
          <w:szCs w:val="20"/>
          <w:color w:val="auto"/>
        </w:rPr>
      </w:pPr>
    </w:p>
    <w:p>
      <w:pPr>
        <w:ind w:left="4820"/>
        <w:spacing w:after="0"/>
        <w:tabs>
          <w:tab w:leader="none" w:pos="5020" w:val="left"/>
        </w:tabs>
        <w:rPr>
          <w:sz w:val="20"/>
          <w:szCs w:val="20"/>
          <w:color w:val="auto"/>
        </w:rPr>
      </w:pPr>
      <w:r>
        <w:rPr>
          <w:rFonts w:ascii="Times New Roman" w:cs="Times New Roman" w:eastAsia="Times New Roman" w:hAnsi="Times New Roman"/>
          <w:sz w:val="14"/>
          <w:szCs w:val="14"/>
          <w:color w:val="auto"/>
        </w:rPr>
        <w:t>•</w:t>
        <w:tab/>
        <w:t>Structurally subordinated, or junior, to all existing and future indebtedness and other</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obligations (including trade payables) incurred by our subsidiaries, financing</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vehicles or similar facilities.</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As of March 31, 2026, our total consolidated indebtedness was approximately</w:t>
            </w:r>
          </w:p>
        </w:tc>
      </w:t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$1,827.4 million aggregate principal amount outstanding, of which approximately</w:t>
            </w:r>
          </w:p>
        </w:tc>
      </w:t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$577.4 million was secured indebtedness at the TSLX level and none of which was</w:t>
            </w:r>
          </w:p>
        </w:tc>
      </w:t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indebtedness of our subsidiaries. After giving effect to the issuance of the Notes, and</w:t>
            </w:r>
          </w:p>
        </w:tc>
      </w:t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assuming the net proceeds therefrom are used to repay outstanding borrowings under the</w:t>
            </w:r>
          </w:p>
        </w:tc>
      </w:t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Revolving Credit Facility, our total consolidated indebtedness would have been</w:t>
            </w:r>
          </w:p>
        </w:tc>
      </w:t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approximately $1,834.2 million aggregate principal amount outstanding as of March 31,</w:t>
            </w:r>
          </w:p>
        </w:tc>
      </w:tr>
      <w:tr>
        <w:trPr>
          <w:trHeight w:val="182"/>
        </w:trPr>
        <w:tc>
          <w:tcPr>
            <w:tcW w:w="2320" w:type="dxa"/>
            <w:vAlign w:val="bottom"/>
          </w:tcPr>
          <w:p>
            <w:pPr>
              <w:spacing w:after="0"/>
              <w:rPr>
                <w:sz w:val="15"/>
                <w:szCs w:val="15"/>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2026. See “Capitalization”.</w:t>
            </w:r>
          </w:p>
        </w:tc>
      </w:tr>
      <w:tr>
        <w:trPr>
          <w:trHeight w:val="341"/>
        </w:trPr>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Denominations</w:t>
            </w: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We will issue the Notes in denominations of $2,000 and integral multiples of $1,000 in</w:t>
            </w:r>
          </w:p>
        </w:tc>
      </w:tr>
      <w:tr>
        <w:trPr>
          <w:trHeight w:val="182"/>
        </w:trPr>
        <w:tc>
          <w:tcPr>
            <w:tcW w:w="2320" w:type="dxa"/>
            <w:vAlign w:val="bottom"/>
          </w:tcPr>
          <w:p>
            <w:pPr>
              <w:spacing w:after="0"/>
              <w:rPr>
                <w:sz w:val="15"/>
                <w:szCs w:val="15"/>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excess thereof.</w:t>
            </w:r>
          </w:p>
        </w:tc>
      </w:tr>
      <w:tr>
        <w:trPr>
          <w:trHeight w:val="341"/>
        </w:trPr>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Optional Redemption</w:t>
            </w: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We may redeem some or all of the Notes, in whole or in part, at any time, or from time to</w:t>
            </w:r>
          </w:p>
        </w:tc>
      </w:t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time, at a redemption price, prior to Par Call Date, equal to the greater of (1) (a) the sum of</w:t>
            </w:r>
          </w:p>
        </w:tc>
      </w:t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the present values of the remaining scheduled payments of principal and interest thereon</w:t>
            </w:r>
          </w:p>
        </w:tc>
      </w:t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discounted to the redemption date (assuming the Notes matured on the Par Call Date) on a</w:t>
            </w:r>
          </w:p>
        </w:tc>
      </w:t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semi-annual basis (assuming a 360-day year consisting of twelve 30-day months) at the</w:t>
            </w:r>
          </w:p>
        </w:tc>
      </w:t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Treasury Rate plus 30 basis points less (b) interest accrued to the date of redemption, and</w:t>
            </w:r>
          </w:p>
        </w:tc>
      </w:tr>
      <w:tr>
        <w:trPr>
          <w:trHeight w:val="165"/>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(2) 100% of the principal amount of the Notes to be redeemed, plus, in either case, accrued</w:t>
            </w:r>
          </w:p>
        </w:tc>
      </w:tr>
      <w:tr>
        <w:trPr>
          <w:trHeight w:val="169"/>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 xml:space="preserve">and unpaid interest thereon to the redemption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if we redeem</w:t>
            </w:r>
          </w:p>
        </w:tc>
      </w:t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any Notes on or after the Par Call Date, the redemption price for the Notes will be equal to</w:t>
            </w:r>
          </w:p>
        </w:tc>
      </w:t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100% of the principal amount of the Notes to be redeemed plus accrued and unpaid interest</w:t>
            </w:r>
          </w:p>
        </w:tc>
      </w:tr>
      <w:tr>
        <w:trPr>
          <w:trHeight w:val="167"/>
        </w:trPr>
        <w:tc>
          <w:tcPr>
            <w:tcW w:w="2320" w:type="dxa"/>
            <w:vAlign w:val="bottom"/>
          </w:tcPr>
          <w:p>
            <w:pPr>
              <w:spacing w:after="0"/>
              <w:rPr>
                <w:sz w:val="14"/>
                <w:szCs w:val="14"/>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thereon to the redemption date. Any exercise of our option to redeem the Notes will be</w:t>
            </w:r>
          </w:p>
        </w:tc>
      </w:tr>
      <w:tr>
        <w:trPr>
          <w:trHeight w:val="182"/>
        </w:trPr>
        <w:tc>
          <w:tcPr>
            <w:tcW w:w="2320" w:type="dxa"/>
            <w:vAlign w:val="bottom"/>
          </w:tcPr>
          <w:p>
            <w:pPr>
              <w:spacing w:after="0"/>
              <w:rPr>
                <w:sz w:val="15"/>
                <w:szCs w:val="15"/>
                <w:color w:val="auto"/>
              </w:rPr>
            </w:pPr>
          </w:p>
        </w:tc>
        <w:tc>
          <w:tcPr>
            <w:tcW w:w="62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done in compliance with the 1940 Act.</w:t>
            </w:r>
          </w:p>
        </w:tc>
      </w:tr>
      <w:tr>
        <w:trPr>
          <w:trHeight w:val="131"/>
        </w:trPr>
        <w:tc>
          <w:tcPr>
            <w:tcW w:w="2320" w:type="dxa"/>
            <w:vAlign w:val="bottom"/>
            <w:tcBorders>
              <w:bottom w:val="single" w:sz="8" w:color="auto"/>
            </w:tcBorders>
          </w:tcPr>
          <w:p>
            <w:pPr>
              <w:spacing w:after="0"/>
              <w:rPr>
                <w:sz w:val="11"/>
                <w:szCs w:val="11"/>
                <w:color w:val="auto"/>
              </w:rPr>
            </w:pPr>
          </w:p>
        </w:tc>
        <w:tc>
          <w:tcPr>
            <w:tcW w:w="6240" w:type="dxa"/>
            <w:vAlign w:val="bottom"/>
            <w:tcBorders>
              <w:bottom w:val="single" w:sz="8" w:color="auto"/>
            </w:tcBorders>
          </w:tcPr>
          <w:p>
            <w:pPr>
              <w:spacing w:after="0"/>
              <w:rPr>
                <w:sz w:val="11"/>
                <w:szCs w:val="11"/>
                <w:color w:val="auto"/>
              </w:rPr>
            </w:pPr>
          </w:p>
        </w:tc>
      </w:tr>
      <w:tr>
        <w:trPr>
          <w:trHeight w:val="278"/>
        </w:trPr>
        <w:tc>
          <w:tcPr>
            <w:tcW w:w="2320" w:type="dxa"/>
            <w:vAlign w:val="bottom"/>
          </w:tcPr>
          <w:p>
            <w:pPr>
              <w:spacing w:after="0"/>
              <w:rPr>
                <w:sz w:val="24"/>
                <w:szCs w:val="24"/>
                <w:color w:val="auto"/>
              </w:rPr>
            </w:pPr>
          </w:p>
        </w:tc>
        <w:tc>
          <w:tcPr>
            <w:tcW w:w="624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S-7</w:t>
            </w:r>
          </w:p>
        </w:tc>
      </w:tr>
    </w:tbl>
    <w:p>
      <w:pPr>
        <w:sectPr>
          <w:pgSz w:w="11900" w:h="16838" w:orient="portrait"/>
          <w:cols w:equalWidth="0" w:num="1">
            <w:col w:w="10159"/>
          </w:cols>
          <w:pgMar w:left="300" w:top="40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39" w:lineRule="exact"/>
        <w:rPr>
          <w:sz w:val="20"/>
          <w:szCs w:val="20"/>
          <w:color w:val="auto"/>
        </w:rPr>
      </w:pPr>
    </w:p>
    <w:tbl>
      <w:tblPr>
        <w:tblLayout w:type="fixed"/>
        <w:tblInd w:w="1370" w:type="dxa"/>
        <w:tblCellMar>
          <w:top w:w="0" w:type="dxa"/>
          <w:left w:w="0" w:type="dxa"/>
          <w:bottom w:w="0" w:type="dxa"/>
          <w:right w:w="0" w:type="dxa"/>
        </w:tblCellMar>
      </w:tblPr>
      <w:tr>
        <w:trPr>
          <w:trHeight w:val="294"/>
        </w:trPr>
        <w:tc>
          <w:tcPr>
            <w:tcW w:w="296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Sinking Fund</w:t>
            </w:r>
          </w:p>
        </w:tc>
        <w:tc>
          <w:tcPr>
            <w:tcW w:w="560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The Notes will not be subject to any sinking fund. A sinking fund is a reserve fund</w:t>
            </w:r>
          </w:p>
        </w:tc>
      </w:tr>
      <w:tr>
        <w:trPr>
          <w:trHeight w:val="182"/>
        </w:trPr>
        <w:tc>
          <w:tcPr>
            <w:tcW w:w="2960" w:type="dxa"/>
            <w:vAlign w:val="bottom"/>
            <w:tcBorders>
              <w:left w:val="single" w:sz="8" w:color="auto"/>
            </w:tcBorders>
          </w:tcPr>
          <w:p>
            <w:pPr>
              <w:spacing w:after="0"/>
              <w:rPr>
                <w:sz w:val="15"/>
                <w:szCs w:val="15"/>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accumulated over a period of time for the retirement of debt.</w:t>
            </w:r>
          </w:p>
        </w:tc>
      </w:tr>
      <w:tr>
        <w:trPr>
          <w:trHeight w:val="341"/>
        </w:trPr>
        <w:tc>
          <w:tcPr>
            <w:tcW w:w="2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Offer to Purchase upon a Change of Control</w:t>
            </w: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If a Change of Control Repurchase Event occurs prior to maturity, unless we have</w:t>
            </w:r>
          </w:p>
        </w:tc>
      </w:tr>
      <w:tr>
        <w:trPr>
          <w:trHeight w:val="167"/>
        </w:trPr>
        <w:tc>
          <w:tcPr>
            <w:tcW w:w="296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Repurchase Event</w:t>
            </w: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exercised our right to redeem the Notes in full, holders will have the right, at their option,</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to require us to repurchase for cash some or all of the Notes at a repurchase price equal to</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100% of the principal amount of the Notes being repurchased, plus accrued and unpaid</w:t>
            </w:r>
          </w:p>
        </w:tc>
      </w:tr>
      <w:tr>
        <w:trPr>
          <w:trHeight w:val="182"/>
        </w:trPr>
        <w:tc>
          <w:tcPr>
            <w:tcW w:w="2960" w:type="dxa"/>
            <w:vAlign w:val="bottom"/>
            <w:tcBorders>
              <w:left w:val="single" w:sz="8" w:color="auto"/>
            </w:tcBorders>
          </w:tcPr>
          <w:p>
            <w:pPr>
              <w:spacing w:after="0"/>
              <w:rPr>
                <w:sz w:val="15"/>
                <w:szCs w:val="15"/>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interest to, but not including, the repurchase date.</w:t>
            </w:r>
          </w:p>
        </w:tc>
      </w:tr>
      <w:tr>
        <w:trPr>
          <w:trHeight w:val="341"/>
        </w:trPr>
        <w:tc>
          <w:tcPr>
            <w:tcW w:w="2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Legal Defeasance</w:t>
            </w: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The Notes are subject to legal defeasance by us, which means that, subject to the</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satisfaction of certain conditions, including, but not limited to, (i) depositing in trust for the</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benefit of the holders of the Notes a combination of money and U.S. government or U.S.</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government agency notes or bonds that will generate enough cash to make interest,</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principal and any other payments on the Notes on their various due dates and (ii) delivering</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to the trustee an opinion of counsel as described herein under “Description of Notes—</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Satisfaction and Discharge; Defeasance,” we can legally release ourselves from all</w:t>
            </w:r>
          </w:p>
        </w:tc>
      </w:tr>
      <w:tr>
        <w:trPr>
          <w:trHeight w:val="182"/>
        </w:trPr>
        <w:tc>
          <w:tcPr>
            <w:tcW w:w="2960" w:type="dxa"/>
            <w:vAlign w:val="bottom"/>
            <w:tcBorders>
              <w:left w:val="single" w:sz="8" w:color="auto"/>
            </w:tcBorders>
          </w:tcPr>
          <w:p>
            <w:pPr>
              <w:spacing w:after="0"/>
              <w:rPr>
                <w:sz w:val="15"/>
                <w:szCs w:val="15"/>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payment and other obligations on the Notes.</w:t>
            </w:r>
          </w:p>
        </w:tc>
      </w:tr>
      <w:tr>
        <w:trPr>
          <w:trHeight w:val="341"/>
        </w:trPr>
        <w:tc>
          <w:tcPr>
            <w:tcW w:w="2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Covenant Defeasance</w:t>
            </w: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The Notes are subject to covenant defeasance by us, which means that, subject to the</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satisfaction of certain conditions, including, but not limited to, (i) depositing in trust for the</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benefit of the holders of the Notes a combination of money and U.S. government or U.S.</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government agency notes or bonds that will generate enough cash to make interest,</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principal and any other payments on the Notes on their various due dates and (ii) delivering</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to the trustee an opinion of counsel as described herein under “Description of Notes—</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Satisfaction and Discharge; Defeasance,” we will be released from some of the restrictive</w:t>
            </w:r>
          </w:p>
        </w:tc>
      </w:tr>
      <w:tr>
        <w:trPr>
          <w:trHeight w:val="182"/>
        </w:trPr>
        <w:tc>
          <w:tcPr>
            <w:tcW w:w="2960" w:type="dxa"/>
            <w:vAlign w:val="bottom"/>
            <w:tcBorders>
              <w:left w:val="single" w:sz="8" w:color="auto"/>
            </w:tcBorders>
          </w:tcPr>
          <w:p>
            <w:pPr>
              <w:spacing w:after="0"/>
              <w:rPr>
                <w:sz w:val="15"/>
                <w:szCs w:val="15"/>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covenants in the indenture.</w:t>
            </w:r>
          </w:p>
        </w:tc>
      </w:tr>
      <w:tr>
        <w:trPr>
          <w:trHeight w:val="341"/>
        </w:trPr>
        <w:tc>
          <w:tcPr>
            <w:tcW w:w="2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Form of Notes</w:t>
            </w: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The Notes will be represented by global securities that will be deposited and registered in</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the name of The Depository Trust Company, or DTC, or its nominee. This means that,</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except in limited circumstances, you will not receive certificates for the Notes. Beneficial</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interests in the Notes will be represented through book-entry accounts of financial</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institutions acting on behalf of beneficial owners as direct and indirect participants in DTC.</w:t>
            </w:r>
          </w:p>
        </w:tc>
      </w:tr>
      <w:tr>
        <w:trPr>
          <w:trHeight w:val="167"/>
        </w:trPr>
        <w:tc>
          <w:tcPr>
            <w:tcW w:w="2960" w:type="dxa"/>
            <w:vAlign w:val="bottom"/>
            <w:tcBorders>
              <w:left w:val="single" w:sz="8" w:color="auto"/>
            </w:tcBorders>
          </w:tcPr>
          <w:p>
            <w:pPr>
              <w:spacing w:after="0"/>
              <w:rPr>
                <w:sz w:val="14"/>
                <w:szCs w:val="14"/>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Investors may elect to hold interests in the Notes through either DTC, if they are a</w:t>
            </w:r>
          </w:p>
        </w:tc>
      </w:tr>
      <w:tr>
        <w:trPr>
          <w:trHeight w:val="182"/>
        </w:trPr>
        <w:tc>
          <w:tcPr>
            <w:tcW w:w="2960" w:type="dxa"/>
            <w:vAlign w:val="bottom"/>
            <w:tcBorders>
              <w:left w:val="single" w:sz="8" w:color="auto"/>
            </w:tcBorders>
          </w:tcPr>
          <w:p>
            <w:pPr>
              <w:spacing w:after="0"/>
              <w:rPr>
                <w:sz w:val="15"/>
                <w:szCs w:val="15"/>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participant, or indirectly through organizations that are participants in DTC.</w:t>
            </w:r>
          </w:p>
        </w:tc>
      </w:tr>
      <w:tr>
        <w:trPr>
          <w:trHeight w:val="356"/>
        </w:trPr>
        <w:tc>
          <w:tcPr>
            <w:tcW w:w="2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Trustee, Paying Agent and Registrar</w:t>
            </w: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U.S. Bank Trust Company, National Association.</w:t>
            </w:r>
          </w:p>
        </w:tc>
      </w:tr>
      <w:tr>
        <w:trPr>
          <w:trHeight w:val="351"/>
        </w:trPr>
        <w:tc>
          <w:tcPr>
            <w:tcW w:w="2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Events of Default</w:t>
            </w: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If an event of default (as described under “Description of Notes”) on the Notes occurs, the</w:t>
            </w:r>
          </w:p>
        </w:tc>
      </w:tr>
      <w:tr>
        <w:trPr>
          <w:trHeight w:val="182"/>
        </w:trPr>
        <w:tc>
          <w:tcPr>
            <w:tcW w:w="2960" w:type="dxa"/>
            <w:vAlign w:val="bottom"/>
            <w:tcBorders>
              <w:left w:val="single" w:sz="8" w:color="auto"/>
            </w:tcBorders>
          </w:tcPr>
          <w:p>
            <w:pPr>
              <w:spacing w:after="0"/>
              <w:rPr>
                <w:sz w:val="15"/>
                <w:szCs w:val="15"/>
                <w:color w:val="auto"/>
              </w:rPr>
            </w:pPr>
          </w:p>
        </w:tc>
        <w:tc>
          <w:tcPr>
            <w:tcW w:w="56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principal amount of the Notes, plus accrued and</w:t>
            </w:r>
          </w:p>
        </w:tc>
      </w:tr>
      <w:tr>
        <w:trPr>
          <w:trHeight w:val="131"/>
        </w:trPr>
        <w:tc>
          <w:tcPr>
            <w:tcW w:w="2960" w:type="dxa"/>
            <w:vAlign w:val="bottom"/>
            <w:tcBorders>
              <w:left w:val="single" w:sz="8" w:color="auto"/>
              <w:bottom w:val="single" w:sz="8" w:color="auto"/>
            </w:tcBorders>
          </w:tcPr>
          <w:p>
            <w:pPr>
              <w:spacing w:after="0"/>
              <w:rPr>
                <w:sz w:val="11"/>
                <w:szCs w:val="11"/>
                <w:color w:val="auto"/>
              </w:rPr>
            </w:pPr>
          </w:p>
        </w:tc>
        <w:tc>
          <w:tcPr>
            <w:tcW w:w="5600" w:type="dxa"/>
            <w:vAlign w:val="bottom"/>
            <w:tcBorders>
              <w:bottom w:val="single" w:sz="8" w:color="auto"/>
              <w:right w:val="single" w:sz="8" w:color="auto"/>
            </w:tcBorders>
          </w:tcPr>
          <w:p>
            <w:pPr>
              <w:spacing w:after="0"/>
              <w:rPr>
                <w:sz w:val="11"/>
                <w:szCs w:val="11"/>
                <w:color w:val="auto"/>
              </w:rPr>
            </w:pPr>
          </w:p>
        </w:tc>
      </w:tr>
      <w:tr>
        <w:trPr>
          <w:trHeight w:val="278"/>
        </w:trPr>
        <w:tc>
          <w:tcPr>
            <w:tcW w:w="2960" w:type="dxa"/>
            <w:vAlign w:val="bottom"/>
          </w:tcPr>
          <w:p>
            <w:pPr>
              <w:spacing w:after="0"/>
              <w:rPr>
                <w:sz w:val="24"/>
                <w:szCs w:val="24"/>
                <w:color w:val="auto"/>
              </w:rPr>
            </w:pPr>
          </w:p>
        </w:tc>
        <w:tc>
          <w:tcPr>
            <w:tcW w:w="560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S-8</w:t>
            </w:r>
          </w:p>
        </w:tc>
      </w:tr>
    </w:tbl>
    <w:p>
      <w:pPr>
        <w:sectPr>
          <w:pgSz w:w="11900" w:h="16838" w:orient="portrait"/>
          <w:cols w:equalWidth="0" w:num="1">
            <w:col w:w="10159"/>
          </w:cols>
          <w:pgMar w:left="300" w:top="405"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164465</wp:posOffset>
            </wp:positionV>
            <wp:extent cx="5427980" cy="4298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427980" cy="4298950"/>
                    </a:xfrm>
                    <a:prstGeom prst="rect">
                      <a:avLst/>
                    </a:prstGeom>
                    <a:noFill/>
                  </pic:spPr>
                </pic:pic>
              </a:graphicData>
            </a:graphic>
          </wp:anchor>
        </w:drawing>
      </w:r>
    </w:p>
    <w:p>
      <w:pPr>
        <w:spacing w:after="0" w:line="36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unpaid interest, may be declared immediately due and payable, subject to conditions set</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forth in the indenture. These amounts automatically become due and payable in the case of</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certain types of bankruptcy or insolvency events involving us.</w:t>
      </w:r>
    </w:p>
    <w:p>
      <w:pPr>
        <w:spacing w:after="0" w:line="190" w:lineRule="exact"/>
        <w:rPr>
          <w:sz w:val="20"/>
          <w:szCs w:val="20"/>
          <w:color w:val="auto"/>
        </w:rPr>
      </w:pPr>
    </w:p>
    <w:tbl>
      <w:tblPr>
        <w:tblLayout w:type="fixed"/>
        <w:tblInd w:w="1360" w:type="dxa"/>
        <w:tblCellMar>
          <w:top w:w="0" w:type="dxa"/>
          <w:left w:w="0" w:type="dxa"/>
          <w:bottom w:w="0" w:type="dxa"/>
          <w:right w:w="0" w:type="dxa"/>
        </w:tblCellMar>
      </w:tblPr>
      <w:tr>
        <w:trPr>
          <w:trHeight w:val="167"/>
        </w:trPr>
        <w:tc>
          <w:tcPr>
            <w:tcW w:w="2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Covenants</w:t>
            </w: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In addition to the covenants described in the accompanying prospectus, the following</w:t>
            </w:r>
          </w:p>
        </w:tc>
      </w:tr>
      <w:tr>
        <w:trPr>
          <w:trHeight w:val="182"/>
        </w:trPr>
        <w:tc>
          <w:tcPr>
            <w:tcW w:w="2960" w:type="dxa"/>
            <w:vAlign w:val="bottom"/>
          </w:tcPr>
          <w:p>
            <w:pPr>
              <w:spacing w:after="0"/>
              <w:rPr>
                <w:sz w:val="15"/>
                <w:szCs w:val="15"/>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covenants shall apply to the Notes:</w:t>
            </w:r>
          </w:p>
        </w:tc>
      </w:tr>
      <w:tr>
        <w:trPr>
          <w:trHeight w:val="247"/>
        </w:trPr>
        <w:tc>
          <w:tcPr>
            <w:tcW w:w="2960" w:type="dxa"/>
            <w:vAlign w:val="bottom"/>
          </w:tcPr>
          <w:p>
            <w:pPr>
              <w:spacing w:after="0"/>
              <w:rPr>
                <w:sz w:val="21"/>
                <w:szCs w:val="21"/>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 agree that for the period of time during which the Notes are outstanding, we will</w:t>
            </w:r>
          </w:p>
        </w:tc>
      </w:tr>
      <w:tr>
        <w:trPr>
          <w:trHeight w:val="167"/>
        </w:trPr>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not violate, whether or not we are subject thereto, Section 18(a)(1)(A) as modified</w:t>
            </w:r>
          </w:p>
        </w:tc>
      </w:tr>
      <w:tr>
        <w:trPr>
          <w:trHeight w:val="167"/>
        </w:trPr>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by Section 61(a) of the 1940 Act or any successor provisions, but giving effect, in</w:t>
            </w:r>
          </w:p>
        </w:tc>
      </w:tr>
      <w:tr>
        <w:trPr>
          <w:trHeight w:val="182"/>
        </w:trPr>
        <w:tc>
          <w:tcPr>
            <w:tcW w:w="2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either case, to any exemptive relief granted to us by the SEC.</w:t>
            </w:r>
          </w:p>
        </w:tc>
      </w:tr>
      <w:tr>
        <w:trPr>
          <w:trHeight w:val="247"/>
        </w:trPr>
        <w:tc>
          <w:tcPr>
            <w:tcW w:w="2960" w:type="dxa"/>
            <w:vAlign w:val="bottom"/>
          </w:tcPr>
          <w:p>
            <w:pPr>
              <w:spacing w:after="0"/>
              <w:rPr>
                <w:sz w:val="21"/>
                <w:szCs w:val="21"/>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If, at any time, we are not subject to the reporting requirements of Sections 13 or</w:t>
            </w:r>
          </w:p>
        </w:tc>
      </w:tr>
      <w:tr>
        <w:trPr>
          <w:trHeight w:val="167"/>
        </w:trPr>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15(d) of the Exchange Act to file any periodic reports with the SEC, we agree to</w:t>
            </w:r>
          </w:p>
        </w:tc>
      </w:tr>
      <w:tr>
        <w:trPr>
          <w:trHeight w:val="167"/>
        </w:trPr>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furnish to holders of the Notes and the trustee, for the period of time during which</w:t>
            </w:r>
          </w:p>
        </w:tc>
      </w:tr>
      <w:tr>
        <w:trPr>
          <w:trHeight w:val="167"/>
        </w:trPr>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 Notes are outstanding, our audited annual consolidated financial statements,</w:t>
            </w:r>
          </w:p>
        </w:tc>
      </w:tr>
      <w:tr>
        <w:trPr>
          <w:trHeight w:val="167"/>
        </w:trPr>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within 90 days of our fiscal year end, and unaudited interim consolidated financial</w:t>
            </w:r>
          </w:p>
        </w:tc>
      </w:tr>
      <w:tr>
        <w:trPr>
          <w:trHeight w:val="167"/>
        </w:trPr>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statements, within 45 days of our fiscal quarter end (other than our fourth fiscal</w:t>
            </w:r>
          </w:p>
        </w:tc>
      </w:tr>
      <w:tr>
        <w:trPr>
          <w:trHeight w:val="167"/>
        </w:trPr>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quarter). All such financial statements will be prepared, in all material respects, in</w:t>
            </w:r>
          </w:p>
        </w:tc>
      </w:tr>
      <w:tr>
        <w:trPr>
          <w:trHeight w:val="167"/>
        </w:trPr>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accordance with applicable United States generally accepted accounting principles,</w:t>
            </w:r>
          </w:p>
        </w:tc>
      </w:tr>
      <w:tr>
        <w:trPr>
          <w:trHeight w:val="182"/>
        </w:trPr>
        <w:tc>
          <w:tcPr>
            <w:tcW w:w="2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or GAAP.</w:t>
            </w:r>
          </w:p>
        </w:tc>
      </w:tr>
      <w:tr>
        <w:trPr>
          <w:trHeight w:val="341"/>
        </w:trPr>
        <w:tc>
          <w:tcPr>
            <w:tcW w:w="2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Established Trading Market</w:t>
            </w: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Notes are a new issue of securities with no established trading market. The Notes will</w:t>
            </w:r>
          </w:p>
        </w:tc>
      </w:tr>
      <w:tr>
        <w:trPr>
          <w:trHeight w:val="167"/>
        </w:trPr>
        <w:tc>
          <w:tcPr>
            <w:tcW w:w="2960" w:type="dxa"/>
            <w:vAlign w:val="bottom"/>
          </w:tcPr>
          <w:p>
            <w:pPr>
              <w:spacing w:after="0"/>
              <w:rPr>
                <w:sz w:val="14"/>
                <w:szCs w:val="14"/>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not be listed on any securities exchange or quoted on any automated dealer quotation</w:t>
            </w:r>
          </w:p>
        </w:tc>
      </w:tr>
      <w:tr>
        <w:trPr>
          <w:trHeight w:val="167"/>
        </w:trPr>
        <w:tc>
          <w:tcPr>
            <w:tcW w:w="2960" w:type="dxa"/>
            <w:vAlign w:val="bottom"/>
          </w:tcPr>
          <w:p>
            <w:pPr>
              <w:spacing w:after="0"/>
              <w:rPr>
                <w:sz w:val="14"/>
                <w:szCs w:val="14"/>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system. Although certain of the underwriters have informed us that they currently intend to</w:t>
            </w:r>
          </w:p>
        </w:tc>
      </w:tr>
      <w:tr>
        <w:trPr>
          <w:trHeight w:val="167"/>
        </w:trPr>
        <w:tc>
          <w:tcPr>
            <w:tcW w:w="2960" w:type="dxa"/>
            <w:vAlign w:val="bottom"/>
          </w:tcPr>
          <w:p>
            <w:pPr>
              <w:spacing w:after="0"/>
              <w:rPr>
                <w:sz w:val="14"/>
                <w:szCs w:val="14"/>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make a market in the Notes, as permitted by applicable laws and regulations, they are not</w:t>
            </w:r>
          </w:p>
        </w:tc>
      </w:tr>
      <w:tr>
        <w:trPr>
          <w:trHeight w:val="167"/>
        </w:trPr>
        <w:tc>
          <w:tcPr>
            <w:tcW w:w="2960" w:type="dxa"/>
            <w:vAlign w:val="bottom"/>
          </w:tcPr>
          <w:p>
            <w:pPr>
              <w:spacing w:after="0"/>
              <w:rPr>
                <w:sz w:val="14"/>
                <w:szCs w:val="14"/>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obligated to do so and may discontinue any such market making activities at any time</w:t>
            </w:r>
          </w:p>
        </w:tc>
      </w:tr>
      <w:tr>
        <w:trPr>
          <w:trHeight w:val="167"/>
        </w:trPr>
        <w:tc>
          <w:tcPr>
            <w:tcW w:w="2960" w:type="dxa"/>
            <w:vAlign w:val="bottom"/>
          </w:tcPr>
          <w:p>
            <w:pPr>
              <w:spacing w:after="0"/>
              <w:rPr>
                <w:sz w:val="14"/>
                <w:szCs w:val="14"/>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without notice. See “Underwriting.” Accordingly, we cannot assure you that a liquid</w:t>
            </w:r>
          </w:p>
        </w:tc>
      </w:tr>
      <w:tr>
        <w:trPr>
          <w:trHeight w:val="182"/>
        </w:trPr>
        <w:tc>
          <w:tcPr>
            <w:tcW w:w="2960" w:type="dxa"/>
            <w:vAlign w:val="bottom"/>
          </w:tcPr>
          <w:p>
            <w:pPr>
              <w:spacing w:after="0"/>
              <w:rPr>
                <w:sz w:val="15"/>
                <w:szCs w:val="15"/>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market for the Notes will develop or be maintained.</w:t>
            </w:r>
          </w:p>
        </w:tc>
      </w:tr>
      <w:tr>
        <w:trPr>
          <w:trHeight w:val="341"/>
        </w:trPr>
        <w:tc>
          <w:tcPr>
            <w:tcW w:w="2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Global Clearance and Settlement Procedures</w:t>
            </w: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Interests in the Notes will trade in DTC’s Same Day Funds Settlement System, and any</w:t>
            </w:r>
          </w:p>
        </w:tc>
      </w:tr>
      <w:tr>
        <w:trPr>
          <w:trHeight w:val="167"/>
        </w:trPr>
        <w:tc>
          <w:tcPr>
            <w:tcW w:w="2960" w:type="dxa"/>
            <w:vAlign w:val="bottom"/>
          </w:tcPr>
          <w:p>
            <w:pPr>
              <w:spacing w:after="0"/>
              <w:rPr>
                <w:sz w:val="14"/>
                <w:szCs w:val="14"/>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permitted secondary market trading activity in such Notes will, therefore, be required by</w:t>
            </w:r>
          </w:p>
        </w:tc>
      </w:tr>
      <w:tr>
        <w:trPr>
          <w:trHeight w:val="167"/>
        </w:trPr>
        <w:tc>
          <w:tcPr>
            <w:tcW w:w="2960" w:type="dxa"/>
            <w:vAlign w:val="bottom"/>
          </w:tcPr>
          <w:p>
            <w:pPr>
              <w:spacing w:after="0"/>
              <w:rPr>
                <w:sz w:val="14"/>
                <w:szCs w:val="14"/>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DTC to be settled in immediately available funds. None of the Company, the trustee or the</w:t>
            </w:r>
          </w:p>
        </w:tc>
      </w:tr>
      <w:tr>
        <w:trPr>
          <w:trHeight w:val="167"/>
        </w:trPr>
        <w:tc>
          <w:tcPr>
            <w:tcW w:w="2960" w:type="dxa"/>
            <w:vAlign w:val="bottom"/>
          </w:tcPr>
          <w:p>
            <w:pPr>
              <w:spacing w:after="0"/>
              <w:rPr>
                <w:sz w:val="14"/>
                <w:szCs w:val="14"/>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paying agent will have any responsibility or liability for the performance by DTC or its</w:t>
            </w:r>
          </w:p>
        </w:tc>
      </w:tr>
      <w:tr>
        <w:trPr>
          <w:trHeight w:val="167"/>
        </w:trPr>
        <w:tc>
          <w:tcPr>
            <w:tcW w:w="2960" w:type="dxa"/>
            <w:vAlign w:val="bottom"/>
          </w:tcPr>
          <w:p>
            <w:pPr>
              <w:spacing w:after="0"/>
              <w:rPr>
                <w:sz w:val="14"/>
                <w:szCs w:val="14"/>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participants or indirect participants of their respective obligations under the rules and</w:t>
            </w:r>
          </w:p>
        </w:tc>
      </w:tr>
      <w:tr>
        <w:trPr>
          <w:trHeight w:val="182"/>
        </w:trPr>
        <w:tc>
          <w:tcPr>
            <w:tcW w:w="2960" w:type="dxa"/>
            <w:vAlign w:val="bottom"/>
          </w:tcPr>
          <w:p>
            <w:pPr>
              <w:spacing w:after="0"/>
              <w:rPr>
                <w:sz w:val="15"/>
                <w:szCs w:val="15"/>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procedures governing their operations.</w:t>
            </w:r>
          </w:p>
        </w:tc>
      </w:tr>
      <w:tr>
        <w:trPr>
          <w:trHeight w:val="341"/>
        </w:trPr>
        <w:tc>
          <w:tcPr>
            <w:tcW w:w="2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Governing Law</w:t>
            </w: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Notes and the indenture are governed by and construed in accordance with the laws of</w:t>
            </w:r>
          </w:p>
        </w:tc>
      </w:tr>
      <w:tr>
        <w:trPr>
          <w:trHeight w:val="182"/>
        </w:trPr>
        <w:tc>
          <w:tcPr>
            <w:tcW w:w="2960" w:type="dxa"/>
            <w:vAlign w:val="bottom"/>
          </w:tcPr>
          <w:p>
            <w:pPr>
              <w:spacing w:after="0"/>
              <w:rPr>
                <w:sz w:val="15"/>
                <w:szCs w:val="15"/>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State of New York.</w:t>
            </w:r>
          </w:p>
        </w:tc>
      </w:tr>
      <w:tr>
        <w:trPr>
          <w:trHeight w:val="131"/>
        </w:trPr>
        <w:tc>
          <w:tcPr>
            <w:tcW w:w="29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960" w:type="dxa"/>
            <w:vAlign w:val="bottom"/>
            <w:tcBorders>
              <w:bottom w:val="single" w:sz="8" w:color="auto"/>
            </w:tcBorders>
          </w:tcPr>
          <w:p>
            <w:pPr>
              <w:spacing w:after="0"/>
              <w:rPr>
                <w:sz w:val="11"/>
                <w:szCs w:val="11"/>
                <w:color w:val="auto"/>
              </w:rPr>
            </w:pPr>
          </w:p>
        </w:tc>
      </w:tr>
      <w:tr>
        <w:trPr>
          <w:trHeight w:val="278"/>
        </w:trPr>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S-9</w:t>
            </w:r>
          </w:p>
        </w:tc>
      </w:tr>
    </w:tbl>
    <w:p>
      <w:pPr>
        <w:sectPr>
          <w:pgSz w:w="11900" w:h="16838" w:orient="portrait"/>
          <w:cols w:equalWidth="0" w:num="1">
            <w:col w:w="10159"/>
          </w:cols>
          <w:pgMar w:left="300" w:top="405"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90" w:lineRule="exact"/>
        <w:rPr>
          <w:sz w:val="20"/>
          <w:szCs w:val="20"/>
          <w:color w:val="auto"/>
        </w:rPr>
      </w:pPr>
    </w:p>
    <w:p>
      <w:pPr>
        <w:ind w:left="1380" w:right="279" w:firstLine="341"/>
        <w:spacing w:after="0" w:line="253"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Investing in our securities involves a number of significant risks. You should carefully consider the risks set out below and the risk factors incorporated by reference in Part I, Item 1A, “Risk Factors,” in our </w:t>
      </w:r>
      <w:hyperlink r:id="rId17">
        <w:r>
          <w:rPr>
            <w:rFonts w:ascii="Times New Roman" w:cs="Times New Roman" w:eastAsia="Times New Roman" w:hAnsi="Times New Roman"/>
            <w:sz w:val="14"/>
            <w:szCs w:val="14"/>
            <w:i w:val="1"/>
            <w:iCs w:val="1"/>
            <w:u w:val="single" w:color="auto"/>
            <w:color w:val="0000EE"/>
          </w:rPr>
          <w:t>2025 Annual Report</w:t>
        </w:r>
      </w:hyperlink>
      <w:r>
        <w:rPr>
          <w:rFonts w:ascii="Times New Roman" w:cs="Times New Roman" w:eastAsia="Times New Roman" w:hAnsi="Times New Roman"/>
          <w:sz w:val="14"/>
          <w:szCs w:val="14"/>
          <w:i w:val="1"/>
          <w:iCs w:val="1"/>
          <w:color w:val="auto"/>
        </w:rPr>
        <w:t xml:space="preserve">, Part II, Item 1A, “Risk Factors,” in our 1Q 2026 Quarterly Report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and any free writing prospectus that we may authorize for use in connection with this offering, as updated by our subsequent filings under the Exchange Act, before making a decision about investing in our securities. The risks and uncertainties set out below and discussed in our </w:t>
      </w:r>
      <w:hyperlink r:id="rId17">
        <w:r>
          <w:rPr>
            <w:rFonts w:ascii="Times New Roman" w:cs="Times New Roman" w:eastAsia="Times New Roman" w:hAnsi="Times New Roman"/>
            <w:sz w:val="14"/>
            <w:szCs w:val="14"/>
            <w:i w:val="1"/>
            <w:iCs w:val="1"/>
            <w:u w:val="single" w:color="auto"/>
            <w:color w:val="0000EE"/>
          </w:rPr>
          <w:t>2025 Annual Report</w:t>
        </w:r>
      </w:hyperlink>
      <w:r>
        <w:rPr>
          <w:rFonts w:ascii="Times New Roman" w:cs="Times New Roman" w:eastAsia="Times New Roman" w:hAnsi="Times New Roman"/>
          <w:sz w:val="14"/>
          <w:szCs w:val="14"/>
          <w:i w:val="1"/>
          <w:iCs w:val="1"/>
          <w:color w:val="auto"/>
        </w:rPr>
        <w:t>, our 1Q 2026 Quarterly Report, and in the accompanying prospectus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2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90" w:lineRule="exact"/>
        <w:rPr>
          <w:sz w:val="20"/>
          <w:szCs w:val="20"/>
          <w:color w:val="auto"/>
        </w:rPr>
      </w:pPr>
    </w:p>
    <w:p>
      <w:pPr>
        <w:ind w:left="1380" w:right="53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The Notes are unsecured and therefore are effectively subordinated to any secured indebtedness we have currently incurred or may incur in the future.</w:t>
      </w:r>
    </w:p>
    <w:p>
      <w:pPr>
        <w:spacing w:after="0" w:line="40" w:lineRule="exact"/>
        <w:rPr>
          <w:sz w:val="20"/>
          <w:szCs w:val="20"/>
          <w:color w:val="auto"/>
        </w:rPr>
      </w:pPr>
    </w:p>
    <w:p>
      <w:pPr>
        <w:ind w:left="1380" w:right="359" w:firstLine="341"/>
        <w:spacing w:after="0" w:line="253" w:lineRule="auto"/>
        <w:rPr>
          <w:sz w:val="20"/>
          <w:szCs w:val="20"/>
          <w:color w:val="auto"/>
        </w:rPr>
      </w:pPr>
      <w:r>
        <w:rPr>
          <w:rFonts w:ascii="Times New Roman" w:cs="Times New Roman" w:eastAsia="Times New Roman" w:hAnsi="Times New Roman"/>
          <w:sz w:val="14"/>
          <w:szCs w:val="14"/>
          <w:color w:val="auto"/>
        </w:rPr>
        <w:t>The Notes are not secured by any of our assets or any of the assets of our subsidiaries. As a result, the Notes are effectively subordinated, or junior, to any secured indebtedness or other obligations we or our subsidiaries have currently incurred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March 31, 2026, we had approximately $577.4 million aggregate principal amount of outstanding indebtedness under the Revolving Credit Facility. The Revolving Credit Facility is secured by a perfected first-priority security interest in substantially all the portfolio investments held by us and each guarantor party thereto; the indebtedness thereunder is therefore effectively senior to the Notes to the extent of the value of such assets.</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The Notes are structurally subordinated to the indebtedness and other liabilities of our subsidiaries.</w:t>
      </w:r>
    </w:p>
    <w:p>
      <w:pPr>
        <w:spacing w:after="0" w:line="92" w:lineRule="exact"/>
        <w:rPr>
          <w:sz w:val="20"/>
          <w:szCs w:val="20"/>
          <w:color w:val="auto"/>
        </w:rPr>
      </w:pPr>
    </w:p>
    <w:p>
      <w:pPr>
        <w:ind w:left="1380" w:right="259" w:firstLine="341"/>
        <w:spacing w:after="0" w:line="279" w:lineRule="auto"/>
        <w:rPr>
          <w:sz w:val="20"/>
          <w:szCs w:val="20"/>
          <w:color w:val="auto"/>
        </w:rPr>
      </w:pPr>
      <w:r>
        <w:rPr>
          <w:rFonts w:ascii="Times New Roman" w:cs="Times New Roman" w:eastAsia="Times New Roman" w:hAnsi="Times New Roman"/>
          <w:sz w:val="13"/>
          <w:szCs w:val="13"/>
          <w:color w:val="auto"/>
        </w:rPr>
        <w:t>The Notes are obligations exclusively of TSLX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w:t>
      </w:r>
    </w:p>
    <w:p>
      <w:pPr>
        <w:spacing w:after="0" w:line="129" w:lineRule="exact"/>
        <w:rPr>
          <w:sz w:val="20"/>
          <w:szCs w:val="20"/>
          <w:color w:val="auto"/>
        </w:rPr>
      </w:pPr>
    </w:p>
    <w:p>
      <w:pPr>
        <w:ind w:left="1380" w:right="319" w:firstLine="341"/>
        <w:spacing w:after="0" w:line="260" w:lineRule="auto"/>
        <w:rPr>
          <w:sz w:val="20"/>
          <w:szCs w:val="20"/>
          <w:color w:val="auto"/>
        </w:rPr>
      </w:pPr>
      <w:r>
        <w:rPr>
          <w:rFonts w:ascii="Times New Roman" w:cs="Times New Roman" w:eastAsia="Times New Roman" w:hAnsi="Times New Roman"/>
          <w:sz w:val="14"/>
          <w:szCs w:val="14"/>
          <w:color w:val="auto"/>
        </w:rPr>
        <w:t>Consequently, the Notes are structurally subordinated, or junior, to all existing and future indebtedness and other obligations (including trade payables) incurred by any of our subsidiaries, financing vehicles or similar facilities and any subsidiaries, financing vehicles or similar facilities that we may in the future acquire or establish. Our subsidiaries may incur substantial additional indebtedness in the future, all of which would be structurally senior to the Notes.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405"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ind w:left="1380" w:right="57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Our current indebtedness could adversely affect our business, financial condition and results of operations and our ability to meet our payment obligations under the Notes and our other debt.</w:t>
      </w:r>
    </w:p>
    <w:p>
      <w:pPr>
        <w:spacing w:after="0" w:line="40" w:lineRule="exact"/>
        <w:rPr>
          <w:sz w:val="20"/>
          <w:szCs w:val="20"/>
          <w:color w:val="auto"/>
        </w:rPr>
      </w:pPr>
    </w:p>
    <w:p>
      <w:pPr>
        <w:jc w:val="both"/>
        <w:ind w:left="1380" w:right="359" w:firstLine="341"/>
        <w:spacing w:after="0" w:line="265" w:lineRule="auto"/>
        <w:rPr>
          <w:sz w:val="20"/>
          <w:szCs w:val="20"/>
          <w:color w:val="auto"/>
        </w:rPr>
      </w:pPr>
      <w:r>
        <w:rPr>
          <w:rFonts w:ascii="Times New Roman" w:cs="Times New Roman" w:eastAsia="Times New Roman" w:hAnsi="Times New Roman"/>
          <w:sz w:val="14"/>
          <w:szCs w:val="14"/>
          <w:color w:val="auto"/>
        </w:rPr>
        <w:t>As of March 31, 2026 our total consolidated indebtedness was approximately $1,827.4 million aggregate principal amount outstanding, of which approximately $577.4 million was secured indebtedness at the TSLX level and none of which was indebtedness of our subsidiaries, and approximately $1,250 million aggregate principal amount was unsecured indebtedness.</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use of debt could have significant consequences on our future operations, including:</w:t>
      </w:r>
    </w:p>
    <w:p>
      <w:pPr>
        <w:spacing w:after="0" w:line="101" w:lineRule="exact"/>
        <w:rPr>
          <w:sz w:val="20"/>
          <w:szCs w:val="20"/>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more difficult for us to meet our payment and other obligations under the Notes and our other outstanding indebtedness;</w:t>
      </w:r>
    </w:p>
    <w:p>
      <w:pPr>
        <w:spacing w:after="0" w:line="100" w:lineRule="exact"/>
        <w:rPr>
          <w:rFonts w:ascii="Times New Roman" w:cs="Times New Roman" w:eastAsia="Times New Roman" w:hAnsi="Times New Roman"/>
          <w:sz w:val="14"/>
          <w:szCs w:val="14"/>
          <w:color w:val="auto"/>
        </w:rPr>
      </w:pPr>
    </w:p>
    <w:p>
      <w:pPr>
        <w:ind w:left="2120" w:right="519" w:hanging="327"/>
        <w:spacing w:after="0" w:line="281" w:lineRule="auto"/>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resulting in an event of default if we fail to comply with the financial and other restrictive covenants contained in our debt agreements, which event of default could result in substantially all of our debt becoming immediately due and payable;</w:t>
      </w:r>
    </w:p>
    <w:p>
      <w:pPr>
        <w:spacing w:after="0" w:line="52" w:lineRule="exact"/>
        <w:rPr>
          <w:rFonts w:ascii="Times New Roman" w:cs="Times New Roman" w:eastAsia="Times New Roman" w:hAnsi="Times New Roman"/>
          <w:sz w:val="14"/>
          <w:szCs w:val="14"/>
          <w:color w:val="auto"/>
        </w:rPr>
      </w:pPr>
    </w:p>
    <w:p>
      <w:pPr>
        <w:ind w:left="2120" w:right="259" w:hanging="327"/>
        <w:spacing w:after="0" w:line="281" w:lineRule="auto"/>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availability of our cash flow to fund investments, acquisitions and other general corporate purposes, and limiting our ability to obtain additional financing for these purposes;</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subjecting us to the risk of increased sensitivity to interest rate increases on our indebtedness with variable interest rates; and</w:t>
      </w:r>
    </w:p>
    <w:p>
      <w:pPr>
        <w:spacing w:after="0" w:line="100" w:lineRule="exact"/>
        <w:rPr>
          <w:rFonts w:ascii="Times New Roman" w:cs="Times New Roman" w:eastAsia="Times New Roman" w:hAnsi="Times New Roman"/>
          <w:sz w:val="14"/>
          <w:szCs w:val="14"/>
          <w:color w:val="auto"/>
        </w:rPr>
      </w:pPr>
    </w:p>
    <w:p>
      <w:pPr>
        <w:ind w:left="2120" w:right="279" w:hanging="327"/>
        <w:spacing w:after="0" w:line="281" w:lineRule="auto"/>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and increasing our vulnerability to, changes in our business, the industry in which we operate and the general economy.</w:t>
      </w:r>
    </w:p>
    <w:p>
      <w:pPr>
        <w:spacing w:after="0" w:line="125" w:lineRule="exact"/>
        <w:rPr>
          <w:sz w:val="20"/>
          <w:szCs w:val="20"/>
          <w:color w:val="auto"/>
        </w:rPr>
      </w:pPr>
    </w:p>
    <w:p>
      <w:pPr>
        <w:ind w:left="1380" w:right="379" w:firstLine="341"/>
        <w:spacing w:after="0" w:line="281" w:lineRule="auto"/>
        <w:rPr>
          <w:sz w:val="20"/>
          <w:szCs w:val="20"/>
          <w:color w:val="auto"/>
        </w:rPr>
      </w:pPr>
      <w:r>
        <w:rPr>
          <w:rFonts w:ascii="Times New Roman" w:cs="Times New Roman" w:eastAsia="Times New Roman" w:hAnsi="Times New Roman"/>
          <w:sz w:val="14"/>
          <w:szCs w:val="14"/>
          <w:color w:val="auto"/>
        </w:rPr>
        <w:t>Any of the above-listed factors could have an adverse effect on our business, financial condition and results of operations and our ability to meet our payment obligations under the Notes and our other debt.</w:t>
      </w:r>
    </w:p>
    <w:p>
      <w:pPr>
        <w:spacing w:after="0" w:line="125" w:lineRule="exact"/>
        <w:rPr>
          <w:sz w:val="20"/>
          <w:szCs w:val="20"/>
          <w:color w:val="auto"/>
        </w:rPr>
      </w:pPr>
    </w:p>
    <w:p>
      <w:pPr>
        <w:ind w:left="1380" w:right="439" w:firstLine="341"/>
        <w:spacing w:after="0" w:line="265" w:lineRule="auto"/>
        <w:rPr>
          <w:sz w:val="20"/>
          <w:szCs w:val="20"/>
          <w:color w:val="auto"/>
        </w:rPr>
      </w:pPr>
      <w:r>
        <w:rPr>
          <w:rFonts w:ascii="Times New Roman" w:cs="Times New Roman" w:eastAsia="Times New Roman" w:hAnsi="Times New Roman"/>
          <w:sz w:val="14"/>
          <w:szCs w:val="14"/>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w:t>
      </w:r>
    </w:p>
    <w:p>
      <w:pPr>
        <w:spacing w:after="0" w:line="136" w:lineRule="exact"/>
        <w:rPr>
          <w:sz w:val="20"/>
          <w:szCs w:val="20"/>
          <w:color w:val="auto"/>
        </w:rPr>
      </w:pPr>
    </w:p>
    <w:p>
      <w:pPr>
        <w:ind w:left="1380" w:right="339" w:firstLine="341"/>
        <w:spacing w:after="0" w:line="254" w:lineRule="auto"/>
        <w:rPr>
          <w:sz w:val="20"/>
          <w:szCs w:val="20"/>
          <w:color w:val="auto"/>
        </w:rPr>
      </w:pPr>
      <w:r>
        <w:rPr>
          <w:rFonts w:ascii="Times New Roman" w:cs="Times New Roman" w:eastAsia="Times New Roman" w:hAnsi="Times New Roman"/>
          <w:sz w:val="14"/>
          <w:szCs w:val="14"/>
          <w:color w:val="auto"/>
        </w:rPr>
        <w:t>We cannot assure you that our business will generate sufficient cash flow from operations or that future borrowings will be available to us under our Revolving Credit Facility or otherwise in an amount sufficient to enable us to pay our indebtedness, including the Notes, or to fund our other liquidity needs. We may need to refinance all or a portion of our indebtedness, including the Notes,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 including our payment obligations under the Notes.</w:t>
      </w:r>
    </w:p>
    <w:p>
      <w:pPr>
        <w:spacing w:after="0" w:line="229" w:lineRule="exact"/>
        <w:rPr>
          <w:sz w:val="20"/>
          <w:szCs w:val="20"/>
          <w:color w:val="auto"/>
        </w:rPr>
      </w:pPr>
    </w:p>
    <w:p>
      <w:pPr>
        <w:ind w:left="1380" w:right="53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40" w:lineRule="exact"/>
        <w:rPr>
          <w:sz w:val="20"/>
          <w:szCs w:val="20"/>
          <w:color w:val="auto"/>
        </w:rPr>
      </w:pPr>
    </w:p>
    <w:p>
      <w:pPr>
        <w:ind w:left="1380" w:right="359" w:firstLine="341"/>
        <w:spacing w:after="0" w:line="255" w:lineRule="auto"/>
        <w:rPr>
          <w:sz w:val="20"/>
          <w:szCs w:val="20"/>
          <w:color w:val="auto"/>
        </w:rPr>
      </w:pPr>
      <w:r>
        <w:rPr>
          <w:rFonts w:ascii="Times New Roman" w:cs="Times New Roman" w:eastAsia="Times New Roman" w:hAnsi="Times New Roman"/>
          <w:sz w:val="14"/>
          <w:szCs w:val="14"/>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are rated by Moody’s Investor Service, or Moody’s, S&amp;P Global Ratings, or S&amp;P, and Fitch</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405"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259"/>
        <w:spacing w:after="0" w:line="260" w:lineRule="auto"/>
        <w:rPr>
          <w:sz w:val="20"/>
          <w:szCs w:val="20"/>
          <w:color w:val="auto"/>
        </w:rPr>
      </w:pPr>
      <w:r>
        <w:rPr>
          <w:rFonts w:ascii="Times New Roman" w:cs="Times New Roman" w:eastAsia="Times New Roman" w:hAnsi="Times New Roman"/>
          <w:sz w:val="14"/>
          <w:szCs w:val="14"/>
          <w:color w:val="auto"/>
        </w:rPr>
        <w:t>Ratings, or Fitch. There can be no assurance that their respective credit ratings will remain for any given period of time or that such credit ratings will not be lowered or withdrawn entirely by Moody’s, S&amp;P or Fitch if in any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The indenture governing the Notes contains limited protection for holders of the Notes.</w:t>
      </w:r>
    </w:p>
    <w:p>
      <w:pPr>
        <w:spacing w:after="0" w:line="92"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The indenture governing the Notes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do not place any restrictions on our or our subsidiaries’ ability to:</w:t>
      </w:r>
    </w:p>
    <w:p>
      <w:pPr>
        <w:spacing w:after="0" w:line="66" w:lineRule="exact"/>
        <w:rPr>
          <w:sz w:val="20"/>
          <w:szCs w:val="20"/>
          <w:color w:val="auto"/>
        </w:rPr>
      </w:pPr>
    </w:p>
    <w:p>
      <w:pPr>
        <w:ind w:left="2120" w:right="499" w:hanging="327"/>
        <w:spacing w:after="0" w:line="276" w:lineRule="auto"/>
        <w:tabs>
          <w:tab w:leader="none" w:pos="21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securities or otherwise incur additional indebtedness or other obligations, including (1) any indebtedness or other obligations that would be pari passu, or equal, in right of payment to the Notes, (2) any indebtedness or other obligations that would be secured and therefore rank effectively senior in right of payment to the Notes to the extent of the value of the assets securing such indebtedness,</w:t>
      </w:r>
    </w:p>
    <w:p>
      <w:pPr>
        <w:spacing w:after="0" w:line="1" w:lineRule="exact"/>
        <w:rPr>
          <w:rFonts w:ascii="Times New Roman" w:cs="Times New Roman" w:eastAsia="Times New Roman" w:hAnsi="Times New Roman"/>
          <w:sz w:val="13"/>
          <w:szCs w:val="13"/>
          <w:color w:val="auto"/>
        </w:rPr>
      </w:pPr>
    </w:p>
    <w:p>
      <w:pPr>
        <w:ind w:left="2120" w:right="239"/>
        <w:spacing w:after="0" w:line="25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(3) indebtedness or other obligations of ours that are guaranteed by one or more of our subsidiaries and which therefore are structurally senior to the Notes and (4) indebtedness or obligations (including trade payables) incurred by our subsidiaries, financing vehicles or similar facilities that would be senior to our equity interests in those entities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but giving effect, in either case, to any exemptive relief granted to us by the SEC;</w:t>
      </w:r>
    </w:p>
    <w:p>
      <w:pPr>
        <w:spacing w:after="0" w:line="73" w:lineRule="exact"/>
        <w:rPr>
          <w:rFonts w:ascii="Times New Roman" w:cs="Times New Roman" w:eastAsia="Times New Roman" w:hAnsi="Times New Roman"/>
          <w:sz w:val="13"/>
          <w:szCs w:val="13"/>
          <w:color w:val="auto"/>
        </w:rPr>
      </w:pPr>
    </w:p>
    <w:p>
      <w:pPr>
        <w:ind w:left="2120" w:right="519" w:hanging="327"/>
        <w:spacing w:after="0" w:line="281" w:lineRule="auto"/>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on, or purchase or redeem or make any payments in respect of, capital stock or other securities ranking junior in right of payment to the Notes;</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assets (other than certain limited restrictions on our ability to consolidate, merge or sell all or substantially all of our assets);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 (including liens on the shares of our subsidiaries) or enter into sale and leaseback transactions;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affiliates;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or</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restrictions on the payment of dividends or other amounts to us from our subsidiaries.</w:t>
      </w:r>
    </w:p>
    <w:p>
      <w:pPr>
        <w:spacing w:after="0" w:line="174" w:lineRule="exact"/>
        <w:rPr>
          <w:sz w:val="20"/>
          <w:szCs w:val="20"/>
          <w:color w:val="auto"/>
        </w:rPr>
      </w:pPr>
    </w:p>
    <w:p>
      <w:pPr>
        <w:ind w:left="1380" w:right="299" w:firstLine="341"/>
        <w:spacing w:after="0" w:line="265" w:lineRule="auto"/>
        <w:rPr>
          <w:sz w:val="20"/>
          <w:szCs w:val="20"/>
          <w:color w:val="auto"/>
        </w:rPr>
      </w:pPr>
      <w:r>
        <w:rPr>
          <w:rFonts w:ascii="Times New Roman" w:cs="Times New Roman" w:eastAsia="Times New Roman" w:hAnsi="Times New Roman"/>
          <w:sz w:val="14"/>
          <w:szCs w:val="14"/>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36" w:lineRule="exact"/>
        <w:rPr>
          <w:sz w:val="20"/>
          <w:szCs w:val="20"/>
          <w:color w:val="auto"/>
        </w:rPr>
      </w:pPr>
    </w:p>
    <w:p>
      <w:pPr>
        <w:ind w:left="1380" w:right="339" w:firstLine="341"/>
        <w:spacing w:after="0" w:line="265" w:lineRule="auto"/>
        <w:rPr>
          <w:sz w:val="20"/>
          <w:szCs w:val="20"/>
          <w:color w:val="auto"/>
        </w:rPr>
      </w:pPr>
      <w:r>
        <w:rPr>
          <w:rFonts w:ascii="Times New Roman" w:cs="Times New Roman" w:eastAsia="Times New Roman" w:hAnsi="Times New Roman"/>
          <w:sz w:val="14"/>
          <w:szCs w:val="14"/>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36" w:lineRule="exact"/>
        <w:rPr>
          <w:sz w:val="20"/>
          <w:szCs w:val="20"/>
          <w:color w:val="auto"/>
        </w:rPr>
      </w:pPr>
    </w:p>
    <w:p>
      <w:pPr>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405"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The optional redemption provision may materially adversely affect your return on the Notes.</w:t>
      </w:r>
    </w:p>
    <w:p>
      <w:pPr>
        <w:spacing w:after="0" w:line="92" w:lineRule="exact"/>
        <w:rPr>
          <w:sz w:val="20"/>
          <w:szCs w:val="20"/>
          <w:color w:val="auto"/>
        </w:rPr>
      </w:pPr>
    </w:p>
    <w:p>
      <w:pPr>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If we default on our obligations to pay our other indebtedness, we may not be able to make payments on the Notes.</w:t>
      </w:r>
    </w:p>
    <w:p>
      <w:pPr>
        <w:spacing w:after="0" w:line="92" w:lineRule="exact"/>
        <w:rPr>
          <w:sz w:val="20"/>
          <w:szCs w:val="20"/>
          <w:color w:val="auto"/>
        </w:rPr>
      </w:pPr>
    </w:p>
    <w:p>
      <w:pPr>
        <w:jc w:val="both"/>
        <w:ind w:left="1380" w:right="419" w:firstLine="341"/>
        <w:spacing w:after="0" w:line="260" w:lineRule="auto"/>
        <w:rPr>
          <w:sz w:val="20"/>
          <w:szCs w:val="20"/>
          <w:color w:val="auto"/>
        </w:rPr>
      </w:pPr>
      <w:r>
        <w:rPr>
          <w:rFonts w:ascii="Times New Roman" w:cs="Times New Roman" w:eastAsia="Times New Roman" w:hAnsi="Times New Roman"/>
          <w:sz w:val="14"/>
          <w:szCs w:val="14"/>
          <w:color w:val="auto"/>
        </w:rPr>
        <w:t>Any default under the agreements governing our indebtedness, including a default under our Revolving Credit Facility or under the 2026 Notes, 2028 Notes, 2029 Notes or 2030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40" w:lineRule="exact"/>
        <w:rPr>
          <w:sz w:val="20"/>
          <w:szCs w:val="20"/>
          <w:color w:val="auto"/>
        </w:rPr>
      </w:pPr>
    </w:p>
    <w:p>
      <w:pPr>
        <w:ind w:left="1380" w:right="299" w:firstLine="341"/>
        <w:spacing w:after="0" w:line="254" w:lineRule="auto"/>
        <w:rPr>
          <w:sz w:val="20"/>
          <w:szCs w:val="20"/>
          <w:color w:val="auto"/>
        </w:rPr>
      </w:pPr>
      <w:r>
        <w:rPr>
          <w:rFonts w:ascii="Times New Roman" w:cs="Times New Roman" w:eastAsia="Times New Roman" w:hAnsi="Times New Roman"/>
          <w:sz w:val="14"/>
          <w:szCs w:val="14"/>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Revolving Credit Facility or other debt we may incur in the future could elect to terminate their commitments, cease making further loans and institute foreclosure proceedings against our assets, and we could be forced into bankruptcy or liquidation.</w:t>
      </w:r>
    </w:p>
    <w:p>
      <w:pPr>
        <w:spacing w:after="0" w:line="147"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43" w:lineRule="exact"/>
        <w:rPr>
          <w:sz w:val="20"/>
          <w:szCs w:val="20"/>
          <w:color w:val="auto"/>
        </w:rPr>
      </w:pPr>
    </w:p>
    <w:p>
      <w:pPr>
        <w:ind w:left="1380" w:right="299" w:firstLine="341"/>
        <w:spacing w:after="0" w:line="257" w:lineRule="auto"/>
        <w:rPr>
          <w:sz w:val="20"/>
          <w:szCs w:val="20"/>
          <w:color w:val="auto"/>
        </w:rPr>
      </w:pPr>
      <w:r>
        <w:rPr>
          <w:rFonts w:ascii="Times New Roman" w:cs="Times New Roman" w:eastAsia="Times New Roman" w:hAnsi="Times New Roman"/>
          <w:sz w:val="14"/>
          <w:szCs w:val="14"/>
          <w:color w:val="auto"/>
        </w:rPr>
        <w:t>If we are unable to repay debt, lenders having secured obligations, including the lenders under our Revolving Credit Facility, could proceed against the collateral securing the debt. Because our Revolving Credit Facility, 2026 Notes, 2028 Notes, 2029 Notes and 2030 Notes have, the indenture will have, and any future debt will likely have, customary cross-default provisions, if the indebtedness thereunder, hereunder or under any future credit facility is accelerated, we may be unable to repay or finance the amounts due. See “Description of Notes” in this prospectus supplement and “Description of Our Debt Securities” in the accompanying prospectus.</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repurchase the Notes upon a Change of Control Repurchase Event.</w:t>
      </w:r>
    </w:p>
    <w:p>
      <w:pPr>
        <w:spacing w:after="0" w:line="92" w:lineRule="exact"/>
        <w:rPr>
          <w:sz w:val="20"/>
          <w:szCs w:val="20"/>
          <w:color w:val="auto"/>
        </w:rPr>
      </w:pPr>
    </w:p>
    <w:p>
      <w:pPr>
        <w:ind w:left="1380" w:right="359" w:firstLine="341"/>
        <w:spacing w:after="0" w:line="253" w:lineRule="auto"/>
        <w:rPr>
          <w:sz w:val="20"/>
          <w:szCs w:val="20"/>
          <w:color w:val="auto"/>
        </w:rPr>
      </w:pPr>
      <w:r>
        <w:rPr>
          <w:rFonts w:ascii="Times New Roman" w:cs="Times New Roman" w:eastAsia="Times New Roman" w:hAnsi="Times New Roman"/>
          <w:sz w:val="14"/>
          <w:szCs w:val="14"/>
          <w:color w:val="auto"/>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The terms of the Revolving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our 2026 Notes, 2028 Notes, 2029 Notes and 2030 Notes each contain a provision that would require us to offer to purchase the respective 2026 Notes, 2028 Notes, 2029 Notes and 2030 Notes upon the occurrence of a fundamental change.</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405"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299" w:firstLine="341"/>
        <w:spacing w:after="0" w:line="255" w:lineRule="auto"/>
        <w:rPr>
          <w:sz w:val="20"/>
          <w:szCs w:val="20"/>
          <w:color w:val="auto"/>
        </w:rPr>
      </w:pPr>
      <w:r>
        <w:rPr>
          <w:rFonts w:ascii="Times New Roman" w:cs="Times New Roman" w:eastAsia="Times New Roman" w:hAnsi="Times New Roman"/>
          <w:sz w:val="14"/>
          <w:szCs w:val="14"/>
          <w:color w:val="auto"/>
        </w:rPr>
        <w:t>Any failure to comply with these provisions would constitute an event of default under each of the other agreements governing our indebtedness, including the indenture.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Notes—Offer to Repurchase Upon a Change of Control Repurchase Event.”</w:t>
      </w:r>
    </w:p>
    <w:p>
      <w:pPr>
        <w:spacing w:after="0" w:line="2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We cannot assure that an active trading market will be maintained for the Notes.</w:t>
      </w:r>
    </w:p>
    <w:p>
      <w:pPr>
        <w:spacing w:after="0" w:line="92"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your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advised us that they currently intend to make a market in the Notes but they are not obligated to do so. The underwriters may discontinue any market-making in the Notes at any time at their sole discretion. In addition, any market-making activity will be subject to limits imposed by law. Accordingly, we cannot assure you that a liquid trading market will be maintained for the Notes, that you will be able to sell your Notes at a particular time or that the price you receive when you sell will be favorable. To the extent an active trading market is not maintained, the liquidity and trading price for the Notes may be harmed. Accordingly, you may be required to bear the financial risk of an investment in the Notes for an indefinite period of time.</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405"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6" w:lineRule="exact"/>
        <w:rPr>
          <w:sz w:val="20"/>
          <w:szCs w:val="20"/>
          <w:color w:val="auto"/>
        </w:rPr>
      </w:pPr>
    </w:p>
    <w:p>
      <w:pPr>
        <w:ind w:left="1380" w:right="559" w:firstLine="341"/>
        <w:spacing w:after="0" w:line="281" w:lineRule="auto"/>
        <w:rPr>
          <w:sz w:val="20"/>
          <w:szCs w:val="20"/>
          <w:color w:val="auto"/>
        </w:rPr>
      </w:pPr>
      <w:r>
        <w:rPr>
          <w:rFonts w:ascii="Times New Roman" w:cs="Times New Roman" w:eastAsia="Times New Roman" w:hAnsi="Times New Roman"/>
          <w:sz w:val="14"/>
          <w:szCs w:val="14"/>
          <w:color w:val="auto"/>
        </w:rPr>
        <w:t>We estimate that the net proceeds we will receive from the sale of $300.0 million aggregate principal amount of Notes in this offering will be approximately $293.2 million, after deducting the underwriting discounts and commissions and estimated offering expenses payable by us.</w:t>
      </w:r>
    </w:p>
    <w:p>
      <w:pPr>
        <w:spacing w:after="0" w:line="125" w:lineRule="exact"/>
        <w:rPr>
          <w:sz w:val="20"/>
          <w:szCs w:val="20"/>
          <w:color w:val="auto"/>
        </w:rPr>
      </w:pPr>
    </w:p>
    <w:p>
      <w:pPr>
        <w:ind w:left="1380" w:right="299" w:firstLine="341"/>
        <w:spacing w:after="0" w:line="251" w:lineRule="auto"/>
        <w:rPr>
          <w:sz w:val="20"/>
          <w:szCs w:val="20"/>
          <w:color w:val="auto"/>
        </w:rPr>
      </w:pPr>
      <w:r>
        <w:rPr>
          <w:rFonts w:ascii="Times New Roman" w:cs="Times New Roman" w:eastAsia="Times New Roman" w:hAnsi="Times New Roman"/>
          <w:sz w:val="14"/>
          <w:szCs w:val="14"/>
          <w:color w:val="auto"/>
        </w:rPr>
        <w:t>We intend to use the net proceeds of this offering to pay down a portion of the outstanding indebtedness on the Revolving Credit Facility on or about the date of the closing of this offering and for general corporate purposes, including making new investments in accordance with our investment objective and strategies described in this prospectus supplement and the accompanying prospectus. We anticipate that it will take us less than three months after the completion of this offering for us to substantially invest the net proceeds from this offering for the above purposes, depending on the availability of appropriate investment opportunities consistent with our investment objectives, market conditions and the amounts raised. We cannot assure you that we will achieve our targeted investment pace. As of March 31, 2026, aggregate commitments under the facility were $1,675 million. However, through reborrowing under the Revolving Credit Facility, we intend to make new investments in accordance with our investment objective and strategies described in this prospectus supplement and the accompanying prospectus. Pursuant to the Seventeenth Amendment to the Revolving Credit Facility dated May 1, 2026, with respect to $1.525 billion of commitments, the revolving period, during which period we, subject to certain conditions, may make borrowings under the Revolving Credit Facility, was extended to May 1, 2030 and the stated maturity was extended to May 1, 2031. 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See “Management’s Discussion and Analysis of Financial Condition and Results of Operations—Financial Condition, Liquidity and Capital Resources— Revolving Credit Facility” in Part II, Item 2 of our 1Q 2026 Quarterly Report.</w:t>
      </w:r>
    </w:p>
    <w:p>
      <w:pPr>
        <w:spacing w:after="0" w:line="152" w:lineRule="exact"/>
        <w:rPr>
          <w:sz w:val="20"/>
          <w:szCs w:val="20"/>
          <w:color w:val="auto"/>
        </w:rPr>
      </w:pPr>
    </w:p>
    <w:p>
      <w:pPr>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405"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6" w:lineRule="exact"/>
        <w:rPr>
          <w:sz w:val="20"/>
          <w:szCs w:val="20"/>
          <w:color w:val="auto"/>
        </w:rPr>
      </w:pPr>
    </w:p>
    <w:p>
      <w:pPr>
        <w:ind w:left="1380" w:right="419" w:firstLine="341"/>
        <w:spacing w:after="0" w:line="265" w:lineRule="auto"/>
        <w:rPr>
          <w:sz w:val="20"/>
          <w:szCs w:val="20"/>
          <w:color w:val="auto"/>
        </w:rPr>
      </w:pPr>
      <w:r>
        <w:rPr>
          <w:rFonts w:ascii="Times New Roman" w:cs="Times New Roman" w:eastAsia="Times New Roman" w:hAnsi="Times New Roman"/>
          <w:sz w:val="14"/>
          <w:szCs w:val="14"/>
          <w:color w:val="auto"/>
        </w:rPr>
        <w:t>The following table sets forth our consolidated capitalization at March 31, 2026. You should read this table together with “Use of Proceeds” described in this prospectus supplement and our most recent balance sheet included in our 1Q 2026 Quarterly Report incorporated by reference in this prospectus supplement.</w:t>
      </w:r>
    </w:p>
    <w:p>
      <w:pPr>
        <w:spacing w:after="0" w:line="142" w:lineRule="exact"/>
        <w:rPr>
          <w:sz w:val="20"/>
          <w:szCs w:val="20"/>
          <w:color w:val="auto"/>
        </w:rPr>
      </w:pPr>
    </w:p>
    <w:tbl>
      <w:tblPr>
        <w:tblLayout w:type="fixed"/>
        <w:tblInd w:w="1380" w:type="dxa"/>
        <w:tblCellMar>
          <w:top w:w="0" w:type="dxa"/>
          <w:left w:w="0" w:type="dxa"/>
          <w:bottom w:w="0" w:type="dxa"/>
          <w:right w:w="0" w:type="dxa"/>
        </w:tblCellMar>
      </w:tblPr>
      <w:tr>
        <w:trPr>
          <w:trHeight w:val="126"/>
        </w:trPr>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0" w:type="dxa"/>
            <w:vAlign w:val="bottom"/>
          </w:tcPr>
          <w:p>
            <w:pPr>
              <w:spacing w:after="0"/>
              <w:rPr>
                <w:sz w:val="1"/>
                <w:szCs w:val="1"/>
                <w:color w:val="auto"/>
              </w:rPr>
            </w:pPr>
          </w:p>
        </w:tc>
      </w:tr>
      <w:tr>
        <w:trPr>
          <w:trHeight w:val="134"/>
        </w:trPr>
        <w:tc>
          <w:tcPr>
            <w:tcW w:w="70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1"/>
                <w:szCs w:val="11"/>
                <w:b w:val="1"/>
                <w:bCs w:val="1"/>
                <w:color w:val="auto"/>
              </w:rPr>
              <w:t>(Amounts in thousands, except share and per share amounts)</w:t>
            </w:r>
          </w:p>
        </w:tc>
        <w:tc>
          <w:tcPr>
            <w:tcW w:w="8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0" w:type="dxa"/>
            <w:vAlign w:val="bottom"/>
          </w:tcPr>
          <w:p>
            <w:pPr>
              <w:spacing w:after="0"/>
              <w:rPr>
                <w:sz w:val="1"/>
                <w:szCs w:val="1"/>
                <w:color w:val="auto"/>
              </w:rPr>
            </w:pPr>
          </w:p>
        </w:tc>
      </w:tr>
      <w:tr>
        <w:trPr>
          <w:trHeight w:val="106"/>
        </w:trPr>
        <w:tc>
          <w:tcPr>
            <w:tcW w:w="70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340" w:type="dxa"/>
            <w:vAlign w:val="bottom"/>
            <w:gridSpan w:val="2"/>
          </w:tcPr>
          <w:p>
            <w:pPr>
              <w:spacing w:after="0" w:line="167" w:lineRule="exact"/>
              <w:rPr>
                <w:sz w:val="20"/>
                <w:szCs w:val="20"/>
                <w:color w:val="auto"/>
              </w:rPr>
            </w:pPr>
            <w:r>
              <w:rPr>
                <w:rFonts w:ascii="Times New Roman" w:cs="Times New Roman" w:eastAsia="Times New Roman" w:hAnsi="Times New Roman"/>
                <w:sz w:val="14"/>
                <w:szCs w:val="14"/>
                <w:b w:val="1"/>
                <w:bCs w:val="1"/>
                <w:color w:val="auto"/>
              </w:rPr>
              <w:t xml:space="preserve">Debt </w:t>
            </w:r>
            <w:r>
              <w:rPr>
                <w:rFonts w:ascii="Times New Roman" w:cs="Times New Roman" w:eastAsia="Times New Roman" w:hAnsi="Times New Roman"/>
                <w:sz w:val="17"/>
                <w:szCs w:val="17"/>
                <w:b w:val="1"/>
                <w:bCs w:val="1"/>
                <w:color w:val="auto"/>
                <w:vertAlign w:val="superscript"/>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Revolving Credit Facility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577,432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2026 Notes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 Notes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2029 Notes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 Notes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Debt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1,827,432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stock, $0.01 par value; 100,000,000 shares authorized; no shares issued and outstanding</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63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Common stock, $0.01 par value; 400,000,000 shares authorized; 95,683,850 shares issued and</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6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95,019,600 shares outstanding</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1,541,068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Treasury stock at cost, 664,250 shares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(10,459)</w:t>
            </w: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Distributable earnings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1,542,673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Total capitalization</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3,370,105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jc w:val="both"/>
        <w:ind w:left="1700" w:right="399" w:hanging="325"/>
        <w:spacing w:after="0" w:line="265" w:lineRule="auto"/>
        <w:tabs>
          <w:tab w:leader="none" w:pos="17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above table reflects the principal amount of indebtedness outstanding as of March 31, 2026. Outstanding indebtedness under the Revolving Credit Facility was $603.0 million as of May 5, 2026. The net proceeds from the sale of the Notes in this offering are expected to be used to pay down outstanding indebtedness under the Revolving Credit Facility. See “Use of Proceeds” in this prospectus supplement.</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405"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SENIOR SECURITIES</w:t>
      </w:r>
    </w:p>
    <w:p>
      <w:pPr>
        <w:spacing w:after="0" w:line="176" w:lineRule="exact"/>
        <w:rPr>
          <w:sz w:val="20"/>
          <w:szCs w:val="20"/>
          <w:color w:val="auto"/>
        </w:rPr>
      </w:pPr>
    </w:p>
    <w:p>
      <w:pPr>
        <w:ind w:left="1380" w:right="359" w:firstLine="341"/>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Information about our senior securities (including preferred stock, debt securities and other indebtedness) as of the end of the last ten fiscal years is shown in Part II, Item 5 of our </w:t>
      </w:r>
      <w:hyperlink r:id="rId17">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and is incorporated herein by reference. Information about our senior securities is shown in the following table as of March 31, 2026 (unaudited). The “—” indicates information that the SEC expressly does not require to be disclosed for certain types of senior securities.</w:t>
      </w:r>
    </w:p>
    <w:p>
      <w:pPr>
        <w:spacing w:after="0" w:line="145"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w w:val="96"/>
              </w:rPr>
              <w:t>Total Amount</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6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2"/>
            <w:vMerge w:val="restart"/>
          </w:tcPr>
          <w:p>
            <w:pPr>
              <w:jc w:val="center"/>
              <w:ind w:left="404"/>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6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Exclusive of</w:t>
            </w:r>
          </w:p>
        </w:tc>
        <w:tc>
          <w:tcPr>
            <w:tcW w:w="46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Asset</w:t>
            </w:r>
          </w:p>
        </w:tc>
        <w:tc>
          <w:tcPr>
            <w:tcW w:w="104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b w:val="1"/>
                <w:bCs w:val="1"/>
                <w:color w:val="auto"/>
                <w:w w:val="95"/>
              </w:rPr>
              <w:t>Market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31"/>
              <w:spacing w:after="0" w:line="115"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4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Liquidating</w:t>
            </w:r>
          </w:p>
        </w:tc>
        <w:tc>
          <w:tcPr>
            <w:tcW w:w="480" w:type="dxa"/>
            <w:vAlign w:val="bottom"/>
          </w:tcPr>
          <w:p>
            <w:pPr>
              <w:spacing w:after="0"/>
              <w:rPr>
                <w:sz w:val="10"/>
                <w:szCs w:val="10"/>
                <w:color w:val="auto"/>
              </w:rPr>
            </w:pPr>
          </w:p>
        </w:tc>
        <w:tc>
          <w:tcPr>
            <w:tcW w:w="44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15"/>
        </w:trPr>
        <w:tc>
          <w:tcPr>
            <w:tcW w:w="258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Class and Year/Period</w:t>
            </w:r>
          </w:p>
        </w:tc>
        <w:tc>
          <w:tcPr>
            <w:tcW w:w="1020" w:type="dxa"/>
            <w:vAlign w:val="bottom"/>
          </w:tcPr>
          <w:p>
            <w:pPr>
              <w:spacing w:after="0"/>
              <w:rPr>
                <w:sz w:val="10"/>
                <w:szCs w:val="10"/>
                <w:color w:val="auto"/>
              </w:rPr>
            </w:pPr>
          </w:p>
        </w:tc>
        <w:tc>
          <w:tcPr>
            <w:tcW w:w="66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 xml:space="preserve">Securities </w:t>
            </w:r>
            <w:r>
              <w:rPr>
                <w:rFonts w:ascii="Times New Roman" w:cs="Times New Roman" w:eastAsia="Times New Roman" w:hAnsi="Times New Roman"/>
                <w:sz w:val="6"/>
                <w:szCs w:val="6"/>
                <w:b w:val="1"/>
                <w:bCs w:val="1"/>
                <w:color w:val="auto"/>
              </w:rPr>
              <w:t>(1)</w:t>
            </w:r>
          </w:p>
        </w:tc>
        <w:tc>
          <w:tcPr>
            <w:tcW w:w="460" w:type="dxa"/>
            <w:vAlign w:val="bottom"/>
          </w:tcPr>
          <w:p>
            <w:pPr>
              <w:spacing w:after="0"/>
              <w:rPr>
                <w:sz w:val="10"/>
                <w:szCs w:val="10"/>
                <w:color w:val="auto"/>
              </w:rPr>
            </w:pPr>
          </w:p>
        </w:tc>
        <w:tc>
          <w:tcPr>
            <w:tcW w:w="5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Coverage</w:t>
            </w:r>
          </w:p>
        </w:tc>
        <w:tc>
          <w:tcPr>
            <w:tcW w:w="46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Preference</w:t>
            </w:r>
          </w:p>
        </w:tc>
        <w:tc>
          <w:tcPr>
            <w:tcW w:w="480" w:type="dxa"/>
            <w:vAlign w:val="bottom"/>
          </w:tcPr>
          <w:p>
            <w:pPr>
              <w:spacing w:after="0"/>
              <w:rPr>
                <w:sz w:val="10"/>
                <w:szCs w:val="10"/>
                <w:color w:val="auto"/>
              </w:rPr>
            </w:pPr>
          </w:p>
        </w:tc>
        <w:tc>
          <w:tcPr>
            <w:tcW w:w="44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Per</w:t>
            </w:r>
          </w:p>
        </w:tc>
        <w:tc>
          <w:tcPr>
            <w:tcW w:w="0" w:type="dxa"/>
            <w:vAlign w:val="bottom"/>
          </w:tcPr>
          <w:p>
            <w:pPr>
              <w:spacing w:after="0"/>
              <w:rPr>
                <w:sz w:val="1"/>
                <w:szCs w:val="1"/>
                <w:color w:val="auto"/>
              </w:rPr>
            </w:pPr>
          </w:p>
        </w:tc>
      </w:tr>
      <w:tr>
        <w:trPr>
          <w:trHeight w:val="124"/>
        </w:trPr>
        <w:tc>
          <w:tcPr>
            <w:tcW w:w="2580" w:type="dxa"/>
            <w:vAlign w:val="bottom"/>
            <w:gridSpan w:val="5"/>
            <w:vMerge w:val="continue"/>
          </w:tcPr>
          <w:p>
            <w:pPr>
              <w:spacing w:after="0"/>
              <w:rPr>
                <w:sz w:val="10"/>
                <w:szCs w:val="10"/>
                <w:color w:val="auto"/>
              </w:rPr>
            </w:pPr>
          </w:p>
        </w:tc>
        <w:tc>
          <w:tcPr>
            <w:tcW w:w="1680" w:type="dxa"/>
            <w:vAlign w:val="bottom"/>
            <w:gridSpan w:val="3"/>
          </w:tcPr>
          <w:p>
            <w:pPr>
              <w:ind w:left="1020"/>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8"/>
              </w:rPr>
              <w:t>(</w:t>
            </w:r>
            <w:r>
              <w:rPr>
                <w:rFonts w:ascii="Times New Roman" w:cs="Times New Roman" w:eastAsia="Times New Roman" w:hAnsi="Times New Roman"/>
                <w:sz w:val="11"/>
                <w:szCs w:val="11"/>
                <w:b w:val="1"/>
                <w:bCs w:val="1"/>
                <w:color w:val="auto"/>
                <w:w w:val="98"/>
              </w:rPr>
              <w:t>$ in millions)</w:t>
            </w:r>
          </w:p>
        </w:tc>
        <w:tc>
          <w:tcPr>
            <w:tcW w:w="460" w:type="dxa"/>
            <w:vAlign w:val="bottom"/>
          </w:tcPr>
          <w:p>
            <w:pPr>
              <w:spacing w:after="0"/>
              <w:rPr>
                <w:sz w:val="10"/>
                <w:szCs w:val="10"/>
                <w:color w:val="auto"/>
              </w:rPr>
            </w:pPr>
          </w:p>
        </w:tc>
        <w:tc>
          <w:tcPr>
            <w:tcW w:w="5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9"/>
              </w:rPr>
              <w:t>Per Unit</w:t>
            </w:r>
          </w:p>
        </w:tc>
        <w:tc>
          <w:tcPr>
            <w:tcW w:w="460" w:type="dxa"/>
            <w:vAlign w:val="bottom"/>
          </w:tcPr>
          <w:p>
            <w:pPr>
              <w:spacing w:after="0"/>
              <w:rPr>
                <w:sz w:val="10"/>
                <w:szCs w:val="10"/>
                <w:color w:val="auto"/>
              </w:rPr>
            </w:pPr>
          </w:p>
        </w:tc>
        <w:tc>
          <w:tcPr>
            <w:tcW w:w="5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Per Unit</w:t>
            </w:r>
          </w:p>
        </w:tc>
        <w:tc>
          <w:tcPr>
            <w:tcW w:w="480" w:type="dxa"/>
            <w:vAlign w:val="bottom"/>
          </w:tcPr>
          <w:p>
            <w:pPr>
              <w:spacing w:after="0"/>
              <w:rPr>
                <w:sz w:val="10"/>
                <w:szCs w:val="10"/>
                <w:color w:val="auto"/>
              </w:rPr>
            </w:pPr>
          </w:p>
        </w:tc>
        <w:tc>
          <w:tcPr>
            <w:tcW w:w="44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b w:val="1"/>
                <w:bCs w:val="1"/>
                <w:color w:val="auto"/>
              </w:rPr>
              <w:t>Unit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60" w:type="dxa"/>
            <w:vAlign w:val="bottom"/>
            <w:gridSpan w:val="4"/>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Revolving Credit Facilities</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tcPr>
          <w:p>
            <w:pPr>
              <w:spacing w:after="0" w:line="159" w:lineRule="exact"/>
              <w:rPr>
                <w:sz w:val="20"/>
                <w:szCs w:val="20"/>
                <w:color w:val="auto"/>
              </w:rPr>
            </w:pPr>
            <w:r>
              <w:rPr>
                <w:rFonts w:ascii="Times New Roman" w:cs="Times New Roman" w:eastAsia="Times New Roman" w:hAnsi="Times New Roman"/>
                <w:sz w:val="14"/>
                <w:szCs w:val="14"/>
                <w:color w:val="auto"/>
              </w:rPr>
              <w:t>March 31, 2026</w:t>
            </w:r>
          </w:p>
        </w:tc>
        <w:tc>
          <w:tcPr>
            <w:tcW w:w="1000" w:type="dxa"/>
            <w:vAlign w:val="bottom"/>
            <w:tcBorders>
              <w:top w:val="single" w:sz="8" w:color="CCEEFF"/>
            </w:tcBorders>
          </w:tcPr>
          <w:p>
            <w:pPr>
              <w:spacing w:after="0"/>
              <w:rPr>
                <w:sz w:val="13"/>
                <w:szCs w:val="13"/>
                <w:color w:val="auto"/>
              </w:rPr>
            </w:pPr>
          </w:p>
        </w:tc>
        <w:tc>
          <w:tcPr>
            <w:tcW w:w="1100" w:type="dxa"/>
            <w:vAlign w:val="bottom"/>
            <w:tcBorders>
              <w:top w:val="single" w:sz="8" w:color="CCEEFF"/>
            </w:tcBorders>
            <w:gridSpan w:val="2"/>
          </w:tcPr>
          <w:p>
            <w:pPr>
              <w:ind w:left="10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577.4</w:t>
            </w:r>
          </w:p>
        </w:tc>
        <w:tc>
          <w:tcPr>
            <w:tcW w:w="960" w:type="dxa"/>
            <w:vAlign w:val="bottom"/>
            <w:tcBorders>
              <w:top w:val="single" w:sz="8" w:color="CCEEFF"/>
            </w:tcBorders>
            <w:gridSpan w:val="2"/>
          </w:tcPr>
          <w:p>
            <w:pPr>
              <w:jc w:val="center"/>
              <w:ind w:left="390"/>
              <w:spacing w:after="0" w:line="159" w:lineRule="exact"/>
              <w:rPr>
                <w:sz w:val="20"/>
                <w:szCs w:val="20"/>
                <w:color w:val="auto"/>
              </w:rPr>
            </w:pPr>
            <w:r>
              <w:rPr>
                <w:rFonts w:ascii="Times New Roman" w:cs="Times New Roman" w:eastAsia="Times New Roman" w:hAnsi="Times New Roman"/>
                <w:sz w:val="14"/>
                <w:szCs w:val="14"/>
                <w:color w:val="auto"/>
              </w:rPr>
              <w:t>$1,847.0</w:t>
            </w:r>
          </w:p>
        </w:tc>
        <w:tc>
          <w:tcPr>
            <w:tcW w:w="46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513.9</w:t>
            </w:r>
          </w:p>
        </w:tc>
        <w:tc>
          <w:tcPr>
            <w:tcW w:w="9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$1,914.9</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1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1,004.1</w:t>
            </w:r>
          </w:p>
        </w:tc>
        <w:tc>
          <w:tcPr>
            <w:tcW w:w="960" w:type="dxa"/>
            <w:vAlign w:val="bottom"/>
            <w:gridSpan w:val="2"/>
          </w:tcPr>
          <w:p>
            <w:pPr>
              <w:jc w:val="center"/>
              <w:ind w:left="390"/>
              <w:spacing w:after="0"/>
              <w:rPr>
                <w:sz w:val="20"/>
                <w:szCs w:val="20"/>
                <w:color w:val="auto"/>
              </w:rPr>
            </w:pPr>
            <w:r>
              <w:rPr>
                <w:rFonts w:ascii="Times New Roman" w:cs="Times New Roman" w:eastAsia="Times New Roman" w:hAnsi="Times New Roman"/>
                <w:sz w:val="14"/>
                <w:szCs w:val="14"/>
                <w:color w:val="auto"/>
              </w:rPr>
              <w:t>$1,824.7</w:t>
            </w:r>
          </w:p>
        </w:tc>
        <w:tc>
          <w:tcPr>
            <w:tcW w:w="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889.7</w:t>
            </w:r>
          </w:p>
        </w:tc>
        <w:tc>
          <w:tcPr>
            <w:tcW w:w="9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$1,815.9</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11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719.3</w:t>
            </w:r>
          </w:p>
        </w:tc>
        <w:tc>
          <w:tcPr>
            <w:tcW w:w="960" w:type="dxa"/>
            <w:vAlign w:val="bottom"/>
            <w:gridSpan w:val="2"/>
          </w:tcPr>
          <w:p>
            <w:pPr>
              <w:jc w:val="center"/>
              <w:ind w:left="390"/>
              <w:spacing w:after="0"/>
              <w:rPr>
                <w:sz w:val="20"/>
                <w:szCs w:val="20"/>
                <w:color w:val="auto"/>
              </w:rPr>
            </w:pPr>
            <w:r>
              <w:rPr>
                <w:rFonts w:ascii="Times New Roman" w:cs="Times New Roman" w:eastAsia="Times New Roman" w:hAnsi="Times New Roman"/>
                <w:sz w:val="14"/>
                <w:szCs w:val="14"/>
                <w:color w:val="auto"/>
              </w:rPr>
              <w:t>$1,885.7</w:t>
            </w:r>
          </w:p>
        </w:tc>
        <w:tc>
          <w:tcPr>
            <w:tcW w:w="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9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$2,053.6</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 2020</w:t>
            </w:r>
          </w:p>
        </w:tc>
        <w:tc>
          <w:tcPr>
            <w:tcW w:w="11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960" w:type="dxa"/>
            <w:vAlign w:val="bottom"/>
            <w:gridSpan w:val="2"/>
          </w:tcPr>
          <w:p>
            <w:pPr>
              <w:jc w:val="center"/>
              <w:ind w:left="390"/>
              <w:spacing w:after="0"/>
              <w:rPr>
                <w:sz w:val="20"/>
                <w:szCs w:val="20"/>
                <w:color w:val="auto"/>
              </w:rPr>
            </w:pPr>
            <w:r>
              <w:rPr>
                <w:rFonts w:ascii="Times New Roman" w:cs="Times New Roman" w:eastAsia="Times New Roman" w:hAnsi="Times New Roman"/>
                <w:sz w:val="14"/>
                <w:szCs w:val="14"/>
                <w:color w:val="auto"/>
              </w:rPr>
              <w:t>$2,045.4</w:t>
            </w:r>
          </w:p>
        </w:tc>
        <w:tc>
          <w:tcPr>
            <w:tcW w:w="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495.7</w:t>
            </w:r>
          </w:p>
        </w:tc>
        <w:tc>
          <w:tcPr>
            <w:tcW w:w="9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$2,004.1</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 2018</w:t>
            </w:r>
          </w:p>
        </w:tc>
        <w:tc>
          <w:tcPr>
            <w:tcW w:w="11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960" w:type="dxa"/>
            <w:vAlign w:val="bottom"/>
            <w:gridSpan w:val="2"/>
          </w:tcPr>
          <w:p>
            <w:pPr>
              <w:jc w:val="center"/>
              <w:ind w:left="390"/>
              <w:spacing w:after="0"/>
              <w:rPr>
                <w:sz w:val="20"/>
                <w:szCs w:val="20"/>
                <w:color w:val="auto"/>
              </w:rPr>
            </w:pPr>
            <w:r>
              <w:rPr>
                <w:rFonts w:ascii="Times New Roman" w:cs="Times New Roman" w:eastAsia="Times New Roman" w:hAnsi="Times New Roman"/>
                <w:sz w:val="14"/>
                <w:szCs w:val="14"/>
                <w:color w:val="auto"/>
              </w:rPr>
              <w:t>$2,705.2</w:t>
            </w:r>
          </w:p>
        </w:tc>
        <w:tc>
          <w:tcPr>
            <w:tcW w:w="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2017</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486.8</w:t>
            </w:r>
          </w:p>
        </w:tc>
        <w:tc>
          <w:tcPr>
            <w:tcW w:w="9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$2,355.3</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 2016</w:t>
            </w:r>
          </w:p>
        </w:tc>
        <w:tc>
          <w:tcPr>
            <w:tcW w:w="11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578.7</w:t>
            </w:r>
          </w:p>
        </w:tc>
        <w:tc>
          <w:tcPr>
            <w:tcW w:w="960" w:type="dxa"/>
            <w:vAlign w:val="bottom"/>
            <w:gridSpan w:val="2"/>
          </w:tcPr>
          <w:p>
            <w:pPr>
              <w:jc w:val="center"/>
              <w:ind w:left="390"/>
              <w:spacing w:after="0"/>
              <w:rPr>
                <w:sz w:val="20"/>
                <w:szCs w:val="20"/>
                <w:color w:val="auto"/>
              </w:rPr>
            </w:pPr>
            <w:r>
              <w:rPr>
                <w:rFonts w:ascii="Times New Roman" w:cs="Times New Roman" w:eastAsia="Times New Roman" w:hAnsi="Times New Roman"/>
                <w:sz w:val="14"/>
                <w:szCs w:val="14"/>
                <w:color w:val="auto"/>
              </w:rPr>
              <w:t>$2,376.6</w:t>
            </w:r>
          </w:p>
        </w:tc>
        <w:tc>
          <w:tcPr>
            <w:tcW w:w="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6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2026 Notes</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2560" w:type="dxa"/>
            <w:vAlign w:val="bottom"/>
            <w:gridSpan w:val="4"/>
          </w:tcPr>
          <w:p>
            <w:pPr>
              <w:spacing w:after="0" w:line="159" w:lineRule="exact"/>
              <w:rPr>
                <w:sz w:val="20"/>
                <w:szCs w:val="20"/>
                <w:color w:val="auto"/>
              </w:rPr>
            </w:pPr>
            <w:r>
              <w:rPr>
                <w:rFonts w:ascii="Times New Roman" w:cs="Times New Roman" w:eastAsia="Times New Roman" w:hAnsi="Times New Roman"/>
                <w:sz w:val="14"/>
                <w:szCs w:val="14"/>
                <w:color w:val="auto"/>
              </w:rPr>
              <w:t>March 31, 2026</w:t>
            </w:r>
          </w:p>
        </w:tc>
        <w:tc>
          <w:tcPr>
            <w:tcW w:w="1100" w:type="dxa"/>
            <w:vAlign w:val="bottom"/>
            <w:gridSpan w:val="2"/>
          </w:tcPr>
          <w:p>
            <w:pPr>
              <w:ind w:left="10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299.9</w:t>
            </w:r>
          </w:p>
        </w:tc>
        <w:tc>
          <w:tcPr>
            <w:tcW w:w="960" w:type="dxa"/>
            <w:vAlign w:val="bottom"/>
            <w:gridSpan w:val="2"/>
          </w:tcPr>
          <w:p>
            <w:pPr>
              <w:jc w:val="center"/>
              <w:ind w:left="390"/>
              <w:spacing w:after="0" w:line="159" w:lineRule="exact"/>
              <w:rPr>
                <w:sz w:val="20"/>
                <w:szCs w:val="20"/>
                <w:color w:val="auto"/>
              </w:rPr>
            </w:pPr>
            <w:r>
              <w:rPr>
                <w:rFonts w:ascii="Times New Roman" w:cs="Times New Roman" w:eastAsia="Times New Roman" w:hAnsi="Times New Roman"/>
                <w:sz w:val="14"/>
                <w:szCs w:val="14"/>
                <w:color w:val="auto"/>
              </w:rPr>
              <w:t>$1,847.0</w:t>
            </w:r>
          </w:p>
        </w:tc>
        <w:tc>
          <w:tcPr>
            <w:tcW w:w="46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9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$1,914.9</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1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960" w:type="dxa"/>
            <w:vAlign w:val="bottom"/>
            <w:gridSpan w:val="2"/>
          </w:tcPr>
          <w:p>
            <w:pPr>
              <w:jc w:val="center"/>
              <w:ind w:left="390"/>
              <w:spacing w:after="0"/>
              <w:rPr>
                <w:sz w:val="20"/>
                <w:szCs w:val="20"/>
                <w:color w:val="auto"/>
              </w:rPr>
            </w:pPr>
            <w:r>
              <w:rPr>
                <w:rFonts w:ascii="Times New Roman" w:cs="Times New Roman" w:eastAsia="Times New Roman" w:hAnsi="Times New Roman"/>
                <w:sz w:val="14"/>
                <w:szCs w:val="14"/>
                <w:color w:val="auto"/>
              </w:rPr>
              <w:t>$1,824.7</w:t>
            </w:r>
          </w:p>
        </w:tc>
        <w:tc>
          <w:tcPr>
            <w:tcW w:w="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9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$1,815.9</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11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960" w:type="dxa"/>
            <w:vAlign w:val="bottom"/>
            <w:gridSpan w:val="2"/>
          </w:tcPr>
          <w:p>
            <w:pPr>
              <w:jc w:val="center"/>
              <w:ind w:left="390"/>
              <w:spacing w:after="0"/>
              <w:rPr>
                <w:sz w:val="20"/>
                <w:szCs w:val="20"/>
                <w:color w:val="auto"/>
              </w:rPr>
            </w:pPr>
            <w:r>
              <w:rPr>
                <w:rFonts w:ascii="Times New Roman" w:cs="Times New Roman" w:eastAsia="Times New Roman" w:hAnsi="Times New Roman"/>
                <w:sz w:val="14"/>
                <w:szCs w:val="14"/>
                <w:color w:val="auto"/>
              </w:rPr>
              <w:t>$1,885.7</w:t>
            </w:r>
          </w:p>
        </w:tc>
        <w:tc>
          <w:tcPr>
            <w:tcW w:w="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9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$2,053.6</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6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2028 Notes</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2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31, 2026</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w:t>
            </w:r>
          </w:p>
        </w:tc>
        <w:tc>
          <w:tcPr>
            <w:tcW w:w="9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$1,847.0</w:t>
            </w: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1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960" w:type="dxa"/>
            <w:vAlign w:val="bottom"/>
            <w:gridSpan w:val="2"/>
          </w:tcPr>
          <w:p>
            <w:pPr>
              <w:jc w:val="center"/>
              <w:ind w:left="390"/>
              <w:spacing w:after="0"/>
              <w:rPr>
                <w:sz w:val="20"/>
                <w:szCs w:val="20"/>
                <w:color w:val="auto"/>
              </w:rPr>
            </w:pPr>
            <w:r>
              <w:rPr>
                <w:rFonts w:ascii="Times New Roman" w:cs="Times New Roman" w:eastAsia="Times New Roman" w:hAnsi="Times New Roman"/>
                <w:sz w:val="14"/>
                <w:szCs w:val="14"/>
                <w:color w:val="auto"/>
              </w:rPr>
              <w:t>$1,914.9</w:t>
            </w:r>
          </w:p>
        </w:tc>
        <w:tc>
          <w:tcPr>
            <w:tcW w:w="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9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$1,824.7</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11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960" w:type="dxa"/>
            <w:vAlign w:val="bottom"/>
            <w:gridSpan w:val="2"/>
          </w:tcPr>
          <w:p>
            <w:pPr>
              <w:jc w:val="center"/>
              <w:ind w:left="390"/>
              <w:spacing w:after="0"/>
              <w:rPr>
                <w:sz w:val="20"/>
                <w:szCs w:val="20"/>
                <w:color w:val="auto"/>
              </w:rPr>
            </w:pPr>
            <w:r>
              <w:rPr>
                <w:rFonts w:ascii="Times New Roman" w:cs="Times New Roman" w:eastAsia="Times New Roman" w:hAnsi="Times New Roman"/>
                <w:sz w:val="14"/>
                <w:szCs w:val="14"/>
                <w:color w:val="auto"/>
              </w:rPr>
              <w:t>$1,815.9</w:t>
            </w:r>
          </w:p>
        </w:tc>
        <w:tc>
          <w:tcPr>
            <w:tcW w:w="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6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2029 Notes</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2560" w:type="dxa"/>
            <w:vAlign w:val="bottom"/>
            <w:gridSpan w:val="4"/>
          </w:tcPr>
          <w:p>
            <w:pPr>
              <w:spacing w:after="0" w:line="159" w:lineRule="exact"/>
              <w:rPr>
                <w:sz w:val="20"/>
                <w:szCs w:val="20"/>
                <w:color w:val="auto"/>
              </w:rPr>
            </w:pPr>
            <w:r>
              <w:rPr>
                <w:rFonts w:ascii="Times New Roman" w:cs="Times New Roman" w:eastAsia="Times New Roman" w:hAnsi="Times New Roman"/>
                <w:sz w:val="14"/>
                <w:szCs w:val="14"/>
                <w:color w:val="auto"/>
              </w:rPr>
              <w:t>March 31, 2026</w:t>
            </w:r>
          </w:p>
        </w:tc>
        <w:tc>
          <w:tcPr>
            <w:tcW w:w="1100" w:type="dxa"/>
            <w:vAlign w:val="bottom"/>
            <w:gridSpan w:val="2"/>
          </w:tcPr>
          <w:p>
            <w:pPr>
              <w:ind w:left="10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347.9</w:t>
            </w:r>
          </w:p>
        </w:tc>
        <w:tc>
          <w:tcPr>
            <w:tcW w:w="960" w:type="dxa"/>
            <w:vAlign w:val="bottom"/>
            <w:gridSpan w:val="2"/>
          </w:tcPr>
          <w:p>
            <w:pPr>
              <w:jc w:val="center"/>
              <w:ind w:left="390"/>
              <w:spacing w:after="0" w:line="159" w:lineRule="exact"/>
              <w:rPr>
                <w:sz w:val="20"/>
                <w:szCs w:val="20"/>
                <w:color w:val="auto"/>
              </w:rPr>
            </w:pPr>
            <w:r>
              <w:rPr>
                <w:rFonts w:ascii="Times New Roman" w:cs="Times New Roman" w:eastAsia="Times New Roman" w:hAnsi="Times New Roman"/>
                <w:sz w:val="14"/>
                <w:szCs w:val="14"/>
                <w:color w:val="auto"/>
              </w:rPr>
              <w:t>$1,847.0</w:t>
            </w:r>
          </w:p>
        </w:tc>
        <w:tc>
          <w:tcPr>
            <w:tcW w:w="46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w:t>
            </w:r>
          </w:p>
        </w:tc>
        <w:tc>
          <w:tcPr>
            <w:tcW w:w="9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$1,914.9</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1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960" w:type="dxa"/>
            <w:vAlign w:val="bottom"/>
            <w:gridSpan w:val="2"/>
          </w:tcPr>
          <w:p>
            <w:pPr>
              <w:jc w:val="center"/>
              <w:ind w:left="390"/>
              <w:spacing w:after="0"/>
              <w:rPr>
                <w:sz w:val="20"/>
                <w:szCs w:val="20"/>
                <w:color w:val="auto"/>
              </w:rPr>
            </w:pPr>
            <w:r>
              <w:rPr>
                <w:rFonts w:ascii="Times New Roman" w:cs="Times New Roman" w:eastAsia="Times New Roman" w:hAnsi="Times New Roman"/>
                <w:sz w:val="14"/>
                <w:szCs w:val="14"/>
                <w:color w:val="auto"/>
              </w:rPr>
              <w:t>$1,824.7</w:t>
            </w:r>
          </w:p>
        </w:tc>
        <w:tc>
          <w:tcPr>
            <w:tcW w:w="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6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2030 Notes</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2560" w:type="dxa"/>
            <w:vAlign w:val="bottom"/>
            <w:gridSpan w:val="4"/>
          </w:tcPr>
          <w:p>
            <w:pPr>
              <w:spacing w:after="0" w:line="159" w:lineRule="exact"/>
              <w:rPr>
                <w:sz w:val="20"/>
                <w:szCs w:val="20"/>
                <w:color w:val="auto"/>
              </w:rPr>
            </w:pPr>
            <w:r>
              <w:rPr>
                <w:rFonts w:ascii="Times New Roman" w:cs="Times New Roman" w:eastAsia="Times New Roman" w:hAnsi="Times New Roman"/>
                <w:sz w:val="14"/>
                <w:szCs w:val="14"/>
                <w:color w:val="auto"/>
              </w:rPr>
              <w:t>March 31, 2026</w:t>
            </w:r>
          </w:p>
        </w:tc>
        <w:tc>
          <w:tcPr>
            <w:tcW w:w="1100" w:type="dxa"/>
            <w:vAlign w:val="bottom"/>
            <w:gridSpan w:val="2"/>
          </w:tcPr>
          <w:p>
            <w:pPr>
              <w:ind w:left="10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297.0</w:t>
            </w:r>
          </w:p>
        </w:tc>
        <w:tc>
          <w:tcPr>
            <w:tcW w:w="960" w:type="dxa"/>
            <w:vAlign w:val="bottom"/>
            <w:gridSpan w:val="2"/>
          </w:tcPr>
          <w:p>
            <w:pPr>
              <w:jc w:val="center"/>
              <w:ind w:left="390"/>
              <w:spacing w:after="0" w:line="159" w:lineRule="exact"/>
              <w:rPr>
                <w:sz w:val="20"/>
                <w:szCs w:val="20"/>
                <w:color w:val="auto"/>
              </w:rPr>
            </w:pPr>
            <w:r>
              <w:rPr>
                <w:rFonts w:ascii="Times New Roman" w:cs="Times New Roman" w:eastAsia="Times New Roman" w:hAnsi="Times New Roman"/>
                <w:sz w:val="14"/>
                <w:szCs w:val="14"/>
                <w:color w:val="auto"/>
              </w:rPr>
              <w:t>$1,847.0</w:t>
            </w:r>
          </w:p>
        </w:tc>
        <w:tc>
          <w:tcPr>
            <w:tcW w:w="46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9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$1,914.9</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700" w:right="859" w:hanging="325"/>
        <w:spacing w:after="0" w:line="281"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amount of each class of senior securities outstanding at carrying value, excluding the impact of deferred financing costs and hedge accounting relationships, at the end of the period presented</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405"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76" w:lineRule="exact"/>
        <w:rPr>
          <w:sz w:val="20"/>
          <w:szCs w:val="20"/>
          <w:color w:val="auto"/>
        </w:rPr>
      </w:pPr>
    </w:p>
    <w:p>
      <w:pPr>
        <w:jc w:val="both"/>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Please refer to our most recent definitive proxy statement relating to our 2025 Annual Meeting of Stockholders and in our 2025 Annual Report, as well as subsequent filings with the SEC, which are incorporated by reference herein, for information relating to the management of the Company and for information relating to the Adviser.</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Portfolio Management</w:t>
      </w:r>
    </w:p>
    <w:p>
      <w:pPr>
        <w:spacing w:after="0" w:line="92" w:lineRule="exact"/>
        <w:rPr>
          <w:sz w:val="20"/>
          <w:szCs w:val="20"/>
          <w:color w:val="auto"/>
        </w:rPr>
      </w:pPr>
    </w:p>
    <w:p>
      <w:pPr>
        <w:ind w:left="1380" w:right="299" w:firstLine="341"/>
        <w:spacing w:after="0" w:line="260" w:lineRule="auto"/>
        <w:rPr>
          <w:sz w:val="20"/>
          <w:szCs w:val="20"/>
          <w:color w:val="auto"/>
        </w:rPr>
      </w:pPr>
      <w:r>
        <w:rPr>
          <w:rFonts w:ascii="Times New Roman" w:cs="Times New Roman" w:eastAsia="Times New Roman" w:hAnsi="Times New Roman"/>
          <w:sz w:val="14"/>
          <w:szCs w:val="14"/>
          <w:color w:val="auto"/>
        </w:rPr>
        <w:t>The Adviser manages our day-to-day operations and provides us with investment advisory and management services and certain administrative services. We consider Robert (Bo) Stanley to be our portfolio manager who is primarily responsible for the day-to-day management of our portfolio. Please refer to our most recent definitive proxy statement, which is incorporated by reference herein, for the biographical information of the Company’s portfolio manager.</w:t>
      </w:r>
    </w:p>
    <w:p>
      <w:pPr>
        <w:spacing w:after="0" w:line="14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Company’s portfolio manager does not receive any direct compensation from us for serving in such capacity.</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table below shows the dollar range of common stock beneficially owned by our portfolio manager as of December 31, 2025:</w:t>
      </w:r>
    </w:p>
    <w:p>
      <w:pPr>
        <w:spacing w:after="0" w:line="179"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4800" w:type="dxa"/>
            <w:vAlign w:val="bottom"/>
          </w:tcPr>
          <w:p>
            <w:pPr>
              <w:spacing w:after="0"/>
              <w:rPr>
                <w:sz w:val="11"/>
                <w:szCs w:val="11"/>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Dollar Range of</w:t>
            </w:r>
          </w:p>
        </w:tc>
        <w:tc>
          <w:tcPr>
            <w:tcW w:w="0" w:type="dxa"/>
            <w:vAlign w:val="bottom"/>
          </w:tcPr>
          <w:p>
            <w:pPr>
              <w:spacing w:after="0"/>
              <w:rPr>
                <w:sz w:val="1"/>
                <w:szCs w:val="1"/>
                <w:color w:val="auto"/>
              </w:rPr>
            </w:pPr>
          </w:p>
        </w:tc>
      </w:tr>
      <w:tr>
        <w:trPr>
          <w:trHeight w:val="115"/>
        </w:trPr>
        <w:tc>
          <w:tcPr>
            <w:tcW w:w="48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Portfolio Manager</w:t>
            </w:r>
          </w:p>
        </w:tc>
        <w:tc>
          <w:tcPr>
            <w:tcW w:w="1000" w:type="dxa"/>
            <w:vAlign w:val="bottom"/>
            <w:gridSpan w:val="2"/>
          </w:tcPr>
          <w:p>
            <w:pPr>
              <w:jc w:val="center"/>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Equity Securities in</w:t>
            </w:r>
          </w:p>
        </w:tc>
        <w:tc>
          <w:tcPr>
            <w:tcW w:w="0" w:type="dxa"/>
            <w:vAlign w:val="bottom"/>
          </w:tcPr>
          <w:p>
            <w:pPr>
              <w:spacing w:after="0"/>
              <w:rPr>
                <w:sz w:val="1"/>
                <w:szCs w:val="1"/>
                <w:color w:val="auto"/>
              </w:rPr>
            </w:pPr>
          </w:p>
        </w:tc>
      </w:tr>
      <w:tr>
        <w:trPr>
          <w:trHeight w:val="134"/>
        </w:trPr>
        <w:tc>
          <w:tcPr>
            <w:tcW w:w="4800" w:type="dxa"/>
            <w:vAlign w:val="bottom"/>
            <w:vMerge w:val="continue"/>
          </w:tcPr>
          <w:p>
            <w:pPr>
              <w:spacing w:after="0"/>
              <w:rPr>
                <w:sz w:val="11"/>
                <w:szCs w:val="11"/>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the Company</w:t>
            </w:r>
            <w:r>
              <w:rPr>
                <w:rFonts w:ascii="Times New Roman" w:cs="Times New Roman" w:eastAsia="Times New Roman" w:hAnsi="Times New Roman"/>
                <w:sz w:val="6"/>
                <w:szCs w:val="6"/>
                <w:b w:val="1"/>
                <w:bCs w:val="1"/>
                <w:color w:val="auto"/>
              </w:rPr>
              <w:t>(1)</w:t>
            </w:r>
          </w:p>
        </w:tc>
        <w:tc>
          <w:tcPr>
            <w:tcW w:w="0" w:type="dxa"/>
            <w:vAlign w:val="bottom"/>
          </w:tcPr>
          <w:p>
            <w:pPr>
              <w:spacing w:after="0"/>
              <w:rPr>
                <w:sz w:val="1"/>
                <w:szCs w:val="1"/>
                <w:color w:val="auto"/>
              </w:rPr>
            </w:pPr>
          </w:p>
        </w:tc>
      </w:tr>
      <w:tr>
        <w:trPr>
          <w:trHeight w:val="158"/>
        </w:trPr>
        <w:tc>
          <w:tcPr>
            <w:tcW w:w="480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Robert (Bo) Stanley</w:t>
            </w:r>
          </w:p>
        </w:tc>
        <w:tc>
          <w:tcPr>
            <w:tcW w:w="960" w:type="dxa"/>
            <w:vAlign w:val="bottom"/>
            <w:tcBorders>
              <w:top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Over $1,000,000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66675</wp:posOffset>
            </wp:positionV>
            <wp:extent cx="59817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112" w:lineRule="exact"/>
        <w:rPr>
          <w:sz w:val="20"/>
          <w:szCs w:val="20"/>
          <w:color w:val="auto"/>
        </w:rPr>
      </w:pPr>
    </w:p>
    <w:p>
      <w:pPr>
        <w:ind w:left="1700" w:right="479" w:hanging="325"/>
        <w:spacing w:after="0" w:line="281"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$0, $1 – $10,000, $10,001 – $50,000, $50,001 – $100,000, $100,001 – $500,000, $500,001 – $1,000,000, or over $1,000,000.</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Other Accounts Managed</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As of December 31, 2025, Robert (Bo) Stanley managed, or was a member of the management team for, the following client accounts: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26"/>
        </w:trPr>
        <w:tc>
          <w:tcPr>
            <w:tcW w:w="4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Assets Subject</w:t>
            </w:r>
          </w:p>
        </w:tc>
        <w:tc>
          <w:tcPr>
            <w:tcW w:w="0" w:type="dxa"/>
            <w:vAlign w:val="bottom"/>
          </w:tcPr>
          <w:p>
            <w:pPr>
              <w:spacing w:after="0"/>
              <w:rPr>
                <w:sz w:val="1"/>
                <w:szCs w:val="1"/>
                <w:color w:val="auto"/>
              </w:rPr>
            </w:pPr>
          </w:p>
        </w:tc>
      </w:tr>
      <w:tr>
        <w:trPr>
          <w:trHeight w:val="115"/>
        </w:trPr>
        <w:tc>
          <w:tcPr>
            <w:tcW w:w="4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Assets of</w:t>
            </w:r>
          </w:p>
        </w:tc>
        <w:tc>
          <w:tcPr>
            <w:tcW w:w="1060" w:type="dxa"/>
            <w:vAlign w:val="bottom"/>
            <w:gridSpan w:val="2"/>
          </w:tcPr>
          <w:p>
            <w:pPr>
              <w:jc w:val="center"/>
              <w:ind w:right="420"/>
              <w:spacing w:after="0" w:line="115" w:lineRule="exact"/>
              <w:rPr>
                <w:sz w:val="20"/>
                <w:szCs w:val="20"/>
                <w:color w:val="auto"/>
              </w:rPr>
            </w:pPr>
            <w:r>
              <w:rPr>
                <w:rFonts w:ascii="Times New Roman" w:cs="Times New Roman" w:eastAsia="Times New Roman" w:hAnsi="Times New Roman"/>
                <w:sz w:val="11"/>
                <w:szCs w:val="11"/>
                <w:b w:val="1"/>
                <w:bCs w:val="1"/>
                <w:color w:val="auto"/>
              </w:rPr>
              <w:t>Accounts</w:t>
            </w:r>
          </w:p>
        </w:tc>
        <w:tc>
          <w:tcPr>
            <w:tcW w:w="80" w:type="dxa"/>
            <w:vAlign w:val="bottom"/>
          </w:tcPr>
          <w:p>
            <w:pPr>
              <w:spacing w:after="0"/>
              <w:rPr>
                <w:sz w:val="10"/>
                <w:szCs w:val="10"/>
                <w:color w:val="auto"/>
              </w:rPr>
            </w:pPr>
          </w:p>
        </w:tc>
        <w:tc>
          <w:tcPr>
            <w:tcW w:w="76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to a</w:t>
            </w:r>
          </w:p>
        </w:tc>
        <w:tc>
          <w:tcPr>
            <w:tcW w:w="0" w:type="dxa"/>
            <w:vAlign w:val="bottom"/>
          </w:tcPr>
          <w:p>
            <w:pPr>
              <w:spacing w:after="0"/>
              <w:rPr>
                <w:sz w:val="1"/>
                <w:szCs w:val="1"/>
                <w:color w:val="auto"/>
              </w:rPr>
            </w:pPr>
          </w:p>
        </w:tc>
      </w:tr>
      <w:tr>
        <w:trPr>
          <w:trHeight w:val="115"/>
        </w:trPr>
        <w:tc>
          <w:tcPr>
            <w:tcW w:w="4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60" w:type="dxa"/>
            <w:vAlign w:val="bottom"/>
            <w:gridSpan w:val="2"/>
          </w:tcPr>
          <w:p>
            <w:pPr>
              <w:jc w:val="center"/>
              <w:ind w:right="420"/>
              <w:spacing w:after="0" w:line="115" w:lineRule="exact"/>
              <w:rPr>
                <w:sz w:val="20"/>
                <w:szCs w:val="20"/>
                <w:color w:val="auto"/>
              </w:rPr>
            </w:pPr>
            <w:r>
              <w:rPr>
                <w:rFonts w:ascii="Times New Roman" w:cs="Times New Roman" w:eastAsia="Times New Roman" w:hAnsi="Times New Roman"/>
                <w:sz w:val="11"/>
                <w:szCs w:val="11"/>
                <w:b w:val="1"/>
                <w:bCs w:val="1"/>
                <w:color w:val="auto"/>
              </w:rPr>
              <w:t>Subject to a</w:t>
            </w:r>
          </w:p>
        </w:tc>
        <w:tc>
          <w:tcPr>
            <w:tcW w:w="80" w:type="dxa"/>
            <w:vAlign w:val="bottom"/>
          </w:tcPr>
          <w:p>
            <w:pPr>
              <w:spacing w:after="0"/>
              <w:rPr>
                <w:sz w:val="10"/>
                <w:szCs w:val="10"/>
                <w:color w:val="auto"/>
              </w:rPr>
            </w:pPr>
          </w:p>
        </w:tc>
        <w:tc>
          <w:tcPr>
            <w:tcW w:w="76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performance</w:t>
            </w:r>
          </w:p>
        </w:tc>
        <w:tc>
          <w:tcPr>
            <w:tcW w:w="0" w:type="dxa"/>
            <w:vAlign w:val="bottom"/>
          </w:tcPr>
          <w:p>
            <w:pPr>
              <w:spacing w:after="0"/>
              <w:rPr>
                <w:sz w:val="1"/>
                <w:szCs w:val="1"/>
                <w:color w:val="auto"/>
              </w:rPr>
            </w:pPr>
          </w:p>
        </w:tc>
      </w:tr>
      <w:tr>
        <w:trPr>
          <w:trHeight w:val="115"/>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Type of Account</w:t>
            </w: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500"/>
              <w:spacing w:after="0" w:line="115" w:lineRule="exact"/>
              <w:rPr>
                <w:sz w:val="20"/>
                <w:szCs w:val="20"/>
                <w:color w:val="auto"/>
              </w:rPr>
            </w:pPr>
            <w:r>
              <w:rPr>
                <w:rFonts w:ascii="Times New Roman" w:cs="Times New Roman" w:eastAsia="Times New Roman" w:hAnsi="Times New Roman"/>
                <w:sz w:val="11"/>
                <w:szCs w:val="11"/>
                <w:b w:val="1"/>
                <w:bCs w:val="1"/>
                <w:color w:val="auto"/>
              </w:rPr>
              <w:t>Accounts</w:t>
            </w:r>
          </w:p>
        </w:tc>
        <w:tc>
          <w:tcPr>
            <w:tcW w:w="1060" w:type="dxa"/>
            <w:vAlign w:val="bottom"/>
            <w:gridSpan w:val="2"/>
          </w:tcPr>
          <w:p>
            <w:pPr>
              <w:jc w:val="center"/>
              <w:ind w:right="4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performance</w:t>
            </w:r>
          </w:p>
        </w:tc>
        <w:tc>
          <w:tcPr>
            <w:tcW w:w="80" w:type="dxa"/>
            <w:vAlign w:val="bottom"/>
          </w:tcPr>
          <w:p>
            <w:pPr>
              <w:spacing w:after="0"/>
              <w:rPr>
                <w:sz w:val="10"/>
                <w:szCs w:val="10"/>
                <w:color w:val="auto"/>
              </w:rPr>
            </w:pPr>
          </w:p>
        </w:tc>
        <w:tc>
          <w:tcPr>
            <w:tcW w:w="76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w w:val="96"/>
              </w:rPr>
              <w:t>Fee</w:t>
            </w:r>
          </w:p>
        </w:tc>
        <w:tc>
          <w:tcPr>
            <w:tcW w:w="0" w:type="dxa"/>
            <w:vAlign w:val="bottom"/>
          </w:tcPr>
          <w:p>
            <w:pPr>
              <w:spacing w:after="0"/>
              <w:rPr>
                <w:sz w:val="1"/>
                <w:szCs w:val="1"/>
                <w:color w:val="auto"/>
              </w:rPr>
            </w:pPr>
          </w:p>
        </w:tc>
      </w:tr>
      <w:tr>
        <w:trPr>
          <w:trHeight w:val="134"/>
        </w:trPr>
        <w:tc>
          <w:tcPr>
            <w:tcW w:w="4480" w:type="dxa"/>
            <w:vAlign w:val="bottom"/>
            <w:gridSpan w:val="2"/>
            <w:vMerge w:val="continue"/>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Accounts</w:t>
            </w:r>
          </w:p>
        </w:tc>
        <w:tc>
          <w:tcPr>
            <w:tcW w:w="80" w:type="dxa"/>
            <w:vAlign w:val="bottom"/>
          </w:tcPr>
          <w:p>
            <w:pPr>
              <w:spacing w:after="0"/>
              <w:rPr>
                <w:sz w:val="11"/>
                <w:szCs w:val="11"/>
                <w:color w:val="auto"/>
              </w:rPr>
            </w:pP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6"/>
              </w:rPr>
              <w:t>Fee</w:t>
            </w:r>
          </w:p>
        </w:tc>
        <w:tc>
          <w:tcPr>
            <w:tcW w:w="80" w:type="dxa"/>
            <w:vAlign w:val="bottom"/>
          </w:tcPr>
          <w:p>
            <w:pPr>
              <w:spacing w:after="0"/>
              <w:rPr>
                <w:sz w:val="11"/>
                <w:szCs w:val="11"/>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158"/>
        </w:trPr>
        <w:tc>
          <w:tcPr>
            <w:tcW w:w="4080" w:type="dxa"/>
            <w:vAlign w:val="bottom"/>
            <w:tcBorders>
              <w:top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Registered Investment Companies</w:t>
            </w:r>
          </w:p>
        </w:tc>
        <w:tc>
          <w:tcPr>
            <w:tcW w:w="4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ind w:left="520"/>
              <w:spacing w:after="0" w:line="158" w:lineRule="exact"/>
              <w:rPr>
                <w:sz w:val="20"/>
                <w:szCs w:val="20"/>
                <w:color w:val="auto"/>
              </w:rPr>
            </w:pPr>
            <w:r>
              <w:rPr>
                <w:rFonts w:ascii="Times New Roman" w:cs="Times New Roman" w:eastAsia="Times New Roman" w:hAnsi="Times New Roman"/>
                <w:sz w:val="14"/>
                <w:szCs w:val="14"/>
                <w:color w:val="auto"/>
                <w:w w:val="85"/>
              </w:rPr>
              <w:t>— </w:t>
            </w:r>
          </w:p>
        </w:tc>
        <w:tc>
          <w:tcPr>
            <w:tcW w:w="4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ind w:left="420"/>
              <w:spacing w:after="0" w:line="158" w:lineRule="exact"/>
              <w:rPr>
                <w:sz w:val="20"/>
                <w:szCs w:val="20"/>
                <w:color w:val="auto"/>
              </w:rPr>
            </w:pPr>
            <w:r>
              <w:rPr>
                <w:rFonts w:ascii="Times New Roman" w:cs="Times New Roman" w:eastAsia="Times New Roman" w:hAnsi="Times New Roman"/>
                <w:sz w:val="14"/>
                <w:szCs w:val="14"/>
                <w:color w:val="auto"/>
                <w:w w:val="85"/>
              </w:rPr>
              <w:t>— </w:t>
            </w: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ind w:left="500"/>
              <w:spacing w:after="0" w:line="158" w:lineRule="exact"/>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Pooled Investment Vehicles Other Than Registered Investment</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48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4"/>
                <w:szCs w:val="14"/>
                <w:color w:val="auto"/>
              </w:rPr>
              <w:t>Companies</w:t>
            </w:r>
            <w:r>
              <w:rPr>
                <w:rFonts w:ascii="Times New Roman" w:cs="Times New Roman" w:eastAsia="Times New Roman" w:hAnsi="Times New Roman"/>
                <w:sz w:val="17"/>
                <w:szCs w:val="17"/>
                <w:color w:val="auto"/>
                <w:vertAlign w:val="superscript"/>
              </w:rPr>
              <w:t>(1)</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15.66 billion</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15.66 billion</w:t>
            </w:r>
          </w:p>
        </w:tc>
        <w:tc>
          <w:tcPr>
            <w:tcW w:w="0" w:type="dxa"/>
            <w:vAlign w:val="bottom"/>
          </w:tcPr>
          <w:p>
            <w:pPr>
              <w:spacing w:after="0"/>
              <w:rPr>
                <w:sz w:val="1"/>
                <w:szCs w:val="1"/>
                <w:color w:val="auto"/>
              </w:rPr>
            </w:pPr>
          </w:p>
        </w:tc>
      </w:tr>
      <w:tr>
        <w:trPr>
          <w:trHeight w:val="167"/>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Accounts</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73025</wp:posOffset>
            </wp:positionV>
            <wp:extent cx="59817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112" w:lineRule="exact"/>
        <w:rPr>
          <w:sz w:val="20"/>
          <w:szCs w:val="20"/>
          <w:color w:val="auto"/>
        </w:rPr>
      </w:pPr>
    </w:p>
    <w:p>
      <w:pPr>
        <w:jc w:val="center"/>
        <w:ind w:left="5520" w:right="919" w:hanging="4145"/>
        <w:spacing w:after="0" w:line="452" w:lineRule="auto"/>
        <w:tabs>
          <w:tab w:leader="none" w:pos="171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management investment companies that have elected to be regulated as business development companies under the 1940 Act. S-18</w:t>
      </w:r>
    </w:p>
    <w:p>
      <w:pPr>
        <w:sectPr>
          <w:pgSz w:w="11900" w:h="16838" w:orient="portrait"/>
          <w:cols w:equalWidth="0" w:num="1">
            <w:col w:w="10159"/>
          </w:cols>
          <w:pgMar w:left="300" w:top="405"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NOTES</w:t>
      </w:r>
    </w:p>
    <w:p>
      <w:pPr>
        <w:spacing w:after="0" w:line="176" w:lineRule="exact"/>
        <w:rPr>
          <w:sz w:val="20"/>
          <w:szCs w:val="20"/>
          <w:color w:val="auto"/>
        </w:rPr>
      </w:pPr>
    </w:p>
    <w:p>
      <w:pPr>
        <w:ind w:left="1380" w:right="279" w:firstLine="341"/>
        <w:spacing w:after="0" w:line="281" w:lineRule="auto"/>
        <w:rPr>
          <w:sz w:val="20"/>
          <w:szCs w:val="20"/>
          <w:color w:val="auto"/>
        </w:rPr>
      </w:pPr>
      <w:r>
        <w:rPr>
          <w:rFonts w:ascii="Times New Roman" w:cs="Times New Roman" w:eastAsia="Times New Roman" w:hAnsi="Times New Roman"/>
          <w:sz w:val="14"/>
          <w:szCs w:val="14"/>
          <w:color w:val="auto"/>
        </w:rPr>
        <w:t>The following description of the particular terms of the 5.650% Notes due 2031 supplements and, to the extent inconsistent therewith, replaces the description of the general terms and provisions of the debt securities set forth in the accompanying prospectus.</w:t>
      </w:r>
    </w:p>
    <w:p>
      <w:pPr>
        <w:spacing w:after="0" w:line="125" w:lineRule="exact"/>
        <w:rPr>
          <w:sz w:val="20"/>
          <w:szCs w:val="20"/>
          <w:color w:val="auto"/>
        </w:rPr>
      </w:pPr>
    </w:p>
    <w:p>
      <w:pPr>
        <w:ind w:left="1380" w:right="319" w:firstLine="341"/>
        <w:spacing w:after="0" w:line="257" w:lineRule="auto"/>
        <w:rPr>
          <w:sz w:val="20"/>
          <w:szCs w:val="20"/>
          <w:color w:val="auto"/>
        </w:rPr>
      </w:pPr>
      <w:r>
        <w:rPr>
          <w:rFonts w:ascii="Times New Roman" w:cs="Times New Roman" w:eastAsia="Times New Roman" w:hAnsi="Times New Roman"/>
          <w:sz w:val="14"/>
          <w:szCs w:val="14"/>
          <w:color w:val="auto"/>
        </w:rPr>
        <w:t>We will issue the Notes under a base indenture dated as of January 16, 2024, between us and U.S. Bank Trust Company, National Association, as trustee (the “trustee”), as supplemented by a separate supplemental indenture, dated as of the settlement date of the Notes (the “second supplemental indenture”). As used in this section, all references to the indenture mean the base indenture as supplemented by the second supplemental indenture. The terms of the Notes include those expressly set forth in the indenture and those made part of the indenture by reference to the Trust Indenture Act of 1939, as amended, or the TIA.</w:t>
      </w:r>
    </w:p>
    <w:p>
      <w:pPr>
        <w:spacing w:after="0" w:line="143" w:lineRule="exact"/>
        <w:rPr>
          <w:sz w:val="20"/>
          <w:szCs w:val="20"/>
          <w:color w:val="auto"/>
        </w:rPr>
      </w:pPr>
    </w:p>
    <w:p>
      <w:pPr>
        <w:ind w:left="1380" w:right="299" w:firstLine="341"/>
        <w:spacing w:after="0" w:line="265" w:lineRule="auto"/>
        <w:rPr>
          <w:sz w:val="20"/>
          <w:szCs w:val="20"/>
          <w:color w:val="auto"/>
        </w:rPr>
      </w:pPr>
      <w:r>
        <w:rPr>
          <w:rFonts w:ascii="Times New Roman" w:cs="Times New Roman" w:eastAsia="Times New Roman" w:hAnsi="Times New Roman"/>
          <w:sz w:val="14"/>
          <w:szCs w:val="14"/>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36" w:lineRule="exact"/>
        <w:rPr>
          <w:sz w:val="20"/>
          <w:szCs w:val="20"/>
          <w:color w:val="auto"/>
        </w:rPr>
      </w:pPr>
    </w:p>
    <w:p>
      <w:pPr>
        <w:jc w:val="both"/>
        <w:ind w:left="1380" w:right="479" w:firstLine="341"/>
        <w:spacing w:after="0" w:line="265" w:lineRule="auto"/>
        <w:rPr>
          <w:sz w:val="20"/>
          <w:szCs w:val="20"/>
          <w:color w:val="auto"/>
        </w:rPr>
      </w:pPr>
      <w:r>
        <w:rPr>
          <w:rFonts w:ascii="Times New Roman" w:cs="Times New Roman" w:eastAsia="Times New Roman" w:hAnsi="Times New Roman"/>
          <w:sz w:val="14"/>
          <w:szCs w:val="14"/>
          <w:color w:val="auto"/>
        </w:rPr>
        <w:t>For purposes of this description, references to “we,” “our” and “us” refer only to TSLX and not to any of its current or future subsidiaries and references to “subsidiaries” refer only to our consolidated subsidiaries and exclude any investments held by TSLX in the ordinary course of business which are not, under GAAP, consolidated on the financial statements of TSLX and its subsidiaries.</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Notes:</w:t>
      </w:r>
    </w:p>
    <w:p>
      <w:pPr>
        <w:spacing w:after="0" w:line="101" w:lineRule="exact"/>
        <w:rPr>
          <w:sz w:val="20"/>
          <w:szCs w:val="20"/>
          <w:color w:val="auto"/>
        </w:rPr>
      </w:pPr>
    </w:p>
    <w:p>
      <w:pPr>
        <w:ind w:left="2120" w:hanging="327"/>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our direct, general unsecured, senior obligations;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issued in an aggregate principal amount of $300,000,000;</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mature on August 15, 2031, unless earlier redeemed or repurchased, as discussed below;</w:t>
      </w:r>
    </w:p>
    <w:p>
      <w:pPr>
        <w:spacing w:after="0" w:line="100" w:lineRule="exact"/>
        <w:rPr>
          <w:rFonts w:ascii="Times New Roman" w:cs="Times New Roman" w:eastAsia="Times New Roman" w:hAnsi="Times New Roman"/>
          <w:sz w:val="14"/>
          <w:szCs w:val="14"/>
          <w:color w:val="auto"/>
        </w:rPr>
      </w:pPr>
    </w:p>
    <w:p>
      <w:pPr>
        <w:ind w:left="2120" w:right="339" w:hanging="327"/>
        <w:spacing w:after="0" w:line="281" w:lineRule="auto"/>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bear cash interest from May 14, 2026 at an annual rate of 5.650% payable semi-annually on February 15 and August 15 of each year, beginning on February 15, 2027;</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subject to redemption at our option as described under “—Optional Redemption;”</w:t>
      </w:r>
    </w:p>
    <w:p>
      <w:pPr>
        <w:spacing w:after="0" w:line="100" w:lineRule="exact"/>
        <w:rPr>
          <w:rFonts w:ascii="Times New Roman" w:cs="Times New Roman" w:eastAsia="Times New Roman" w:hAnsi="Times New Roman"/>
          <w:sz w:val="14"/>
          <w:szCs w:val="14"/>
          <w:color w:val="auto"/>
        </w:rPr>
      </w:pPr>
    </w:p>
    <w:p>
      <w:pPr>
        <w:ind w:left="2120" w:right="279" w:hanging="327"/>
        <w:spacing w:after="0" w:line="265" w:lineRule="auto"/>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will be subject to repurchase by us at the option of the holders following a Change of Control Repurchase Event (as defined below under “—Offer to Repurchase Upon a Change of Control Repurchase Event”), at a repurchase price equal to 100% of the principal amount of the Notes to be repurchased,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accrued and unpaid interest to, but excluding, the date of repurchase;</w:t>
      </w:r>
    </w:p>
    <w:p>
      <w:pPr>
        <w:spacing w:after="0" w:line="63"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issued in denominations of $2,000 and integral multiples of $1,000 in excess thereof; and</w:t>
      </w:r>
    </w:p>
    <w:p>
      <w:pPr>
        <w:spacing w:after="0" w:line="100" w:lineRule="exact"/>
        <w:rPr>
          <w:rFonts w:ascii="Times New Roman" w:cs="Times New Roman" w:eastAsia="Times New Roman" w:hAnsi="Times New Roman"/>
          <w:sz w:val="14"/>
          <w:szCs w:val="14"/>
          <w:color w:val="auto"/>
        </w:rPr>
      </w:pPr>
    </w:p>
    <w:p>
      <w:pPr>
        <w:ind w:left="2120" w:right="459" w:hanging="327"/>
        <w:spacing w:after="0" w:line="281" w:lineRule="auto"/>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represented by one or more registered Notes in global form, but in certain limited circumstances may be represented by Notes in definitive form. See “—Book-Entry, Settlement and Clearance.”</w:t>
      </w:r>
    </w:p>
    <w:p>
      <w:pPr>
        <w:spacing w:after="0" w:line="125"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40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579"/>
        <w:spacing w:after="0" w:line="281" w:lineRule="auto"/>
        <w:rPr>
          <w:sz w:val="20"/>
          <w:szCs w:val="20"/>
          <w:color w:val="auto"/>
        </w:rPr>
      </w:pPr>
      <w:r>
        <w:rPr>
          <w:rFonts w:ascii="Times New Roman" w:cs="Times New Roman" w:eastAsia="Times New Roman" w:hAnsi="Times New Roman"/>
          <w:sz w:val="14"/>
          <w:szCs w:val="14"/>
          <w:color w:val="auto"/>
        </w:rPr>
        <w:t>rating as the result of a takeover, recapitalization, highly leveraged transaction or similar restructuring involving us that could adversely affect such holders.</w:t>
      </w:r>
    </w:p>
    <w:p>
      <w:pPr>
        <w:spacing w:after="0" w:line="125" w:lineRule="exact"/>
        <w:rPr>
          <w:sz w:val="20"/>
          <w:szCs w:val="20"/>
          <w:color w:val="auto"/>
        </w:rPr>
      </w:pPr>
    </w:p>
    <w:p>
      <w:pPr>
        <w:ind w:left="1380" w:right="439" w:firstLine="341"/>
        <w:spacing w:after="0" w:line="260" w:lineRule="auto"/>
        <w:rPr>
          <w:sz w:val="20"/>
          <w:szCs w:val="20"/>
          <w:color w:val="auto"/>
        </w:rPr>
      </w:pPr>
      <w:r>
        <w:rPr>
          <w:rFonts w:ascii="Times New Roman" w:cs="Times New Roman" w:eastAsia="Times New Roman" w:hAnsi="Times New Roman"/>
          <w:sz w:val="14"/>
          <w:szCs w:val="14"/>
          <w:color w:val="auto"/>
        </w:rPr>
        <w:t xml:space="preserve">We may, without the consent of the holders, issue further additional Notes under the indenture with the same terms (except for the issue date, public offering price and, if applicable, the initial interest payment date) and with the same CUSIP numbers as the Notes in an unlimited aggregate principal amount;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additional Notes must either be issued in a “qualified reopening” for U.S. federal income tax purposes, with less than a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amount of original issue discount, or otherwise be part of the same issue as the Notes for U.S. federal income tax purposes.</w:t>
      </w:r>
    </w:p>
    <w:p>
      <w:pPr>
        <w:spacing w:after="0" w:line="14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We do not intend to list the Notes on any securities exchange or any automated dealer quotation system.</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Payments on the Notes; Paying Agent and Registrar; Transfer and Exchange</w:t>
      </w:r>
    </w:p>
    <w:p>
      <w:pPr>
        <w:spacing w:after="0" w:line="92" w:lineRule="exact"/>
        <w:rPr>
          <w:sz w:val="20"/>
          <w:szCs w:val="20"/>
          <w:color w:val="auto"/>
        </w:rPr>
      </w:pPr>
    </w:p>
    <w:p>
      <w:pPr>
        <w:ind w:left="1380" w:right="519" w:firstLine="341"/>
        <w:spacing w:after="0" w:line="281" w:lineRule="auto"/>
        <w:rPr>
          <w:sz w:val="20"/>
          <w:szCs w:val="20"/>
          <w:color w:val="auto"/>
        </w:rPr>
      </w:pPr>
      <w:r>
        <w:rPr>
          <w:rFonts w:ascii="Times New Roman" w:cs="Times New Roman" w:eastAsia="Times New Roman" w:hAnsi="Times New Roman"/>
          <w:sz w:val="14"/>
          <w:szCs w:val="14"/>
          <w:color w:val="auto"/>
        </w:rPr>
        <w:t>We will pay the principal of, and interest on, the Notes in global form registered in the name of or held by DTC or its nominee in immediately available funds to DTC or its nominee, as the case may be, as the registered holder of such Global Note (as defined below).</w:t>
      </w:r>
    </w:p>
    <w:p>
      <w:pPr>
        <w:spacing w:after="0" w:line="125" w:lineRule="exact"/>
        <w:rPr>
          <w:sz w:val="20"/>
          <w:szCs w:val="20"/>
          <w:color w:val="auto"/>
        </w:rPr>
      </w:pPr>
    </w:p>
    <w:p>
      <w:pPr>
        <w:ind w:left="1380" w:right="479" w:firstLine="341"/>
        <w:spacing w:after="0" w:line="260" w:lineRule="auto"/>
        <w:rPr>
          <w:sz w:val="20"/>
          <w:szCs w:val="20"/>
          <w:color w:val="auto"/>
        </w:rPr>
      </w:pPr>
      <w:r>
        <w:rPr>
          <w:rFonts w:ascii="Times New Roman" w:cs="Times New Roman" w:eastAsia="Times New Roman" w:hAnsi="Times New Roman"/>
          <w:sz w:val="14"/>
          <w:szCs w:val="14"/>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40"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4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registered holder of a Note will be treated as its owner for all purposes.</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Interest</w:t>
      </w:r>
    </w:p>
    <w:p>
      <w:pPr>
        <w:spacing w:after="0" w:line="92" w:lineRule="exact"/>
        <w:rPr>
          <w:sz w:val="20"/>
          <w:szCs w:val="20"/>
          <w:color w:val="auto"/>
        </w:rPr>
      </w:pPr>
    </w:p>
    <w:p>
      <w:pPr>
        <w:ind w:left="1380" w:right="519" w:firstLine="341"/>
        <w:spacing w:after="0" w:line="281" w:lineRule="auto"/>
        <w:rPr>
          <w:sz w:val="20"/>
          <w:szCs w:val="20"/>
          <w:color w:val="auto"/>
        </w:rPr>
      </w:pPr>
      <w:r>
        <w:rPr>
          <w:rFonts w:ascii="Times New Roman" w:cs="Times New Roman" w:eastAsia="Times New Roman" w:hAnsi="Times New Roman"/>
          <w:sz w:val="14"/>
          <w:szCs w:val="14"/>
          <w:color w:val="auto"/>
        </w:rPr>
        <w:t>The Notes bear cash interest at a rate of 5.650% per year until maturity. Interest on the Notes will accrue from May 14, 2026 or from the most recent date on which interest has been paid or duly provided for.</w:t>
      </w:r>
    </w:p>
    <w:p>
      <w:pPr>
        <w:spacing w:after="0" w:line="1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Interest is payable semiannually in arrears on February 15 and August 15 of each year, beginning on February 15, 2027.</w:t>
      </w:r>
    </w:p>
    <w:p>
      <w:pPr>
        <w:spacing w:after="0" w:line="174" w:lineRule="exact"/>
        <w:rPr>
          <w:sz w:val="20"/>
          <w:szCs w:val="20"/>
          <w:color w:val="auto"/>
        </w:rPr>
      </w:pPr>
    </w:p>
    <w:p>
      <w:pPr>
        <w:ind w:left="1380" w:right="359" w:firstLine="341"/>
        <w:spacing w:after="0" w:line="265" w:lineRule="auto"/>
        <w:rPr>
          <w:sz w:val="20"/>
          <w:szCs w:val="20"/>
          <w:color w:val="auto"/>
        </w:rPr>
      </w:pPr>
      <w:r>
        <w:rPr>
          <w:rFonts w:ascii="Times New Roman" w:cs="Times New Roman" w:eastAsia="Times New Roman" w:hAnsi="Times New Roman"/>
          <w:sz w:val="14"/>
          <w:szCs w:val="14"/>
          <w:color w:val="auto"/>
        </w:rPr>
        <w:t>Interest will be paid to the person in whose name a Note is registered at 5:00 p.m. New York City time (the “close of business”) on February 1 or August 1 (whether or not a business day), as the case may be, immediately preceding the relevant interest payment date. Interest on the Notes will be computed on the basis of a 360-day year composed of twelve 30-day months.</w:t>
      </w:r>
    </w:p>
    <w:p>
      <w:pPr>
        <w:spacing w:after="0" w:line="136" w:lineRule="exact"/>
        <w:rPr>
          <w:sz w:val="20"/>
          <w:szCs w:val="20"/>
          <w:color w:val="auto"/>
        </w:rPr>
      </w:pPr>
    </w:p>
    <w:p>
      <w:pPr>
        <w:ind w:left="1380" w:right="539" w:firstLine="341"/>
        <w:spacing w:after="0" w:line="281" w:lineRule="auto"/>
        <w:rPr>
          <w:sz w:val="20"/>
          <w:szCs w:val="20"/>
          <w:color w:val="auto"/>
        </w:rPr>
      </w:pPr>
      <w:r>
        <w:rPr>
          <w:rFonts w:ascii="Times New Roman" w:cs="Times New Roman" w:eastAsia="Times New Roman" w:hAnsi="Times New Roman"/>
          <w:sz w:val="14"/>
          <w:szCs w:val="14"/>
          <w:color w:val="auto"/>
        </w:rPr>
        <w:t>If any interest payment date, redemption date, the maturity date or any earlier required repurchase date upon a Change of Control Repurchase Event (defined below) of a Note falls on a day that is not a business day, the</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405"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299"/>
        <w:spacing w:after="0" w:line="265" w:lineRule="auto"/>
        <w:rPr>
          <w:sz w:val="20"/>
          <w:szCs w:val="20"/>
          <w:color w:val="auto"/>
        </w:rPr>
      </w:pPr>
      <w:r>
        <w:rPr>
          <w:rFonts w:ascii="Times New Roman" w:cs="Times New Roman" w:eastAsia="Times New Roman" w:hAnsi="Times New Roman"/>
          <w:sz w:val="14"/>
          <w:szCs w:val="14"/>
          <w:color w:val="auto"/>
        </w:rPr>
        <w:t>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or executive order to close.</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Notes are our direct, general unsecured obligations that rank:</w:t>
      </w:r>
    </w:p>
    <w:p>
      <w:pPr>
        <w:spacing w:after="0" w:line="101" w:lineRule="exact"/>
        <w:rPr>
          <w:sz w:val="20"/>
          <w:szCs w:val="20"/>
          <w:color w:val="auto"/>
        </w:rPr>
      </w:pPr>
    </w:p>
    <w:p>
      <w:pPr>
        <w:ind w:left="2120" w:right="699" w:hanging="327"/>
        <w:spacing w:after="0" w:line="281"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in right of payment to all of our future indebtedness or other obligations that are expressly subordinated, or junior, in right of payment to the Notes;</w:t>
      </w:r>
    </w:p>
    <w:p>
      <w:pPr>
        <w:spacing w:after="0" w:line="52" w:lineRule="exact"/>
        <w:rPr>
          <w:rFonts w:ascii="Times New Roman" w:cs="Times New Roman" w:eastAsia="Times New Roman" w:hAnsi="Times New Roman"/>
          <w:sz w:val="14"/>
          <w:szCs w:val="14"/>
          <w:color w:val="auto"/>
        </w:rPr>
      </w:pPr>
    </w:p>
    <w:p>
      <w:pPr>
        <w:ind w:left="2120" w:right="259" w:hanging="327"/>
        <w:spacing w:after="0" w:line="257"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pari passu, or equal, in right of payment with all of our existing and future indebtedness or other obligations that are not so subordinated, or junior, including, without limitation, as of March 31, 2026, approximately $300.0 million aggregate principal amount of outstanding indebtedness under our 2026 Notes, approximately $300.0 million aggregate principal amount of outstanding indebtedness under our 2028 Notes, approximately $350.0 million aggregate principal amount of outstanding indebtedness under our 2029 Notes, and approximately $300.0 million aggregate principal amount of outstanding indebtedness under our 2030 Notes;</w:t>
      </w:r>
    </w:p>
    <w:p>
      <w:pPr>
        <w:spacing w:after="0" w:line="69" w:lineRule="exact"/>
        <w:rPr>
          <w:rFonts w:ascii="Times New Roman" w:cs="Times New Roman" w:eastAsia="Times New Roman" w:hAnsi="Times New Roman"/>
          <w:sz w:val="14"/>
          <w:szCs w:val="14"/>
          <w:color w:val="auto"/>
        </w:rPr>
      </w:pPr>
    </w:p>
    <w:p>
      <w:pPr>
        <w:ind w:left="2120" w:right="319" w:hanging="327"/>
        <w:spacing w:after="0" w:line="265"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$577.4 million aggregate principal amount of outstanding indebtedness as of March 31, 2026 under the Revolving Credit Facility; and</w:t>
      </w:r>
    </w:p>
    <w:p>
      <w:pPr>
        <w:spacing w:after="0" w:line="63" w:lineRule="exact"/>
        <w:rPr>
          <w:rFonts w:ascii="Times New Roman" w:cs="Times New Roman" w:eastAsia="Times New Roman" w:hAnsi="Times New Roman"/>
          <w:sz w:val="14"/>
          <w:szCs w:val="14"/>
          <w:color w:val="auto"/>
        </w:rPr>
      </w:pPr>
    </w:p>
    <w:p>
      <w:pPr>
        <w:ind w:left="2120" w:right="299" w:hanging="327"/>
        <w:spacing w:after="0" w:line="281"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structurally subordinated, or junior, to all existing and future indebtedness and other obligations (including trade payables) incurred by our subsidiaries, financing vehicles or similar facilities.</w:t>
      </w:r>
    </w:p>
    <w:p>
      <w:pPr>
        <w:spacing w:after="0" w:line="125"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As of March 31, 2026, our total consolidated indebtedness was approximately $1,827.4 million aggregate principal amount outstanding, of which approximately $577.4 million was secured indebtedness at the TSLX level and none of which was indebtedness of our subsidiaries. After giving effect to the issuance of the Notes, and assuming the net proceeds therefrom are used to repay outstanding borrowings under the Revolving Credit Facility, our total consolidated indebtedness would have been approximately $1,834.2 million aggregate principal amount outstanding as of March 31, 2026. See “Capitalization.”</w:t>
      </w:r>
    </w:p>
    <w:p>
      <w:pPr>
        <w:spacing w:after="0" w:line="143" w:lineRule="exact"/>
        <w:rPr>
          <w:sz w:val="20"/>
          <w:szCs w:val="20"/>
          <w:color w:val="auto"/>
        </w:rPr>
      </w:pPr>
    </w:p>
    <w:p>
      <w:pPr>
        <w:ind w:left="1380" w:right="379" w:firstLine="341"/>
        <w:spacing w:after="0" w:line="265" w:lineRule="auto"/>
        <w:rPr>
          <w:sz w:val="20"/>
          <w:szCs w:val="20"/>
          <w:color w:val="auto"/>
        </w:rPr>
      </w:pPr>
      <w:r>
        <w:rPr>
          <w:rFonts w:ascii="Times New Roman" w:cs="Times New Roman" w:eastAsia="Times New Roman" w:hAnsi="Times New Roman"/>
          <w:sz w:val="14"/>
          <w:szCs w:val="14"/>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92" w:lineRule="exact"/>
        <w:rPr>
          <w:sz w:val="20"/>
          <w:szCs w:val="20"/>
          <w:color w:val="auto"/>
        </w:rPr>
      </w:pPr>
    </w:p>
    <w:p>
      <w:pPr>
        <w:jc w:val="both"/>
        <w:ind w:left="1380" w:right="519" w:firstLine="341"/>
        <w:spacing w:after="0" w:line="265" w:lineRule="auto"/>
        <w:rPr>
          <w:sz w:val="20"/>
          <w:szCs w:val="20"/>
          <w:color w:val="auto"/>
        </w:rPr>
      </w:pPr>
      <w:r>
        <w:rPr>
          <w:rFonts w:ascii="Times New Roman" w:cs="Times New Roman" w:eastAsia="Times New Roman" w:hAnsi="Times New Roman"/>
          <w:sz w:val="14"/>
          <w:szCs w:val="14"/>
          <w:color w:val="auto"/>
        </w:rPr>
        <w:t>Any exercise of our option to redeem the Notes will be done in compliance with the 1940 Act. Prior to July 15, 2031 (one month prior to their maturity date) (the “Par Call Date”), we may redeem the Notes at our option, in whole or in part, at any time and from time to time, at a redemption price (expressed as a percentage of principal amount and rounded to three decimal places) equal to the greater of:</w:t>
      </w:r>
    </w:p>
    <w:p>
      <w:pPr>
        <w:spacing w:after="0" w:line="63" w:lineRule="exact"/>
        <w:rPr>
          <w:sz w:val="20"/>
          <w:szCs w:val="20"/>
          <w:color w:val="auto"/>
        </w:rPr>
      </w:pPr>
    </w:p>
    <w:p>
      <w:pPr>
        <w:ind w:left="2120" w:right="419" w:hanging="327"/>
        <w:spacing w:after="0" w:line="265"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30 basis points less (b) interest accrued to the date of redemption, and</w:t>
      </w:r>
    </w:p>
    <w:p>
      <w:pPr>
        <w:spacing w:after="0" w:line="63" w:lineRule="exact"/>
        <w:rPr>
          <w:rFonts w:ascii="Times New Roman" w:cs="Times New Roman" w:eastAsia="Times New Roman" w:hAnsi="Times New Roman"/>
          <w:sz w:val="14"/>
          <w:szCs w:val="14"/>
          <w:color w:val="auto"/>
        </w:rPr>
      </w:pPr>
    </w:p>
    <w:p>
      <w:pPr>
        <w:ind w:left="2120" w:right="379" w:hanging="327"/>
        <w:spacing w:after="0" w:line="281"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100% of the principal amount of the Notes to be redeemed, plus, in either case, accrued and unpaid interest thereon to the redemption date.</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405"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559" w:firstLine="341"/>
        <w:spacing w:after="0" w:line="281" w:lineRule="auto"/>
        <w:rPr>
          <w:sz w:val="20"/>
          <w:szCs w:val="20"/>
          <w:color w:val="auto"/>
        </w:rPr>
      </w:pPr>
      <w:r>
        <w:rPr>
          <w:rFonts w:ascii="Times New Roman" w:cs="Times New Roman" w:eastAsia="Times New Roman" w:hAnsi="Times New Roman"/>
          <w:sz w:val="14"/>
          <w:szCs w:val="14"/>
          <w:color w:val="auto"/>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spacing w:after="0" w:line="1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“Treasury Rate” means, with respect to any redemption date, the yield determined by us in accordance with the following two paragraphs.</w:t>
      </w:r>
    </w:p>
    <w:p>
      <w:pPr>
        <w:spacing w:after="0" w:line="174" w:lineRule="exact"/>
        <w:rPr>
          <w:sz w:val="20"/>
          <w:szCs w:val="20"/>
          <w:color w:val="auto"/>
        </w:rPr>
      </w:pPr>
    </w:p>
    <w:p>
      <w:pPr>
        <w:ind w:left="1380" w:right="279" w:firstLine="341"/>
        <w:spacing w:after="0" w:line="252" w:lineRule="auto"/>
        <w:rPr>
          <w:sz w:val="20"/>
          <w:szCs w:val="20"/>
          <w:color w:val="auto"/>
        </w:rPr>
      </w:pPr>
      <w:r>
        <w:rPr>
          <w:rFonts w:ascii="Times New Roman" w:cs="Times New Roman" w:eastAsia="Times New Roman" w:hAnsi="Times New Roman"/>
          <w:sz w:val="14"/>
          <w:szCs w:val="14"/>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47" w:lineRule="exact"/>
        <w:rPr>
          <w:sz w:val="20"/>
          <w:szCs w:val="20"/>
          <w:color w:val="auto"/>
        </w:rPr>
      </w:pPr>
    </w:p>
    <w:p>
      <w:pPr>
        <w:ind w:left="1380" w:right="259" w:firstLine="341"/>
        <w:spacing w:after="0" w:line="252" w:lineRule="auto"/>
        <w:rPr>
          <w:sz w:val="20"/>
          <w:szCs w:val="20"/>
          <w:color w:val="auto"/>
        </w:rPr>
      </w:pPr>
      <w:r>
        <w:rPr>
          <w:rFonts w:ascii="Times New Roman" w:cs="Times New Roman" w:eastAsia="Times New Roman" w:hAnsi="Times New Roman"/>
          <w:sz w:val="14"/>
          <w:szCs w:val="14"/>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48" w:lineRule="exact"/>
        <w:rPr>
          <w:sz w:val="20"/>
          <w:szCs w:val="20"/>
          <w:color w:val="auto"/>
        </w:rPr>
      </w:pPr>
    </w:p>
    <w:p>
      <w:pPr>
        <w:jc w:val="both"/>
        <w:ind w:left="1380" w:right="439" w:firstLine="341"/>
        <w:spacing w:after="0" w:line="281" w:lineRule="auto"/>
        <w:rPr>
          <w:sz w:val="20"/>
          <w:szCs w:val="20"/>
          <w:color w:val="auto"/>
        </w:rPr>
      </w:pPr>
      <w:r>
        <w:rPr>
          <w:rFonts w:ascii="Times New Roman" w:cs="Times New Roman" w:eastAsia="Times New Roman" w:hAnsi="Times New Roman"/>
          <w:sz w:val="14"/>
          <w:szCs w:val="14"/>
          <w:color w:val="auto"/>
        </w:rPr>
        <w:t>Our actions and determinations in determining the redemption price shall be conclusive and binding for all purposes, absent manifest error. The trustee will not be responsible or liable for determining, confirming, or verifying the redemption price.</w:t>
      </w:r>
    </w:p>
    <w:p>
      <w:pPr>
        <w:spacing w:after="0" w:line="125" w:lineRule="exact"/>
        <w:rPr>
          <w:sz w:val="20"/>
          <w:szCs w:val="20"/>
          <w:color w:val="auto"/>
        </w:rPr>
      </w:pPr>
    </w:p>
    <w:p>
      <w:pPr>
        <w:jc w:val="both"/>
        <w:ind w:left="1380" w:right="419" w:firstLine="341"/>
        <w:spacing w:after="0" w:line="265" w:lineRule="auto"/>
        <w:rPr>
          <w:sz w:val="20"/>
          <w:szCs w:val="20"/>
          <w:color w:val="auto"/>
        </w:rPr>
      </w:pPr>
      <w:r>
        <w:rPr>
          <w:rFonts w:ascii="Times New Roman" w:cs="Times New Roman" w:eastAsia="Times New Roman" w:hAnsi="Times New Roman"/>
          <w:sz w:val="14"/>
          <w:szCs w:val="14"/>
          <w:color w:val="auto"/>
        </w:rPr>
        <w:t>Notice of any redemption will be mailed or electronically delivered (or otherwise transmitted in accordance with the depositary’s procedures) at least 10 days but not more than 60 days before the redemption date to each holder of Notes to be redeemed. Any exercise of our option to redeem the Notes will be done in compliance with the 1940 Act.</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405"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339" w:firstLine="341"/>
        <w:spacing w:after="0" w:line="255" w:lineRule="auto"/>
        <w:rPr>
          <w:sz w:val="20"/>
          <w:szCs w:val="20"/>
          <w:color w:val="auto"/>
        </w:rPr>
      </w:pPr>
      <w:r>
        <w:rPr>
          <w:rFonts w:ascii="Times New Roman" w:cs="Times New Roman" w:eastAsia="Times New Roman" w:hAnsi="Times New Roman"/>
          <w:sz w:val="14"/>
          <w:szCs w:val="14"/>
          <w:color w:val="auto"/>
        </w:rPr>
        <w:t>In the case of a partial redemption, selection of the Notes for redemption will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spacing w:after="0" w:line="146" w:lineRule="exact"/>
        <w:rPr>
          <w:sz w:val="20"/>
          <w:szCs w:val="20"/>
          <w:color w:val="auto"/>
        </w:rPr>
      </w:pPr>
    </w:p>
    <w:p>
      <w:pPr>
        <w:ind w:left="1380" w:right="599" w:firstLine="341"/>
        <w:spacing w:after="0" w:line="281" w:lineRule="auto"/>
        <w:rPr>
          <w:sz w:val="20"/>
          <w:szCs w:val="20"/>
          <w:color w:val="auto"/>
        </w:rPr>
      </w:pPr>
      <w:r>
        <w:rPr>
          <w:rFonts w:ascii="Times New Roman" w:cs="Times New Roman" w:eastAsia="Times New Roman" w:hAnsi="Times New Roman"/>
          <w:sz w:val="14"/>
          <w:szCs w:val="14"/>
          <w:color w:val="auto"/>
        </w:rPr>
        <w:t>Unless we default in payment of the redemption price, on and after the redemption date interest will cease to accrue on the Notes or portions thereof called for redemption.</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Offer to Repurchase Upon a Change of Control Repurchase Event</w:t>
      </w:r>
    </w:p>
    <w:p>
      <w:pPr>
        <w:spacing w:after="0" w:line="92" w:lineRule="exact"/>
        <w:rPr>
          <w:sz w:val="20"/>
          <w:szCs w:val="20"/>
          <w:color w:val="auto"/>
        </w:rPr>
      </w:pPr>
    </w:p>
    <w:p>
      <w:pPr>
        <w:ind w:left="1380" w:right="239" w:firstLine="341"/>
        <w:spacing w:after="0" w:line="252" w:lineRule="auto"/>
        <w:rPr>
          <w:sz w:val="20"/>
          <w:szCs w:val="20"/>
          <w:color w:val="auto"/>
        </w:rPr>
      </w:pPr>
      <w:r>
        <w:rPr>
          <w:rFonts w:ascii="Times New Roman" w:cs="Times New Roman" w:eastAsia="Times New Roman" w:hAnsi="Times New Roman"/>
          <w:sz w:val="14"/>
          <w:szCs w:val="14"/>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47" w:lineRule="exact"/>
        <w:rPr>
          <w:sz w:val="20"/>
          <w:szCs w:val="20"/>
          <w:color w:val="auto"/>
        </w:rPr>
      </w:pPr>
    </w:p>
    <w:p>
      <w:pPr>
        <w:ind w:left="1380" w:right="459" w:firstLine="341"/>
        <w:spacing w:after="0" w:line="281" w:lineRule="auto"/>
        <w:rPr>
          <w:sz w:val="20"/>
          <w:szCs w:val="20"/>
          <w:color w:val="auto"/>
        </w:rPr>
      </w:pPr>
      <w:r>
        <w:rPr>
          <w:rFonts w:ascii="Times New Roman" w:cs="Times New Roman" w:eastAsia="Times New Roman" w:hAnsi="Times New Roman"/>
          <w:sz w:val="14"/>
          <w:szCs w:val="14"/>
          <w:color w:val="auto"/>
        </w:rPr>
        <w:t>On the Change of Control Repurchase Event payment date, subject to extension if necessary to comply with the provisions of the 1940 Act, we will, to the extent lawful:</w:t>
      </w:r>
    </w:p>
    <w:p>
      <w:pPr>
        <w:spacing w:after="0" w:line="52" w:lineRule="exact"/>
        <w:rPr>
          <w:sz w:val="20"/>
          <w:szCs w:val="20"/>
          <w:color w:val="auto"/>
        </w:rPr>
      </w:pPr>
    </w:p>
    <w:p>
      <w:pPr>
        <w:ind w:left="2120" w:hanging="411"/>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for payment all Notes or portions of Notes properly tendered pursuant to our offer;</w:t>
      </w:r>
    </w:p>
    <w:p>
      <w:pPr>
        <w:spacing w:after="0" w:line="100" w:lineRule="exact"/>
        <w:rPr>
          <w:rFonts w:ascii="Times New Roman" w:cs="Times New Roman" w:eastAsia="Times New Roman" w:hAnsi="Times New Roman"/>
          <w:sz w:val="14"/>
          <w:szCs w:val="14"/>
          <w:color w:val="auto"/>
        </w:rPr>
      </w:pPr>
    </w:p>
    <w:p>
      <w:pPr>
        <w:ind w:left="2120" w:right="739" w:hanging="411"/>
        <w:spacing w:after="0" w:line="281"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with the paying agent an amount equal to the aggregate purchase price in respect of all Notes or portions of Notes properly tendered; and</w:t>
      </w:r>
    </w:p>
    <w:p>
      <w:pPr>
        <w:spacing w:after="0" w:line="52" w:lineRule="exact"/>
        <w:rPr>
          <w:rFonts w:ascii="Times New Roman" w:cs="Times New Roman" w:eastAsia="Times New Roman" w:hAnsi="Times New Roman"/>
          <w:sz w:val="14"/>
          <w:szCs w:val="14"/>
          <w:color w:val="auto"/>
        </w:rPr>
      </w:pPr>
    </w:p>
    <w:p>
      <w:pPr>
        <w:ind w:left="2120" w:right="679" w:hanging="411"/>
        <w:spacing w:after="0" w:line="281"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or cause to be delivered to the trustee the Notes properly accepted, together with an officers’ certificate stating the aggregate principal amount of Notes being purchased by us.</w:t>
      </w:r>
    </w:p>
    <w:p>
      <w:pPr>
        <w:spacing w:after="0" w:line="125" w:lineRule="exact"/>
        <w:rPr>
          <w:sz w:val="20"/>
          <w:szCs w:val="20"/>
          <w:color w:val="auto"/>
        </w:rPr>
      </w:pPr>
    </w:p>
    <w:p>
      <w:pPr>
        <w:ind w:left="1380" w:right="339" w:firstLine="341"/>
        <w:spacing w:after="0" w:line="295" w:lineRule="auto"/>
        <w:rPr>
          <w:sz w:val="20"/>
          <w:szCs w:val="20"/>
          <w:color w:val="auto"/>
        </w:rPr>
      </w:pPr>
      <w:r>
        <w:rPr>
          <w:rFonts w:ascii="Times New Roman" w:cs="Times New Roman" w:eastAsia="Times New Roman" w:hAnsi="Times New Roman"/>
          <w:sz w:val="13"/>
          <w:szCs w:val="13"/>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each new Note will be in a minimum principal amount of $2,000 or an integral multiple of $1,000 in excess thereof.</w:t>
      </w:r>
    </w:p>
    <w:p>
      <w:pPr>
        <w:spacing w:after="0" w:line="118" w:lineRule="exact"/>
        <w:rPr>
          <w:sz w:val="20"/>
          <w:szCs w:val="20"/>
          <w:color w:val="auto"/>
        </w:rPr>
      </w:pPr>
    </w:p>
    <w:p>
      <w:pPr>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405"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239" w:firstLine="341"/>
        <w:spacing w:after="0" w:line="251" w:lineRule="auto"/>
        <w:rPr>
          <w:sz w:val="20"/>
          <w:szCs w:val="20"/>
          <w:color w:val="auto"/>
        </w:rPr>
      </w:pPr>
      <w:r>
        <w:rPr>
          <w:rFonts w:ascii="Times New Roman" w:cs="Times New Roman" w:eastAsia="Times New Roman" w:hAnsi="Times New Roman"/>
          <w:sz w:val="14"/>
          <w:szCs w:val="14"/>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the 2026 Notes, 2028 Notes, 2029 Notes and 2030 Notes each contains a provision that would require us to offer to purchase the respective 2026 Notes, 2028 Notes, 2029 Notes and 2030 Notes upon the occurrence of a fundamental change. A failure to purchase any tendered 2026 Notes, 2028 Notes, 2029 Notes and 2030 Notes would constitute an event of default under the applicable indenture, which would, in turn, constitute a default under our credit facility and the indenture. See “Management’s Discussion and Analysis of Financial Condition and Results of Operations—Financial Condition, Liquidity and Capital Resources” in our 1Q 2026 Quarterly Report, which is incorporated by reference herein, for a general discussion of our indebtedness. 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Relating to the Notes—We may not be able to repurchase the Notes upon a Change of Control Repurchase Event.”</w:t>
      </w:r>
    </w:p>
    <w:p>
      <w:pPr>
        <w:spacing w:after="0" w:line="152" w:lineRule="exact"/>
        <w:rPr>
          <w:sz w:val="20"/>
          <w:szCs w:val="20"/>
          <w:color w:val="auto"/>
        </w:rPr>
      </w:pPr>
    </w:p>
    <w:p>
      <w:pPr>
        <w:ind w:left="1380" w:right="339" w:firstLine="341"/>
        <w:spacing w:after="0" w:line="257" w:lineRule="auto"/>
        <w:rPr>
          <w:sz w:val="20"/>
          <w:szCs w:val="20"/>
          <w:color w:val="auto"/>
        </w:rPr>
      </w:pPr>
      <w:r>
        <w:rPr>
          <w:rFonts w:ascii="Times New Roman" w:cs="Times New Roman" w:eastAsia="Times New Roman" w:hAnsi="Times New Roman"/>
          <w:sz w:val="14"/>
          <w:szCs w:val="14"/>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For purposes of the Notes:</w:t>
      </w:r>
    </w:p>
    <w:p>
      <w:pPr>
        <w:spacing w:after="0" w:line="174"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 xml:space="preserve">“Below Investment Grade Rating Event”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4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“Change of Control” means the occurrence of any of the following:</w:t>
      </w:r>
    </w:p>
    <w:p>
      <w:pPr>
        <w:spacing w:after="0" w:line="101" w:lineRule="exact"/>
        <w:rPr>
          <w:sz w:val="20"/>
          <w:szCs w:val="20"/>
          <w:color w:val="auto"/>
        </w:rPr>
      </w:pPr>
    </w:p>
    <w:p>
      <w:pPr>
        <w:ind w:left="2120" w:right="339" w:hanging="411"/>
        <w:spacing w:after="0" w:line="260" w:lineRule="auto"/>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direct or indirect sale, lease, transfer, conveyance or other disposition (other than by way of merger or consolidation) in one or a series of related transactions, of all or substantially all of the assets of TSLX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for the avoidance of doubt, a pledge of assets pursuant to any secured debt instrument of TSLX or its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405"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Controlled Subsidiaries shall not be deemed to be any such sale, lease, transfer, conveyance or disposition;</w:t>
      </w:r>
    </w:p>
    <w:p>
      <w:pPr>
        <w:spacing w:after="0" w:line="101" w:lineRule="exact"/>
        <w:rPr>
          <w:sz w:val="20"/>
          <w:szCs w:val="20"/>
          <w:color w:val="auto"/>
        </w:rPr>
      </w:pPr>
    </w:p>
    <w:p>
      <w:pPr>
        <w:jc w:val="both"/>
        <w:ind w:left="2120" w:right="359" w:hanging="411"/>
        <w:spacing w:after="0" w:line="260" w:lineRule="auto"/>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TSLX, measured by voting power rather than number of shares; or</w:t>
      </w:r>
    </w:p>
    <w:p>
      <w:pPr>
        <w:spacing w:after="0" w:line="66" w:lineRule="exact"/>
        <w:rPr>
          <w:rFonts w:ascii="Times New Roman" w:cs="Times New Roman" w:eastAsia="Times New Roman" w:hAnsi="Times New Roman"/>
          <w:sz w:val="14"/>
          <w:szCs w:val="14"/>
          <w:color w:val="auto"/>
        </w:rPr>
      </w:pPr>
    </w:p>
    <w:p>
      <w:pPr>
        <w:ind w:left="2120" w:hanging="411"/>
        <w:spacing w:after="0"/>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by TSLX’s stockholders of any plan or proposal relating to the liquidation or dissolution of TSLX.</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“Change of Control Repurchase Event” means the occurrence of a Change of Control and a Below Investment Grade Rating Event.</w:t>
      </w:r>
    </w:p>
    <w:p>
      <w:pPr>
        <w:spacing w:after="0" w:line="174" w:lineRule="exact"/>
        <w:rPr>
          <w:sz w:val="20"/>
          <w:szCs w:val="20"/>
          <w:color w:val="auto"/>
        </w:rPr>
      </w:pPr>
    </w:p>
    <w:p>
      <w:pPr>
        <w:ind w:left="1380" w:right="499" w:firstLine="341"/>
        <w:spacing w:after="0" w:line="265" w:lineRule="auto"/>
        <w:rPr>
          <w:sz w:val="20"/>
          <w:szCs w:val="20"/>
          <w:color w:val="auto"/>
        </w:rPr>
      </w:pPr>
      <w:r>
        <w:rPr>
          <w:rFonts w:ascii="Times New Roman" w:cs="Times New Roman" w:eastAsia="Times New Roman" w:hAnsi="Times New Roman"/>
          <w:sz w:val="14"/>
          <w:szCs w:val="14"/>
          <w:color w:val="auto"/>
        </w:rPr>
        <w:t>“Controlled Subsidiary” means any subsidiary of TSLX, 50% or more of the outstanding equity interests of which are owned by TSLX and its direct or indirect subsidiaries and of which TSLX possesses, directly or indirectly, the power to direct or cause the direction of the management or policies, whether through the ownership of voting equity interests, by agreement or otherwise.</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“Fitch” means Fitch Ratings, Inc., also known as Fitch Ratings, or any successor thereto.</w:t>
      </w:r>
    </w:p>
    <w:p>
      <w:pPr>
        <w:spacing w:after="0" w:line="174" w:lineRule="exact"/>
        <w:rPr>
          <w:sz w:val="20"/>
          <w:szCs w:val="20"/>
          <w:color w:val="auto"/>
        </w:rPr>
      </w:pPr>
    </w:p>
    <w:p>
      <w:pPr>
        <w:ind w:left="1380" w:right="339" w:firstLine="341"/>
        <w:spacing w:after="0" w:line="260" w:lineRule="auto"/>
        <w:rPr>
          <w:sz w:val="20"/>
          <w:szCs w:val="20"/>
          <w:color w:val="auto"/>
        </w:rPr>
      </w:pPr>
      <w:r>
        <w:rPr>
          <w:rFonts w:ascii="Times New Roman" w:cs="Times New Roman" w:eastAsia="Times New Roman" w:hAnsi="Times New Roman"/>
          <w:sz w:val="14"/>
          <w:szCs w:val="14"/>
          <w:color w:val="auto"/>
        </w:rPr>
        <w:t>“Investment Grade” means a rating of BBB-or better by Fitch (or its equivalent under any successor rating categories of Fitch), BBB-or better by S&amp;P (or its equivalent under any successor rating categories of S&amp;P)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4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“Moody’s” means Moody’s Investor Service, or any successor thereto.</w:t>
      </w:r>
    </w:p>
    <w:p>
      <w:pPr>
        <w:spacing w:after="0" w:line="174" w:lineRule="exact"/>
        <w:rPr>
          <w:sz w:val="20"/>
          <w:szCs w:val="20"/>
          <w:color w:val="auto"/>
        </w:rPr>
      </w:pPr>
    </w:p>
    <w:p>
      <w:pPr>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“Permitted Holders” means (i) us, (ii) one or more of our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“Rating Agency” means:</w:t>
      </w:r>
    </w:p>
    <w:p>
      <w:pPr>
        <w:spacing w:after="0" w:line="101" w:lineRule="exact"/>
        <w:rPr>
          <w:sz w:val="20"/>
          <w:szCs w:val="20"/>
          <w:color w:val="auto"/>
        </w:rPr>
      </w:pPr>
    </w:p>
    <w:p>
      <w:pPr>
        <w:ind w:left="2120" w:hanging="411"/>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Fitch, Moody’s and S&amp;P; and</w:t>
      </w:r>
    </w:p>
    <w:p>
      <w:pPr>
        <w:spacing w:after="0" w:line="100" w:lineRule="exact"/>
        <w:rPr>
          <w:rFonts w:ascii="Times New Roman" w:cs="Times New Roman" w:eastAsia="Times New Roman" w:hAnsi="Times New Roman"/>
          <w:sz w:val="14"/>
          <w:szCs w:val="14"/>
          <w:color w:val="auto"/>
        </w:rPr>
      </w:pPr>
    </w:p>
    <w:p>
      <w:pPr>
        <w:ind w:left="2120" w:right="299" w:hanging="411"/>
        <w:spacing w:after="0" w:line="265"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“S&amp;P” means S&amp;P Global Ratings or any successor thereto.</w:t>
      </w:r>
    </w:p>
    <w:p>
      <w:pPr>
        <w:spacing w:after="0" w:line="174" w:lineRule="exact"/>
        <w:rPr>
          <w:sz w:val="20"/>
          <w:szCs w:val="20"/>
          <w:color w:val="auto"/>
        </w:rPr>
      </w:pPr>
    </w:p>
    <w:p>
      <w:pPr>
        <w:ind w:left="1380" w:right="539" w:firstLine="341"/>
        <w:spacing w:after="0" w:line="265" w:lineRule="auto"/>
        <w:rPr>
          <w:sz w:val="20"/>
          <w:szCs w:val="20"/>
          <w:color w:val="auto"/>
        </w:rPr>
      </w:pPr>
      <w:r>
        <w:rPr>
          <w:rFonts w:ascii="Times New Roman" w:cs="Times New Roman" w:eastAsia="Times New Roman" w:hAnsi="Times New Roman"/>
          <w:sz w:val="14"/>
          <w:szCs w:val="14"/>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405"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2" w:lineRule="exact"/>
        <w:rPr>
          <w:sz w:val="20"/>
          <w:szCs w:val="20"/>
          <w:color w:val="auto"/>
        </w:rPr>
      </w:pPr>
    </w:p>
    <w:p>
      <w:pPr>
        <w:ind w:left="1380" w:right="579" w:firstLine="341"/>
        <w:spacing w:after="0" w:line="281" w:lineRule="auto"/>
        <w:rPr>
          <w:sz w:val="20"/>
          <w:szCs w:val="20"/>
          <w:color w:val="auto"/>
        </w:rPr>
      </w:pPr>
      <w:r>
        <w:rPr>
          <w:rFonts w:ascii="Times New Roman" w:cs="Times New Roman" w:eastAsia="Times New Roman" w:hAnsi="Times New Roman"/>
          <w:sz w:val="14"/>
          <w:szCs w:val="14"/>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Merger, Consolidation or Sale of Assets</w:t>
      </w:r>
    </w:p>
    <w:p>
      <w:pPr>
        <w:spacing w:after="0" w:line="92" w:lineRule="exact"/>
        <w:rPr>
          <w:sz w:val="20"/>
          <w:szCs w:val="20"/>
          <w:color w:val="auto"/>
        </w:rPr>
      </w:pPr>
    </w:p>
    <w:p>
      <w:pPr>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The indenture provides that we will not merge or consolidate with or into any other person (other than a merger of a wholly owned subsidiary into us), or sell, transfer, lease, convey or otherwise dispose of all or substantially all our property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for the avoidance of doubt, a pledge of assets pursuant to any secured debt instrument of TSLX or its Controlled Subsidiaries shall not be deemed to be any such sale, transfer, lease, conveyance or disposition) in any one transaction or series of related transactions unless:</w:t>
      </w:r>
    </w:p>
    <w:p>
      <w:pPr>
        <w:spacing w:after="0" w:line="66" w:lineRule="exact"/>
        <w:rPr>
          <w:sz w:val="20"/>
          <w:szCs w:val="20"/>
          <w:color w:val="auto"/>
        </w:rPr>
      </w:pPr>
    </w:p>
    <w:p>
      <w:pPr>
        <w:ind w:left="2120" w:right="319" w:hanging="327"/>
        <w:spacing w:after="0" w:line="265"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63" w:lineRule="exact"/>
        <w:rPr>
          <w:rFonts w:ascii="Times New Roman" w:cs="Times New Roman" w:eastAsia="Times New Roman" w:hAnsi="Times New Roman"/>
          <w:sz w:val="14"/>
          <w:szCs w:val="14"/>
          <w:color w:val="auto"/>
        </w:rPr>
      </w:pPr>
    </w:p>
    <w:p>
      <w:pPr>
        <w:ind w:left="2120" w:right="279" w:hanging="327"/>
        <w:spacing w:after="0" w:line="260"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spacing w:after="0" w:line="66" w:lineRule="exact"/>
        <w:rPr>
          <w:rFonts w:ascii="Times New Roman" w:cs="Times New Roman" w:eastAsia="Times New Roman" w:hAnsi="Times New Roman"/>
          <w:sz w:val="14"/>
          <w:szCs w:val="14"/>
          <w:color w:val="auto"/>
        </w:rPr>
      </w:pPr>
    </w:p>
    <w:p>
      <w:pPr>
        <w:ind w:left="2120" w:right="399" w:hanging="327"/>
        <w:spacing w:after="0" w:line="281"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before and immediately after giving effect to such transaction or series of related transactions, no default or event of default shall have occurred and be continuing; and</w:t>
      </w:r>
    </w:p>
    <w:p>
      <w:pPr>
        <w:spacing w:after="0" w:line="52" w:lineRule="exact"/>
        <w:rPr>
          <w:rFonts w:ascii="Times New Roman" w:cs="Times New Roman" w:eastAsia="Times New Roman" w:hAnsi="Times New Roman"/>
          <w:sz w:val="14"/>
          <w:szCs w:val="14"/>
          <w:color w:val="auto"/>
        </w:rPr>
      </w:pPr>
    </w:p>
    <w:p>
      <w:pPr>
        <w:ind w:left="2120" w:right="279" w:hanging="327"/>
        <w:spacing w:after="0" w:line="260"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40" w:lineRule="exact"/>
        <w:rPr>
          <w:sz w:val="20"/>
          <w:szCs w:val="20"/>
          <w:color w:val="auto"/>
        </w:rPr>
      </w:pPr>
    </w:p>
    <w:p>
      <w:pPr>
        <w:ind w:left="1380" w:right="419" w:firstLine="341"/>
        <w:spacing w:after="0" w:line="265" w:lineRule="auto"/>
        <w:rPr>
          <w:sz w:val="20"/>
          <w:szCs w:val="20"/>
          <w:color w:val="auto"/>
        </w:rPr>
      </w:pPr>
      <w:r>
        <w:rPr>
          <w:rFonts w:ascii="Times New Roman" w:cs="Times New Roman" w:eastAsia="Times New Roman" w:hAnsi="Times New Roman"/>
          <w:sz w:val="14"/>
          <w:szCs w:val="14"/>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36" w:lineRule="exact"/>
        <w:rPr>
          <w:sz w:val="20"/>
          <w:szCs w:val="20"/>
          <w:color w:val="auto"/>
        </w:rPr>
      </w:pPr>
    </w:p>
    <w:p>
      <w:pPr>
        <w:ind w:left="1380" w:right="459" w:firstLine="341"/>
        <w:spacing w:after="0" w:line="255" w:lineRule="auto"/>
        <w:rPr>
          <w:sz w:val="20"/>
          <w:szCs w:val="20"/>
          <w:color w:val="auto"/>
        </w:rPr>
      </w:pPr>
      <w:r>
        <w:rPr>
          <w:rFonts w:ascii="Times New Roman" w:cs="Times New Roman" w:eastAsia="Times New Roman" w:hAnsi="Times New Roman"/>
          <w:sz w:val="14"/>
          <w:szCs w:val="14"/>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46" w:lineRule="exact"/>
        <w:rPr>
          <w:sz w:val="20"/>
          <w:szCs w:val="20"/>
          <w:color w:val="auto"/>
        </w:rPr>
      </w:pPr>
    </w:p>
    <w:p>
      <w:pPr>
        <w:jc w:val="both"/>
        <w:ind w:left="1380" w:right="499" w:firstLine="341"/>
        <w:spacing w:after="0" w:line="265" w:lineRule="auto"/>
        <w:rPr>
          <w:sz w:val="20"/>
          <w:szCs w:val="20"/>
          <w:color w:val="auto"/>
        </w:rPr>
      </w:pPr>
      <w:r>
        <w:rPr>
          <w:rFonts w:ascii="Times New Roman" w:cs="Times New Roman" w:eastAsia="Times New Roman" w:hAnsi="Times New Roman"/>
          <w:sz w:val="14"/>
          <w:szCs w:val="14"/>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405"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Other Covenants</w:t>
      </w:r>
    </w:p>
    <w:p>
      <w:pPr>
        <w:spacing w:after="0" w:line="103" w:lineRule="exact"/>
        <w:rPr>
          <w:sz w:val="20"/>
          <w:szCs w:val="20"/>
          <w:color w:val="auto"/>
        </w:rPr>
      </w:pPr>
    </w:p>
    <w:p>
      <w:pPr>
        <w:ind w:left="2120" w:right="519" w:hanging="327"/>
        <w:spacing w:after="0" w:line="265" w:lineRule="auto"/>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63" w:lineRule="exact"/>
        <w:rPr>
          <w:rFonts w:ascii="Times New Roman" w:cs="Times New Roman" w:eastAsia="Times New Roman" w:hAnsi="Times New Roman"/>
          <w:sz w:val="14"/>
          <w:szCs w:val="14"/>
          <w:color w:val="auto"/>
        </w:rPr>
      </w:pPr>
    </w:p>
    <w:p>
      <w:pPr>
        <w:ind w:left="2120" w:right="319" w:hanging="327"/>
        <w:spacing w:after="0" w:line="257" w:lineRule="auto"/>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Each of the following is an event of default:</w:t>
      </w:r>
    </w:p>
    <w:p>
      <w:pPr>
        <w:spacing w:after="0" w:line="101" w:lineRule="exact"/>
        <w:rPr>
          <w:sz w:val="20"/>
          <w:szCs w:val="20"/>
          <w:color w:val="auto"/>
        </w:rPr>
      </w:pPr>
    </w:p>
    <w:p>
      <w:pPr>
        <w:ind w:left="2120" w:hanging="411"/>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Note when due and payable and the default continues for a period of 30 days;</w:t>
      </w:r>
    </w:p>
    <w:p>
      <w:pPr>
        <w:spacing w:after="0" w:line="100" w:lineRule="exact"/>
        <w:rPr>
          <w:rFonts w:ascii="Times New Roman" w:cs="Times New Roman" w:eastAsia="Times New Roman" w:hAnsi="Times New Roman"/>
          <w:sz w:val="14"/>
          <w:szCs w:val="14"/>
          <w:color w:val="auto"/>
        </w:rPr>
      </w:pPr>
    </w:p>
    <w:p>
      <w:pPr>
        <w:ind w:left="2120" w:right="519" w:hanging="411"/>
        <w:spacing w:after="0" w:line="281"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of (or premium, if any, on) any Note when it becomes due and payable at its maturity, including upon any redemption date or required repurchase date;</w:t>
      </w:r>
    </w:p>
    <w:p>
      <w:pPr>
        <w:spacing w:after="0" w:line="52" w:lineRule="exact"/>
        <w:rPr>
          <w:rFonts w:ascii="Times New Roman" w:cs="Times New Roman" w:eastAsia="Times New Roman" w:hAnsi="Times New Roman"/>
          <w:sz w:val="14"/>
          <w:szCs w:val="14"/>
          <w:color w:val="auto"/>
        </w:rPr>
      </w:pPr>
    </w:p>
    <w:p>
      <w:pPr>
        <w:ind w:left="2120" w:right="279" w:hanging="411"/>
        <w:spacing w:after="0" w:line="265"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63" w:lineRule="exact"/>
        <w:rPr>
          <w:rFonts w:ascii="Times New Roman" w:cs="Times New Roman" w:eastAsia="Times New Roman" w:hAnsi="Times New Roman"/>
          <w:sz w:val="14"/>
          <w:szCs w:val="14"/>
          <w:color w:val="auto"/>
        </w:rPr>
      </w:pPr>
    </w:p>
    <w:p>
      <w:pPr>
        <w:ind w:left="2120" w:right="499" w:hanging="411"/>
        <w:spacing w:after="0" w:line="280" w:lineRule="auto"/>
        <w:tabs>
          <w:tab w:leader="none" w:pos="21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w:t>
      </w:r>
    </w:p>
    <w:p>
      <w:pPr>
        <w:ind w:left="2120" w:right="299"/>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 is not consolidated with TSLX for purposes of GAAP), with respect to any mortgage, agreement or other instrument under which there may be outstanding, or by which there may be secured or evidenced, any indebtedness for money borrowed in excess of $100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77" w:lineRule="exact"/>
        <w:rPr>
          <w:rFonts w:ascii="Times New Roman" w:cs="Times New Roman" w:eastAsia="Times New Roman" w:hAnsi="Times New Roman"/>
          <w:sz w:val="13"/>
          <w:szCs w:val="13"/>
          <w:color w:val="auto"/>
        </w:rPr>
      </w:pPr>
    </w:p>
    <w:p>
      <w:pPr>
        <w:ind w:left="2120" w:right="319" w:hanging="411"/>
        <w:spacing w:after="0" w:line="265"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63" w:lineRule="exact"/>
        <w:rPr>
          <w:rFonts w:ascii="Times New Roman" w:cs="Times New Roman" w:eastAsia="Times New Roman" w:hAnsi="Times New Roman"/>
          <w:sz w:val="14"/>
          <w:szCs w:val="14"/>
          <w:color w:val="auto"/>
        </w:rPr>
      </w:pPr>
    </w:p>
    <w:p>
      <w:pPr>
        <w:ind w:left="2120" w:right="559" w:hanging="411"/>
        <w:spacing w:after="0" w:line="281"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involving us occur and remain undischarged or unstayed for a period of 90 days.</w:t>
      </w:r>
    </w:p>
    <w:p>
      <w:pPr>
        <w:spacing w:after="0" w:line="125" w:lineRule="exact"/>
        <w:rPr>
          <w:sz w:val="20"/>
          <w:szCs w:val="20"/>
          <w:color w:val="auto"/>
        </w:rPr>
      </w:pPr>
    </w:p>
    <w:p>
      <w:pPr>
        <w:ind w:left="1380" w:right="319" w:firstLine="341"/>
        <w:spacing w:after="0" w:line="255" w:lineRule="auto"/>
        <w:rPr>
          <w:sz w:val="20"/>
          <w:szCs w:val="20"/>
          <w:color w:val="auto"/>
        </w:rPr>
      </w:pPr>
      <w:r>
        <w:rPr>
          <w:rFonts w:ascii="Times New Roman" w:cs="Times New Roman" w:eastAsia="Times New Roman" w:hAnsi="Times New Roman"/>
          <w:sz w:val="14"/>
          <w:szCs w:val="14"/>
          <w:color w:val="auto"/>
        </w:rPr>
        <w:t>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405"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239" w:firstLine="341"/>
        <w:spacing w:after="0" w:line="253" w:lineRule="auto"/>
        <w:rPr>
          <w:sz w:val="20"/>
          <w:szCs w:val="20"/>
          <w:color w:val="auto"/>
        </w:rPr>
      </w:pPr>
      <w:r>
        <w:rPr>
          <w:rFonts w:ascii="Times New Roman" w:cs="Times New Roman" w:eastAsia="Times New Roman" w:hAnsi="Times New Roman"/>
          <w:sz w:val="14"/>
          <w:szCs w:val="14"/>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45" w:lineRule="exact"/>
        <w:rPr>
          <w:sz w:val="20"/>
          <w:szCs w:val="20"/>
          <w:color w:val="auto"/>
        </w:rPr>
      </w:pPr>
    </w:p>
    <w:p>
      <w:pPr>
        <w:ind w:left="1380" w:right="319" w:firstLine="341"/>
        <w:spacing w:after="0" w:line="281" w:lineRule="auto"/>
        <w:rPr>
          <w:sz w:val="20"/>
          <w:szCs w:val="20"/>
          <w:color w:val="auto"/>
        </w:rPr>
      </w:pPr>
      <w:r>
        <w:rPr>
          <w:rFonts w:ascii="Times New Roman" w:cs="Times New Roman" w:eastAsia="Times New Roman" w:hAnsi="Times New Roman"/>
          <w:sz w:val="14"/>
          <w:szCs w:val="14"/>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52" w:lineRule="exact"/>
        <w:rPr>
          <w:sz w:val="20"/>
          <w:szCs w:val="20"/>
          <w:color w:val="auto"/>
        </w:rPr>
      </w:pPr>
    </w:p>
    <w:p>
      <w:pPr>
        <w:ind w:left="2120" w:hanging="411"/>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has previously given written notice to the trustee of a continuing event of default with respect to the Notes;</w:t>
      </w:r>
    </w:p>
    <w:p>
      <w:pPr>
        <w:spacing w:after="0" w:line="100" w:lineRule="exact"/>
        <w:rPr>
          <w:rFonts w:ascii="Times New Roman" w:cs="Times New Roman" w:eastAsia="Times New Roman" w:hAnsi="Times New Roman"/>
          <w:sz w:val="14"/>
          <w:szCs w:val="14"/>
          <w:color w:val="auto"/>
        </w:rPr>
      </w:pPr>
    </w:p>
    <w:p>
      <w:pPr>
        <w:ind w:left="2120" w:right="519" w:hanging="411"/>
        <w:spacing w:after="0" w:line="281"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Notes shall have made written request to the trustee to institute proceedings in respect of such event of default;</w:t>
      </w:r>
    </w:p>
    <w:p>
      <w:pPr>
        <w:spacing w:after="0" w:line="52" w:lineRule="exact"/>
        <w:rPr>
          <w:rFonts w:ascii="Times New Roman" w:cs="Times New Roman" w:eastAsia="Times New Roman" w:hAnsi="Times New Roman"/>
          <w:sz w:val="14"/>
          <w:szCs w:val="14"/>
          <w:color w:val="auto"/>
        </w:rPr>
      </w:pPr>
    </w:p>
    <w:p>
      <w:pPr>
        <w:ind w:left="2120" w:right="319" w:hanging="411"/>
        <w:spacing w:after="0" w:line="281"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or holders have offered to the trustee security or indemnity satisfactory to the trustee against the costs, expenses and liabilities to be incurred in compliance with such request;</w:t>
      </w:r>
    </w:p>
    <w:p>
      <w:pPr>
        <w:spacing w:after="0" w:line="52" w:lineRule="exact"/>
        <w:rPr>
          <w:rFonts w:ascii="Times New Roman" w:cs="Times New Roman" w:eastAsia="Times New Roman" w:hAnsi="Times New Roman"/>
          <w:sz w:val="14"/>
          <w:szCs w:val="14"/>
          <w:color w:val="auto"/>
        </w:rPr>
      </w:pPr>
    </w:p>
    <w:p>
      <w:pPr>
        <w:ind w:left="2120" w:right="299" w:hanging="411"/>
        <w:spacing w:after="0" w:line="281"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for 60 days after its receipt of such notice, request and offer of security or indemnity has failed to institute any such proceeding; and</w:t>
      </w:r>
    </w:p>
    <w:p>
      <w:pPr>
        <w:spacing w:after="0" w:line="52" w:lineRule="exact"/>
        <w:rPr>
          <w:rFonts w:ascii="Times New Roman" w:cs="Times New Roman" w:eastAsia="Times New Roman" w:hAnsi="Times New Roman"/>
          <w:sz w:val="14"/>
          <w:szCs w:val="14"/>
          <w:color w:val="auto"/>
        </w:rPr>
      </w:pPr>
    </w:p>
    <w:p>
      <w:pPr>
        <w:ind w:left="2120" w:right="379" w:hanging="411"/>
        <w:spacing w:after="0" w:line="281"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direction inconsistent with such written request has been given to the trustee during such 60-day period by the holders of a majority in principal amount of the outstanding Notes.</w:t>
      </w:r>
    </w:p>
    <w:p>
      <w:pPr>
        <w:spacing w:after="0" w:line="125" w:lineRule="exact"/>
        <w:rPr>
          <w:sz w:val="20"/>
          <w:szCs w:val="20"/>
          <w:color w:val="auto"/>
        </w:rPr>
      </w:pPr>
    </w:p>
    <w:p>
      <w:pPr>
        <w:jc w:val="both"/>
        <w:ind w:left="1380" w:right="339" w:firstLine="341"/>
        <w:spacing w:after="0" w:line="260" w:lineRule="auto"/>
        <w:rPr>
          <w:sz w:val="20"/>
          <w:szCs w:val="20"/>
          <w:color w:val="auto"/>
        </w:rPr>
      </w:pPr>
      <w:r>
        <w:rPr>
          <w:rFonts w:ascii="Times New Roman" w:cs="Times New Roman" w:eastAsia="Times New Roman" w:hAnsi="Times New Roman"/>
          <w:sz w:val="14"/>
          <w:szCs w:val="14"/>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40"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47" w:lineRule="exact"/>
        <w:rPr>
          <w:sz w:val="20"/>
          <w:szCs w:val="20"/>
          <w:color w:val="auto"/>
        </w:rPr>
      </w:pPr>
    </w:p>
    <w:p>
      <w:pPr>
        <w:ind w:left="1380" w:right="259" w:firstLine="341"/>
        <w:spacing w:after="0" w:line="265" w:lineRule="auto"/>
        <w:rPr>
          <w:sz w:val="20"/>
          <w:szCs w:val="20"/>
          <w:color w:val="auto"/>
        </w:rPr>
      </w:pPr>
      <w:r>
        <w:rPr>
          <w:rFonts w:ascii="Times New Roman" w:cs="Times New Roman" w:eastAsia="Times New Roman" w:hAnsi="Times New Roman"/>
          <w:sz w:val="14"/>
          <w:szCs w:val="14"/>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0159"/>
          </w:cols>
          <w:pgMar w:left="300" w:top="405"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both"/>
        <w:ind w:left="1380" w:right="419" w:hanging="5"/>
        <w:spacing w:after="0" w:line="295" w:lineRule="auto"/>
        <w:tabs>
          <w:tab w:leader="none" w:pos="1585"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18" w:lineRule="exact"/>
        <w:rPr>
          <w:sz w:val="20"/>
          <w:szCs w:val="20"/>
          <w:color w:val="auto"/>
        </w:rPr>
      </w:pPr>
    </w:p>
    <w:p>
      <w:pPr>
        <w:ind w:left="1380" w:right="399" w:firstLine="341"/>
        <w:spacing w:after="0" w:line="281" w:lineRule="auto"/>
        <w:rPr>
          <w:sz w:val="20"/>
          <w:szCs w:val="20"/>
          <w:color w:val="auto"/>
        </w:rPr>
      </w:pPr>
      <w:r>
        <w:rPr>
          <w:rFonts w:ascii="Times New Roman" w:cs="Times New Roman" w:eastAsia="Times New Roman" w:hAnsi="Times New Roman"/>
          <w:sz w:val="14"/>
          <w:szCs w:val="14"/>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25" w:lineRule="exact"/>
        <w:rPr>
          <w:sz w:val="20"/>
          <w:szCs w:val="20"/>
          <w:color w:val="auto"/>
        </w:rPr>
      </w:pPr>
    </w:p>
    <w:p>
      <w:pPr>
        <w:ind w:left="1380" w:right="299" w:firstLine="341"/>
        <w:spacing w:after="0" w:line="260" w:lineRule="auto"/>
        <w:rPr>
          <w:sz w:val="20"/>
          <w:szCs w:val="20"/>
          <w:color w:val="auto"/>
        </w:rPr>
      </w:pPr>
      <w:r>
        <w:rPr>
          <w:rFonts w:ascii="Times New Roman" w:cs="Times New Roman" w:eastAsia="Times New Roman" w:hAnsi="Times New Roman"/>
          <w:sz w:val="14"/>
          <w:szCs w:val="14"/>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Satisfaction and Discharge; Defeasance</w:t>
      </w:r>
    </w:p>
    <w:p>
      <w:pPr>
        <w:spacing w:after="0" w:line="92" w:lineRule="exact"/>
        <w:rPr>
          <w:sz w:val="20"/>
          <w:szCs w:val="20"/>
          <w:color w:val="auto"/>
        </w:rPr>
      </w:pPr>
    </w:p>
    <w:p>
      <w:pPr>
        <w:ind w:left="1380" w:right="319" w:firstLine="341"/>
        <w:spacing w:after="0" w:line="260" w:lineRule="auto"/>
        <w:rPr>
          <w:sz w:val="20"/>
          <w:szCs w:val="20"/>
          <w:color w:val="auto"/>
        </w:rPr>
      </w:pPr>
      <w:r>
        <w:rPr>
          <w:rFonts w:ascii="Times New Roman" w:cs="Times New Roman" w:eastAsia="Times New Roman" w:hAnsi="Times New Roman"/>
          <w:sz w:val="14"/>
          <w:szCs w:val="14"/>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40" w:lineRule="exact"/>
        <w:rPr>
          <w:sz w:val="20"/>
          <w:szCs w:val="20"/>
          <w:color w:val="auto"/>
        </w:rPr>
      </w:pPr>
    </w:p>
    <w:p>
      <w:pPr>
        <w:ind w:left="1380" w:right="279" w:firstLine="341"/>
        <w:spacing w:after="0" w:line="251" w:lineRule="auto"/>
        <w:rPr>
          <w:sz w:val="20"/>
          <w:szCs w:val="20"/>
          <w:color w:val="auto"/>
        </w:rPr>
      </w:pPr>
      <w:r>
        <w:rPr>
          <w:rFonts w:ascii="Times New Roman" w:cs="Times New Roman" w:eastAsia="Times New Roman" w:hAnsi="Times New Roman"/>
          <w:sz w:val="14"/>
          <w:szCs w:val="14"/>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(the “IRS”)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92" w:lineRule="exact"/>
        <w:rPr>
          <w:sz w:val="20"/>
          <w:szCs w:val="20"/>
          <w:color w:val="auto"/>
        </w:rPr>
      </w:pPr>
    </w:p>
    <w:p>
      <w:pPr>
        <w:ind w:left="1380" w:right="479" w:firstLine="341"/>
        <w:spacing w:after="0" w:line="265" w:lineRule="auto"/>
        <w:rPr>
          <w:sz w:val="20"/>
          <w:szCs w:val="20"/>
          <w:color w:val="auto"/>
        </w:rPr>
      </w:pPr>
      <w:r>
        <w:rPr>
          <w:rFonts w:ascii="Times New Roman" w:cs="Times New Roman" w:eastAsia="Times New Roman" w:hAnsi="Times New Roman"/>
          <w:sz w:val="14"/>
          <w:szCs w:val="14"/>
          <w:color w:val="auto"/>
        </w:rPr>
        <w:t>U.S. Bank Trust Company, National Association, is the trustee, security registrar and paying agent. U.S. Bank Trust Company, National Association, in its capacity, including without limitation as trustee, security registrar and paying agent, assumes no responsibility (or liability) for the accuracy, correctness, adequacy, or</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0159"/>
          </w:cols>
          <w:pgMar w:left="300" w:top="405"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239"/>
        <w:spacing w:after="0" w:line="257" w:lineRule="auto"/>
        <w:rPr>
          <w:sz w:val="20"/>
          <w:szCs w:val="20"/>
          <w:color w:val="auto"/>
        </w:rPr>
      </w:pPr>
      <w:r>
        <w:rPr>
          <w:rFonts w:ascii="Times New Roman" w:cs="Times New Roman" w:eastAsia="Times New Roman" w:hAnsi="Times New Roman"/>
          <w:sz w:val="14"/>
          <w:szCs w:val="14"/>
          <w:color w:val="auto"/>
        </w:rPr>
        <w:t>completeness of the information concerning us or our affiliates or any other party contained in this prospectus supplement and accompanying prospectus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We may maintain banking relationships in the ordinary course of business with the trustee and its affiliates.</w:t>
      </w:r>
    </w:p>
    <w:p>
      <w:pPr>
        <w:spacing w:after="0" w:line="174" w:lineRule="exact"/>
        <w:rPr>
          <w:sz w:val="20"/>
          <w:szCs w:val="20"/>
          <w:color w:val="auto"/>
        </w:rPr>
      </w:pPr>
    </w:p>
    <w:p>
      <w:pPr>
        <w:ind w:left="1380" w:right="399" w:firstLine="341"/>
        <w:spacing w:after="0" w:line="265" w:lineRule="auto"/>
        <w:rPr>
          <w:sz w:val="20"/>
          <w:szCs w:val="20"/>
          <w:color w:val="auto"/>
        </w:rPr>
      </w:pPr>
      <w:r>
        <w:rPr>
          <w:rFonts w:ascii="Times New Roman" w:cs="Times New Roman" w:eastAsia="Times New Roman" w:hAnsi="Times New Roman"/>
          <w:sz w:val="14"/>
          <w:szCs w:val="14"/>
          <w:color w:val="auto"/>
        </w:rPr>
        <w:t>“corporate trust office” means the corporate trust office of the Trustee, at which at any particular time its corporate trust business with respect to the Indenture shall be administered, which office is currently located at U.S. Bank Trust Company, National Association, 800 Nicollet Mall, Minneapolis, Minnesota 55402.</w:t>
      </w:r>
    </w:p>
    <w:p>
      <w:pPr>
        <w:spacing w:after="0" w:line="136" w:lineRule="exact"/>
        <w:rPr>
          <w:sz w:val="20"/>
          <w:szCs w:val="20"/>
          <w:color w:val="auto"/>
        </w:rPr>
      </w:pPr>
    </w:p>
    <w:p>
      <w:pPr>
        <w:ind w:left="1380" w:right="279" w:firstLine="341"/>
        <w:spacing w:after="0" w:line="254" w:lineRule="auto"/>
        <w:rPr>
          <w:sz w:val="20"/>
          <w:szCs w:val="20"/>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44" w:lineRule="exact"/>
        <w:rPr>
          <w:sz w:val="20"/>
          <w:szCs w:val="20"/>
          <w:color w:val="auto"/>
        </w:rPr>
      </w:pPr>
    </w:p>
    <w:p>
      <w:pPr>
        <w:ind w:left="1380" w:right="399" w:firstLine="341"/>
        <w:spacing w:after="0" w:line="281" w:lineRule="auto"/>
        <w:rPr>
          <w:sz w:val="20"/>
          <w:szCs w:val="20"/>
          <w:color w:val="auto"/>
        </w:rPr>
      </w:pPr>
      <w:r>
        <w:rPr>
          <w:rFonts w:ascii="Times New Roman" w:cs="Times New Roman" w:eastAsia="Times New Roman" w:hAnsi="Times New Roman"/>
          <w:sz w:val="14"/>
          <w:szCs w:val="14"/>
          <w:color w:val="auto"/>
        </w:rPr>
        <w:t>Each of the trustee, security registrar, and paying agent will be entitled to those certain rights, privileges, immunities, indemnities, limitations of liability, and protections, as more fully set forth in the indenture.</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2" w:lineRule="exact"/>
        <w:rPr>
          <w:sz w:val="20"/>
          <w:szCs w:val="20"/>
          <w:color w:val="auto"/>
        </w:rPr>
      </w:pPr>
    </w:p>
    <w:p>
      <w:pPr>
        <w:ind w:left="1380" w:right="479" w:firstLine="341"/>
        <w:spacing w:after="0" w:line="281" w:lineRule="auto"/>
        <w:rPr>
          <w:sz w:val="20"/>
          <w:szCs w:val="20"/>
          <w:color w:val="auto"/>
        </w:rPr>
      </w:pPr>
      <w:r>
        <w:rPr>
          <w:rFonts w:ascii="Times New Roman" w:cs="Times New Roman" w:eastAsia="Times New Roman" w:hAnsi="Times New Roman"/>
          <w:sz w:val="14"/>
          <w:szCs w:val="14"/>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Book-Entry, Settlement and Clearance</w:t>
      </w:r>
    </w:p>
    <w:p>
      <w:pPr>
        <w:spacing w:after="0" w:line="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Global Notes</w:t>
      </w:r>
    </w:p>
    <w:p>
      <w:pPr>
        <w:spacing w:after="0" w:line="92" w:lineRule="exact"/>
        <w:rPr>
          <w:sz w:val="20"/>
          <w:szCs w:val="20"/>
          <w:color w:val="auto"/>
        </w:rPr>
      </w:pPr>
    </w:p>
    <w:p>
      <w:pPr>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36" w:lineRule="exact"/>
        <w:rPr>
          <w:sz w:val="20"/>
          <w:szCs w:val="20"/>
          <w:color w:val="auto"/>
        </w:rPr>
      </w:pPr>
    </w:p>
    <w:p>
      <w:pPr>
        <w:ind w:left="1380" w:right="379" w:firstLine="341"/>
        <w:spacing w:after="0" w:line="281" w:lineRule="auto"/>
        <w:rPr>
          <w:sz w:val="20"/>
          <w:szCs w:val="20"/>
          <w:color w:val="auto"/>
        </w:rPr>
      </w:pPr>
      <w:r>
        <w:rPr>
          <w:rFonts w:ascii="Times New Roman" w:cs="Times New Roman" w:eastAsia="Times New Roman" w:hAnsi="Times New Roman"/>
          <w:sz w:val="14"/>
          <w:szCs w:val="14"/>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52" w:lineRule="exact"/>
        <w:rPr>
          <w:sz w:val="20"/>
          <w:szCs w:val="20"/>
          <w:color w:val="auto"/>
        </w:rPr>
      </w:pPr>
    </w:p>
    <w:p>
      <w:pPr>
        <w:ind w:left="2120" w:right="359" w:hanging="327"/>
        <w:spacing w:after="0" w:line="281"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deposit of a Global Note with DTC’s custodian, DTC will credit portions of the principal amount of the Global Note to the accounts of the DTC participants designated by the underwriters; and</w:t>
      </w:r>
    </w:p>
    <w:p>
      <w:pPr>
        <w:spacing w:after="0" w:line="52" w:lineRule="exact"/>
        <w:rPr>
          <w:rFonts w:ascii="Times New Roman" w:cs="Times New Roman" w:eastAsia="Times New Roman" w:hAnsi="Times New Roman"/>
          <w:sz w:val="14"/>
          <w:szCs w:val="14"/>
          <w:color w:val="auto"/>
        </w:rPr>
      </w:pPr>
    </w:p>
    <w:p>
      <w:pPr>
        <w:ind w:left="2120" w:right="439" w:hanging="327"/>
        <w:spacing w:after="0" w:line="265"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405"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399" w:firstLine="341"/>
        <w:spacing w:after="0" w:line="281" w:lineRule="auto"/>
        <w:rPr>
          <w:sz w:val="20"/>
          <w:szCs w:val="20"/>
          <w:color w:val="auto"/>
        </w:rPr>
      </w:pPr>
      <w:r>
        <w:rPr>
          <w:rFonts w:ascii="Times New Roman" w:cs="Times New Roman" w:eastAsia="Times New Roman" w:hAnsi="Times New Roman"/>
          <w:sz w:val="14"/>
          <w:szCs w:val="14"/>
          <w:color w:val="auto"/>
        </w:rPr>
        <w:t>Beneficial interests in Global Notes may not be exchanged for Notes in physical, certificated form except in the limited circumstances described below.</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Book-Entry Procedures for Global Notes</w:t>
      </w:r>
    </w:p>
    <w:p>
      <w:pPr>
        <w:spacing w:after="0" w:line="92" w:lineRule="exact"/>
        <w:rPr>
          <w:sz w:val="20"/>
          <w:szCs w:val="20"/>
          <w:color w:val="auto"/>
        </w:rPr>
      </w:pPr>
    </w:p>
    <w:p>
      <w:pPr>
        <w:ind w:left="1380" w:right="339" w:firstLine="341"/>
        <w:spacing w:after="0" w:line="265" w:lineRule="auto"/>
        <w:rPr>
          <w:sz w:val="20"/>
          <w:szCs w:val="20"/>
          <w:color w:val="auto"/>
        </w:rPr>
      </w:pPr>
      <w:r>
        <w:rPr>
          <w:rFonts w:ascii="Times New Roman" w:cs="Times New Roman" w:eastAsia="Times New Roman" w:hAnsi="Times New Roman"/>
          <w:sz w:val="14"/>
          <w:szCs w:val="14"/>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(in any of its capacities) nor the underwriters are responsible for those operations or procedures.</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DTC has advised us that it is:</w:t>
      </w:r>
    </w:p>
    <w:p>
      <w:pPr>
        <w:spacing w:after="0" w:line="101" w:lineRule="exact"/>
        <w:rPr>
          <w:sz w:val="20"/>
          <w:szCs w:val="20"/>
          <w:color w:val="auto"/>
        </w:rPr>
      </w:pPr>
    </w:p>
    <w:p>
      <w:pPr>
        <w:ind w:left="2120" w:hanging="327"/>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purpose trust company organized under the laws of the State of New York;</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State Banking Law;</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Uniform Commercial Code; and</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under Section 17A of the Exchange Act.</w:t>
      </w:r>
    </w:p>
    <w:p>
      <w:pPr>
        <w:spacing w:after="0" w:line="174" w:lineRule="exact"/>
        <w:rPr>
          <w:sz w:val="20"/>
          <w:szCs w:val="20"/>
          <w:color w:val="auto"/>
        </w:rPr>
      </w:pPr>
    </w:p>
    <w:p>
      <w:pPr>
        <w:ind w:left="1380" w:right="379" w:firstLine="341"/>
        <w:spacing w:after="0" w:line="255" w:lineRule="auto"/>
        <w:rPr>
          <w:sz w:val="20"/>
          <w:szCs w:val="20"/>
          <w:color w:val="auto"/>
        </w:rPr>
      </w:pPr>
      <w:r>
        <w:rPr>
          <w:rFonts w:ascii="Times New Roman" w:cs="Times New Roman" w:eastAsia="Times New Roman" w:hAnsi="Times New Roman"/>
          <w:sz w:val="14"/>
          <w:szCs w:val="14"/>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46" w:lineRule="exact"/>
        <w:rPr>
          <w:sz w:val="20"/>
          <w:szCs w:val="20"/>
          <w:color w:val="auto"/>
        </w:rPr>
      </w:pPr>
    </w:p>
    <w:p>
      <w:pPr>
        <w:ind w:left="1380" w:right="719" w:firstLine="341"/>
        <w:spacing w:after="0" w:line="321" w:lineRule="auto"/>
        <w:rPr>
          <w:sz w:val="20"/>
          <w:szCs w:val="20"/>
          <w:color w:val="auto"/>
        </w:rPr>
      </w:pPr>
      <w:r>
        <w:rPr>
          <w:rFonts w:ascii="Times New Roman" w:cs="Times New Roman" w:eastAsia="Times New Roman" w:hAnsi="Times New Roman"/>
          <w:sz w:val="13"/>
          <w:szCs w:val="13"/>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29" w:lineRule="exact"/>
        <w:rPr>
          <w:sz w:val="20"/>
          <w:szCs w:val="20"/>
          <w:color w:val="auto"/>
        </w:rPr>
      </w:pPr>
    </w:p>
    <w:p>
      <w:pPr>
        <w:ind w:left="2120" w:hanging="327"/>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entitled to have Notes represented by the Global Note registered in their names;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receive or be entitled to receive physical, certificated Notes; and</w:t>
      </w:r>
    </w:p>
    <w:p>
      <w:pPr>
        <w:spacing w:after="0" w:line="100" w:lineRule="exact"/>
        <w:rPr>
          <w:rFonts w:ascii="Times New Roman" w:cs="Times New Roman" w:eastAsia="Times New Roman" w:hAnsi="Times New Roman"/>
          <w:sz w:val="14"/>
          <w:szCs w:val="14"/>
          <w:color w:val="auto"/>
        </w:rPr>
      </w:pPr>
    </w:p>
    <w:p>
      <w:pPr>
        <w:ind w:left="2120" w:right="379" w:hanging="327"/>
        <w:spacing w:after="0" w:line="281"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25" w:lineRule="exact"/>
        <w:rPr>
          <w:sz w:val="20"/>
          <w:szCs w:val="20"/>
          <w:color w:val="auto"/>
        </w:rPr>
      </w:pPr>
    </w:p>
    <w:p>
      <w:pPr>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36" w:lineRule="exact"/>
        <w:rPr>
          <w:sz w:val="20"/>
          <w:szCs w:val="20"/>
          <w:color w:val="auto"/>
        </w:rPr>
      </w:pPr>
    </w:p>
    <w:p>
      <w:pPr>
        <w:ind w:left="1380" w:right="479" w:firstLine="341"/>
        <w:spacing w:after="0" w:line="260" w:lineRule="auto"/>
        <w:rPr>
          <w:sz w:val="20"/>
          <w:szCs w:val="20"/>
          <w:color w:val="auto"/>
        </w:rPr>
      </w:pPr>
      <w:r>
        <w:rPr>
          <w:rFonts w:ascii="Times New Roman" w:cs="Times New Roman" w:eastAsia="Times New Roman" w:hAnsi="Times New Roman"/>
          <w:sz w:val="14"/>
          <w:szCs w:val="14"/>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40" w:lineRule="exact"/>
        <w:rPr>
          <w:sz w:val="20"/>
          <w:szCs w:val="20"/>
          <w:color w:val="auto"/>
        </w:rPr>
      </w:pPr>
    </w:p>
    <w:p>
      <w:pPr>
        <w:ind w:left="1380" w:right="559" w:firstLine="341"/>
        <w:spacing w:after="0" w:line="281" w:lineRule="auto"/>
        <w:rPr>
          <w:sz w:val="20"/>
          <w:szCs w:val="20"/>
          <w:color w:val="auto"/>
        </w:rPr>
      </w:pPr>
      <w:r>
        <w:rPr>
          <w:rFonts w:ascii="Times New Roman" w:cs="Times New Roman" w:eastAsia="Times New Roman" w:hAnsi="Times New Roman"/>
          <w:sz w:val="14"/>
          <w:szCs w:val="14"/>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405"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279" w:firstLine="341"/>
        <w:spacing w:after="0" w:line="254" w:lineRule="auto"/>
        <w:rPr>
          <w:sz w:val="20"/>
          <w:szCs w:val="20"/>
          <w:color w:val="auto"/>
        </w:rPr>
      </w:pPr>
      <w:r>
        <w:rPr>
          <w:rFonts w:ascii="Times New Roman" w:cs="Times New Roman" w:eastAsia="Times New Roman" w:hAnsi="Times New Roman"/>
          <w:sz w:val="14"/>
          <w:szCs w:val="14"/>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44" w:lineRule="exact"/>
        <w:rPr>
          <w:sz w:val="20"/>
          <w:szCs w:val="20"/>
          <w:color w:val="auto"/>
        </w:rPr>
      </w:pPr>
    </w:p>
    <w:p>
      <w:pPr>
        <w:ind w:left="1380" w:right="259" w:firstLine="341"/>
        <w:spacing w:after="0" w:line="252" w:lineRule="auto"/>
        <w:rPr>
          <w:sz w:val="20"/>
          <w:szCs w:val="20"/>
          <w:color w:val="auto"/>
        </w:rPr>
      </w:pPr>
      <w:r>
        <w:rPr>
          <w:rFonts w:ascii="Times New Roman" w:cs="Times New Roman" w:eastAsia="Times New Roman" w:hAnsi="Times New Roman"/>
          <w:sz w:val="14"/>
          <w:szCs w:val="14"/>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Transfers between participants in DTC will be effected under DTC’s procedures and will be settled in same-day funds.</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Certificated Notes</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Notes in physical, certificated form will be issued and delivered to each person that DTC identifies as a beneficial owner of the related Notes only</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if:</w:t>
      </w:r>
    </w:p>
    <w:p>
      <w:pPr>
        <w:spacing w:after="0" w:line="86" w:lineRule="exact"/>
        <w:rPr>
          <w:sz w:val="20"/>
          <w:szCs w:val="20"/>
          <w:color w:val="auto"/>
        </w:rPr>
      </w:pPr>
    </w:p>
    <w:p>
      <w:pPr>
        <w:ind w:left="2120" w:right="419" w:hanging="327"/>
        <w:spacing w:after="0" w:line="281" w:lineRule="auto"/>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at any time that it is unwilling or unable to continue as depositary for the Global Notes and a successor depositary is not appointed within 90 days;</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ceases to be registered as a clearing agency under the Exchange Act and a successor depositary is not appointed within 90 days; or</w:t>
      </w:r>
    </w:p>
    <w:p>
      <w:pPr>
        <w:spacing w:after="0" w:line="100" w:lineRule="exact"/>
        <w:rPr>
          <w:rFonts w:ascii="Times New Roman" w:cs="Times New Roman" w:eastAsia="Times New Roman" w:hAnsi="Times New Roman"/>
          <w:sz w:val="14"/>
          <w:szCs w:val="14"/>
          <w:color w:val="auto"/>
        </w:rPr>
      </w:pPr>
    </w:p>
    <w:p>
      <w:pPr>
        <w:ind w:left="2120" w:right="379" w:hanging="327"/>
        <w:spacing w:after="0" w:line="281" w:lineRule="auto"/>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with respect to the Notes has occurred and is continuing and such beneficial owner requests that its Notes be issued in physical, certificated form.</w:t>
      </w:r>
    </w:p>
    <w:p>
      <w:pPr>
        <w:spacing w:after="0" w:line="125" w:lineRule="exact"/>
        <w:rPr>
          <w:sz w:val="20"/>
          <w:szCs w:val="20"/>
          <w:color w:val="auto"/>
        </w:rPr>
      </w:pPr>
    </w:p>
    <w:p>
      <w:pPr>
        <w:ind w:left="1380" w:right="299" w:firstLine="341"/>
        <w:spacing w:after="0" w:line="260" w:lineRule="auto"/>
        <w:rPr>
          <w:sz w:val="20"/>
          <w:szCs w:val="20"/>
          <w:color w:val="auto"/>
        </w:rPr>
      </w:pPr>
      <w:r>
        <w:rPr>
          <w:rFonts w:ascii="Times New Roman" w:cs="Times New Roman" w:eastAsia="Times New Roman" w:hAnsi="Times New Roman"/>
          <w:sz w:val="14"/>
          <w:szCs w:val="14"/>
          <w:color w:val="auto"/>
        </w:rPr>
        <w:t>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0159"/>
          </w:cols>
          <w:pgMar w:left="300" w:top="405"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CERTAIN U.S. FEDERAL INCOME TAX CONSEQUENCES</w:t>
      </w:r>
    </w:p>
    <w:p>
      <w:pPr>
        <w:spacing w:after="0" w:line="176" w:lineRule="exact"/>
        <w:rPr>
          <w:sz w:val="20"/>
          <w:szCs w:val="20"/>
          <w:color w:val="auto"/>
        </w:rPr>
      </w:pPr>
    </w:p>
    <w:p>
      <w:pPr>
        <w:ind w:left="1380" w:right="359" w:firstLine="341"/>
        <w:spacing w:after="0" w:line="260" w:lineRule="auto"/>
        <w:rPr>
          <w:sz w:val="20"/>
          <w:szCs w:val="20"/>
          <w:color w:val="auto"/>
        </w:rPr>
      </w:pPr>
      <w:r>
        <w:rPr>
          <w:rFonts w:ascii="Times New Roman" w:cs="Times New Roman" w:eastAsia="Times New Roman" w:hAnsi="Times New Roman"/>
          <w:sz w:val="14"/>
          <w:szCs w:val="14"/>
          <w:color w:val="auto"/>
        </w:rPr>
        <w:t>The following is a summary of certain U.S. federal income tax consequences of the purchase, ownership and disposition of the Notes. This summary deals only with Notes that are held as capital assets (within the meaning of Section 1221 of the Code) by a person who purchases the Notes upon original issuance at their “issue price” (the first price at which a substantial amount of the Notes is sold for money to investors, excluding sales to bond houses, brokers or similar persons or organizations acting in the capacity of underwriter, placement agent or wholesaler).</w:t>
      </w:r>
    </w:p>
    <w:p>
      <w:pPr>
        <w:spacing w:after="0" w:line="14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As used herein, a “U.S. holder” means a beneficial owner of the Notes that is, for U.S. federal income tax purposes, any of the following:</w:t>
      </w:r>
    </w:p>
    <w:p>
      <w:pPr>
        <w:spacing w:after="0" w:line="101" w:lineRule="exact"/>
        <w:rPr>
          <w:sz w:val="20"/>
          <w:szCs w:val="20"/>
          <w:color w:val="auto"/>
        </w:rPr>
      </w:pPr>
    </w:p>
    <w:p>
      <w:pPr>
        <w:ind w:left="2120" w:hanging="327"/>
        <w:spacing w:after="0"/>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0" w:lineRule="exact"/>
        <w:rPr>
          <w:rFonts w:ascii="Times New Roman" w:cs="Times New Roman" w:eastAsia="Times New Roman" w:hAnsi="Times New Roman"/>
          <w:sz w:val="14"/>
          <w:szCs w:val="14"/>
          <w:color w:val="auto"/>
        </w:rPr>
      </w:pPr>
    </w:p>
    <w:p>
      <w:pPr>
        <w:ind w:left="2120" w:right="319" w:hanging="327"/>
        <w:spacing w:after="0" w:line="281"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any other entity treated as a corporation for U.S. federal income tax purposes) that is created or organized in or under the laws of the United States, any state thereof or the District of Columbia;</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100" w:lineRule="exact"/>
        <w:rPr>
          <w:rFonts w:ascii="Times New Roman" w:cs="Times New Roman" w:eastAsia="Times New Roman" w:hAnsi="Times New Roman"/>
          <w:sz w:val="14"/>
          <w:szCs w:val="14"/>
          <w:color w:val="auto"/>
        </w:rPr>
      </w:pPr>
    </w:p>
    <w:p>
      <w:pPr>
        <w:ind w:left="2120" w:right="259" w:hanging="327"/>
        <w:spacing w:after="0" w:line="265"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it (i) is subject to the primary supervision of a court within the United States and one or more United States persons have the authority to control all substantial decisions of the trust or (ii) has a valid election in effect under applicable U.S. Treasury regulations to be treated as a United States person.</w:t>
      </w:r>
    </w:p>
    <w:p>
      <w:pPr>
        <w:spacing w:after="0" w:line="136" w:lineRule="exact"/>
        <w:rPr>
          <w:sz w:val="20"/>
          <w:szCs w:val="20"/>
          <w:color w:val="auto"/>
        </w:rPr>
      </w:pPr>
    </w:p>
    <w:p>
      <w:pPr>
        <w:ind w:left="1380" w:right="439" w:firstLine="341"/>
        <w:spacing w:after="0" w:line="281" w:lineRule="auto"/>
        <w:rPr>
          <w:sz w:val="20"/>
          <w:szCs w:val="20"/>
          <w:color w:val="auto"/>
        </w:rPr>
      </w:pPr>
      <w:r>
        <w:rPr>
          <w:rFonts w:ascii="Times New Roman" w:cs="Times New Roman" w:eastAsia="Times New Roman" w:hAnsi="Times New Roman"/>
          <w:sz w:val="14"/>
          <w:szCs w:val="14"/>
          <w:color w:val="auto"/>
        </w:rPr>
        <w:t>The term “non-U.S. holder” means a beneficial owner of the Notes (other than an entity or arrangement treated as a partnership for U.S. federal income tax purposes) that is not a U.S. holder.</w:t>
      </w:r>
    </w:p>
    <w:p>
      <w:pPr>
        <w:spacing w:after="0" w:line="125" w:lineRule="exact"/>
        <w:rPr>
          <w:sz w:val="20"/>
          <w:szCs w:val="20"/>
          <w:color w:val="auto"/>
        </w:rPr>
      </w:pPr>
    </w:p>
    <w:p>
      <w:pPr>
        <w:ind w:left="1380" w:right="319" w:firstLine="341"/>
        <w:spacing w:after="0" w:line="265" w:lineRule="auto"/>
        <w:rPr>
          <w:sz w:val="20"/>
          <w:szCs w:val="20"/>
          <w:color w:val="auto"/>
        </w:rPr>
      </w:pPr>
      <w:r>
        <w:rPr>
          <w:rFonts w:ascii="Times New Roman" w:cs="Times New Roman" w:eastAsia="Times New Roman" w:hAnsi="Times New Roman"/>
          <w:sz w:val="14"/>
          <w:szCs w:val="14"/>
          <w:color w:val="auto"/>
        </w:rPr>
        <w:t>If a partnership (or other entity or arrangement treated as a partnership for U.S. federal income tax purposes) holds the Notes, the tax treatment of a partner generally will depend upon the status of the partner and the activities of the partnership. If you are a partnership or a partner in a partnership considering an investment in the Notes, you should consult your own tax advisors.</w:t>
      </w:r>
    </w:p>
    <w:p>
      <w:pPr>
        <w:spacing w:after="0" w:line="136" w:lineRule="exact"/>
        <w:rPr>
          <w:sz w:val="20"/>
          <w:szCs w:val="20"/>
          <w:color w:val="auto"/>
        </w:rPr>
      </w:pPr>
    </w:p>
    <w:p>
      <w:pPr>
        <w:ind w:left="1380" w:right="359" w:firstLine="341"/>
        <w:spacing w:after="0" w:line="281" w:lineRule="auto"/>
        <w:rPr>
          <w:sz w:val="20"/>
          <w:szCs w:val="20"/>
          <w:color w:val="auto"/>
        </w:rPr>
      </w:pPr>
      <w:r>
        <w:rPr>
          <w:rFonts w:ascii="Times New Roman" w:cs="Times New Roman" w:eastAsia="Times New Roman" w:hAnsi="Times New Roman"/>
          <w:sz w:val="14"/>
          <w:szCs w:val="14"/>
          <w:color w:val="auto"/>
        </w:rPr>
        <w:t>This summary does not represent a detailed description of the U.S. federal income tax consequences applicable to you if you are a person subject to special tax treatment under the U.S. federal income tax laws, including, without limitation:</w:t>
      </w:r>
    </w:p>
    <w:p>
      <w:pPr>
        <w:spacing w:after="0" w:line="52" w:lineRule="exact"/>
        <w:rPr>
          <w:sz w:val="20"/>
          <w:szCs w:val="20"/>
          <w:color w:val="auto"/>
        </w:rPr>
      </w:pPr>
    </w:p>
    <w:p>
      <w:pPr>
        <w:ind w:left="2120" w:hanging="327"/>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dealer or broker in securities or currencies;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financial institution;</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regulated investment company;</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real estate investment trust;</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tax-exempt entity;</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insurance company;</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holding the Notes as part of a hedging, integrated, conversion or constructive sale transaction or a straddle;</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trader in securities that has elected the mark-to-market method of accounting for your securities;</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liable for alternative minimum tax;</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partnership or other pass-through entity (or an investor in such an entity);</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whose “functional currency” is not the U.S. dollar;</w:t>
      </w:r>
    </w:p>
    <w:p>
      <w:pPr>
        <w:spacing w:after="0" w:line="1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10159"/>
          </w:cols>
          <w:pgMar w:left="300" w:top="405"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2120" w:hanging="327"/>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“controlled foreign corporation”;</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“passive foreign investment company”;</w:t>
      </w:r>
    </w:p>
    <w:p>
      <w:pPr>
        <w:spacing w:after="0" w:line="100" w:lineRule="exact"/>
        <w:rPr>
          <w:rFonts w:ascii="Times New Roman" w:cs="Times New Roman" w:eastAsia="Times New Roman" w:hAnsi="Times New Roman"/>
          <w:sz w:val="14"/>
          <w:szCs w:val="14"/>
          <w:color w:val="auto"/>
        </w:rPr>
      </w:pPr>
    </w:p>
    <w:p>
      <w:pPr>
        <w:ind w:left="2120" w:right="619" w:hanging="327"/>
        <w:spacing w:after="0" w:line="281"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required to accelerate the recognition of any item of gross income with respect to the Notes as a result of such income being recognized on an applicable financial statement; or</w:t>
      </w:r>
    </w:p>
    <w:p>
      <w:pPr>
        <w:spacing w:after="0" w:line="52"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expatriate.</w:t>
      </w:r>
    </w:p>
    <w:p>
      <w:pPr>
        <w:spacing w:after="0" w:line="174" w:lineRule="exact"/>
        <w:rPr>
          <w:sz w:val="20"/>
          <w:szCs w:val="20"/>
          <w:color w:val="auto"/>
        </w:rPr>
      </w:pPr>
    </w:p>
    <w:p>
      <w:pPr>
        <w:ind w:left="1380" w:right="419" w:firstLine="341"/>
        <w:spacing w:after="0" w:line="257" w:lineRule="auto"/>
        <w:rPr>
          <w:sz w:val="20"/>
          <w:szCs w:val="20"/>
          <w:color w:val="auto"/>
        </w:rPr>
      </w:pPr>
      <w:r>
        <w:rPr>
          <w:rFonts w:ascii="Times New Roman" w:cs="Times New Roman" w:eastAsia="Times New Roman" w:hAnsi="Times New Roman"/>
          <w:sz w:val="14"/>
          <w:szCs w:val="14"/>
          <w:color w:val="auto"/>
        </w:rPr>
        <w:t>This summary is based on the Code, U.S. Treasury Regulations, administrative rulings and judicial decisions thereunder as of the date hereof. Those authorities may be changed, possibly on a retroactive basis, so as to result in U.S. federal income tax consequences different from those summarized below. We have not and will not seek any rulings from the IRS regarding the matters discussed below. There can be no assurance that the IRS will not take positions concerning the tax consequences of the purchase, ownership or disposition of the Notes that are different from those discussed below.</w:t>
      </w:r>
    </w:p>
    <w:p>
      <w:pPr>
        <w:spacing w:after="0" w:line="143" w:lineRule="exact"/>
        <w:rPr>
          <w:sz w:val="20"/>
          <w:szCs w:val="20"/>
          <w:color w:val="auto"/>
        </w:rPr>
      </w:pPr>
    </w:p>
    <w:p>
      <w:pPr>
        <w:ind w:left="1380" w:right="639" w:firstLine="341"/>
        <w:spacing w:after="0" w:line="265" w:lineRule="auto"/>
        <w:rPr>
          <w:sz w:val="20"/>
          <w:szCs w:val="20"/>
          <w:color w:val="auto"/>
        </w:rPr>
      </w:pPr>
      <w:r>
        <w:rPr>
          <w:rFonts w:ascii="Times New Roman" w:cs="Times New Roman" w:eastAsia="Times New Roman" w:hAnsi="Times New Roman"/>
          <w:sz w:val="14"/>
          <w:szCs w:val="14"/>
          <w:color w:val="auto"/>
        </w:rPr>
        <w:t>This summary does not address all of the U.S. federal income tax consequences that may be relevant to you in light of your particular circumstances, nor does it address the Medicare tax on net investment income, U.S. federal estate and gift taxes or the effects of any state, local or non-U.S. tax laws. It is not intended to be, and should not be construed to be, legal or tax advice to any particular purchaser of Notes.</w:t>
      </w:r>
    </w:p>
    <w:p>
      <w:pPr>
        <w:spacing w:after="0" w:line="134" w:lineRule="exact"/>
        <w:rPr>
          <w:sz w:val="20"/>
          <w:szCs w:val="20"/>
          <w:color w:val="auto"/>
        </w:rPr>
      </w:pPr>
    </w:p>
    <w:p>
      <w:pPr>
        <w:ind w:left="1380" w:right="31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If you are considering the purchase of the Notes, you should consult your own tax advisors concerning the particular U.S. federal income tax consequences to you of the purchase, ownership and disposition of the Notes, as well as the consequences to you arising under other U.S. federal tax laws and the laws of any other taxing jurisdiction.</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u w:val="single" w:color="auto"/>
          <w:color w:val="auto"/>
        </w:rPr>
        <w:t>Certain Tax Consequences to U.S. Holders</w:t>
      </w:r>
    </w:p>
    <w:p>
      <w:pPr>
        <w:spacing w:after="0" w:line="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following is a summary of certain U.S. federal income tax consequences that will apply to U.S. holders of the Notes.</w:t>
      </w:r>
    </w:p>
    <w:p>
      <w:pPr>
        <w:spacing w:after="0" w:line="172" w:lineRule="exact"/>
        <w:rPr>
          <w:sz w:val="20"/>
          <w:szCs w:val="20"/>
          <w:color w:val="auto"/>
        </w:rPr>
      </w:pPr>
    </w:p>
    <w:p>
      <w:pPr>
        <w:ind w:left="1380" w:right="299" w:firstLine="341"/>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Stated Interest</w:t>
      </w:r>
      <w:r>
        <w:rPr>
          <w:rFonts w:ascii="Times New Roman" w:cs="Times New Roman" w:eastAsia="Times New Roman" w:hAnsi="Times New Roman"/>
          <w:sz w:val="14"/>
          <w:szCs w:val="14"/>
          <w:color w:val="auto"/>
        </w:rPr>
        <w:t>. Stated interest on the Notes generally will be taxable to you as ordinary income at the time it is received or accrued, depending 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your regular method of accounting for U.S. federal income tax purposes.</w:t>
      </w:r>
    </w:p>
    <w:p>
      <w:pPr>
        <w:spacing w:after="0" w:line="121" w:lineRule="exact"/>
        <w:rPr>
          <w:sz w:val="20"/>
          <w:szCs w:val="20"/>
          <w:color w:val="auto"/>
        </w:rPr>
      </w:pPr>
    </w:p>
    <w:p>
      <w:pPr>
        <w:ind w:left="1380" w:right="319" w:firstLine="341"/>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Sale, Exchange, Retirement, Redemption or Other Taxable Disposition of Notes</w:t>
      </w:r>
      <w:r>
        <w:rPr>
          <w:rFonts w:ascii="Times New Roman" w:cs="Times New Roman" w:eastAsia="Times New Roman" w:hAnsi="Times New Roman"/>
          <w:sz w:val="14"/>
          <w:szCs w:val="14"/>
          <w:color w:val="auto"/>
        </w:rPr>
        <w:t>. Upon the sale, exchange, retirement, redemption or 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taxable disposition of a Note, you generally will recognize gain or loss equal to the difference, if any, between the amount realized upon the sale, exchange, retirement, redemption or other taxable disposition (less any amount attributable to accrued and unpaid stated interest, which will be taxable as interest income to the extent not previously included in income) and your adjusted tax basis in the Note. Your adjusted tax basis in a Note will generally be your cost for that Note. Any gain or loss you recognize will generally be capital gain or loss and will generally be long-term capital gain or loss if you have held the Note for more than one year. Long-term capital gains of non-corporate U.S. holders (including individuals) are eligible for reduced rates of taxation. The deductibility of capital losses is subject to limitations.</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u w:val="single" w:color="auto"/>
          <w:color w:val="auto"/>
        </w:rPr>
        <w:t>Certain Tax Consequences to Non-U.S. Holders</w:t>
      </w:r>
    </w:p>
    <w:p>
      <w:pPr>
        <w:spacing w:after="0" w:line="90" w:lineRule="exact"/>
        <w:rPr>
          <w:sz w:val="20"/>
          <w:szCs w:val="20"/>
          <w:color w:val="auto"/>
        </w:rPr>
      </w:pPr>
    </w:p>
    <w:p>
      <w:pPr>
        <w:ind w:left="1380" w:right="379" w:firstLine="341"/>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 Federal Withholding Tax. </w:t>
      </w:r>
      <w:r>
        <w:rPr>
          <w:rFonts w:ascii="Times New Roman" w:cs="Times New Roman" w:eastAsia="Times New Roman" w:hAnsi="Times New Roman"/>
          <w:sz w:val="14"/>
          <w:szCs w:val="14"/>
          <w:color w:val="auto"/>
        </w:rPr>
        <w:t>Subject to the discussions of backup withholding and FATCA below, U.S. federal withholding tax will not apply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any payment of interest on the Notes under the “portfolio interest rule,” provided that:</w:t>
      </w:r>
    </w:p>
    <w:p>
      <w:pPr>
        <w:spacing w:after="0" w:line="50" w:lineRule="exact"/>
        <w:rPr>
          <w:sz w:val="20"/>
          <w:szCs w:val="20"/>
          <w:color w:val="auto"/>
        </w:rPr>
      </w:pPr>
    </w:p>
    <w:p>
      <w:pPr>
        <w:ind w:left="2120" w:hanging="327"/>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paid on the Notes is not effectively connected with your conduct of a trade or business in the United States;</w:t>
      </w:r>
    </w:p>
    <w:p>
      <w:pPr>
        <w:spacing w:after="0" w:line="100" w:lineRule="exact"/>
        <w:rPr>
          <w:rFonts w:ascii="Times New Roman" w:cs="Times New Roman" w:eastAsia="Times New Roman" w:hAnsi="Times New Roman"/>
          <w:sz w:val="14"/>
          <w:szCs w:val="14"/>
          <w:color w:val="auto"/>
        </w:rPr>
      </w:pPr>
    </w:p>
    <w:p>
      <w:pPr>
        <w:ind w:left="2120" w:right="499" w:hanging="327"/>
        <w:spacing w:after="0" w:line="281"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actually or constructively own 10% or more of the total combined voting power of all classes of our voting stock within the meaning of the Code and applicable U.S. Treasury regulations;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S-34</w:t>
      </w:r>
    </w:p>
    <w:p>
      <w:pPr>
        <w:sectPr>
          <w:pgSz w:w="11900" w:h="16838" w:orient="portrait"/>
          <w:cols w:equalWidth="0" w:num="1">
            <w:col w:w="10159"/>
          </w:cols>
          <w:pgMar w:left="300" w:top="405"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2120" w:hanging="327"/>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 controlled foreign corporation that is actually or constructively related to us through stock ownership;</w:t>
      </w:r>
    </w:p>
    <w:p>
      <w:pPr>
        <w:spacing w:after="0" w:line="100" w:lineRule="exact"/>
        <w:rPr>
          <w:rFonts w:ascii="Times New Roman" w:cs="Times New Roman" w:eastAsia="Times New Roman" w:hAnsi="Times New Roman"/>
          <w:sz w:val="14"/>
          <w:szCs w:val="14"/>
          <w:color w:val="auto"/>
        </w:rPr>
      </w:pPr>
    </w:p>
    <w:p>
      <w:pPr>
        <w:ind w:left="2120" w:hanging="327"/>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 bank whose receipt of interest on the Notes is described in Section 881(c)(3)(A) of the Code; and</w:t>
      </w:r>
    </w:p>
    <w:p>
      <w:pPr>
        <w:spacing w:after="0" w:line="100" w:lineRule="exact"/>
        <w:rPr>
          <w:rFonts w:ascii="Times New Roman" w:cs="Times New Roman" w:eastAsia="Times New Roman" w:hAnsi="Times New Roman"/>
          <w:sz w:val="14"/>
          <w:szCs w:val="14"/>
          <w:color w:val="auto"/>
        </w:rPr>
      </w:pPr>
    </w:p>
    <w:p>
      <w:pPr>
        <w:ind w:left="2120" w:right="499" w:hanging="327"/>
        <w:spacing w:after="0" w:line="260" w:lineRule="auto"/>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(a) you provide your name and address on an applicable IRS Form W-8, and certify, under penalties of perjury, that you are not a United States person as defined under the Code or (b) you hold your Notes through certain foreign intermediaries and satisfy the certification requirements of applicable U.S. Treasury regulations. Special certification rules apply to non-U.S. holders that are pass-through entities rather than corporations or individuals.</w:t>
      </w:r>
    </w:p>
    <w:p>
      <w:pPr>
        <w:spacing w:after="0" w:line="140" w:lineRule="exact"/>
        <w:rPr>
          <w:sz w:val="20"/>
          <w:szCs w:val="20"/>
          <w:color w:val="auto"/>
        </w:rPr>
      </w:pPr>
    </w:p>
    <w:p>
      <w:pPr>
        <w:ind w:left="1380" w:right="439" w:firstLine="341"/>
        <w:spacing w:after="0" w:line="281" w:lineRule="auto"/>
        <w:rPr>
          <w:sz w:val="20"/>
          <w:szCs w:val="20"/>
          <w:color w:val="auto"/>
        </w:rPr>
      </w:pPr>
      <w:r>
        <w:rPr>
          <w:rFonts w:ascii="Times New Roman" w:cs="Times New Roman" w:eastAsia="Times New Roman" w:hAnsi="Times New Roman"/>
          <w:sz w:val="14"/>
          <w:szCs w:val="14"/>
          <w:color w:val="auto"/>
        </w:rPr>
        <w:t>If you cannot satisfy the requirements described above, payments of interest made to you will be subject to a 30% U.S. federal withholding tax, unless you provide the applicable withholding agent with a properly executed:</w:t>
      </w:r>
    </w:p>
    <w:p>
      <w:pPr>
        <w:spacing w:after="0" w:line="52" w:lineRule="exact"/>
        <w:rPr>
          <w:sz w:val="20"/>
          <w:szCs w:val="20"/>
          <w:color w:val="auto"/>
        </w:rPr>
      </w:pPr>
    </w:p>
    <w:p>
      <w:pPr>
        <w:ind w:left="2120" w:right="519" w:hanging="327"/>
        <w:spacing w:after="0" w:line="281"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IRS Form W-8BEN or Form W-8BEN-E (or other applicable form) claiming an exemption from or reduction in withholding under the benefit of an applicable income tax treaty; or</w:t>
      </w:r>
    </w:p>
    <w:p>
      <w:pPr>
        <w:spacing w:after="0" w:line="52" w:lineRule="exact"/>
        <w:rPr>
          <w:rFonts w:ascii="Times New Roman" w:cs="Times New Roman" w:eastAsia="Times New Roman" w:hAnsi="Times New Roman"/>
          <w:sz w:val="14"/>
          <w:szCs w:val="14"/>
          <w:color w:val="auto"/>
        </w:rPr>
      </w:pPr>
    </w:p>
    <w:p>
      <w:pPr>
        <w:ind w:left="2120" w:right="559" w:hanging="327"/>
        <w:spacing w:after="0" w:line="265"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IRS Form W-8ECI (or other applicable form) certifying that interest paid on the Notes is not subject to withholding tax because it is effectively connected with your conduct of a trade or business in the United States (as discussed below under “—U.S. Federal Income Tax”).</w:t>
      </w:r>
    </w:p>
    <w:p>
      <w:pPr>
        <w:spacing w:after="0" w:line="136" w:lineRule="exact"/>
        <w:rPr>
          <w:sz w:val="20"/>
          <w:szCs w:val="20"/>
          <w:color w:val="auto"/>
        </w:rPr>
      </w:pPr>
    </w:p>
    <w:p>
      <w:pPr>
        <w:ind w:left="1380" w:right="799" w:firstLine="341"/>
        <w:spacing w:after="0" w:line="281" w:lineRule="auto"/>
        <w:rPr>
          <w:sz w:val="20"/>
          <w:szCs w:val="20"/>
          <w:color w:val="auto"/>
        </w:rPr>
      </w:pPr>
      <w:r>
        <w:rPr>
          <w:rFonts w:ascii="Times New Roman" w:cs="Times New Roman" w:eastAsia="Times New Roman" w:hAnsi="Times New Roman"/>
          <w:sz w:val="14"/>
          <w:szCs w:val="14"/>
          <w:color w:val="auto"/>
        </w:rPr>
        <w:t>The 30% U.S. federal withholding tax generally will not apply to any payment of principal or gain that you realize on the sale, exchange, retirement or other taxable disposition of a Note.</w:t>
      </w:r>
    </w:p>
    <w:p>
      <w:pPr>
        <w:spacing w:after="0" w:line="123" w:lineRule="exact"/>
        <w:rPr>
          <w:sz w:val="20"/>
          <w:szCs w:val="20"/>
          <w:color w:val="auto"/>
        </w:rPr>
      </w:pPr>
    </w:p>
    <w:p>
      <w:pPr>
        <w:ind w:left="1380" w:right="279" w:firstLine="341"/>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 Federal Income Tax. </w:t>
      </w:r>
      <w:r>
        <w:rPr>
          <w:rFonts w:ascii="Times New Roman" w:cs="Times New Roman" w:eastAsia="Times New Roman" w:hAnsi="Times New Roman"/>
          <w:sz w:val="14"/>
          <w:szCs w:val="14"/>
          <w:color w:val="auto"/>
        </w:rPr>
        <w:t>If you are engaged in a trade or business in the United States and interest on the Notes is effectively connected with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conduct of that trade or business (and, if required by an applicable income tax treaty, is attributable to a U.S. permanent establishment), then you generally will be subject to U.S. federal income tax on that interest on a net income basis in the same manner as if you were a United States person as defined under the Code (although you will be exempt from the 30% U.S. federal withholding tax described above, provided the certification requirements discussed above in “—U.S. Federal Withholding Tax” are satisfied). In addition, if you are a foreign corporation, you may be subject to a branch profits tax equal to 30% (or lower applicable income tax treaty rate) of your effectively connected earnings and profits, subject to adjustments.</w:t>
      </w:r>
    </w:p>
    <w:p>
      <w:pPr>
        <w:spacing w:after="0" w:line="144" w:lineRule="exact"/>
        <w:rPr>
          <w:sz w:val="20"/>
          <w:szCs w:val="20"/>
          <w:color w:val="auto"/>
        </w:rPr>
      </w:pPr>
    </w:p>
    <w:p>
      <w:pPr>
        <w:ind w:left="1380" w:right="399" w:firstLine="341"/>
        <w:spacing w:after="0" w:line="281" w:lineRule="auto"/>
        <w:rPr>
          <w:sz w:val="20"/>
          <w:szCs w:val="20"/>
          <w:color w:val="auto"/>
        </w:rPr>
      </w:pPr>
      <w:r>
        <w:rPr>
          <w:rFonts w:ascii="Times New Roman" w:cs="Times New Roman" w:eastAsia="Times New Roman" w:hAnsi="Times New Roman"/>
          <w:sz w:val="14"/>
          <w:szCs w:val="14"/>
          <w:color w:val="auto"/>
        </w:rPr>
        <w:t>Subject to the discussion of backup withholding below, any gain realized on the sale, exchange, retirement or other taxable disposition of a Note generally will not be subject to U.S. federal income tax unless:</w:t>
      </w:r>
    </w:p>
    <w:p>
      <w:pPr>
        <w:spacing w:after="0" w:line="52" w:lineRule="exact"/>
        <w:rPr>
          <w:sz w:val="20"/>
          <w:szCs w:val="20"/>
          <w:color w:val="auto"/>
        </w:rPr>
      </w:pPr>
    </w:p>
    <w:p>
      <w:pPr>
        <w:jc w:val="both"/>
        <w:ind w:left="2120" w:right="299" w:hanging="327"/>
        <w:spacing w:after="0" w:line="265"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your conduct of a trade or business in the United States (and, if required by an applicable income tax treaty, is attributable to a U.S. permanent establishment), in which case such gain generally will be subject to U.S. federal income tax (and possibly branch profits tax) in the same manner as effectively connected interest as described above; or</w:t>
      </w:r>
    </w:p>
    <w:p>
      <w:pPr>
        <w:spacing w:after="0" w:line="63" w:lineRule="exact"/>
        <w:rPr>
          <w:rFonts w:ascii="Times New Roman" w:cs="Times New Roman" w:eastAsia="Times New Roman" w:hAnsi="Times New Roman"/>
          <w:sz w:val="14"/>
          <w:szCs w:val="14"/>
          <w:color w:val="auto"/>
        </w:rPr>
      </w:pPr>
    </w:p>
    <w:p>
      <w:pPr>
        <w:ind w:left="2120" w:right="399" w:hanging="327"/>
        <w:spacing w:after="0" w:line="265"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an individual who is present in the United States for 183 days or more in the taxable year of that disposition and certain other conditions are met, in which case, unless an applicable income tax treaty provides otherwise, you generally will be subject to a 30% U.S. federal income tax on any gain recognized, which may be offset by certain U.S. source losses.</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0" w:lineRule="exact"/>
        <w:rPr>
          <w:sz w:val="20"/>
          <w:szCs w:val="20"/>
          <w:color w:val="auto"/>
        </w:rPr>
      </w:pPr>
    </w:p>
    <w:p>
      <w:pPr>
        <w:ind w:left="1380" w:right="259" w:firstLine="341"/>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U.S. Holders</w:t>
      </w:r>
      <w:r>
        <w:rPr>
          <w:rFonts w:ascii="Times New Roman" w:cs="Times New Roman" w:eastAsia="Times New Roman" w:hAnsi="Times New Roman"/>
          <w:sz w:val="14"/>
          <w:szCs w:val="14"/>
          <w:color w:val="auto"/>
        </w:rPr>
        <w:t>. In general, information reporting requirements will apply to payments of stated interest on the Notes and the proceeds from a sale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taxable disposition (including a retirement or redemption) of a Note paid to you (unless you establish that you are an exempt recipient). Backup withholding may apply to any payments described in the preceding sentence if you fail to provide a taxpayer identification number and a certification that you are not subject to backup withholding or if you fail to report in full dividend and interest income.</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S-35</w:t>
      </w:r>
    </w:p>
    <w:p>
      <w:pPr>
        <w:sectPr>
          <w:pgSz w:w="11900" w:h="16838" w:orient="portrait"/>
          <w:cols w:equalWidth="0" w:num="1">
            <w:col w:w="10159"/>
          </w:cols>
          <w:pgMar w:left="300" w:top="405"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319" w:firstLine="341"/>
        <w:spacing w:after="0" w:line="281" w:lineRule="auto"/>
        <w:rPr>
          <w:sz w:val="20"/>
          <w:szCs w:val="20"/>
          <w:color w:val="auto"/>
        </w:rPr>
      </w:pPr>
      <w:r>
        <w:rPr>
          <w:rFonts w:ascii="Times New Roman" w:cs="Times New Roman" w:eastAsia="Times New Roman" w:hAnsi="Times New Roman"/>
          <w:sz w:val="14"/>
          <w:szCs w:val="14"/>
          <w:color w:val="auto"/>
        </w:rPr>
        <w:t>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123" w:lineRule="exact"/>
        <w:rPr>
          <w:sz w:val="20"/>
          <w:szCs w:val="20"/>
          <w:color w:val="auto"/>
        </w:rPr>
      </w:pPr>
    </w:p>
    <w:p>
      <w:pPr>
        <w:ind w:left="1380" w:right="479" w:firstLine="341"/>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Non-U.S. Holders</w:t>
      </w:r>
      <w:r>
        <w:rPr>
          <w:rFonts w:ascii="Times New Roman" w:cs="Times New Roman" w:eastAsia="Times New Roman" w:hAnsi="Times New Roman"/>
          <w:sz w:val="14"/>
          <w:szCs w:val="14"/>
          <w:color w:val="auto"/>
        </w:rPr>
        <w:t>. Generally, the amount of interest paid to you and the amount of tax, if any, withheld with respect to those payments will be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reported to the IRS. Copies of the information returns reporting such interest payments and any withholding may also be made available to the tax authorities in the country in which you reside under the provisions of an applicable income tax treaty.</w:t>
      </w:r>
    </w:p>
    <w:p>
      <w:pPr>
        <w:spacing w:after="0" w:line="136" w:lineRule="exact"/>
        <w:rPr>
          <w:sz w:val="20"/>
          <w:szCs w:val="20"/>
          <w:color w:val="auto"/>
        </w:rPr>
      </w:pPr>
    </w:p>
    <w:p>
      <w:pPr>
        <w:jc w:val="both"/>
        <w:ind w:left="1380" w:right="279" w:firstLine="341"/>
        <w:spacing w:after="0" w:line="260" w:lineRule="auto"/>
        <w:rPr>
          <w:sz w:val="20"/>
          <w:szCs w:val="20"/>
          <w:color w:val="auto"/>
        </w:rPr>
      </w:pPr>
      <w:r>
        <w:rPr>
          <w:rFonts w:ascii="Times New Roman" w:cs="Times New Roman" w:eastAsia="Times New Roman" w:hAnsi="Times New Roman"/>
          <w:sz w:val="14"/>
          <w:szCs w:val="14"/>
          <w:color w:val="auto"/>
        </w:rPr>
        <w:t>In general, you will not be subject to backup withholding with respect to payments of interest on the Notes that we make to you, provided that the applicable withholding agent does not have actual knowledge or reason to know that you are a United States person as defined under the Code, and such withholding agent has received from you the statement described above in the fifth bullet point under “—Certain Tax Consequences to Non-U.S. Holders —U.S. Federal Withholding Tax.”</w:t>
      </w:r>
    </w:p>
    <w:p>
      <w:pPr>
        <w:spacing w:after="0" w:line="140" w:lineRule="exact"/>
        <w:rPr>
          <w:sz w:val="20"/>
          <w:szCs w:val="20"/>
          <w:color w:val="auto"/>
        </w:rPr>
      </w:pPr>
    </w:p>
    <w:p>
      <w:pPr>
        <w:jc w:val="both"/>
        <w:ind w:left="1380" w:right="339" w:firstLine="341"/>
        <w:spacing w:after="0" w:line="260" w:lineRule="auto"/>
        <w:rPr>
          <w:sz w:val="20"/>
          <w:szCs w:val="20"/>
          <w:color w:val="auto"/>
        </w:rPr>
      </w:pPr>
      <w:r>
        <w:rPr>
          <w:rFonts w:ascii="Times New Roman" w:cs="Times New Roman" w:eastAsia="Times New Roman" w:hAnsi="Times New Roman"/>
          <w:sz w:val="14"/>
          <w:szCs w:val="14"/>
          <w:color w:val="auto"/>
        </w:rPr>
        <w:t>Information reporting and, depending on the circumstances, backup withholding will apply to the proceeds of a sale or other taxable disposition (including a retirement or redemption) of Notes within the United States or conducted through certain U.S.-related financial intermediaries, unless you certify to the payor under penalties of perjury that you are a non-U.S. holder (and the payor does not have actual knowledge or reason to know that you are a United States person as defined under the Code), or you otherwise establish an exemption.</w:t>
      </w:r>
    </w:p>
    <w:p>
      <w:pPr>
        <w:spacing w:after="0" w:line="140" w:lineRule="exact"/>
        <w:rPr>
          <w:sz w:val="20"/>
          <w:szCs w:val="20"/>
          <w:color w:val="auto"/>
        </w:rPr>
      </w:pPr>
    </w:p>
    <w:p>
      <w:pPr>
        <w:ind w:left="1380" w:right="319" w:firstLine="341"/>
        <w:spacing w:after="0" w:line="281" w:lineRule="auto"/>
        <w:rPr>
          <w:sz w:val="20"/>
          <w:szCs w:val="20"/>
          <w:color w:val="auto"/>
        </w:rPr>
      </w:pPr>
      <w:r>
        <w:rPr>
          <w:rFonts w:ascii="Times New Roman" w:cs="Times New Roman" w:eastAsia="Times New Roman" w:hAnsi="Times New Roman"/>
          <w:sz w:val="14"/>
          <w:szCs w:val="14"/>
          <w:color w:val="auto"/>
        </w:rPr>
        <w:t>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Additional Withholding Requirements</w:t>
      </w:r>
    </w:p>
    <w:p>
      <w:pPr>
        <w:spacing w:after="0" w:line="92" w:lineRule="exact"/>
        <w:rPr>
          <w:sz w:val="20"/>
          <w:szCs w:val="20"/>
          <w:color w:val="auto"/>
        </w:rPr>
      </w:pPr>
    </w:p>
    <w:p>
      <w:pPr>
        <w:jc w:val="both"/>
        <w:ind w:left="1380" w:right="259" w:firstLine="341"/>
        <w:spacing w:after="0" w:line="276" w:lineRule="auto"/>
        <w:rPr>
          <w:sz w:val="20"/>
          <w:szCs w:val="20"/>
          <w:color w:val="auto"/>
        </w:rPr>
      </w:pPr>
      <w:r>
        <w:rPr>
          <w:rFonts w:ascii="Times New Roman" w:cs="Times New Roman" w:eastAsia="Times New Roman" w:hAnsi="Times New Roman"/>
          <w:sz w:val="13"/>
          <w:szCs w:val="13"/>
          <w:color w:val="auto"/>
        </w:rPr>
        <w:t>Under Sections 1471 through 1474 of the Code (such Sections commonly referred to as “FATCA”), a 30% U.S. federal withholding tax may apply to any interest paid on the Notes to (i) a “foreign financial institution” (as specifically defined in the Code and whether such foreign financial institution is the beneficial owner or an intermediary) which does not provide sufficient documentation, typically on IRS Form W-8BEN-E, evidencing either</w:t>
      </w:r>
    </w:p>
    <w:p>
      <w:pPr>
        <w:spacing w:after="0" w:line="1" w:lineRule="exact"/>
        <w:rPr>
          <w:sz w:val="20"/>
          <w:szCs w:val="20"/>
          <w:color w:val="auto"/>
        </w:rPr>
      </w:pPr>
    </w:p>
    <w:p>
      <w:pPr>
        <w:ind w:left="1380" w:right="299" w:hanging="5"/>
        <w:spacing w:after="0" w:line="250" w:lineRule="auto"/>
        <w:tabs>
          <w:tab w:leader="none" w:pos="157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U.S. beneficial owners of such entity (if any). If an interest payment is both subject to withholding under FATCA and subject to the withholding tax discussed above under “—Certain Tax Consequences to Non-U.S. Holders—U.S. Federal Withholding Tax,” an applicable withholding agent may credit the withholding under FATCA against, and therefore reduce, such other withholding tax. While withholding under FATCA would also have applied to payments of gross proceeds from the sale or other taxable disposition of the Notes, proposed U.S. Treasury regulations (upon which taxpayers may rely until final regulations are issued) eliminate FATCA withholding on payments of gross proceeds entirely. You should consult your own tax advisors regarding these rules and whether they may be relevant to your ownership and disposition of the Notes.</w:t>
      </w:r>
    </w:p>
    <w:p>
      <w:pPr>
        <w:spacing w:after="0" w:line="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S-36</w:t>
      </w:r>
    </w:p>
    <w:p>
      <w:pPr>
        <w:sectPr>
          <w:pgSz w:w="11900" w:h="16838" w:orient="portrait"/>
          <w:cols w:equalWidth="0" w:num="1">
            <w:col w:w="10159"/>
          </w:cols>
          <w:pgMar w:left="300" w:top="405"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6" w:lineRule="exact"/>
        <w:rPr>
          <w:sz w:val="20"/>
          <w:szCs w:val="20"/>
          <w:color w:val="auto"/>
        </w:rPr>
      </w:pPr>
    </w:p>
    <w:p>
      <w:pPr>
        <w:ind w:left="1380" w:right="439" w:firstLine="341"/>
        <w:spacing w:after="0" w:line="265" w:lineRule="auto"/>
        <w:rPr>
          <w:sz w:val="20"/>
          <w:szCs w:val="20"/>
          <w:color w:val="auto"/>
        </w:rPr>
      </w:pPr>
      <w:r>
        <w:rPr>
          <w:rFonts w:ascii="Times New Roman" w:cs="Times New Roman" w:eastAsia="Times New Roman" w:hAnsi="Times New Roman"/>
          <w:sz w:val="14"/>
          <w:szCs w:val="14"/>
          <w:color w:val="auto"/>
        </w:rPr>
        <w:t>BofA Securities, Inc.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55" w:lineRule="exact"/>
        <w:rPr>
          <w:sz w:val="20"/>
          <w:szCs w:val="20"/>
          <w:color w:val="auto"/>
        </w:rPr>
      </w:pPr>
    </w:p>
    <w:tbl>
      <w:tblPr>
        <w:tblLayout w:type="fixed"/>
        <w:tblInd w:w="2740" w:type="dxa"/>
        <w:tblCellMar>
          <w:top w:w="0" w:type="dxa"/>
          <w:left w:w="0" w:type="dxa"/>
          <w:bottom w:w="0" w:type="dxa"/>
          <w:right w:w="0" w:type="dxa"/>
        </w:tblCellMar>
      </w:tblPr>
      <w:tr>
        <w:trPr>
          <w:trHeight w:val="152"/>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99"/>
              </w:rPr>
              <w:t>Underwriters</w:t>
            </w:r>
          </w:p>
        </w:tc>
        <w:tc>
          <w:tcPr>
            <w:tcW w:w="2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Principal Amount</w:t>
            </w:r>
          </w:p>
        </w:tc>
      </w:tr>
      <w:tr>
        <w:trPr>
          <w:trHeight w:val="148"/>
        </w:trPr>
        <w:tc>
          <w:tcPr>
            <w:tcW w:w="350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BofA Securities, Inc.</w:t>
            </w:r>
          </w:p>
        </w:tc>
        <w:tc>
          <w:tcPr>
            <w:tcW w:w="1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37,500,000</w:t>
            </w:r>
          </w:p>
        </w:tc>
        <w:tc>
          <w:tcPr>
            <w:tcW w:w="40" w:type="dxa"/>
            <w:vAlign w:val="bottom"/>
            <w:tcBorders>
              <w:top w:val="single" w:sz="8" w:color="CCEEFF"/>
            </w:tcBorders>
            <w:shd w:val="clear" w:color="auto" w:fill="CCEEFF"/>
          </w:tcPr>
          <w:p>
            <w:pPr>
              <w:spacing w:after="0"/>
              <w:rPr>
                <w:sz w:val="12"/>
                <w:szCs w:val="12"/>
                <w:color w:val="auto"/>
              </w:rPr>
            </w:pPr>
          </w:p>
        </w:tc>
      </w:tr>
      <w:tr>
        <w:trPr>
          <w:trHeight w:val="167"/>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HSBC Securities (USA) Inc.</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37,500,000</w:t>
            </w:r>
          </w:p>
        </w:tc>
      </w:tr>
      <w:tr>
        <w:trPr>
          <w:trHeight w:val="167"/>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SMBC Nikko Securities America, Inc.</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37,500,000</w:t>
            </w:r>
          </w:p>
        </w:tc>
      </w:tr>
      <w:tr>
        <w:trPr>
          <w:trHeight w:val="167"/>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37,500,000</w:t>
            </w:r>
          </w:p>
        </w:tc>
      </w:tr>
      <w:tr>
        <w:trPr>
          <w:trHeight w:val="167"/>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18,000,000</w:t>
            </w:r>
          </w:p>
        </w:tc>
      </w:tr>
      <w:tr>
        <w:trPr>
          <w:trHeight w:val="167"/>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MUFG Securities Americas Inc.</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18,000,000</w:t>
            </w:r>
          </w:p>
        </w:tc>
      </w:tr>
      <w:tr>
        <w:trPr>
          <w:trHeight w:val="167"/>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Truist Securities, Inc.</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18,000,000</w:t>
            </w:r>
          </w:p>
        </w:tc>
      </w:tr>
      <w:tr>
        <w:trPr>
          <w:trHeight w:val="167"/>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Mizuho Securities USA LLC</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15,750,000</w:t>
            </w:r>
          </w:p>
        </w:tc>
      </w:tr>
      <w:tr>
        <w:trPr>
          <w:trHeight w:val="167"/>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RBC Capital Markets, LLC</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15,750,000</w:t>
            </w:r>
          </w:p>
        </w:tc>
      </w:tr>
      <w:tr>
        <w:trPr>
          <w:trHeight w:val="167"/>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12,000,000</w:t>
            </w:r>
          </w:p>
        </w:tc>
      </w:tr>
      <w:tr>
        <w:trPr>
          <w:trHeight w:val="167"/>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12,000,000</w:t>
            </w:r>
          </w:p>
        </w:tc>
      </w:tr>
      <w:tr>
        <w:trPr>
          <w:trHeight w:val="167"/>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12,000,000</w:t>
            </w:r>
          </w:p>
        </w:tc>
      </w:tr>
      <w:tr>
        <w:trPr>
          <w:trHeight w:val="167"/>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Citizens JMP Securities, LLC</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3,750,000</w:t>
            </w:r>
          </w:p>
        </w:tc>
      </w:tr>
      <w:tr>
        <w:trPr>
          <w:trHeight w:val="167"/>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Comerica Securities, Inc.</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3,750,000</w:t>
            </w:r>
          </w:p>
        </w:tc>
      </w:tr>
      <w:tr>
        <w:trPr>
          <w:trHeight w:val="167"/>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ICBC Standard Bank Plc</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3,750,000</w:t>
            </w:r>
          </w:p>
        </w:tc>
      </w:tr>
      <w:tr>
        <w:trPr>
          <w:trHeight w:val="167"/>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Keefe, Bruyette &amp; Woods, Inc.</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3,750,000</w:t>
            </w:r>
          </w:p>
        </w:tc>
      </w:tr>
      <w:tr>
        <w:trPr>
          <w:trHeight w:val="167"/>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Oppenheimer &amp; Co. Inc.</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3,750,000</w:t>
            </w:r>
          </w:p>
        </w:tc>
      </w:tr>
      <w:tr>
        <w:trPr>
          <w:trHeight w:val="167"/>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Raymond James &amp; Associates, Inc.</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3,750,000</w:t>
            </w:r>
          </w:p>
        </w:tc>
      </w:tr>
      <w:tr>
        <w:trPr>
          <w:trHeight w:val="167"/>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Citizens Capital Securities, LLC</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3,000,000</w:t>
            </w:r>
          </w:p>
        </w:tc>
      </w:tr>
      <w:tr>
        <w:trPr>
          <w:trHeight w:val="168"/>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Sixth Street BD, LLC</w:t>
            </w:r>
          </w:p>
        </w:tc>
        <w:tc>
          <w:tcPr>
            <w:tcW w:w="13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40" w:type="dxa"/>
            <w:vAlign w:val="bottom"/>
          </w:tcPr>
          <w:p>
            <w:pPr>
              <w:spacing w:after="0"/>
              <w:rPr>
                <w:sz w:val="14"/>
                <w:szCs w:val="14"/>
                <w:color w:val="auto"/>
              </w:rPr>
            </w:pPr>
          </w:p>
        </w:tc>
      </w:tr>
      <w:tr>
        <w:trPr>
          <w:trHeight w:val="167"/>
        </w:trPr>
        <w:tc>
          <w:tcPr>
            <w:tcW w:w="3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300,000,000</w:t>
            </w:r>
          </w:p>
        </w:tc>
      </w:tr>
      <w:tr>
        <w:trPr>
          <w:trHeight w:val="20"/>
        </w:trPr>
        <w:tc>
          <w:tcPr>
            <w:tcW w:w="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36" w:lineRule="exact"/>
        <w:rPr>
          <w:sz w:val="20"/>
          <w:szCs w:val="20"/>
          <w:color w:val="auto"/>
        </w:rPr>
      </w:pPr>
    </w:p>
    <w:p>
      <w:pPr>
        <w:ind w:left="1380" w:right="499" w:firstLine="341"/>
        <w:spacing w:after="0" w:line="281"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25" w:lineRule="exact"/>
        <w:rPr>
          <w:sz w:val="20"/>
          <w:szCs w:val="20"/>
          <w:color w:val="auto"/>
        </w:rPr>
      </w:pPr>
    </w:p>
    <w:p>
      <w:pPr>
        <w:ind w:left="1380" w:right="339" w:firstLine="341"/>
        <w:spacing w:after="0" w:line="260" w:lineRule="auto"/>
        <w:rPr>
          <w:sz w:val="20"/>
          <w:szCs w:val="20"/>
          <w:color w:val="auto"/>
        </w:rPr>
      </w:pPr>
      <w:r>
        <w:rPr>
          <w:rFonts w:ascii="Times New Roman" w:cs="Times New Roman" w:eastAsia="Times New Roman" w:hAnsi="Times New Roman"/>
          <w:sz w:val="14"/>
          <w:szCs w:val="14"/>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S-37</w:t>
      </w:r>
    </w:p>
    <w:p>
      <w:pPr>
        <w:sectPr>
          <w:pgSz w:w="11900" w:h="16838" w:orient="portrait"/>
          <w:cols w:equalWidth="0" w:num="1">
            <w:col w:w="10159"/>
          </w:cols>
          <w:pgMar w:left="300" w:top="405"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Commissions and Discounts</w:t>
      </w:r>
    </w:p>
    <w:p>
      <w:pPr>
        <w:spacing w:after="0" w:line="92" w:lineRule="exact"/>
        <w:rPr>
          <w:sz w:val="20"/>
          <w:szCs w:val="20"/>
          <w:color w:val="auto"/>
        </w:rPr>
      </w:pPr>
    </w:p>
    <w:p>
      <w:pPr>
        <w:ind w:left="1380" w:right="499" w:firstLine="341"/>
        <w:spacing w:after="0" w:line="281" w:lineRule="auto"/>
        <w:rPr>
          <w:sz w:val="20"/>
          <w:szCs w:val="20"/>
          <w:color w:val="auto"/>
        </w:rPr>
      </w:pPr>
      <w:r>
        <w:rPr>
          <w:rFonts w:ascii="Times New Roman" w:cs="Times New Roman" w:eastAsia="Times New Roman" w:hAnsi="Times New Roman"/>
          <w:sz w:val="14"/>
          <w:szCs w:val="14"/>
          <w:color w:val="auto"/>
        </w:rPr>
        <w:t>The following table shows the per Note and total underwriting discounts and commissions that we are to pay to the underwriters in connection with this offering.</w:t>
      </w:r>
    </w:p>
    <w:p>
      <w:pPr>
        <w:spacing w:after="0" w:line="142" w:lineRule="exact"/>
        <w:rPr>
          <w:sz w:val="20"/>
          <w:szCs w:val="20"/>
          <w:color w:val="auto"/>
        </w:rPr>
      </w:pPr>
    </w:p>
    <w:tbl>
      <w:tblPr>
        <w:tblLayout w:type="fixed"/>
        <w:tblInd w:w="2400" w:type="dxa"/>
        <w:tblCellMar>
          <w:top w:w="0" w:type="dxa"/>
          <w:left w:w="0" w:type="dxa"/>
          <w:bottom w:w="0" w:type="dxa"/>
          <w:right w:w="0" w:type="dxa"/>
        </w:tblCellMar>
      </w:tblPr>
      <w:tr>
        <w:trPr>
          <w:trHeight w:val="134"/>
        </w:trPr>
        <w:tc>
          <w:tcPr>
            <w:tcW w:w="47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Per Note</w:t>
            </w:r>
          </w:p>
        </w:tc>
        <w:tc>
          <w:tcPr>
            <w:tcW w:w="4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Borders>
              <w:bottom w:val="single" w:sz="8" w:color="CCEEFF"/>
            </w:tcBorders>
          </w:tcPr>
          <w:p>
            <w:pPr>
              <w:spacing w:after="0"/>
              <w:rPr>
                <w:sz w:val="11"/>
                <w:szCs w:val="11"/>
                <w:color w:val="auto"/>
              </w:rPr>
            </w:pPr>
          </w:p>
        </w:tc>
      </w:tr>
      <w:tr>
        <w:trPr>
          <w:trHeight w:val="158"/>
        </w:trPr>
        <w:tc>
          <w:tcPr>
            <w:tcW w:w="47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Public offering price</w:t>
            </w:r>
          </w:p>
        </w:tc>
        <w:tc>
          <w:tcPr>
            <w:tcW w:w="920" w:type="dxa"/>
            <w:vAlign w:val="bottom"/>
            <w:gridSpan w:val="2"/>
            <w:shd w:val="clear" w:color="auto" w:fill="CCEEFF"/>
          </w:tcPr>
          <w:p>
            <w:pPr>
              <w:jc w:val="right"/>
              <w:ind w:right="380"/>
              <w:spacing w:after="0" w:line="158" w:lineRule="exact"/>
              <w:rPr>
                <w:sz w:val="20"/>
                <w:szCs w:val="20"/>
                <w:color w:val="auto"/>
              </w:rPr>
            </w:pPr>
            <w:r>
              <w:rPr>
                <w:rFonts w:ascii="Times New Roman" w:cs="Times New Roman" w:eastAsia="Times New Roman" w:hAnsi="Times New Roman"/>
                <w:sz w:val="14"/>
                <w:szCs w:val="14"/>
                <w:color w:val="auto"/>
              </w:rPr>
              <w:t>99.094%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97"/>
              </w:rPr>
              <w:t>297,282,000</w:t>
            </w:r>
          </w:p>
        </w:tc>
        <w:tc>
          <w:tcPr>
            <w:tcW w:w="40" w:type="dxa"/>
            <w:vAlign w:val="bottom"/>
            <w:shd w:val="clear" w:color="auto" w:fill="CCEEFF"/>
          </w:tcPr>
          <w:p>
            <w:pPr>
              <w:spacing w:after="0"/>
              <w:rPr>
                <w:sz w:val="13"/>
                <w:szCs w:val="13"/>
                <w:color w:val="auto"/>
              </w:rPr>
            </w:pPr>
          </w:p>
        </w:tc>
      </w:tr>
      <w:tr>
        <w:trPr>
          <w:trHeight w:val="167"/>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 (sales load)</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1.000%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3,000,000</w:t>
            </w:r>
          </w:p>
        </w:tc>
      </w:tr>
      <w:tr>
        <w:trPr>
          <w:trHeight w:val="167"/>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to us, before expenses</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98.094%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294,282,000</w:t>
            </w:r>
          </w:p>
        </w:tc>
      </w:tr>
    </w:tbl>
    <w:p>
      <w:pPr>
        <w:spacing w:after="0" w:line="153" w:lineRule="exact"/>
        <w:rPr>
          <w:sz w:val="20"/>
          <w:szCs w:val="20"/>
          <w:color w:val="auto"/>
        </w:rPr>
      </w:pPr>
    </w:p>
    <w:p>
      <w:pPr>
        <w:ind w:left="1380" w:right="259" w:firstLine="341"/>
        <w:spacing w:after="0" w:line="255" w:lineRule="auto"/>
        <w:rPr>
          <w:sz w:val="20"/>
          <w:szCs w:val="20"/>
          <w:color w:val="auto"/>
        </w:rPr>
      </w:pPr>
      <w:r>
        <w:rPr>
          <w:rFonts w:ascii="Times New Roman" w:cs="Times New Roman" w:eastAsia="Times New Roman" w:hAnsi="Times New Roman"/>
          <w:sz w:val="14"/>
          <w:szCs w:val="14"/>
          <w:color w:val="auto"/>
        </w:rPr>
        <w:t>The underwriters propose to offer some of the Notes to the public at the public offering price set forth on the cover page of this prospectus supplement, and some of the Notes to certain other Financial Industry Regulatory Authority, or FINRA, members at the public offering price less a concession not in excess of 0.600% of the aggregate principal amount of the Notes. The underwriters may allow, and the dealers may reallow, a discount not in excess of 0.400%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1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The expenses of the offering, not including the underwriting discount, are estimated at $1.1 million and are payable by us.</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 Sales of Similar Securities</w:t>
      </w:r>
    </w:p>
    <w:p>
      <w:pPr>
        <w:spacing w:after="0" w:line="92" w:lineRule="exact"/>
        <w:rPr>
          <w:sz w:val="20"/>
          <w:szCs w:val="20"/>
          <w:color w:val="auto"/>
        </w:rPr>
      </w:pPr>
    </w:p>
    <w:p>
      <w:pPr>
        <w:ind w:left="1380" w:right="339" w:firstLine="341"/>
        <w:spacing w:after="0" w:line="260" w:lineRule="auto"/>
        <w:rPr>
          <w:sz w:val="20"/>
          <w:szCs w:val="20"/>
          <w:color w:val="auto"/>
        </w:rPr>
      </w:pPr>
      <w:r>
        <w:rPr>
          <w:rFonts w:ascii="Times New Roman" w:cs="Times New Roman" w:eastAsia="Times New Roman" w:hAnsi="Times New Roman"/>
          <w:sz w:val="14"/>
          <w:szCs w:val="14"/>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2" w:lineRule="exact"/>
        <w:rPr>
          <w:sz w:val="20"/>
          <w:szCs w:val="20"/>
          <w:color w:val="auto"/>
        </w:rPr>
      </w:pPr>
    </w:p>
    <w:p>
      <w:pPr>
        <w:ind w:left="1380" w:right="419" w:firstLine="341"/>
        <w:spacing w:after="0" w:line="281" w:lineRule="auto"/>
        <w:rPr>
          <w:sz w:val="20"/>
          <w:szCs w:val="20"/>
          <w:color w:val="auto"/>
        </w:rPr>
      </w:pPr>
      <w:r>
        <w:rPr>
          <w:rFonts w:ascii="Times New Roman" w:cs="Times New Roman" w:eastAsia="Times New Roman" w:hAnsi="Times New Roman"/>
          <w:sz w:val="14"/>
          <w:szCs w:val="14"/>
          <w:color w:val="auto"/>
        </w:rPr>
        <w:t>The Notes are a new issue of securities with no established trading market. The Notes will not be listed on any securities exchange or quoted on any automated dealer quotation system.</w:t>
      </w:r>
    </w:p>
    <w:p>
      <w:pPr>
        <w:spacing w:after="0" w:line="125" w:lineRule="exact"/>
        <w:rPr>
          <w:sz w:val="20"/>
          <w:szCs w:val="20"/>
          <w:color w:val="auto"/>
        </w:rPr>
      </w:pPr>
    </w:p>
    <w:p>
      <w:pPr>
        <w:ind w:left="1380" w:right="319" w:firstLine="341"/>
        <w:spacing w:after="0" w:line="257" w:lineRule="auto"/>
        <w:rPr>
          <w:sz w:val="20"/>
          <w:szCs w:val="20"/>
          <w:color w:val="auto"/>
        </w:rPr>
      </w:pPr>
      <w:r>
        <w:rPr>
          <w:rFonts w:ascii="Times New Roman" w:cs="Times New Roman" w:eastAsia="Times New Roman" w:hAnsi="Times New Roman"/>
          <w:sz w:val="14"/>
          <w:szCs w:val="14"/>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Price Stabilization, Short Positions</w:t>
      </w:r>
    </w:p>
    <w:p>
      <w:pPr>
        <w:spacing w:after="0" w:line="92"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S-38</w:t>
      </w:r>
    </w:p>
    <w:p>
      <w:pPr>
        <w:sectPr>
          <w:pgSz w:w="11900" w:h="16838" w:orient="portrait"/>
          <w:cols w:equalWidth="0" w:num="1">
            <w:col w:w="10159"/>
          </w:cols>
          <w:pgMar w:left="300" w:top="40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479" w:firstLine="341"/>
        <w:spacing w:after="0" w:line="265" w:lineRule="auto"/>
        <w:rPr>
          <w:sz w:val="20"/>
          <w:szCs w:val="20"/>
          <w:color w:val="auto"/>
        </w:rPr>
      </w:pPr>
      <w:r>
        <w:rPr>
          <w:rFonts w:ascii="Times New Roman" w:cs="Times New Roman" w:eastAsia="Times New Roman" w:hAnsi="Times New Roman"/>
          <w:sz w:val="14"/>
          <w:szCs w:val="14"/>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36" w:lineRule="exact"/>
        <w:rPr>
          <w:sz w:val="20"/>
          <w:szCs w:val="20"/>
          <w:color w:val="auto"/>
        </w:rPr>
      </w:pPr>
    </w:p>
    <w:p>
      <w:pPr>
        <w:ind w:left="1380" w:right="279" w:firstLine="341"/>
        <w:spacing w:after="0" w:line="265" w:lineRule="auto"/>
        <w:rPr>
          <w:sz w:val="20"/>
          <w:szCs w:val="20"/>
          <w:color w:val="auto"/>
        </w:rPr>
      </w:pPr>
      <w:r>
        <w:rPr>
          <w:rFonts w:ascii="Times New Roman" w:cs="Times New Roman" w:eastAsia="Times New Roman" w:hAnsi="Times New Roman"/>
          <w:sz w:val="14"/>
          <w:szCs w:val="14"/>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36" w:lineRule="exact"/>
        <w:rPr>
          <w:sz w:val="20"/>
          <w:szCs w:val="20"/>
          <w:color w:val="auto"/>
        </w:rPr>
      </w:pPr>
    </w:p>
    <w:p>
      <w:pPr>
        <w:ind w:left="1380" w:right="359" w:firstLine="341"/>
        <w:spacing w:after="0" w:line="265" w:lineRule="auto"/>
        <w:rPr>
          <w:sz w:val="20"/>
          <w:szCs w:val="20"/>
          <w:color w:val="auto"/>
        </w:rPr>
      </w:pPr>
      <w:r>
        <w:rPr>
          <w:rFonts w:ascii="Times New Roman" w:cs="Times New Roman" w:eastAsia="Times New Roman" w:hAnsi="Times New Roman"/>
          <w:sz w:val="14"/>
          <w:szCs w:val="14"/>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 will engage in these transactions or that these transactions, once commenced, will not be discontinued without notice.</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2"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currently provide,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47" w:lineRule="exact"/>
        <w:rPr>
          <w:sz w:val="20"/>
          <w:szCs w:val="20"/>
          <w:color w:val="auto"/>
        </w:rPr>
      </w:pPr>
    </w:p>
    <w:p>
      <w:pPr>
        <w:ind w:left="1380" w:right="259" w:firstLine="341"/>
        <w:spacing w:after="0" w:line="252"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 Sixth Street controls Sixth Street BD, LLC, a participating underwriter in this offering, and we and the Adviser are under common control with Sixth Street BD, LLC.</w:t>
      </w:r>
    </w:p>
    <w:p>
      <w:pPr>
        <w:spacing w:after="0" w:line="148" w:lineRule="exact"/>
        <w:rPr>
          <w:sz w:val="20"/>
          <w:szCs w:val="20"/>
          <w:color w:val="auto"/>
        </w:rPr>
      </w:pPr>
    </w:p>
    <w:p>
      <w:pPr>
        <w:ind w:left="1380" w:right="299" w:firstLine="341"/>
        <w:spacing w:after="0" w:line="260" w:lineRule="auto"/>
        <w:rPr>
          <w:sz w:val="20"/>
          <w:szCs w:val="20"/>
          <w:color w:val="auto"/>
        </w:rPr>
      </w:pPr>
      <w:r>
        <w:rPr>
          <w:rFonts w:ascii="Times New Roman" w:cs="Times New Roman" w:eastAsia="Times New Roman" w:hAnsi="Times New Roman"/>
          <w:sz w:val="14"/>
          <w:szCs w:val="14"/>
          <w:color w:val="auto"/>
        </w:rPr>
        <w:t>We intend to use the net proceeds of this offering to pay down a portion of the outstanding indebtedness under the Revolving Credit Facility.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40" w:lineRule="exact"/>
        <w:rPr>
          <w:sz w:val="20"/>
          <w:szCs w:val="20"/>
          <w:color w:val="auto"/>
        </w:rPr>
      </w:pPr>
    </w:p>
    <w:p>
      <w:pPr>
        <w:ind w:left="1380" w:right="659" w:firstLine="341"/>
        <w:spacing w:after="0" w:line="281" w:lineRule="auto"/>
        <w:rPr>
          <w:sz w:val="20"/>
          <w:szCs w:val="20"/>
          <w:color w:val="auto"/>
        </w:rPr>
      </w:pPr>
      <w:r>
        <w:rPr>
          <w:rFonts w:ascii="Times New Roman" w:cs="Times New Roman" w:eastAsia="Times New Roman" w:hAnsi="Times New Roman"/>
          <w:sz w:val="14"/>
          <w:szCs w:val="14"/>
          <w:color w:val="auto"/>
        </w:rPr>
        <w:t>Certain funds or accounts managed by affiliates of the Adviser may purchase Notes in the transaction through the underwriters at the public offering price.</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S-39</w:t>
      </w:r>
    </w:p>
    <w:p>
      <w:pPr>
        <w:sectPr>
          <w:pgSz w:w="11900" w:h="16838" w:orient="portrait"/>
          <w:cols w:equalWidth="0" w:num="1">
            <w:col w:w="10159"/>
          </w:cols>
          <w:pgMar w:left="300" w:top="40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Settlement</w:t>
      </w:r>
    </w:p>
    <w:p>
      <w:pPr>
        <w:spacing w:after="0" w:line="92" w:lineRule="exact"/>
        <w:rPr>
          <w:sz w:val="20"/>
          <w:szCs w:val="20"/>
          <w:color w:val="auto"/>
        </w:rPr>
      </w:pPr>
    </w:p>
    <w:p>
      <w:pPr>
        <w:ind w:left="1380" w:right="279" w:firstLine="341"/>
        <w:spacing w:after="0" w:line="255" w:lineRule="auto"/>
        <w:rPr>
          <w:sz w:val="20"/>
          <w:szCs w:val="20"/>
          <w:color w:val="auto"/>
        </w:rPr>
      </w:pPr>
      <w:r>
        <w:rPr>
          <w:rFonts w:ascii="Times New Roman" w:cs="Times New Roman" w:eastAsia="Times New Roman" w:hAnsi="Times New Roman"/>
          <w:sz w:val="14"/>
          <w:szCs w:val="14"/>
          <w:color w:val="auto"/>
        </w:rPr>
        <w:t>We expect that delivery of the Notes will be made to investors on or about May 14, 2026, which will be the fifth business day following the date hereof. Under Rule 15c6-1 under the Exchange Act, trades in the secondary market are required to settle in one business day, unless the parties to any such trade expressly agree otherwise. Accordingly, purchasers who wish to trade Notes on the date hereof or the next succeeding business day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2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Principal Business Addresses</w:t>
      </w:r>
    </w:p>
    <w:p>
      <w:pPr>
        <w:spacing w:after="0" w:line="92" w:lineRule="exact"/>
        <w:rPr>
          <w:sz w:val="20"/>
          <w:szCs w:val="20"/>
          <w:color w:val="auto"/>
        </w:rPr>
      </w:pPr>
    </w:p>
    <w:p>
      <w:pPr>
        <w:ind w:left="1380" w:right="339" w:firstLine="341"/>
        <w:spacing w:after="0" w:line="260" w:lineRule="auto"/>
        <w:rPr>
          <w:sz w:val="20"/>
          <w:szCs w:val="20"/>
          <w:color w:val="auto"/>
        </w:rPr>
      </w:pPr>
      <w:r>
        <w:rPr>
          <w:rFonts w:ascii="Times New Roman" w:cs="Times New Roman" w:eastAsia="Times New Roman" w:hAnsi="Times New Roman"/>
          <w:sz w:val="14"/>
          <w:szCs w:val="14"/>
          <w:color w:val="auto"/>
        </w:rPr>
        <w:t>The principal business address of BofA Securities is One Bryant Park, New York, NY 10036. The principal business address of HSBC Securities (USA) Inc. is 66 Hudson Boulevard, New York, NY 10001. The principal business address of SMBC Nikko Securities America, Inc. is 277 Park Avenue, New York, NY 10172. The principal business address of Wells Fargo Securities, LLC is 550 South Tyron Street, Charlotte, North Carolina 28202.</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Other Jurisdictions</w:t>
      </w:r>
    </w:p>
    <w:p>
      <w:pPr>
        <w:spacing w:after="0" w:line="92" w:lineRule="exact"/>
        <w:rPr>
          <w:sz w:val="20"/>
          <w:szCs w:val="20"/>
          <w:color w:val="auto"/>
        </w:rPr>
      </w:pPr>
    </w:p>
    <w:p>
      <w:pPr>
        <w:ind w:left="1380" w:right="259" w:firstLine="341"/>
        <w:spacing w:after="0" w:line="254"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144"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European Economic Area</w:t>
      </w:r>
    </w:p>
    <w:p>
      <w:pPr>
        <w:spacing w:after="0" w:line="92" w:lineRule="exact"/>
        <w:rPr>
          <w:sz w:val="20"/>
          <w:szCs w:val="20"/>
          <w:color w:val="auto"/>
        </w:rPr>
      </w:pPr>
    </w:p>
    <w:p>
      <w:pPr>
        <w:jc w:val="both"/>
        <w:ind w:left="1380" w:right="399" w:firstLine="341"/>
        <w:spacing w:after="0" w:line="276" w:lineRule="auto"/>
        <w:rPr>
          <w:sz w:val="20"/>
          <w:szCs w:val="20"/>
          <w:color w:val="auto"/>
        </w:rPr>
      </w:pPr>
      <w:r>
        <w:rPr>
          <w:rFonts w:ascii="Times New Roman" w:cs="Times New Roman" w:eastAsia="Times New Roman" w:hAnsi="Times New Roman"/>
          <w:sz w:val="13"/>
          <w:szCs w:val="13"/>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w:t>
      </w:r>
    </w:p>
    <w:p>
      <w:pPr>
        <w:spacing w:after="0" w:line="1" w:lineRule="exact"/>
        <w:rPr>
          <w:sz w:val="20"/>
          <w:szCs w:val="20"/>
          <w:color w:val="auto"/>
        </w:rPr>
      </w:pPr>
    </w:p>
    <w:p>
      <w:pPr>
        <w:ind w:left="1380" w:right="319"/>
        <w:spacing w:after="0" w:line="251" w:lineRule="auto"/>
        <w:rPr>
          <w:sz w:val="20"/>
          <w:szCs w:val="20"/>
          <w:color w:val="auto"/>
        </w:rPr>
      </w:pPr>
      <w:r>
        <w:rPr>
          <w:rFonts w:ascii="Times New Roman" w:cs="Times New Roman" w:eastAsia="Times New Roman" w:hAnsi="Times New Roman"/>
          <w:sz w:val="14"/>
          <w:szCs w:val="14"/>
          <w:color w:val="auto"/>
        </w:rPr>
        <w:t>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S-40</w:t>
      </w:r>
    </w:p>
    <w:p>
      <w:pPr>
        <w:sectPr>
          <w:pgSz w:w="11900" w:h="16838" w:orient="portrait"/>
          <w:cols w:equalWidth="0" w:num="1">
            <w:col w:w="10159"/>
          </w:cols>
          <w:pgMar w:left="300" w:top="40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419" w:firstLine="341"/>
        <w:spacing w:after="0" w:line="281" w:lineRule="auto"/>
        <w:rPr>
          <w:sz w:val="20"/>
          <w:szCs w:val="20"/>
          <w:color w:val="auto"/>
        </w:rPr>
      </w:pPr>
      <w:r>
        <w:rPr>
          <w:rFonts w:ascii="Times New Roman" w:cs="Times New Roman" w:eastAsia="Times New Roman" w:hAnsi="Times New Roman"/>
          <w:sz w:val="14"/>
          <w:szCs w:val="14"/>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above selling restriction is in addition to any other selling restrictions set out below.</w:t>
      </w:r>
    </w:p>
    <w:p>
      <w:pPr>
        <w:spacing w:after="0" w:line="2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United Kingdom</w:t>
      </w:r>
    </w:p>
    <w:p>
      <w:pPr>
        <w:spacing w:after="0" w:line="92" w:lineRule="exact"/>
        <w:rPr>
          <w:sz w:val="20"/>
          <w:szCs w:val="20"/>
          <w:color w:val="auto"/>
        </w:rPr>
      </w:pPr>
    </w:p>
    <w:p>
      <w:pPr>
        <w:ind w:left="1380" w:right="299" w:firstLine="341"/>
        <w:spacing w:after="0" w:line="273" w:lineRule="auto"/>
        <w:rPr>
          <w:sz w:val="20"/>
          <w:szCs w:val="20"/>
          <w:color w:val="auto"/>
        </w:rPr>
      </w:pPr>
      <w:r>
        <w:rPr>
          <w:rFonts w:ascii="Times New Roman" w:cs="Times New Roman" w:eastAsia="Times New Roman" w:hAnsi="Times New Roman"/>
          <w:sz w:val="13"/>
          <w:szCs w:val="13"/>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the Conduct of Business Sourcebook of the handbook of rules and guidance adopted by the U.K.’s Financial Conduct Authority (“FCA Handbook”), rule 3.4.1; or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domestic law by virtue of the EUWA; or (iii) not a qualified investor as defined in paragraph 15 of Schedule 1 to The Public Offers and Admissions to Trading Regulations 2024 (the “POAT Regulations”). 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POAT Regulations from the requirement to publish a prospectus for offers of Notes. This prospectus supplement is not a prospectus for the purposes of the POAT Regulations or the Admission to Trading on a Regulated Market Sourcebook of the FCA Handbook, has not been approved by the U.K.’s Financial Conduct Authority and should not be relied on and should not be construed as an offer (or any other form of marketing).</w:t>
      </w:r>
    </w:p>
    <w:p>
      <w:pPr>
        <w:spacing w:after="0" w:line="301" w:lineRule="exact"/>
        <w:rPr>
          <w:sz w:val="20"/>
          <w:szCs w:val="20"/>
          <w:color w:val="auto"/>
        </w:rPr>
      </w:pPr>
    </w:p>
    <w:p>
      <w:pPr>
        <w:ind w:left="1380" w:right="419" w:firstLine="341"/>
        <w:spacing w:after="0" w:line="281" w:lineRule="auto"/>
        <w:rPr>
          <w:sz w:val="20"/>
          <w:szCs w:val="20"/>
          <w:color w:val="auto"/>
        </w:rPr>
      </w:pPr>
      <w:r>
        <w:rPr>
          <w:rFonts w:ascii="Times New Roman" w:cs="Times New Roman" w:eastAsia="Times New Roman" w:hAnsi="Times New Roman"/>
          <w:sz w:val="14"/>
          <w:szCs w:val="14"/>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25" w:lineRule="exact"/>
        <w:rPr>
          <w:sz w:val="20"/>
          <w:szCs w:val="20"/>
          <w:color w:val="auto"/>
        </w:rPr>
      </w:pPr>
    </w:p>
    <w:p>
      <w:pPr>
        <w:ind w:left="1380" w:right="279" w:firstLine="341"/>
        <w:spacing w:after="0" w:line="253" w:lineRule="auto"/>
        <w:rPr>
          <w:sz w:val="20"/>
          <w:szCs w:val="20"/>
          <w:color w:val="auto"/>
        </w:rPr>
      </w:pPr>
      <w:r>
        <w:rPr>
          <w:rFonts w:ascii="Times New Roman" w:cs="Times New Roman" w:eastAsia="Times New Roman" w:hAnsi="Times New Roman"/>
          <w:sz w:val="14"/>
          <w:szCs w:val="14"/>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Dubai International Financial Centre</w:t>
      </w:r>
    </w:p>
    <w:p>
      <w:pPr>
        <w:spacing w:after="0" w:line="92"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This prospectus supplement relates to an Exempt Offer in accordance with the Offered Securities Rules of the Dubai Financial Services Authority, or DFSA. This prospectus supplement is intended for distribution only to persons in the in the Dubai International Financial Centre, or DIFC of a type specified in the Offered Securities Rules of the DFSA. It must not be delivered to, or relied on by, any other person in the DIFC. The DFSA has no responsibility for reviewing or verifying any documents in connection with Exempt Offers. The DFSA has not approved this prospectus supplement nor taken steps to verify the information set forth herein and has no</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S-41</w:t>
      </w:r>
    </w:p>
    <w:p>
      <w:pPr>
        <w:sectPr>
          <w:pgSz w:w="11900" w:h="16838" w:orient="portrait"/>
          <w:cols w:equalWidth="0" w:num="1">
            <w:col w:w="10159"/>
          </w:cols>
          <w:pgMar w:left="300" w:top="405"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both"/>
        <w:ind w:left="1380" w:right="459"/>
        <w:spacing w:after="0" w:line="265" w:lineRule="auto"/>
        <w:rPr>
          <w:sz w:val="20"/>
          <w:szCs w:val="20"/>
          <w:color w:val="auto"/>
        </w:rPr>
      </w:pPr>
      <w:r>
        <w:rPr>
          <w:rFonts w:ascii="Times New Roman" w:cs="Times New Roman" w:eastAsia="Times New Roman" w:hAnsi="Times New Roman"/>
          <w:sz w:val="14"/>
          <w:szCs w:val="14"/>
          <w:color w:val="auto"/>
        </w:rPr>
        <w:t>responsibility for the prospectus supplement. The Notes to which this prospectus supplement relates may be illiquid 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Hong Kong</w:t>
      </w:r>
    </w:p>
    <w:p>
      <w:pPr>
        <w:spacing w:after="0" w:line="92" w:lineRule="exact"/>
        <w:rPr>
          <w:sz w:val="20"/>
          <w:szCs w:val="20"/>
          <w:color w:val="auto"/>
        </w:rPr>
      </w:pPr>
    </w:p>
    <w:p>
      <w:pPr>
        <w:ind w:left="1380" w:right="319" w:firstLine="341"/>
        <w:spacing w:after="0" w:line="253" w:lineRule="auto"/>
        <w:rPr>
          <w:sz w:val="20"/>
          <w:szCs w:val="20"/>
          <w:color w:val="auto"/>
        </w:rPr>
      </w:pPr>
      <w:r>
        <w:rPr>
          <w:rFonts w:ascii="Times New Roman" w:cs="Times New Roman" w:eastAsia="Times New Roman" w:hAnsi="Times New Roman"/>
          <w:sz w:val="14"/>
          <w:szCs w:val="14"/>
          <w:color w:val="auto"/>
        </w:rPr>
        <w:t>The Notes have not been offered or sold and will not be offered or sold in Hong Kong, by means of any document, other than (a) to “professional investors” as defined in the Securities and Futures Ordinance (Cap. 571 of the Laws of Hong Kong) (“Securities and Futures Ordinance”) and any rules made thereunder; or (b) in other circumstances which do not result in the document being a “prospectus” as defined in the Companies (Winding Up and Miscellaneous Provisions) Ordinance (Cap. 32 of the Laws of Hong Kong) (“Companies (Winding Up and Miscellaneous Provisions) Ordinance”) or which do not constitute an offer to the public within the meaning of the Companies (Winding Up and Miscellaneous Provisions)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thereunder.</w:t>
      </w:r>
    </w:p>
    <w:p>
      <w:pPr>
        <w:spacing w:after="0" w:line="2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Canada</w:t>
      </w:r>
    </w:p>
    <w:p>
      <w:pPr>
        <w:spacing w:after="0" w:line="92" w:lineRule="exact"/>
        <w:rPr>
          <w:sz w:val="20"/>
          <w:szCs w:val="20"/>
          <w:color w:val="auto"/>
        </w:rPr>
      </w:pPr>
    </w:p>
    <w:p>
      <w:pPr>
        <w:ind w:left="1380" w:right="239" w:firstLine="341"/>
        <w:spacing w:after="0" w:line="260" w:lineRule="auto"/>
        <w:rPr>
          <w:sz w:val="20"/>
          <w:szCs w:val="20"/>
          <w:color w:val="auto"/>
        </w:rPr>
      </w:pPr>
      <w:r>
        <w:rPr>
          <w:rFonts w:ascii="Times New Roman" w:cs="Times New Roman" w:eastAsia="Times New Roman" w:hAnsi="Times New Roman"/>
          <w:sz w:val="14"/>
          <w:szCs w:val="14"/>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38" w:lineRule="exact"/>
        <w:rPr>
          <w:sz w:val="20"/>
          <w:szCs w:val="20"/>
          <w:color w:val="auto"/>
        </w:rPr>
      </w:pPr>
    </w:p>
    <w:p>
      <w:pPr>
        <w:ind w:left="1380" w:right="279" w:firstLine="341"/>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Canadian investors are advised that this prospectus supplement has been prepared in reliance on section 3A.3 of National Instrument 33-105 </w:t>
      </w:r>
      <w:r>
        <w:rPr>
          <w:rFonts w:ascii="Times New Roman" w:cs="Times New Roman" w:eastAsia="Times New Roman" w:hAnsi="Times New Roman"/>
          <w:sz w:val="14"/>
          <w:szCs w:val="14"/>
          <w:b w:val="1"/>
          <w:bCs w:val="1"/>
          <w:i w:val="1"/>
          <w:iCs w:val="1"/>
          <w:color w:val="auto"/>
        </w:rPr>
        <w:t>Underwriting Conflicts</w:t>
      </w:r>
      <w:r>
        <w:rPr>
          <w:rFonts w:ascii="Times New Roman" w:cs="Times New Roman" w:eastAsia="Times New Roman" w:hAnsi="Times New Roman"/>
          <w:sz w:val="14"/>
          <w:szCs w:val="14"/>
          <w:b w:val="1"/>
          <w:bCs w:val="1"/>
          <w:color w:val="auto"/>
        </w:rPr>
        <w:t xml:space="preserve">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Resale Restrictions</w:t>
      </w:r>
    </w:p>
    <w:p>
      <w:pPr>
        <w:spacing w:after="0" w:line="92" w:lineRule="exact"/>
        <w:rPr>
          <w:sz w:val="20"/>
          <w:szCs w:val="20"/>
          <w:color w:val="auto"/>
        </w:rPr>
      </w:pPr>
    </w:p>
    <w:p>
      <w:pPr>
        <w:ind w:left="1380" w:right="319" w:firstLine="341"/>
        <w:spacing w:after="0" w:line="255" w:lineRule="auto"/>
        <w:rPr>
          <w:sz w:val="20"/>
          <w:szCs w:val="20"/>
          <w:color w:val="auto"/>
        </w:rPr>
      </w:pPr>
      <w:r>
        <w:rPr>
          <w:rFonts w:ascii="Times New Roman" w:cs="Times New Roman" w:eastAsia="Times New Roman" w:hAnsi="Times New Roman"/>
          <w:sz w:val="14"/>
          <w:szCs w:val="14"/>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Representations of Purchasers</w:t>
      </w:r>
    </w:p>
    <w:p>
      <w:pPr>
        <w:spacing w:after="0" w:line="92" w:lineRule="exact"/>
        <w:rPr>
          <w:sz w:val="20"/>
          <w:szCs w:val="20"/>
          <w:color w:val="auto"/>
        </w:rPr>
      </w:pPr>
    </w:p>
    <w:p>
      <w:pPr>
        <w:ind w:left="1380" w:right="439" w:firstLine="341"/>
        <w:spacing w:after="0" w:line="281" w:lineRule="auto"/>
        <w:rPr>
          <w:sz w:val="20"/>
          <w:szCs w:val="20"/>
          <w:color w:val="auto"/>
        </w:rPr>
      </w:pPr>
      <w:r>
        <w:rPr>
          <w:rFonts w:ascii="Times New Roman" w:cs="Times New Roman" w:eastAsia="Times New Roman" w:hAnsi="Times New Roman"/>
          <w:sz w:val="14"/>
          <w:szCs w:val="14"/>
          <w:color w:val="auto"/>
        </w:rPr>
        <w:t>Each Canadian investor who purchases the Notes will be deemed to have represented to the Company, the underwriters and to each dealer from whom a purchase confirmation is received, as applicable, that the investor</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S-42</w:t>
      </w:r>
    </w:p>
    <w:p>
      <w:pPr>
        <w:sectPr>
          <w:pgSz w:w="11900" w:h="16838" w:orient="portrait"/>
          <w:cols w:equalWidth="0" w:num="1">
            <w:col w:w="10159"/>
          </w:cols>
          <w:pgMar w:left="300" w:top="405"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80" w:right="399"/>
        <w:spacing w:after="0" w:line="260" w:lineRule="auto"/>
        <w:rPr>
          <w:sz w:val="20"/>
          <w:szCs w:val="20"/>
          <w:color w:val="auto"/>
        </w:rPr>
      </w:pPr>
      <w:r>
        <w:rPr>
          <w:rFonts w:ascii="Times New Roman" w:cs="Times New Roman" w:eastAsia="Times New Roman" w:hAnsi="Times New Roman"/>
          <w:sz w:val="14"/>
          <w:szCs w:val="14"/>
          <w:color w:val="auto"/>
        </w:rPr>
        <w:t xml:space="preserve">is (i) purchasing as principal, or is deemed to be purchasing as principal in accordance with applicable Canadian securities laws; (ii) an “accredited investor” as such term is defined in section 1.1 of National Instrument 45-106 </w:t>
      </w:r>
      <w:r>
        <w:rPr>
          <w:rFonts w:ascii="Times New Roman" w:cs="Times New Roman" w:eastAsia="Times New Roman" w:hAnsi="Times New Roman"/>
          <w:sz w:val="14"/>
          <w:szCs w:val="14"/>
          <w:i w:val="1"/>
          <w:iCs w:val="1"/>
          <w:color w:val="auto"/>
        </w:rPr>
        <w:t>Prospectus Exemptions</w:t>
      </w:r>
      <w:r>
        <w:rPr>
          <w:rFonts w:ascii="Times New Roman" w:cs="Times New Roman" w:eastAsia="Times New Roman" w:hAnsi="Times New Roman"/>
          <w:sz w:val="14"/>
          <w:szCs w:val="14"/>
          <w:color w:val="auto"/>
        </w:rPr>
        <w:t xml:space="preserve"> or, in Ontario, as such term is defined in section 73.3(1) of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xml:space="preserve"> (Ontario); and (iii) a “permitted client” as such term is defined in section 1.1 of National Instrument 31-103 </w:t>
      </w:r>
      <w:r>
        <w:rPr>
          <w:rFonts w:ascii="Times New Roman" w:cs="Times New Roman" w:eastAsia="Times New Roman" w:hAnsi="Times New Roman"/>
          <w:sz w:val="14"/>
          <w:szCs w:val="14"/>
          <w:i w:val="1"/>
          <w:iCs w:val="1"/>
          <w:color w:val="auto"/>
        </w:rPr>
        <w:t>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Requirements, Exemptions and Ongoing Registrant Obligations</w:t>
      </w:r>
      <w:r>
        <w:rPr>
          <w:rFonts w:ascii="Times New Roman" w:cs="Times New Roman" w:eastAsia="Times New Roman" w:hAnsi="Times New Roman"/>
          <w:sz w:val="14"/>
          <w:szCs w:val="14"/>
          <w:color w:val="auto"/>
        </w:rPr>
        <w:t>.</w:t>
      </w: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Taxation and Eligibility for Investment</w:t>
      </w:r>
    </w:p>
    <w:p>
      <w:pPr>
        <w:spacing w:after="0" w:line="92" w:lineRule="exact"/>
        <w:rPr>
          <w:sz w:val="20"/>
          <w:szCs w:val="20"/>
          <w:color w:val="auto"/>
        </w:rPr>
      </w:pPr>
    </w:p>
    <w:p>
      <w:pPr>
        <w:ind w:left="1380" w:right="279" w:firstLine="341"/>
        <w:spacing w:after="0" w:line="257" w:lineRule="auto"/>
        <w:rPr>
          <w:sz w:val="20"/>
          <w:szCs w:val="20"/>
          <w:color w:val="auto"/>
        </w:rPr>
      </w:pPr>
      <w:r>
        <w:rPr>
          <w:rFonts w:ascii="Times New Roman" w:cs="Times New Roman" w:eastAsia="Times New Roman" w:hAnsi="Times New Roman"/>
          <w:sz w:val="14"/>
          <w:szCs w:val="14"/>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Rights of Action for Damages or Rescission</w:t>
      </w:r>
    </w:p>
    <w:p>
      <w:pPr>
        <w:spacing w:after="0" w:line="92" w:lineRule="exact"/>
        <w:rPr>
          <w:sz w:val="20"/>
          <w:szCs w:val="20"/>
          <w:color w:val="auto"/>
        </w:rPr>
      </w:pPr>
    </w:p>
    <w:p>
      <w:pPr>
        <w:ind w:left="1380" w:right="259" w:firstLine="341"/>
        <w:spacing w:after="0" w:line="253" w:lineRule="auto"/>
        <w:rPr>
          <w:sz w:val="20"/>
          <w:szCs w:val="20"/>
          <w:color w:val="auto"/>
        </w:rPr>
      </w:pPr>
      <w:r>
        <w:rPr>
          <w:rFonts w:ascii="Times New Roman" w:cs="Times New Roman" w:eastAsia="Times New Roman" w:hAnsi="Times New Roman"/>
          <w:sz w:val="14"/>
          <w:szCs w:val="14"/>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Times New Roman" w:cs="Times New Roman" w:eastAsia="Times New Roman" w:hAnsi="Times New Roman"/>
          <w:sz w:val="14"/>
          <w:szCs w:val="14"/>
          <w:i w:val="1"/>
          <w:iCs w:val="1"/>
          <w:color w:val="auto"/>
        </w:rPr>
        <w:t>Ontario Prospectus and Registration Exemptions</w:t>
      </w:r>
      <w:r>
        <w:rPr>
          <w:rFonts w:ascii="Times New Roman" w:cs="Times New Roman" w:eastAsia="Times New Roman" w:hAnsi="Times New Roman"/>
          <w:sz w:val="14"/>
          <w:szCs w:val="14"/>
          <w:color w:val="auto"/>
        </w:rPr>
        <w:t xml:space="preserve"> and in Multilateral Instrument 45-107 </w:t>
      </w:r>
      <w:r>
        <w:rPr>
          <w:rFonts w:ascii="Times New Roman" w:cs="Times New Roman" w:eastAsia="Times New Roman" w:hAnsi="Times New Roman"/>
          <w:sz w:val="14"/>
          <w:szCs w:val="14"/>
          <w:i w:val="1"/>
          <w:iCs w:val="1"/>
          <w:color w:val="auto"/>
        </w:rPr>
        <w:t>Listing Representation and Statutory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Rights of Action Disclosure Exemptions</w:t>
      </w:r>
      <w:r>
        <w:rPr>
          <w:rFonts w:ascii="Times New Roman" w:cs="Times New Roman" w:eastAsia="Times New Roman" w:hAnsi="Times New Roman"/>
          <w:sz w:val="14"/>
          <w:szCs w:val="14"/>
          <w:color w:val="auto"/>
        </w:rPr>
        <w:t>, as applicable, with a remedy for damages or rescission, or both, in addition to any other rights they may have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Language of Documents</w:t>
      </w:r>
    </w:p>
    <w:p>
      <w:pPr>
        <w:spacing w:after="0" w:line="92" w:lineRule="exact"/>
        <w:rPr>
          <w:sz w:val="20"/>
          <w:szCs w:val="20"/>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w:cs="Times New Roman" w:eastAsia="Times New Roman" w:hAnsi="Times New Roman"/>
          <w:sz w:val="14"/>
          <w:szCs w:val="14"/>
          <w:i w:val="1"/>
          <w:iCs w:val="1"/>
          <w:color w:val="auto"/>
        </w:rPr>
        <w:t>Par la réception de ce document, chaque investisseur canadien confirme par les présentes qu’il a expressément exigé que tous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S-43</w:t>
      </w:r>
    </w:p>
    <w:p>
      <w:pPr>
        <w:sectPr>
          <w:pgSz w:w="11900" w:h="16838" w:orient="portrait"/>
          <w:cols w:equalWidth="0" w:num="1">
            <w:col w:w="10159"/>
          </w:cols>
          <w:pgMar w:left="300" w:top="405"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6" w:lineRule="exact"/>
        <w:rPr>
          <w:sz w:val="20"/>
          <w:szCs w:val="20"/>
          <w:color w:val="auto"/>
        </w:rPr>
      </w:pPr>
    </w:p>
    <w:p>
      <w:pPr>
        <w:ind w:left="1380" w:right="479" w:firstLine="341"/>
        <w:spacing w:after="0" w:line="265" w:lineRule="auto"/>
        <w:rPr>
          <w:sz w:val="20"/>
          <w:szCs w:val="20"/>
          <w:color w:val="auto"/>
        </w:rPr>
      </w:pPr>
      <w:r>
        <w:rPr>
          <w:rFonts w:ascii="Times New Roman" w:cs="Times New Roman" w:eastAsia="Times New Roman" w:hAnsi="Times New Roman"/>
          <w:sz w:val="14"/>
          <w:szCs w:val="14"/>
          <w:color w:val="auto"/>
        </w:rPr>
        <w:t>Certain legal matters in connection with the offering will be passed upon for us by Simpson Thacher &amp; Bartlett LLP, Washington, D.C. In addition, Morris, Nichols, Arsht &amp; Tunnell LLP will pass on certain legal matters for us. Certain legal matters in connection with the offering will be passed upon for the underwriters by Ropes &amp; Gray LLP.</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S-44</w:t>
      </w:r>
    </w:p>
    <w:p>
      <w:pPr>
        <w:sectPr>
          <w:pgSz w:w="11900" w:h="16838" w:orient="portrait"/>
          <w:cols w:equalWidth="0" w:num="1">
            <w:col w:w="10159"/>
          </w:cols>
          <w:pgMar w:left="300" w:top="405"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INCORPORATED BY REFERENCE</w:t>
      </w:r>
    </w:p>
    <w:p>
      <w:pPr>
        <w:spacing w:after="0" w:line="176" w:lineRule="exact"/>
        <w:rPr>
          <w:sz w:val="20"/>
          <w:szCs w:val="20"/>
          <w:color w:val="auto"/>
        </w:rPr>
      </w:pPr>
    </w:p>
    <w:p>
      <w:pPr>
        <w:ind w:left="1380" w:right="239" w:firstLine="341"/>
        <w:spacing w:after="0" w:line="254"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74" w:lineRule="exact"/>
        <w:rPr>
          <w:sz w:val="20"/>
          <w:szCs w:val="20"/>
          <w:color w:val="auto"/>
        </w:rPr>
      </w:pPr>
    </w:p>
    <w:p>
      <w:pPr>
        <w:ind w:left="2120" w:right="679" w:hanging="327"/>
        <w:spacing w:after="0" w:line="281"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17">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February 12, 2026 (the “2025 Annual Report”);</w:t>
      </w:r>
    </w:p>
    <w:p>
      <w:pPr>
        <w:spacing w:after="0" w:line="52" w:lineRule="exact"/>
        <w:rPr>
          <w:rFonts w:ascii="Times New Roman" w:cs="Times New Roman" w:eastAsia="Times New Roman" w:hAnsi="Times New Roman"/>
          <w:sz w:val="14"/>
          <w:szCs w:val="14"/>
          <w:color w:val="auto"/>
        </w:rPr>
      </w:pPr>
    </w:p>
    <w:p>
      <w:pPr>
        <w:ind w:left="2120" w:right="719" w:hanging="327"/>
        <w:spacing w:after="0" w:line="281"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71">
        <w:r>
          <w:rPr>
            <w:rFonts w:ascii="Times New Roman" w:cs="Times New Roman" w:eastAsia="Times New Roman" w:hAnsi="Times New Roman"/>
            <w:sz w:val="14"/>
            <w:szCs w:val="14"/>
            <w:u w:val="single" w:color="auto"/>
            <w:color w:val="0000EE"/>
          </w:rPr>
          <w:t>Quarterly Report on 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three months ended March 31, 2026, filed with the SEC on May 5, 2026 (the “1Q 2026 Quarterly Report”)</w:t>
      </w:r>
    </w:p>
    <w:p>
      <w:pPr>
        <w:spacing w:after="0" w:line="52" w:lineRule="exact"/>
        <w:rPr>
          <w:rFonts w:ascii="Times New Roman" w:cs="Times New Roman" w:eastAsia="Times New Roman" w:hAnsi="Times New Roman"/>
          <w:sz w:val="14"/>
          <w:szCs w:val="14"/>
          <w:color w:val="auto"/>
        </w:rPr>
      </w:pPr>
    </w:p>
    <w:p>
      <w:pPr>
        <w:ind w:left="2120" w:right="899" w:hanging="327"/>
        <w:spacing w:after="0" w:line="281" w:lineRule="auto"/>
        <w:tabs>
          <w:tab w:leader="none" w:pos="2120" w:val="left"/>
        </w:tabs>
        <w:numPr>
          <w:ilvl w:val="0"/>
          <w:numId w:val="34"/>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(other than information furnished rather than filed), filed with the SEC on </w:t>
      </w:r>
      <w:hyperlink r:id="rId72">
        <w:r>
          <w:rPr>
            <w:rFonts w:ascii="Times New Roman" w:cs="Times New Roman" w:eastAsia="Times New Roman" w:hAnsi="Times New Roman"/>
            <w:sz w:val="14"/>
            <w:szCs w:val="14"/>
            <w:u w:val="single" w:color="auto"/>
            <w:color w:val="0000EE"/>
          </w:rPr>
          <w:t>February 12, 2026</w:t>
        </w:r>
      </w:hyperlink>
      <w:r>
        <w:rPr>
          <w:rFonts w:ascii="Times New Roman" w:cs="Times New Roman" w:eastAsia="Times New Roman" w:hAnsi="Times New Roman"/>
          <w:sz w:val="14"/>
          <w:szCs w:val="14"/>
          <w:color w:val="auto"/>
        </w:rPr>
        <w:t xml:space="preserve">, </w:t>
      </w:r>
      <w:hyperlink r:id="rId73">
        <w:r>
          <w:rPr>
            <w:rFonts w:ascii="Times New Roman" w:cs="Times New Roman" w:eastAsia="Times New Roman" w:hAnsi="Times New Roman"/>
            <w:sz w:val="14"/>
            <w:szCs w:val="14"/>
            <w:u w:val="single" w:color="auto"/>
            <w:color w:val="0000EE"/>
          </w:rPr>
          <w:t>February 23, 2026</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74">
        <w:r>
          <w:rPr>
            <w:rFonts w:ascii="Times New Roman" w:cs="Times New Roman" w:eastAsia="Times New Roman" w:hAnsi="Times New Roman"/>
            <w:sz w:val="14"/>
            <w:szCs w:val="14"/>
            <w:u w:val="single" w:color="auto"/>
            <w:color w:val="0000EE"/>
          </w:rPr>
          <w:t>May 5,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52" w:lineRule="exact"/>
        <w:rPr>
          <w:rFonts w:ascii="Times New Roman" w:cs="Times New Roman" w:eastAsia="Times New Roman" w:hAnsi="Times New Roman"/>
          <w:sz w:val="14"/>
          <w:szCs w:val="14"/>
          <w:color w:val="0000EE"/>
        </w:rPr>
      </w:pPr>
    </w:p>
    <w:p>
      <w:pPr>
        <w:ind w:left="2120" w:right="319" w:hanging="327"/>
        <w:spacing w:after="0" w:line="265"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the </w:t>
      </w:r>
      <w:hyperlink r:id="rId17">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December 31, 2025, filed with the SEC on February 12, 2026 from our Definitive Proxy Statement on </w:t>
      </w:r>
      <w:hyperlink r:id="rId75">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relating to our 2026 Annual Meeting of Stockholders, filed with the SEC on April 9, 2026.</w:t>
      </w:r>
    </w:p>
    <w:p>
      <w:pPr>
        <w:spacing w:after="0" w:line="136" w:lineRule="exact"/>
        <w:rPr>
          <w:rFonts w:ascii="Times New Roman" w:cs="Times New Roman" w:eastAsia="Times New Roman" w:hAnsi="Times New Roman"/>
          <w:sz w:val="14"/>
          <w:szCs w:val="14"/>
          <w:color w:val="auto"/>
        </w:rPr>
      </w:pPr>
    </w:p>
    <w:p>
      <w:pPr>
        <w:ind w:left="1380" w:right="279" w:firstLine="341"/>
        <w:spacing w:after="0" w:line="255" w:lineRule="auto"/>
        <w:rPr>
          <w:sz w:val="20"/>
          <w:szCs w:val="20"/>
          <w:color w:val="auto"/>
        </w:rPr>
      </w:pPr>
      <w:r>
        <w:rPr>
          <w:rFonts w:ascii="Times New Roman" w:cs="Times New Roman" w:eastAsia="Times New Roman" w:hAnsi="Times New Roman"/>
          <w:sz w:val="14"/>
          <w:szCs w:val="14"/>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46" w:lineRule="exact"/>
        <w:rPr>
          <w:rFonts w:ascii="Times New Roman" w:cs="Times New Roman" w:eastAsia="Times New Roman" w:hAnsi="Times New Roman"/>
          <w:sz w:val="14"/>
          <w:szCs w:val="14"/>
          <w:color w:val="auto"/>
        </w:rPr>
      </w:pPr>
    </w:p>
    <w:p>
      <w:pPr>
        <w:ind w:left="1380" w:right="259" w:firstLine="341"/>
        <w:spacing w:after="0" w:line="295" w:lineRule="auto"/>
        <w:rPr>
          <w:sz w:val="20"/>
          <w:szCs w:val="20"/>
          <w:color w:val="auto"/>
        </w:rPr>
      </w:pPr>
      <w:r>
        <w:rPr>
          <w:rFonts w:ascii="Times New Roman" w:cs="Times New Roman" w:eastAsia="Times New Roman" w:hAnsi="Times New Roman"/>
          <w:sz w:val="13"/>
          <w:szCs w:val="13"/>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118"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Sixth Street Specialty Lending, Inc.</w:t>
      </w:r>
    </w:p>
    <w:p>
      <w:pPr>
        <w:spacing w:after="0" w:line="21"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2100 McKinney Avenue, Suite 1500</w:t>
      </w:r>
    </w:p>
    <w:p>
      <w:pPr>
        <w:spacing w:after="0" w:line="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Dallas, TX 75201</w:t>
      </w:r>
    </w:p>
    <w:p>
      <w:pPr>
        <w:spacing w:after="0" w:line="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Attention: TSLXInvestor Relations</w:t>
      </w:r>
    </w:p>
    <w:p>
      <w:pPr>
        <w:spacing w:after="0" w:line="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Email: IRTSLX@sixthstreet.com.</w:t>
      </w:r>
    </w:p>
    <w:p>
      <w:pPr>
        <w:spacing w:after="0" w:line="159" w:lineRule="exact"/>
        <w:rPr>
          <w:rFonts w:ascii="Times New Roman" w:cs="Times New Roman" w:eastAsia="Times New Roman" w:hAnsi="Times New Roman"/>
          <w:sz w:val="14"/>
          <w:szCs w:val="14"/>
          <w:color w:val="auto"/>
        </w:rPr>
      </w:pPr>
    </w:p>
    <w:p>
      <w:pPr>
        <w:ind w:left="1380" w:right="259" w:firstLine="341"/>
        <w:spacing w:after="0" w:line="257" w:lineRule="auto"/>
        <w:rPr>
          <w:sz w:val="20"/>
          <w:szCs w:val="20"/>
          <w:color w:val="auto"/>
        </w:rPr>
      </w:pPr>
      <w:r>
        <w:rPr>
          <w:rFonts w:ascii="Times New Roman" w:cs="Times New Roman" w:eastAsia="Times New Roman" w:hAnsi="Times New Roman"/>
          <w:sz w:val="14"/>
          <w:szCs w:val="14"/>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90"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S-45</w:t>
      </w:r>
    </w:p>
    <w:p>
      <w:pPr>
        <w:sectPr>
          <w:pgSz w:w="11900" w:h="16838" w:orient="portrait"/>
          <w:cols w:equalWidth="0" w:num="1">
            <w:col w:w="10159"/>
          </w:cols>
          <w:pgMar w:left="300" w:top="405" w:right="1440" w:bottom="1440" w:gutter="0" w:footer="0" w:header="0"/>
        </w:sectPr>
      </w:pPr>
    </w:p>
    <w:bookmarkStart w:id="48" w:name="page49"/>
    <w:bookmarkEnd w:id="48"/>
    <w:p>
      <w:pPr>
        <w:ind w:left="240"/>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134620</wp:posOffset>
            </wp:positionV>
            <wp:extent cx="1362075" cy="425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1362075" cy="425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Sixth Street Specialty Lending, Inc.</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Preferred Stock</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Subscription Rights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Warrants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170180</wp:posOffset>
            </wp:positionV>
            <wp:extent cx="11430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We are a specialty finance company focused on lending to middle-market companies that has elected to be regulated as a business development company under the Investment Company Act of 1940.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EBITDA, which we believe is a useful proxy for cash flow, of $10 million to $250 million, although we may invest in larger or smaller companies on occasion As of September 30, 2023, our investment portfolio consisted of investments in 131 portfolio companies (including 42 structured credit investments, which include each series of collateralized loan obligation as a separate portfolio company investment) with an aggregate fair value of $3,113.3 million. We intend to continue to pursue an investment strategy focused primarily on direct origination of loans to middle-market companies domiciled in the United States.</w:t>
      </w:r>
    </w:p>
    <w:p>
      <w:pPr>
        <w:spacing w:after="0" w:line="144"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We are an externally-managed, closed-end, non-diversified management investment company. Sixth Street Specialty Lending Advisers, LLC, or the Adviser, acts as our investment adviser and administrator. Our investment decisions are made by our Investment Review Committee, which includes senior personnel of our Adviser and Sixth Street Partners, LLC or “Sixth Street.” Sixth Street is a global investment business with over $60 billion of assets under management as of September 30, 2023.</w:t>
      </w:r>
    </w:p>
    <w:p>
      <w:pPr>
        <w:spacing w:after="0" w:line="140"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46" w:lineRule="exact"/>
        <w:rPr>
          <w:sz w:val="20"/>
          <w:szCs w:val="20"/>
          <w:color w:val="auto"/>
        </w:rPr>
      </w:pPr>
    </w:p>
    <w:p>
      <w:pPr>
        <w:ind w:left="240" w:right="379" w:firstLine="341"/>
        <w:spacing w:after="0" w:line="260"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the London Interbank Offered Rate, the Euro Interbank Offered Rate, the Secured Overnight Financing Rate, the Sterling Overnight Interbank Average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40" w:lineRule="exact"/>
        <w:rPr>
          <w:sz w:val="20"/>
          <w:szCs w:val="20"/>
          <w:color w:val="auto"/>
        </w:rPr>
      </w:pPr>
    </w:p>
    <w:p>
      <w:pPr>
        <w:ind w:left="240" w:right="339" w:firstLine="341"/>
        <w:spacing w:after="0" w:line="265" w:lineRule="auto"/>
        <w:rPr>
          <w:sz w:val="20"/>
          <w:szCs w:val="20"/>
          <w:color w:val="auto"/>
        </w:rPr>
      </w:pPr>
      <w:r>
        <w:rPr>
          <w:rFonts w:ascii="Times New Roman" w:cs="Times New Roman" w:eastAsia="Times New Roman" w:hAnsi="Times New Roman"/>
          <w:sz w:val="14"/>
          <w:szCs w:val="14"/>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w:t>
      </w:r>
    </w:p>
    <w:p>
      <w:pPr>
        <w:sectPr>
          <w:pgSz w:w="11900" w:h="16838" w:orient="portrait"/>
          <w:cols w:equalWidth="0" w:num="1">
            <w:col w:w="9019"/>
          </w:cols>
          <w:pgMar w:left="1440" w:top="259" w:right="1440" w:bottom="1440" w:gutter="0" w:footer="0" w:header="0"/>
        </w:sectPr>
      </w:pPr>
    </w:p>
    <w:bookmarkStart w:id="49" w:name="page50"/>
    <w:bookmarkEnd w:id="49"/>
    <w:p>
      <w:pPr>
        <w:ind w:left="240" w:right="63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convertible or exchangeable into shares of our common stock. The securities may be offered at prices and on terms to be described in one or more supplements to this prospectus.</w:t>
      </w:r>
    </w:p>
    <w:p>
      <w:pPr>
        <w:spacing w:after="0" w:line="125" w:lineRule="exact"/>
        <w:rPr>
          <w:sz w:val="20"/>
          <w:szCs w:val="20"/>
          <w:color w:val="auto"/>
        </w:rPr>
      </w:pPr>
    </w:p>
    <w:p>
      <w:pPr>
        <w:ind w:left="240" w:right="319" w:firstLine="341"/>
        <w:spacing w:after="0" w:line="257" w:lineRule="auto"/>
        <w:rPr>
          <w:sz w:val="20"/>
          <w:szCs w:val="20"/>
          <w:color w:val="auto"/>
        </w:rPr>
      </w:pPr>
      <w:r>
        <w:rPr>
          <w:rFonts w:ascii="Times New Roman" w:cs="Times New Roman" w:eastAsia="Times New Roman" w:hAnsi="Times New Roman"/>
          <w:sz w:val="14"/>
          <w:szCs w:val="14"/>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43"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46"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Our common stock is traded on the New York Stock Exchange, or NYSE, under the symbol “TSLX.” On December 20, 2023, the last reported sales price of our common stock on the NYSE was $21.08 per share. The net asset value per share of our common stock at September 30, 2023 (the last date prior to the date of this prospectus for which we reported net asset value) was $16.97.</w:t>
      </w:r>
    </w:p>
    <w:p>
      <w:pPr>
        <w:spacing w:after="0" w:line="126" w:lineRule="exact"/>
        <w:rPr>
          <w:sz w:val="20"/>
          <w:szCs w:val="20"/>
          <w:color w:val="auto"/>
        </w:rPr>
      </w:pPr>
    </w:p>
    <w:p>
      <w:pPr>
        <w:ind w:left="240" w:right="279" w:firstLine="427"/>
        <w:spacing w:after="0" w:line="237"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24 of this prospectus and in the documents incorporated by reference herein.</w:t>
      </w:r>
    </w:p>
    <w:p>
      <w:pPr>
        <w:spacing w:after="0" w:line="1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This prospectus may not be used to consummate sales of our securities unless accompanied by a prospectus supplement.</w:t>
      </w:r>
    </w:p>
    <w:p>
      <w:pPr>
        <w:spacing w:after="0" w:line="174"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41st Floor, New York, NY 10106, Attention: TSLX Investor Relations, by emailing us at IRTSLX@sixthstreet.com or visiting our website at https://sixthstreetspecialtylending.gcs-web.com/. Information on our website is not incorporated into or a part of this prospectus or any prospectus supplement. The Securities and Exchange Commission also maintains a website at http://www.sec.gov that contains this information.</w:t>
      </w:r>
    </w:p>
    <w:p>
      <w:pPr>
        <w:spacing w:after="0" w:line="147" w:lineRule="exact"/>
        <w:rPr>
          <w:sz w:val="20"/>
          <w:szCs w:val="20"/>
          <w:color w:val="auto"/>
        </w:rPr>
      </w:pPr>
    </w:p>
    <w:p>
      <w:pPr>
        <w:ind w:left="240" w:right="659" w:firstLine="341"/>
        <w:spacing w:after="0" w:line="281" w:lineRule="auto"/>
        <w:rPr>
          <w:sz w:val="20"/>
          <w:szCs w:val="20"/>
          <w:color w:val="auto"/>
        </w:rPr>
      </w:pPr>
      <w:r>
        <w:rPr>
          <w:rFonts w:ascii="Times New Roman" w:cs="Times New Roman" w:eastAsia="Times New Roman" w:hAnsi="Times New Roman"/>
          <w:sz w:val="14"/>
          <w:szCs w:val="14"/>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155575</wp:posOffset>
            </wp:positionV>
            <wp:extent cx="11430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December 22, 2023</w:t>
      </w:r>
    </w:p>
    <w:p>
      <w:pPr>
        <w:sectPr>
          <w:pgSz w:w="11900" w:h="16838" w:orient="portrait"/>
          <w:cols w:equalWidth="0" w:num="1">
            <w:col w:w="9019"/>
          </w:cols>
          <w:pgMar w:left="1440" w:top="261" w:right="1440" w:bottom="1440" w:gutter="0" w:footer="0" w:header="0"/>
        </w:sectPr>
      </w:pPr>
    </w:p>
    <w:bookmarkStart w:id="50" w:name="page51"/>
    <w:bookmarkEnd w:id="50"/>
    <w:tbl>
      <w:tblPr>
        <w:tblLayout w:type="fixed"/>
        <w:tblInd w:w="24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20" w:type="dxa"/>
            <w:vAlign w:val="bottom"/>
          </w:tcPr>
          <w:p>
            <w:pPr>
              <w:spacing w:after="0"/>
              <w:rPr>
                <w:sz w:val="16"/>
                <w:szCs w:val="16"/>
                <w:color w:val="auto"/>
              </w:rPr>
            </w:pPr>
          </w:p>
        </w:tc>
      </w:tr>
      <w:tr>
        <w:trPr>
          <w:trHeight w:val="324"/>
        </w:trPr>
        <w:tc>
          <w:tcPr>
            <w:tcW w:w="6680" w:type="dxa"/>
            <w:vAlign w:val="bottom"/>
            <w:gridSpan w:val="25"/>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w:t>
            </w:r>
          </w:p>
        </w:tc>
      </w:tr>
      <w:tr>
        <w:trPr>
          <w:trHeight w:val="147"/>
        </w:trPr>
        <w:tc>
          <w:tcPr>
            <w:tcW w:w="1720" w:type="dxa"/>
            <w:vAlign w:val="bottom"/>
            <w:tcBorders>
              <w:top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rPr>
              <w:t>SUMMARY</w:t>
            </w:r>
          </w:p>
        </w:tc>
        <w:tc>
          <w:tcPr>
            <w:tcW w:w="4960" w:type="dxa"/>
            <w:vAlign w:val="bottom"/>
            <w:gridSpan w:val="15"/>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668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THE OFFERING</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668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FEES AND EXPENSES</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668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FINANCIAL HIGHLIGHTS</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w:t>
            </w:r>
          </w:p>
        </w:tc>
      </w:tr>
      <w:tr>
        <w:trPr>
          <w:trHeight w:val="147"/>
        </w:trPr>
        <w:tc>
          <w:tcPr>
            <w:tcW w:w="1620" w:type="dxa"/>
            <w:vAlign w:val="bottom"/>
            <w:tcBorders>
              <w:top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5060" w:type="dxa"/>
            <w:vAlign w:val="bottom"/>
            <w:gridSpan w:val="16"/>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668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27</w:t>
            </w:r>
          </w:p>
        </w:tc>
      </w:tr>
      <w:tr>
        <w:trPr>
          <w:trHeight w:val="147"/>
        </w:trPr>
        <w:tc>
          <w:tcPr>
            <w:tcW w:w="1220" w:type="dxa"/>
            <w:vAlign w:val="bottom"/>
            <w:tcBorders>
              <w:top w:val="single" w:sz="8" w:color="0000EE"/>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7"/>
              </w:rPr>
              <w:t>USE OF PROCEEDS</w:t>
            </w:r>
          </w:p>
        </w:tc>
        <w:tc>
          <w:tcPr>
            <w:tcW w:w="2900" w:type="dxa"/>
            <w:vAlign w:val="bottom"/>
            <w:tcBorders>
              <w:top w:val="single" w:sz="8" w:color="0000EE"/>
            </w:tcBorders>
            <w:gridSpan w:val="17"/>
          </w:tcPr>
          <w:p>
            <w:pPr>
              <w:spacing w:after="0"/>
              <w:rPr>
                <w:sz w:val="12"/>
                <w:szCs w:val="12"/>
                <w:color w:val="auto"/>
              </w:rPr>
            </w:pPr>
          </w:p>
        </w:tc>
        <w:tc>
          <w:tcPr>
            <w:tcW w:w="2560" w:type="dxa"/>
            <w:vAlign w:val="bottom"/>
            <w:gridSpan w:val="2"/>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28</w:t>
            </w:r>
          </w:p>
        </w:tc>
      </w:tr>
      <w:tr>
        <w:trPr>
          <w:trHeight w:val="147"/>
        </w:trPr>
        <w:tc>
          <w:tcPr>
            <w:tcW w:w="3720" w:type="dxa"/>
            <w:vAlign w:val="bottom"/>
            <w:tcBorders>
              <w:bottom w:val="single" w:sz="8" w:color="0000EE"/>
            </w:tcBorders>
            <w:gridSpan w:val="21"/>
          </w:tcPr>
          <w:p>
            <w:pPr>
              <w:spacing w:after="0" w:line="147" w:lineRule="exact"/>
              <w:rPr>
                <w:sz w:val="20"/>
                <w:szCs w:val="20"/>
                <w:color w:val="auto"/>
              </w:rPr>
            </w:pPr>
            <w:r>
              <w:rPr>
                <w:rFonts w:ascii="Times New Roman" w:cs="Times New Roman" w:eastAsia="Times New Roman" w:hAnsi="Times New Roman"/>
                <w:sz w:val="14"/>
                <w:szCs w:val="14"/>
                <w:color w:val="0000EE"/>
                <w:w w:val="99"/>
              </w:rPr>
              <w:t>PRICE RANGE OF COMMON STOCK AND DISTRIBUTIONS</w:t>
            </w:r>
          </w:p>
        </w:tc>
        <w:tc>
          <w:tcPr>
            <w:tcW w:w="2960" w:type="dxa"/>
            <w:vAlign w:val="bottom"/>
            <w:gridSpan w:val="4"/>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147"/>
        </w:trPr>
        <w:tc>
          <w:tcPr>
            <w:tcW w:w="668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SENIOR SECURITIES</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32</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668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PORTFOLIO COMPANIES</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34</w:t>
            </w:r>
          </w:p>
        </w:tc>
      </w:tr>
      <w:tr>
        <w:trPr>
          <w:trHeight w:val="147"/>
        </w:trPr>
        <w:tc>
          <w:tcPr>
            <w:tcW w:w="1580" w:type="dxa"/>
            <w:vAlign w:val="bottom"/>
            <w:tcBorders>
              <w:top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rPr>
              <w:t>MANAGEMENT</w:t>
            </w:r>
          </w:p>
        </w:tc>
        <w:tc>
          <w:tcPr>
            <w:tcW w:w="5100" w:type="dxa"/>
            <w:vAlign w:val="bottom"/>
            <w:gridSpan w:val="17"/>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54</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668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DETERMINATION OF NET ASSET VALUE</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55</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668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SALES OF COMMON STOCK BELOW NET ASSET VALUE</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55</w:t>
            </w:r>
          </w:p>
        </w:tc>
      </w:tr>
      <w:tr>
        <w:trPr>
          <w:trHeight w:val="147"/>
        </w:trPr>
        <w:tc>
          <w:tcPr>
            <w:tcW w:w="2180" w:type="dxa"/>
            <w:vAlign w:val="bottom"/>
            <w:tcBorders>
              <w:top w:val="single" w:sz="8" w:color="0000EE"/>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w w:val="98"/>
              </w:rPr>
              <w:t>DIVIDEND REINVESTMENT PLAN</w:t>
            </w:r>
          </w:p>
        </w:tc>
        <w:tc>
          <w:tcPr>
            <w:tcW w:w="1400" w:type="dxa"/>
            <w:vAlign w:val="bottom"/>
            <w:tcBorders>
              <w:top w:val="single" w:sz="8" w:color="0000EE"/>
            </w:tcBorders>
            <w:gridSpan w:val="8"/>
          </w:tcPr>
          <w:p>
            <w:pPr>
              <w:spacing w:after="0"/>
              <w:rPr>
                <w:sz w:val="12"/>
                <w:szCs w:val="12"/>
                <w:color w:val="auto"/>
              </w:rPr>
            </w:pPr>
          </w:p>
        </w:tc>
        <w:tc>
          <w:tcPr>
            <w:tcW w:w="3100" w:type="dxa"/>
            <w:vAlign w:val="bottom"/>
            <w:gridSpan w:val="5"/>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62</w:t>
            </w:r>
          </w:p>
        </w:tc>
      </w:tr>
      <w:tr>
        <w:trPr>
          <w:trHeight w:val="147"/>
        </w:trPr>
        <w:tc>
          <w:tcPr>
            <w:tcW w:w="668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MATERIAL U.S. FEDERAL INCOME TAX CONSIDERATIONS</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63</w:t>
            </w:r>
          </w:p>
        </w:tc>
      </w:tr>
      <w:tr>
        <w:trPr>
          <w:trHeight w:val="147"/>
        </w:trPr>
        <w:tc>
          <w:tcPr>
            <w:tcW w:w="3760" w:type="dxa"/>
            <w:vAlign w:val="bottom"/>
            <w:tcBorders>
              <w:top w:val="single" w:sz="8" w:color="0000EE"/>
            </w:tcBorders>
            <w:gridSpan w:val="22"/>
          </w:tcPr>
          <w:p>
            <w:pPr>
              <w:spacing w:after="0" w:line="147" w:lineRule="exact"/>
              <w:rPr>
                <w:sz w:val="20"/>
                <w:szCs w:val="20"/>
                <w:color w:val="auto"/>
              </w:rPr>
            </w:pPr>
            <w:r>
              <w:rPr>
                <w:rFonts w:ascii="Times New Roman" w:cs="Times New Roman" w:eastAsia="Times New Roman" w:hAnsi="Times New Roman"/>
                <w:sz w:val="14"/>
                <w:szCs w:val="14"/>
                <w:color w:val="0000EE"/>
              </w:rPr>
              <w:t>DESCRIPTION OF OUR SECURITIES</w:t>
            </w:r>
          </w:p>
        </w:tc>
        <w:tc>
          <w:tcPr>
            <w:tcW w:w="2920" w:type="dxa"/>
            <w:vAlign w:val="bottom"/>
            <w:gridSpan w:val="3"/>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71</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668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DESCRIPTION OF OUR CAPITAL STOCK</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71</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2760" w:type="dxa"/>
            <w:vAlign w:val="bottom"/>
            <w:tcBorders>
              <w:bottom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OUR PREFERRED STOCK</w:t>
            </w:r>
          </w:p>
        </w:tc>
        <w:tc>
          <w:tcPr>
            <w:tcW w:w="3920" w:type="dxa"/>
            <w:vAlign w:val="bottom"/>
            <w:gridSpan w:val="9"/>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76</w:t>
            </w:r>
          </w:p>
        </w:tc>
      </w:tr>
      <w:tr>
        <w:trPr>
          <w:trHeight w:val="147"/>
        </w:trPr>
        <w:tc>
          <w:tcPr>
            <w:tcW w:w="668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DESCRIPTION OF OUR SUBSCRIPTION RIGHTS</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77</w:t>
            </w:r>
          </w:p>
        </w:tc>
      </w:tr>
      <w:tr>
        <w:trPr>
          <w:trHeight w:val="147"/>
        </w:trPr>
        <w:tc>
          <w:tcPr>
            <w:tcW w:w="3000" w:type="dxa"/>
            <w:vAlign w:val="bottom"/>
            <w:tcBorders>
              <w:top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DESCRIPTION OF OUR WARRANTS</w:t>
            </w:r>
          </w:p>
        </w:tc>
        <w:tc>
          <w:tcPr>
            <w:tcW w:w="3680" w:type="dxa"/>
            <w:vAlign w:val="bottom"/>
            <w:gridSpan w:val="8"/>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79</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668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DESCRIPTION OF OUR DEBT SECURITIES</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81</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7"/>
        </w:trPr>
        <w:tc>
          <w:tcPr>
            <w:tcW w:w="6680" w:type="dxa"/>
            <w:vAlign w:val="bottom"/>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CUSTODIAN, TRANSFER AND DIVIDEND PAYING AGENT AND REGISTRAR</w:t>
            </w: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93</w:t>
            </w:r>
          </w:p>
        </w:tc>
      </w:tr>
      <w:tr>
        <w:trPr>
          <w:trHeight w:val="147"/>
        </w:trPr>
        <w:tc>
          <w:tcPr>
            <w:tcW w:w="4820" w:type="dxa"/>
            <w:vAlign w:val="bottom"/>
            <w:tcBorders>
              <w:top w:val="single" w:sz="8" w:color="0000EE"/>
            </w:tcBorders>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BROKERAGE ALLOCATION AND OTHER PRACTICES</w:t>
            </w:r>
          </w:p>
        </w:tc>
        <w:tc>
          <w:tcPr>
            <w:tcW w:w="1860" w:type="dxa"/>
            <w:vAlign w:val="bottom"/>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93</w:t>
            </w:r>
          </w:p>
        </w:tc>
      </w:tr>
      <w:tr>
        <w:trPr>
          <w:trHeight w:val="147"/>
        </w:trPr>
        <w:tc>
          <w:tcPr>
            <w:tcW w:w="3380" w:type="dxa"/>
            <w:vAlign w:val="bottom"/>
            <w:tcBorders>
              <w:top w:val="single" w:sz="8" w:color="0000EE"/>
            </w:tcBorders>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PLAN OF DISTRIBUTION</w:t>
            </w:r>
          </w:p>
        </w:tc>
        <w:tc>
          <w:tcPr>
            <w:tcW w:w="3300" w:type="dxa"/>
            <w:vAlign w:val="bottom"/>
            <w:gridSpan w:val="6"/>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94</w:t>
            </w:r>
          </w:p>
        </w:tc>
      </w:tr>
      <w:tr>
        <w:trPr>
          <w:trHeight w:val="147"/>
        </w:trPr>
        <w:tc>
          <w:tcPr>
            <w:tcW w:w="1580" w:type="dxa"/>
            <w:vAlign w:val="bottom"/>
            <w:tcBorders>
              <w:top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5100" w:type="dxa"/>
            <w:vAlign w:val="bottom"/>
            <w:gridSpan w:val="17"/>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95</w:t>
            </w:r>
          </w:p>
        </w:tc>
      </w:tr>
      <w:tr>
        <w:trPr>
          <w:trHeight w:val="147"/>
        </w:trPr>
        <w:tc>
          <w:tcPr>
            <w:tcW w:w="60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4"/>
          </w:tcPr>
          <w:p>
            <w:pPr>
              <w:spacing w:after="0"/>
              <w:rPr>
                <w:sz w:val="12"/>
                <w:szCs w:val="12"/>
                <w:color w:val="auto"/>
              </w:rPr>
            </w:pPr>
          </w:p>
        </w:tc>
        <w:tc>
          <w:tcPr>
            <w:tcW w:w="5560" w:type="dxa"/>
            <w:vAlign w:val="bottom"/>
            <w:gridSpan w:val="20"/>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96</w:t>
            </w:r>
          </w:p>
        </w:tc>
      </w:tr>
      <w:tr>
        <w:trPr>
          <w:trHeight w:val="147"/>
        </w:trPr>
        <w:tc>
          <w:tcPr>
            <w:tcW w:w="176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5"/>
              </w:rPr>
              <w:t>AVAILABLE INFORMATION</w:t>
            </w:r>
          </w:p>
        </w:tc>
        <w:tc>
          <w:tcPr>
            <w:tcW w:w="4920" w:type="dxa"/>
            <w:vAlign w:val="bottom"/>
            <w:gridSpan w:val="14"/>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97</w:t>
            </w:r>
          </w:p>
        </w:tc>
      </w:tr>
      <w:tr>
        <w:trPr>
          <w:trHeight w:val="147"/>
        </w:trPr>
        <w:tc>
          <w:tcPr>
            <w:tcW w:w="3120" w:type="dxa"/>
            <w:vAlign w:val="bottom"/>
            <w:tcBorders>
              <w:bottom w:val="single" w:sz="8" w:color="0000EE"/>
            </w:tcBorders>
            <w:gridSpan w:val="18"/>
          </w:tcPr>
          <w:p>
            <w:pPr>
              <w:spacing w:after="0" w:line="147" w:lineRule="exact"/>
              <w:rPr>
                <w:sz w:val="20"/>
                <w:szCs w:val="20"/>
                <w:color w:val="auto"/>
              </w:rPr>
            </w:pPr>
            <w:r>
              <w:rPr>
                <w:rFonts w:ascii="Times New Roman" w:cs="Times New Roman" w:eastAsia="Times New Roman" w:hAnsi="Times New Roman"/>
                <w:sz w:val="14"/>
                <w:szCs w:val="14"/>
                <w:color w:val="0000EE"/>
                <w:w w:val="98"/>
              </w:rPr>
              <w:t>INFORMATION INCORPORATED BY REFERENCE</w:t>
            </w:r>
          </w:p>
        </w:tc>
        <w:tc>
          <w:tcPr>
            <w:tcW w:w="3560" w:type="dxa"/>
            <w:vAlign w:val="bottom"/>
            <w:gridSpan w:val="7"/>
          </w:tcPr>
          <w:p>
            <w:pPr>
              <w:spacing w:after="0"/>
              <w:rPr>
                <w:sz w:val="12"/>
                <w:szCs w:val="12"/>
                <w:color w:val="auto"/>
              </w:rPr>
            </w:pPr>
          </w:p>
        </w:tc>
        <w:tc>
          <w:tcPr>
            <w:tcW w:w="1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97</w:t>
            </w:r>
          </w:p>
        </w:tc>
      </w:tr>
    </w:tbl>
    <w:p>
      <w:pPr>
        <w:spacing w:after="0" w:line="1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ind w:left="240" w:right="239" w:firstLine="341"/>
        <w:spacing w:after="0" w:line="277" w:lineRule="auto"/>
        <w:rPr>
          <w:sz w:val="20"/>
          <w:szCs w:val="20"/>
          <w:color w:val="auto"/>
        </w:rPr>
      </w:pPr>
      <w:r>
        <w:rPr>
          <w:rFonts w:ascii="Times New Roman" w:cs="Times New Roman" w:eastAsia="Times New Roman" w:hAnsi="Times New Roman"/>
          <w:sz w:val="13"/>
          <w:szCs w:val="13"/>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92" w:lineRule="exact"/>
        <w:rPr>
          <w:sz w:val="20"/>
          <w:szCs w:val="20"/>
          <w:color w:val="auto"/>
        </w:rPr>
      </w:pPr>
    </w:p>
    <w:p>
      <w:pPr>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U.S. Securities and Exchange Commission, or SEC, as a “well-known seasoned issuer” as defined in Rule 405 under the Securities Act of 1933, as amended (the “Securities Act”). Under the shelf registration process, which constitutes a delayed offering in reliance on Rule 415 under the Securities Act, we may offer, from time to time, in one or more offerings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59" w:right="1440" w:bottom="1440" w:gutter="0" w:footer="0" w:header="0"/>
        </w:sectPr>
      </w:pPr>
    </w:p>
    <w:bookmarkStart w:id="51" w:name="page52"/>
    <w:bookmarkEnd w:id="51"/>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40" w:lineRule="exact"/>
        <w:rPr>
          <w:sz w:val="20"/>
          <w:szCs w:val="20"/>
          <w:color w:val="auto"/>
        </w:rPr>
      </w:pPr>
    </w:p>
    <w:p>
      <w:pPr>
        <w:ind w:left="240" w:right="359" w:firstLine="341"/>
        <w:spacing w:after="0" w:line="265" w:lineRule="auto"/>
        <w:rPr>
          <w:sz w:val="20"/>
          <w:szCs w:val="20"/>
          <w:color w:val="auto"/>
        </w:rPr>
      </w:pPr>
      <w:r>
        <w:rPr>
          <w:rFonts w:ascii="Times New Roman" w:cs="Times New Roman" w:eastAsia="Times New Roman" w:hAnsi="Times New Roman"/>
          <w:sz w:val="14"/>
          <w:szCs w:val="14"/>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61"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545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201535" cy="4654550"/>
                    </a:xfrm>
                    <a:prstGeom prst="rect">
                      <a:avLst/>
                    </a:prstGeom>
                    <a:noFill/>
                  </pic:spPr>
                </pic:pic>
              </a:graphicData>
            </a:graphic>
          </wp:anchor>
        </w:drawing>
        <w:t>SUMMARY</w:t>
      </w:r>
    </w:p>
    <w:p>
      <w:pPr>
        <w:spacing w:after="0" w:line="176" w:lineRule="exact"/>
        <w:rPr>
          <w:sz w:val="20"/>
          <w:szCs w:val="20"/>
          <w:color w:val="auto"/>
        </w:rPr>
      </w:pPr>
    </w:p>
    <w:p>
      <w:pPr>
        <w:ind w:left="380" w:right="419" w:firstLine="330"/>
        <w:spacing w:after="0" w:line="257" w:lineRule="auto"/>
        <w:rPr>
          <w:sz w:val="20"/>
          <w:szCs w:val="20"/>
          <w:color w:val="auto"/>
        </w:rPr>
      </w:pPr>
      <w:r>
        <w:rPr>
          <w:rFonts w:ascii="Times New Roman" w:cs="Times New Roman" w:eastAsia="Times New Roman" w:hAnsi="Times New Roman"/>
          <w:sz w:val="14"/>
          <w:szCs w:val="14"/>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As used in the prospectus, except where the context suggests otherwise, references to:</w:t>
      </w:r>
    </w:p>
    <w:p>
      <w:pPr>
        <w:spacing w:after="0" w:line="101" w:lineRule="exact"/>
        <w:rPr>
          <w:sz w:val="20"/>
          <w:szCs w:val="20"/>
          <w:color w:val="auto"/>
        </w:rPr>
      </w:pPr>
    </w:p>
    <w:p>
      <w:pPr>
        <w:ind w:left="1100" w:right="679" w:hanging="400"/>
        <w:spacing w:after="0" w:line="281" w:lineRule="auto"/>
        <w:tabs>
          <w:tab w:leader="none" w:pos="1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“TSLX,” “Sixth Street Specialty Lending,” “we,” “us,” “our,” the “Company,” and the “Registrant” refer to Sixth Street Specialty Lending, Inc., a Delaware corporation, and its consolidated subsidiaries;</w:t>
      </w:r>
    </w:p>
    <w:p>
      <w:pPr>
        <w:spacing w:after="0" w:line="52" w:lineRule="exact"/>
        <w:rPr>
          <w:rFonts w:ascii="Times New Roman" w:cs="Times New Roman" w:eastAsia="Times New Roman" w:hAnsi="Times New Roman"/>
          <w:sz w:val="14"/>
          <w:szCs w:val="14"/>
          <w:color w:val="auto"/>
        </w:rPr>
      </w:pPr>
    </w:p>
    <w:p>
      <w:pPr>
        <w:jc w:val="both"/>
        <w:ind w:left="1100" w:right="479" w:hanging="400"/>
        <w:spacing w:after="0" w:line="265" w:lineRule="auto"/>
        <w:tabs>
          <w:tab w:leader="none" w:pos="1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subsidiaries of Sixth Street Specialty Lending, Inc. refers to TC Lending, LLC, Sixth Street SL SPV, LLC and Sixth Street SL Holding, LLC, each a Delaware limited liability company, and Sixth Street Specialty Lending Sub, LLC, a Cayman Islands limited liability company;</w:t>
      </w:r>
    </w:p>
    <w:p>
      <w:pPr>
        <w:spacing w:after="0" w:line="63"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“Adviser” refers to Sixth Street Specialty Lending Advisers, LLC, a Delaware limited liability company; and</w:t>
      </w:r>
    </w:p>
    <w:p>
      <w:pPr>
        <w:spacing w:after="0" w:line="100"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“Sixth Street” refers to Sixth Street Partners, LLC.</w:t>
      </w:r>
    </w:p>
    <w:p>
      <w:pPr>
        <w:spacing w:after="0" w:line="174" w:lineRule="exact"/>
        <w:rPr>
          <w:sz w:val="20"/>
          <w:szCs w:val="20"/>
          <w:color w:val="auto"/>
        </w:rPr>
      </w:pPr>
    </w:p>
    <w:p>
      <w:pPr>
        <w:ind w:left="380" w:right="439" w:firstLine="330"/>
        <w:spacing w:after="0" w:line="265" w:lineRule="auto"/>
        <w:rPr>
          <w:sz w:val="20"/>
          <w:szCs w:val="20"/>
          <w:color w:val="auto"/>
        </w:rPr>
      </w:pPr>
      <w:r>
        <w:rPr>
          <w:rFonts w:ascii="Times New Roman" w:cs="Times New Roman" w:eastAsia="Times New Roman" w:hAnsi="Times New Roman"/>
          <w:sz w:val="14"/>
          <w:szCs w:val="14"/>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Sixth Street Specialty Lending</w:t>
      </w:r>
    </w:p>
    <w:p>
      <w:pPr>
        <w:spacing w:after="0" w:line="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We are a specialty finance company focused on lending to middle-market companies. Since we began our investment activities in July 2011,</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through September 30, 2023, we have originated more than $28.6 billion aggregate principal amount of investments and retained approximately</w:t>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$9.8 billion aggregate principal amount of these investments on our balance sheet prior to any subsequent exits and repayments. We seek to</w:t>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generate current income primarily in U.S.-domiciled middle-market companies through direct originations of senior secured loans and, to a lesser</w:t>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extent, originations of mezzanine and unsecured loans and investments in corporate bonds and equity securities. By “middle-market companies,”</w:t>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mean companies that have annual earnings before interest, income taxes, depreciation and amortization, or EBITDA, which we believe is a</w:t>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useful proxy for cash flow, of $10 million to $250 million, although we may invest in larger or smaller companies on occasion. As of</w:t>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September 30, 2023 our core portfolio companies, which excludes certain investments that fall outside of our typical borrower profile and represent</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92.8% of our total investments based on fair value, had weighted average annual revenue of $209.0 million and weighted average annual EBITDA</w:t>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of $69.2 million.</w:t>
      </w:r>
    </w:p>
    <w:p>
      <w:pPr>
        <w:spacing w:after="0" w:line="159" w:lineRule="exact"/>
        <w:rPr>
          <w:sz w:val="20"/>
          <w:szCs w:val="20"/>
          <w:color w:val="auto"/>
        </w:rPr>
      </w:pPr>
    </w:p>
    <w:p>
      <w:pPr>
        <w:ind w:left="380" w:right="699" w:firstLine="330"/>
        <w:spacing w:after="0" w:line="281" w:lineRule="auto"/>
        <w:rPr>
          <w:sz w:val="20"/>
          <w:szCs w:val="20"/>
          <w:color w:val="auto"/>
        </w:rPr>
      </w:pPr>
      <w:r>
        <w:rPr>
          <w:rFonts w:ascii="Times New Roman" w:cs="Times New Roman" w:eastAsia="Times New Roman" w:hAnsi="Times New Roman"/>
          <w:sz w:val="14"/>
          <w:szCs w:val="14"/>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25" w:lineRule="exact"/>
        <w:rPr>
          <w:sz w:val="20"/>
          <w:szCs w:val="20"/>
          <w:color w:val="auto"/>
        </w:rPr>
      </w:pPr>
    </w:p>
    <w:p>
      <w:pPr>
        <w:ind w:left="380" w:right="479" w:firstLine="330"/>
        <w:spacing w:after="0" w:line="321" w:lineRule="auto"/>
        <w:rPr>
          <w:sz w:val="20"/>
          <w:szCs w:val="20"/>
          <w:color w:val="auto"/>
        </w:rPr>
      </w:pPr>
      <w:r>
        <w:rPr>
          <w:rFonts w:ascii="Times New Roman" w:cs="Times New Roman" w:eastAsia="Times New Roman" w:hAnsi="Times New Roman"/>
          <w:sz w:val="13"/>
          <w:szCs w:val="13"/>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405" w:right="1440" w:bottom="1440" w:gutter="0" w:footer="0" w:header="0"/>
        </w:sectPr>
      </w:pPr>
    </w:p>
    <w:bookmarkStart w:id="53" w:name="page54"/>
    <w:bookmarkEnd w:id="53"/>
    <w:p>
      <w:pPr>
        <w:ind w:left="3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468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201535" cy="4468495"/>
                    </a:xfrm>
                    <a:prstGeom prst="rect">
                      <a:avLst/>
                    </a:prstGeom>
                    <a:noFill/>
                  </pic:spPr>
                </pic:pic>
              </a:graphicData>
            </a:graphic>
          </wp:anchor>
        </w:drawing>
        <w:t>Investment Portfolio</w:t>
      </w:r>
    </w:p>
    <w:p>
      <w:pPr>
        <w:spacing w:after="0" w:line="92" w:lineRule="exact"/>
        <w:rPr>
          <w:sz w:val="20"/>
          <w:szCs w:val="20"/>
          <w:color w:val="auto"/>
        </w:rPr>
      </w:pPr>
    </w:p>
    <w:p>
      <w:pPr>
        <w:ind w:left="380" w:right="439" w:firstLine="330"/>
        <w:spacing w:after="0" w:line="255" w:lineRule="auto"/>
        <w:rPr>
          <w:sz w:val="20"/>
          <w:szCs w:val="20"/>
          <w:color w:val="auto"/>
        </w:rPr>
      </w:pPr>
      <w:r>
        <w:rPr>
          <w:rFonts w:ascii="Times New Roman" w:cs="Times New Roman" w:eastAsia="Times New Roman" w:hAnsi="Times New Roman"/>
          <w:sz w:val="14"/>
          <w:szCs w:val="14"/>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46" w:lineRule="exact"/>
        <w:rPr>
          <w:sz w:val="20"/>
          <w:szCs w:val="20"/>
          <w:color w:val="auto"/>
        </w:rPr>
      </w:pPr>
    </w:p>
    <w:p>
      <w:pPr>
        <w:ind w:left="380" w:right="579" w:firstLine="330"/>
        <w:spacing w:after="0" w:line="260" w:lineRule="auto"/>
        <w:rPr>
          <w:sz w:val="20"/>
          <w:szCs w:val="20"/>
          <w:color w:val="auto"/>
        </w:rPr>
      </w:pPr>
      <w:r>
        <w:rPr>
          <w:rFonts w:ascii="Times New Roman" w:cs="Times New Roman" w:eastAsia="Times New Roman" w:hAnsi="Times New Roman"/>
          <w:sz w:val="14"/>
          <w:szCs w:val="14"/>
          <w:color w:val="auto"/>
        </w:rPr>
        <w:t>As of September 30, 2023, based on fair value our portfolio consisted of 91.0% first-lien debt investments, 1.3% second-lien debt investments, 1.2% mezzanine debt investments, 4.8% equity and other investments and 1.7% structured credit investments. As of September 30, 2023, 99.7% of our debt investments based on fair value bore interest at floating rates, with 100.0% of these subject to interest rate floors, which we believe helps act as a portfolio-wide hedge against inflation.</w:t>
      </w:r>
    </w:p>
    <w:p>
      <w:pPr>
        <w:spacing w:after="0" w:line="140" w:lineRule="exact"/>
        <w:rPr>
          <w:sz w:val="20"/>
          <w:szCs w:val="20"/>
          <w:color w:val="auto"/>
        </w:rPr>
      </w:pPr>
    </w:p>
    <w:p>
      <w:pPr>
        <w:jc w:val="both"/>
        <w:ind w:left="380" w:right="479" w:firstLine="330"/>
        <w:spacing w:after="0" w:line="260" w:lineRule="auto"/>
        <w:rPr>
          <w:sz w:val="20"/>
          <w:szCs w:val="20"/>
          <w:color w:val="auto"/>
        </w:rPr>
      </w:pPr>
      <w:r>
        <w:rPr>
          <w:rFonts w:ascii="Times New Roman" w:cs="Times New Roman" w:eastAsia="Times New Roman" w:hAnsi="Times New Roman"/>
          <w:sz w:val="14"/>
          <w:szCs w:val="14"/>
          <w:color w:val="auto"/>
        </w:rPr>
        <w:t>As of September 30, 2023, we had investments in 131 portfolio companies (including 42 structured credit investments, which include each series of collateralized loan obligation as a separate portfolio company investment) with an aggregate fair value of $3,113.3 million. For the three months ended September 30, 2023, the principal amount of new investments funded was $151.6 million in eight new portfolio companies and two existing portfolio companies. For this period, we had $158.9 million aggregate principal amount in exits and repayments.</w:t>
      </w:r>
    </w:p>
    <w:p>
      <w:pPr>
        <w:spacing w:after="0" w:line="140" w:lineRule="exact"/>
        <w:rPr>
          <w:sz w:val="20"/>
          <w:szCs w:val="20"/>
          <w:color w:val="auto"/>
        </w:rPr>
      </w:pPr>
    </w:p>
    <w:p>
      <w:pPr>
        <w:ind w:left="380" w:right="599" w:firstLine="330"/>
        <w:spacing w:after="0" w:line="265" w:lineRule="auto"/>
        <w:rPr>
          <w:sz w:val="20"/>
          <w:szCs w:val="20"/>
          <w:color w:val="auto"/>
        </w:rPr>
      </w:pPr>
      <w:r>
        <w:rPr>
          <w:rFonts w:ascii="Times New Roman" w:cs="Times New Roman" w:eastAsia="Times New Roman" w:hAnsi="Times New Roman"/>
          <w:sz w:val="14"/>
          <w:szCs w:val="14"/>
          <w:color w:val="auto"/>
        </w:rPr>
        <w:t>As of December 31, 2022, we had investments in 121 portfolio companies with an aggregate fair value of $2,787.9 million. For the three months ended September 30, 2022, the principal amount of new investments funded was $274.4 million in twenty-five new portfolio companies and six existing portfolio companies. For this period, we had $15.8 million aggregate principal amount in exits and repayments.</w:t>
      </w:r>
    </w:p>
    <w:p>
      <w:pPr>
        <w:spacing w:after="0" w:line="136" w:lineRule="exact"/>
        <w:rPr>
          <w:sz w:val="20"/>
          <w:szCs w:val="20"/>
          <w:color w:val="auto"/>
        </w:rPr>
      </w:pPr>
    </w:p>
    <w:p>
      <w:pPr>
        <w:ind w:left="380" w:right="419" w:firstLine="330"/>
        <w:spacing w:after="0" w:line="281" w:lineRule="auto"/>
        <w:rPr>
          <w:sz w:val="20"/>
          <w:szCs w:val="20"/>
          <w:color w:val="auto"/>
        </w:rPr>
      </w:pPr>
      <w:r>
        <w:rPr>
          <w:rFonts w:ascii="Times New Roman" w:cs="Times New Roman" w:eastAsia="Times New Roman" w:hAnsi="Times New Roman"/>
          <w:sz w:val="13"/>
          <w:szCs w:val="13"/>
          <w:color w:val="auto"/>
        </w:rPr>
        <w:t>As of September 30, 2023, the largest single investment based on fair value represented 2.5% of our total investment portfolio. As of September 30, 2023,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products the average investment in our remaining portfolio companies was approximately $34.4 million as of September 30, 2023. As of September 30, 2023, the largest industry represented 15.7% of our total portfolio based on fair value.</w:t>
      </w:r>
    </w:p>
    <w:p>
      <w:pPr>
        <w:spacing w:after="0" w:line="129" w:lineRule="exact"/>
        <w:rPr>
          <w:sz w:val="20"/>
          <w:szCs w:val="20"/>
          <w:color w:val="auto"/>
        </w:rPr>
      </w:pPr>
    </w:p>
    <w:p>
      <w:pPr>
        <w:ind w:left="380" w:right="439" w:firstLine="330"/>
        <w:spacing w:after="0" w:line="279" w:lineRule="auto"/>
        <w:rPr>
          <w:sz w:val="20"/>
          <w:szCs w:val="20"/>
          <w:color w:val="auto"/>
        </w:rPr>
      </w:pPr>
      <w:r>
        <w:rPr>
          <w:rFonts w:ascii="Times New Roman" w:cs="Times New Roman" w:eastAsia="Times New Roman" w:hAnsi="Times New Roman"/>
          <w:sz w:val="13"/>
          <w:szCs w:val="13"/>
          <w:color w:val="auto"/>
        </w:rPr>
        <w:t>Since we began investing in 2011 through September 30, 2023, weighted by capital invested, our exited investments have generated an average realized gross internal rate of return to us of 17.5% (based on total capital invested of $6.9 billion and total proceeds from these exited investments of $8.7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September 30, 2023 (“3Q 2023 Quarterly Report”), which is incorporated by reference in this prospectus.</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Corporate Structure</w:t>
      </w:r>
    </w:p>
    <w:p>
      <w:pPr>
        <w:spacing w:after="0" w:line="92" w:lineRule="exact"/>
        <w:rPr>
          <w:sz w:val="20"/>
          <w:szCs w:val="20"/>
          <w:color w:val="auto"/>
        </w:rPr>
      </w:pPr>
    </w:p>
    <w:p>
      <w:pPr>
        <w:ind w:left="380" w:right="459" w:firstLine="330"/>
        <w:spacing w:after="0" w:line="281" w:lineRule="auto"/>
        <w:rPr>
          <w:sz w:val="20"/>
          <w:szCs w:val="20"/>
          <w:color w:val="auto"/>
        </w:rPr>
      </w:pPr>
      <w:r>
        <w:rPr>
          <w:rFonts w:ascii="Times New Roman" w:cs="Times New Roman" w:eastAsia="Times New Roman" w:hAnsi="Times New Roman"/>
          <w:sz w:val="14"/>
          <w:szCs w:val="14"/>
          <w:color w:val="auto"/>
        </w:rPr>
        <w:t>Sixth Street Specialty Lending, Inc. is a Delaware corporation formed on July 21, 2010. Sixth Street Specialty Lending Advisers, LLC is our external manager.</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405" w:right="1440" w:bottom="1440" w:gutter="0" w:footer="0" w:header="0"/>
        </w:sectPr>
      </w:pPr>
    </w:p>
    <w:bookmarkStart w:id="54" w:name="page55"/>
    <w:bookmarkEnd w:id="54"/>
    <w:p>
      <w:pPr>
        <w:ind w:left="380" w:right="419" w:firstLine="330"/>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27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201535" cy="4627880"/>
                    </a:xfrm>
                    <a:prstGeom prst="rect">
                      <a:avLst/>
                    </a:prstGeom>
                    <a:noFill/>
                  </pic:spPr>
                </pic:pic>
              </a:graphicData>
            </a:graphic>
          </wp:anchor>
        </w:drawing>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2022 (the “2022 Annual Report”) for more information on these requirements.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About Our Adviser</w:t>
      </w:r>
    </w:p>
    <w:p>
      <w:pPr>
        <w:spacing w:after="0" w:line="92" w:lineRule="exact"/>
        <w:rPr>
          <w:sz w:val="20"/>
          <w:szCs w:val="20"/>
          <w:color w:val="auto"/>
        </w:rPr>
      </w:pPr>
    </w:p>
    <w:p>
      <w:pPr>
        <w:ind w:left="380" w:right="679" w:firstLine="330"/>
        <w:spacing w:after="0" w:line="265" w:lineRule="auto"/>
        <w:rPr>
          <w:sz w:val="20"/>
          <w:szCs w:val="20"/>
          <w:color w:val="auto"/>
        </w:rPr>
      </w:pPr>
      <w:r>
        <w:rPr>
          <w:rFonts w:ascii="Times New Roman" w:cs="Times New Roman" w:eastAsia="Times New Roman" w:hAnsi="Times New Roman"/>
          <w:sz w:val="14"/>
          <w:szCs w:val="14"/>
          <w:color w:val="auto"/>
        </w:rPr>
        <w:t>Our Adviser is a Delaware limited liability company. Our Adviser acts as our investment adviser and administrator and is a registered investment adviser with the Securities and Exchange Commission (the “SEC”) under the Investment Advisers Act of 1940, as amended, or the Advisers Act.</w:t>
      </w:r>
    </w:p>
    <w:p>
      <w:pPr>
        <w:spacing w:after="0" w:line="136" w:lineRule="exact"/>
        <w:rPr>
          <w:sz w:val="20"/>
          <w:szCs w:val="20"/>
          <w:color w:val="auto"/>
        </w:rPr>
      </w:pPr>
    </w:p>
    <w:p>
      <w:pPr>
        <w:ind w:left="380" w:right="419" w:firstLine="330"/>
        <w:spacing w:after="0" w:line="257" w:lineRule="auto"/>
        <w:rPr>
          <w:sz w:val="20"/>
          <w:szCs w:val="20"/>
          <w:color w:val="auto"/>
        </w:rPr>
      </w:pPr>
      <w:r>
        <w:rPr>
          <w:rFonts w:ascii="Times New Roman" w:cs="Times New Roman" w:eastAsia="Times New Roman" w:hAnsi="Times New Roman"/>
          <w:sz w:val="14"/>
          <w:szCs w:val="14"/>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43" w:lineRule="exact"/>
        <w:rPr>
          <w:sz w:val="20"/>
          <w:szCs w:val="20"/>
          <w:color w:val="auto"/>
        </w:rPr>
      </w:pPr>
    </w:p>
    <w:p>
      <w:pPr>
        <w:ind w:left="380" w:right="419" w:firstLine="330"/>
        <w:spacing w:after="0" w:line="252" w:lineRule="auto"/>
        <w:rPr>
          <w:sz w:val="20"/>
          <w:szCs w:val="20"/>
          <w:color w:val="auto"/>
        </w:rPr>
      </w:pPr>
      <w:r>
        <w:rPr>
          <w:rFonts w:ascii="Times New Roman" w:cs="Times New Roman" w:eastAsia="Times New Roman" w:hAnsi="Times New Roman"/>
          <w:sz w:val="14"/>
          <w:szCs w:val="14"/>
          <w:color w:val="auto"/>
        </w:rPr>
        <w:t>Sixth Street is a global investment business with over $75 billion of assets under management as of September 30, 2023.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September 30, 2023, sixty-seven (67) of these personnel are dedicated to our business, including fifty-three (53) investment professionals.</w:t>
      </w:r>
    </w:p>
    <w:p>
      <w:pPr>
        <w:spacing w:after="0" w:line="150" w:lineRule="exact"/>
        <w:rPr>
          <w:sz w:val="20"/>
          <w:szCs w:val="20"/>
          <w:color w:val="auto"/>
        </w:rPr>
      </w:pPr>
    </w:p>
    <w:p>
      <w:pPr>
        <w:ind w:left="380" w:right="459" w:firstLine="330"/>
        <w:spacing w:after="0" w:line="279" w:lineRule="auto"/>
        <w:rPr>
          <w:sz w:val="20"/>
          <w:szCs w:val="20"/>
          <w:color w:val="auto"/>
        </w:rPr>
      </w:pPr>
      <w:r>
        <w:rPr>
          <w:rFonts w:ascii="Times New Roman" w:cs="Times New Roman" w:eastAsia="Times New Roman" w:hAnsi="Times New Roman"/>
          <w:sz w:val="13"/>
          <w:szCs w:val="13"/>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29" w:lineRule="exact"/>
        <w:rPr>
          <w:sz w:val="20"/>
          <w:szCs w:val="20"/>
          <w:color w:val="auto"/>
        </w:rPr>
      </w:pPr>
    </w:p>
    <w:p>
      <w:pPr>
        <w:ind w:left="380" w:right="539" w:firstLine="330"/>
        <w:spacing w:after="0" w:line="257" w:lineRule="auto"/>
        <w:rPr>
          <w:sz w:val="20"/>
          <w:szCs w:val="20"/>
          <w:color w:val="auto"/>
        </w:rPr>
      </w:pPr>
      <w:r>
        <w:rPr>
          <w:rFonts w:ascii="Times New Roman" w:cs="Times New Roman" w:eastAsia="Times New Roman" w:hAnsi="Times New Roman"/>
          <w:sz w:val="14"/>
          <w:szCs w:val="14"/>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407" w:right="1440" w:bottom="1440" w:gutter="0" w:footer="0" w:header="0"/>
        </w:sectPr>
      </w:pPr>
    </w:p>
    <w:bookmarkStart w:id="55" w:name="page56"/>
    <w:bookmarkEnd w:id="55"/>
    <w:p>
      <w:pPr>
        <w:ind w:left="3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468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201535" cy="4468495"/>
                    </a:xfrm>
                    <a:prstGeom prst="rect">
                      <a:avLst/>
                    </a:prstGeom>
                    <a:noFill/>
                  </pic:spPr>
                </pic:pic>
              </a:graphicData>
            </a:graphic>
          </wp:anchor>
        </w:drawing>
        <w:t>About Our Administrator</w:t>
      </w:r>
    </w:p>
    <w:p>
      <w:pPr>
        <w:spacing w:after="0" w:line="92" w:lineRule="exact"/>
        <w:rPr>
          <w:sz w:val="20"/>
          <w:szCs w:val="20"/>
          <w:color w:val="auto"/>
        </w:rPr>
      </w:pPr>
    </w:p>
    <w:p>
      <w:pPr>
        <w:ind w:left="380" w:right="459" w:firstLine="330"/>
        <w:spacing w:after="0" w:line="254" w:lineRule="auto"/>
        <w:rPr>
          <w:sz w:val="20"/>
          <w:szCs w:val="20"/>
          <w:color w:val="auto"/>
        </w:rPr>
      </w:pPr>
      <w:r>
        <w:rPr>
          <w:rFonts w:ascii="Times New Roman" w:cs="Times New Roman" w:eastAsia="Times New Roman" w:hAnsi="Times New Roman"/>
          <w:sz w:val="14"/>
          <w:szCs w:val="14"/>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47" w:lineRule="exact"/>
        <w:rPr>
          <w:sz w:val="20"/>
          <w:szCs w:val="20"/>
          <w:color w:val="auto"/>
        </w:rPr>
      </w:pPr>
    </w:p>
    <w:p>
      <w:pPr>
        <w:ind w:left="380" w:right="399" w:firstLine="330"/>
        <w:spacing w:after="0" w:line="265" w:lineRule="auto"/>
        <w:rPr>
          <w:sz w:val="20"/>
          <w:szCs w:val="20"/>
          <w:color w:val="auto"/>
        </w:rPr>
      </w:pPr>
      <w:r>
        <w:rPr>
          <w:rFonts w:ascii="Times New Roman" w:cs="Times New Roman" w:eastAsia="Times New Roman" w:hAnsi="Times New Roman"/>
          <w:sz w:val="14"/>
          <w:szCs w:val="14"/>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36" w:lineRule="exact"/>
        <w:rPr>
          <w:sz w:val="20"/>
          <w:szCs w:val="20"/>
          <w:color w:val="auto"/>
        </w:rPr>
      </w:pPr>
    </w:p>
    <w:p>
      <w:pPr>
        <w:ind w:left="380" w:right="459" w:firstLine="330"/>
        <w:spacing w:after="0" w:line="265" w:lineRule="auto"/>
        <w:rPr>
          <w:sz w:val="20"/>
          <w:szCs w:val="20"/>
          <w:color w:val="auto"/>
        </w:rPr>
      </w:pPr>
      <w:r>
        <w:rPr>
          <w:rFonts w:ascii="Times New Roman" w:cs="Times New Roman" w:eastAsia="Times New Roman" w:hAnsi="Times New Roman"/>
          <w:sz w:val="14"/>
          <w:szCs w:val="14"/>
          <w:color w:val="auto"/>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w:t>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See the section entitled “Administration Agreement” in Note 3 to our consolidated financial statements in our 3Q 2023 Quarterly Report.</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92" w:lineRule="exact"/>
        <w:rPr>
          <w:sz w:val="20"/>
          <w:szCs w:val="20"/>
          <w:color w:val="auto"/>
        </w:rPr>
      </w:pPr>
    </w:p>
    <w:p>
      <w:pPr>
        <w:ind w:left="380" w:right="459" w:firstLine="330"/>
        <w:spacing w:after="0" w:line="281" w:lineRule="auto"/>
        <w:rPr>
          <w:sz w:val="20"/>
          <w:szCs w:val="20"/>
          <w:color w:val="auto"/>
        </w:rPr>
      </w:pPr>
      <w:r>
        <w:rPr>
          <w:rFonts w:ascii="Times New Roman" w:cs="Times New Roman" w:eastAsia="Times New Roman" w:hAnsi="Times New Roman"/>
          <w:sz w:val="14"/>
          <w:szCs w:val="14"/>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23" w:lineRule="exact"/>
        <w:rPr>
          <w:sz w:val="20"/>
          <w:szCs w:val="20"/>
          <w:color w:val="auto"/>
        </w:rPr>
      </w:pPr>
    </w:p>
    <w:p>
      <w:pPr>
        <w:ind w:left="380" w:right="559" w:firstLine="330"/>
        <w:spacing w:after="0" w:line="253" w:lineRule="auto"/>
        <w:rPr>
          <w:sz w:val="20"/>
          <w:szCs w:val="20"/>
          <w:color w:val="auto"/>
        </w:rPr>
      </w:pPr>
      <w:r>
        <w:rPr>
          <w:rFonts w:ascii="Times New Roman" w:cs="Times New Roman" w:eastAsia="Times New Roman" w:hAnsi="Times New Roman"/>
          <w:sz w:val="14"/>
          <w:szCs w:val="14"/>
          <w:i w:val="1"/>
          <w:iCs w:val="1"/>
          <w:color w:val="auto"/>
        </w:rPr>
        <w:t>Limited availability of capital for middle-market companies</w:t>
      </w:r>
      <w:r>
        <w:rPr>
          <w:rFonts w:ascii="Times New Roman" w:cs="Times New Roman" w:eastAsia="Times New Roman" w:hAnsi="Times New Roman"/>
          <w:sz w:val="14"/>
          <w:szCs w:val="14"/>
          <w:color w:val="auto"/>
        </w:rPr>
        <w:t>. We believe that certain structural changes in the market have reduced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47" w:lineRule="exact"/>
        <w:rPr>
          <w:sz w:val="20"/>
          <w:szCs w:val="20"/>
          <w:color w:val="auto"/>
        </w:rPr>
      </w:pPr>
    </w:p>
    <w:p>
      <w:pPr>
        <w:ind w:left="380" w:right="479" w:firstLine="330"/>
        <w:spacing w:after="0" w:line="258" w:lineRule="auto"/>
        <w:rPr>
          <w:sz w:val="20"/>
          <w:szCs w:val="20"/>
          <w:color w:val="auto"/>
        </w:rPr>
      </w:pPr>
      <w:r>
        <w:rPr>
          <w:rFonts w:ascii="Times New Roman" w:cs="Times New Roman" w:eastAsia="Times New Roman" w:hAnsi="Times New Roman"/>
          <w:sz w:val="14"/>
          <w:szCs w:val="14"/>
          <w:i w:val="1"/>
          <w:iCs w:val="1"/>
          <w:color w:val="auto"/>
        </w:rPr>
        <w:t>Strong demand for debt capital</w:t>
      </w:r>
      <w:r>
        <w:rPr>
          <w:rFonts w:ascii="Times New Roman" w:cs="Times New Roman" w:eastAsia="Times New Roman" w:hAnsi="Times New Roman"/>
          <w:sz w:val="14"/>
          <w:szCs w:val="14"/>
          <w:color w:val="auto"/>
        </w:rPr>
        <w:t>. We believe middle-market companies will continue to require access to debt capital to refinance existing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debt, support growth and finance acquisitions. In addition, we believe the large amount of uninvested capital held by funds of private equity firms, estimated by Preqin Ltd., an alternative assets industry data and research company, at over $2.7 trillion as of December 12, 2023, will continue to drive deal activity. We expect that private equity firms will continue to pursue acquisitions and to seek to leverage their equity investments with secured loans provided by companies such as ours.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405" w:right="1440" w:bottom="1440" w:gutter="0" w:footer="0" w:header="0"/>
        </w:sectPr>
      </w:pPr>
    </w:p>
    <w:bookmarkStart w:id="56" w:name="page57"/>
    <w:bookmarkEnd w:id="56"/>
    <w:p>
      <w:pPr>
        <w:ind w:left="380" w:right="459" w:firstLine="330"/>
        <w:spacing w:after="0" w:line="256" w:lineRule="auto"/>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840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201535" cy="4840605"/>
                    </a:xfrm>
                    <a:prstGeom prst="rect">
                      <a:avLst/>
                    </a:prstGeom>
                    <a:noFill/>
                  </pic:spPr>
                </pic:pic>
              </a:graphicData>
            </a:graphic>
          </wp:anchor>
        </w:drawing>
        <w:t>Attractive investment dynamics</w:t>
      </w:r>
      <w:r>
        <w:rPr>
          <w:rFonts w:ascii="Times New Roman" w:cs="Times New Roman" w:eastAsia="Times New Roman" w:hAnsi="Times New Roman"/>
          <w:sz w:val="14"/>
          <w:szCs w:val="14"/>
          <w:color w:val="auto"/>
        </w:rPr>
        <w:t>. An imbalance between the supply of, and demand for, middle-market debt capital creates attractive pricing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42" w:lineRule="exact"/>
        <w:rPr>
          <w:sz w:val="20"/>
          <w:szCs w:val="20"/>
          <w:color w:val="auto"/>
        </w:rPr>
      </w:pPr>
    </w:p>
    <w:p>
      <w:pPr>
        <w:ind w:left="380" w:right="539" w:firstLine="330"/>
        <w:spacing w:after="0" w:line="258" w:lineRule="auto"/>
        <w:rPr>
          <w:sz w:val="20"/>
          <w:szCs w:val="20"/>
          <w:color w:val="auto"/>
        </w:rPr>
      </w:pPr>
      <w:r>
        <w:rPr>
          <w:rFonts w:ascii="Times New Roman" w:cs="Times New Roman" w:eastAsia="Times New Roman" w:hAnsi="Times New Roman"/>
          <w:sz w:val="14"/>
          <w:szCs w:val="14"/>
          <w:i w:val="1"/>
          <w:iCs w:val="1"/>
          <w:color w:val="auto"/>
        </w:rPr>
        <w:t>Conservative capital structures</w:t>
      </w:r>
      <w:r>
        <w:rPr>
          <w:rFonts w:ascii="Times New Roman" w:cs="Times New Roman" w:eastAsia="Times New Roman" w:hAnsi="Times New Roman"/>
          <w:sz w:val="14"/>
          <w:szCs w:val="14"/>
          <w:color w:val="auto"/>
        </w:rPr>
        <w:t>. Following the credit crisis, which we define broadly as occurring between mid-2007 and mid-2009,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39" w:lineRule="exact"/>
        <w:rPr>
          <w:sz w:val="20"/>
          <w:szCs w:val="20"/>
          <w:color w:val="auto"/>
        </w:rPr>
      </w:pPr>
    </w:p>
    <w:p>
      <w:pPr>
        <w:ind w:left="380" w:right="399" w:firstLine="330"/>
        <w:spacing w:after="0" w:line="261" w:lineRule="auto"/>
        <w:rPr>
          <w:sz w:val="20"/>
          <w:szCs w:val="20"/>
          <w:color w:val="auto"/>
        </w:rPr>
      </w:pPr>
      <w:r>
        <w:rPr>
          <w:rFonts w:ascii="Times New Roman" w:cs="Times New Roman" w:eastAsia="Times New Roman" w:hAnsi="Times New Roman"/>
          <w:sz w:val="14"/>
          <w:szCs w:val="14"/>
          <w:i w:val="1"/>
          <w:iCs w:val="1"/>
          <w:color w:val="auto"/>
        </w:rPr>
        <w:t>Specialized lending requirements</w:t>
      </w:r>
      <w:r>
        <w:rPr>
          <w:rFonts w:ascii="Times New Roman" w:cs="Times New Roman" w:eastAsia="Times New Roman" w:hAnsi="Times New Roman"/>
          <w:sz w:val="14"/>
          <w:szCs w:val="14"/>
          <w:color w:val="auto"/>
        </w:rPr>
        <w:t>. Lending to middle-market companies requires specialized due diligence and underwriting capabilities,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Sixth Street position us more strongly than many capital providers to lend to middle-market companies.</w:t>
      </w:r>
    </w:p>
    <w:p>
      <w:pPr>
        <w:spacing w:after="0" w:line="137" w:lineRule="exact"/>
        <w:rPr>
          <w:sz w:val="20"/>
          <w:szCs w:val="20"/>
          <w:color w:val="auto"/>
        </w:rPr>
      </w:pPr>
    </w:p>
    <w:p>
      <w:pPr>
        <w:ind w:left="380" w:right="459" w:firstLine="330"/>
        <w:spacing w:after="0" w:line="261" w:lineRule="auto"/>
        <w:rPr>
          <w:sz w:val="20"/>
          <w:szCs w:val="20"/>
          <w:color w:val="auto"/>
        </w:rPr>
      </w:pPr>
      <w:r>
        <w:rPr>
          <w:rFonts w:ascii="Times New Roman" w:cs="Times New Roman" w:eastAsia="Times New Roman" w:hAnsi="Times New Roman"/>
          <w:sz w:val="14"/>
          <w:szCs w:val="14"/>
          <w:i w:val="1"/>
          <w:iCs w:val="1"/>
          <w:color w:val="auto"/>
        </w:rPr>
        <w:t>Desirability of partnering with BDCs</w:t>
      </w:r>
      <w:r>
        <w:rPr>
          <w:rFonts w:ascii="Times New Roman" w:cs="Times New Roman" w:eastAsia="Times New Roman" w:hAnsi="Times New Roman"/>
          <w:sz w:val="14"/>
          <w:szCs w:val="14"/>
          <w:color w:val="auto"/>
        </w:rPr>
        <w:t>. We believe middle-market companies see advantages in raising capital from BDCs. BDCs have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ability 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Competitive Strengths and Core Competencies</w:t>
      </w:r>
    </w:p>
    <w:p>
      <w:pPr>
        <w:spacing w:after="0" w:line="90" w:lineRule="exact"/>
        <w:rPr>
          <w:sz w:val="20"/>
          <w:szCs w:val="20"/>
          <w:color w:val="auto"/>
        </w:rPr>
      </w:pPr>
    </w:p>
    <w:p>
      <w:pPr>
        <w:ind w:left="380" w:right="499" w:firstLine="330"/>
        <w:spacing w:after="0" w:line="258" w:lineRule="auto"/>
        <w:rPr>
          <w:sz w:val="20"/>
          <w:szCs w:val="20"/>
          <w:color w:val="auto"/>
        </w:rPr>
      </w:pPr>
      <w:r>
        <w:rPr>
          <w:rFonts w:ascii="Times New Roman" w:cs="Times New Roman" w:eastAsia="Times New Roman" w:hAnsi="Times New Roman"/>
          <w:sz w:val="14"/>
          <w:szCs w:val="14"/>
          <w:i w:val="1"/>
          <w:iCs w:val="1"/>
          <w:color w:val="auto"/>
        </w:rPr>
        <w:t>Leading platform and access to proprietary deal flow</w:t>
      </w:r>
      <w:r>
        <w:rPr>
          <w:rFonts w:ascii="Times New Roman" w:cs="Times New Roman" w:eastAsia="Times New Roman" w:hAnsi="Times New Roman"/>
          <w:sz w:val="14"/>
          <w:szCs w:val="14"/>
          <w:color w:val="auto"/>
        </w:rPr>
        <w:t>. The substantial majority of our investments are not intermediated and are originated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without the assistance of investment banks or other traditional Wall Street sources. Our Adviser has a dedicated team of 53 investment professionals responsible for originating, underwriting, executing and managing the assets of our direct lending transactions. This team is responsible for sourcing and executing opportunities directly, while leveraging the resources and expertise of the Sixth Street platform. The senior members of our Investment Team have over 450 years of collective experience as commercial dealmakers.</w:t>
      </w:r>
    </w:p>
    <w:p>
      <w:pPr>
        <w:spacing w:after="0" w:line="141" w:lineRule="exact"/>
        <w:rPr>
          <w:sz w:val="20"/>
          <w:szCs w:val="20"/>
          <w:color w:val="auto"/>
        </w:rPr>
      </w:pPr>
    </w:p>
    <w:p>
      <w:pPr>
        <w:ind w:left="380" w:right="579" w:firstLine="330"/>
        <w:spacing w:after="0" w:line="257" w:lineRule="auto"/>
        <w:rPr>
          <w:sz w:val="20"/>
          <w:szCs w:val="20"/>
          <w:color w:val="auto"/>
        </w:rPr>
      </w:pPr>
      <w:r>
        <w:rPr>
          <w:rFonts w:ascii="Times New Roman" w:cs="Times New Roman" w:eastAsia="Times New Roman" w:hAnsi="Times New Roman"/>
          <w:sz w:val="14"/>
          <w:szCs w:val="14"/>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43" w:lineRule="exact"/>
        <w:rPr>
          <w:sz w:val="20"/>
          <w:szCs w:val="20"/>
          <w:color w:val="auto"/>
        </w:rPr>
      </w:pPr>
    </w:p>
    <w:p>
      <w:pPr>
        <w:ind w:left="380" w:right="379" w:firstLine="330"/>
        <w:spacing w:after="0" w:line="265" w:lineRule="auto"/>
        <w:rPr>
          <w:sz w:val="20"/>
          <w:szCs w:val="20"/>
          <w:color w:val="auto"/>
        </w:rPr>
      </w:pPr>
      <w:r>
        <w:rPr>
          <w:rFonts w:ascii="Times New Roman" w:cs="Times New Roman" w:eastAsia="Times New Roman" w:hAnsi="Times New Roman"/>
          <w:sz w:val="14"/>
          <w:szCs w:val="14"/>
          <w:color w:val="auto"/>
        </w:rPr>
        <w:t>In addition, our Adviser draws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w:t>
      </w:r>
    </w:p>
    <w:p>
      <w:pPr>
        <w:spacing w:after="0" w:line="134" w:lineRule="exact"/>
        <w:rPr>
          <w:sz w:val="20"/>
          <w:szCs w:val="20"/>
          <w:color w:val="auto"/>
        </w:rPr>
      </w:pPr>
    </w:p>
    <w:p>
      <w:pPr>
        <w:ind w:left="380" w:right="699" w:firstLine="330"/>
        <w:spacing w:after="0" w:line="284" w:lineRule="auto"/>
        <w:rPr>
          <w:sz w:val="20"/>
          <w:szCs w:val="20"/>
          <w:color w:val="auto"/>
        </w:rPr>
      </w:pPr>
      <w:r>
        <w:rPr>
          <w:rFonts w:ascii="Times New Roman" w:cs="Times New Roman" w:eastAsia="Times New Roman" w:hAnsi="Times New Roman"/>
          <w:sz w:val="14"/>
          <w:szCs w:val="14"/>
          <w:i w:val="1"/>
          <w:iCs w:val="1"/>
          <w:color w:val="auto"/>
        </w:rPr>
        <w:t>Disciplined investment and underwriting process</w:t>
      </w:r>
      <w:r>
        <w:rPr>
          <w:rFonts w:ascii="Times New Roman" w:cs="Times New Roman" w:eastAsia="Times New Roman" w:hAnsi="Times New Roman"/>
          <w:sz w:val="14"/>
          <w:szCs w:val="14"/>
          <w:color w:val="auto"/>
        </w:rPr>
        <w:t>. Through our Adviser, we seek to achieve the highest risk-adjusted returns available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opposed to the highest absolute return available. Our investment approach seeks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405" w:right="1440" w:bottom="1440" w:gutter="0" w:footer="0" w:header="0"/>
        </w:sectPr>
      </w:pPr>
    </w:p>
    <w:bookmarkStart w:id="57" w:name="page58"/>
    <w:bookmarkEnd w:id="57"/>
    <w:p>
      <w:pPr>
        <w:ind w:left="380" w:right="111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7872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201535" cy="4787265"/>
                    </a:xfrm>
                    <a:prstGeom prst="rect">
                      <a:avLst/>
                    </a:prstGeom>
                    <a:noFill/>
                  </pic:spPr>
                </pic:pic>
              </a:graphicData>
            </a:graphic>
          </wp:anchor>
        </w:drawing>
        <w:t>combine a rigorous analysis of macroeconomic and market factors with a deep understanding of individual companies and their assets, management and prospects. We believe four factors distinguish our investment approach:</w:t>
      </w:r>
    </w:p>
    <w:p>
      <w:pPr>
        <w:spacing w:after="0" w:line="50" w:lineRule="exact"/>
        <w:rPr>
          <w:sz w:val="20"/>
          <w:szCs w:val="20"/>
          <w:color w:val="auto"/>
        </w:rPr>
      </w:pPr>
    </w:p>
    <w:p>
      <w:pPr>
        <w:ind w:left="1100" w:right="659" w:hanging="400"/>
        <w:spacing w:after="0" w:line="284" w:lineRule="auto"/>
        <w:tabs>
          <w:tab w:leader="none" w:pos="1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Flexibility</w:t>
      </w:r>
      <w:r>
        <w:rPr>
          <w:rFonts w:ascii="Times New Roman" w:cs="Times New Roman" w:eastAsia="Times New Roman" w:hAnsi="Times New Roman"/>
          <w:sz w:val="14"/>
          <w:szCs w:val="14"/>
          <w:color w:val="auto"/>
        </w:rPr>
        <w:t>. Our broad middle-market focus and our Adviser’s integrated position within Sixth Street allow us to determine current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 opportunities and identify relative value.</w:t>
      </w:r>
    </w:p>
    <w:p>
      <w:pPr>
        <w:spacing w:after="0" w:line="48" w:lineRule="exact"/>
        <w:rPr>
          <w:rFonts w:ascii="Times New Roman" w:cs="Times New Roman" w:eastAsia="Times New Roman" w:hAnsi="Times New Roman"/>
          <w:sz w:val="14"/>
          <w:szCs w:val="14"/>
          <w:color w:val="auto"/>
        </w:rPr>
      </w:pPr>
    </w:p>
    <w:p>
      <w:pPr>
        <w:ind w:left="1100" w:right="539" w:hanging="400"/>
        <w:spacing w:after="0" w:line="258" w:lineRule="auto"/>
        <w:tabs>
          <w:tab w:leader="none" w:pos="1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Risk pricing</w:t>
      </w:r>
      <w:r>
        <w:rPr>
          <w:rFonts w:ascii="Times New Roman" w:cs="Times New Roman" w:eastAsia="Times New Roman" w:hAnsi="Times New Roman"/>
          <w:sz w:val="14"/>
          <w:szCs w:val="14"/>
          <w:color w:val="auto"/>
        </w:rPr>
        <w:t>. The risk profile of our portfolio evolves across credit cycles as credit tightens and loosens. During periods when risk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66" w:lineRule="exact"/>
        <w:rPr>
          <w:rFonts w:ascii="Times New Roman" w:cs="Times New Roman" w:eastAsia="Times New Roman" w:hAnsi="Times New Roman"/>
          <w:sz w:val="14"/>
          <w:szCs w:val="14"/>
          <w:color w:val="auto"/>
        </w:rPr>
      </w:pPr>
    </w:p>
    <w:p>
      <w:pPr>
        <w:ind w:left="1100" w:right="639" w:hanging="400"/>
        <w:spacing w:after="0" w:line="284" w:lineRule="auto"/>
        <w:tabs>
          <w:tab w:leader="none" w:pos="1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Disciplined four-tiered investment framework</w:t>
      </w:r>
      <w:r>
        <w:rPr>
          <w:rFonts w:ascii="Times New Roman" w:cs="Times New Roman" w:eastAsia="Times New Roman" w:hAnsi="Times New Roman"/>
          <w:sz w:val="14"/>
          <w:szCs w:val="14"/>
          <w:color w:val="auto"/>
        </w:rPr>
        <w:t>. Through our Adviser, we perform detailed company-specific analysis focusing on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four-tiered investment framework:</w:t>
      </w:r>
    </w:p>
    <w:p>
      <w:pPr>
        <w:spacing w:after="0" w:line="48" w:lineRule="exact"/>
        <w:rPr>
          <w:rFonts w:ascii="Times New Roman" w:cs="Times New Roman" w:eastAsia="Times New Roman" w:hAnsi="Times New Roman"/>
          <w:sz w:val="14"/>
          <w:szCs w:val="14"/>
          <w:color w:val="auto"/>
        </w:rPr>
      </w:pPr>
    </w:p>
    <w:p>
      <w:pPr>
        <w:ind w:left="1100" w:right="519" w:hanging="400"/>
        <w:spacing w:after="0" w:line="258" w:lineRule="auto"/>
        <w:tabs>
          <w:tab w:leader="none" w:pos="1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Business and sector selection</w:t>
      </w:r>
      <w:r>
        <w:rPr>
          <w:rFonts w:ascii="Times New Roman" w:cs="Times New Roman" w:eastAsia="Times New Roman" w:hAnsi="Times New Roman"/>
          <w:sz w:val="14"/>
          <w:szCs w:val="14"/>
          <w:color w:val="auto"/>
        </w:rPr>
        <w:t>. We focus on companies with enterprise value between $50 million and $1 billion. When reviewing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66" w:lineRule="exact"/>
        <w:rPr>
          <w:rFonts w:ascii="Times New Roman" w:cs="Times New Roman" w:eastAsia="Times New Roman" w:hAnsi="Times New Roman"/>
          <w:sz w:val="14"/>
          <w:szCs w:val="14"/>
          <w:color w:val="auto"/>
        </w:rPr>
      </w:pPr>
    </w:p>
    <w:p>
      <w:pPr>
        <w:ind w:left="1100" w:right="459" w:hanging="400"/>
        <w:spacing w:after="0" w:line="256" w:lineRule="auto"/>
        <w:tabs>
          <w:tab w:leader="none" w:pos="1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Investment structuring</w:t>
      </w:r>
      <w:r>
        <w:rPr>
          <w:rFonts w:ascii="Times New Roman" w:cs="Times New Roman" w:eastAsia="Times New Roman" w:hAnsi="Times New Roman"/>
          <w:sz w:val="14"/>
          <w:szCs w:val="14"/>
          <w:color w:val="auto"/>
        </w:rPr>
        <w:t>. We focus on investing at the top of the capital structure and protecting that position. We carefully diligence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68" w:lineRule="exact"/>
        <w:rPr>
          <w:rFonts w:ascii="Times New Roman" w:cs="Times New Roman" w:eastAsia="Times New Roman" w:hAnsi="Times New Roman"/>
          <w:sz w:val="14"/>
          <w:szCs w:val="14"/>
          <w:color w:val="auto"/>
        </w:rPr>
      </w:pPr>
    </w:p>
    <w:p>
      <w:pPr>
        <w:jc w:val="both"/>
        <w:ind w:left="1100" w:right="399" w:hanging="400"/>
        <w:spacing w:after="0" w:line="266" w:lineRule="auto"/>
        <w:tabs>
          <w:tab w:leader="none" w:pos="1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Deal dynamics</w:t>
      </w:r>
      <w:r>
        <w:rPr>
          <w:rFonts w:ascii="Times New Roman" w:cs="Times New Roman" w:eastAsia="Times New Roman" w:hAnsi="Times New Roman"/>
          <w:sz w:val="14"/>
          <w:szCs w:val="14"/>
          <w:color w:val="auto"/>
        </w:rPr>
        <w:t>. We focus on, among other deal dynamics, direct origination of investments, where we identify and lead the investment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61" w:lineRule="exact"/>
        <w:rPr>
          <w:rFonts w:ascii="Times New Roman" w:cs="Times New Roman" w:eastAsia="Times New Roman" w:hAnsi="Times New Roman"/>
          <w:sz w:val="14"/>
          <w:szCs w:val="14"/>
          <w:color w:val="auto"/>
        </w:rPr>
      </w:pPr>
    </w:p>
    <w:p>
      <w:pPr>
        <w:ind w:left="1100" w:right="699" w:hanging="400"/>
        <w:spacing w:after="0" w:line="266" w:lineRule="auto"/>
        <w:tabs>
          <w:tab w:leader="none" w:pos="1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Risk Mitigation</w:t>
      </w:r>
      <w:r>
        <w:rPr>
          <w:rFonts w:ascii="Times New Roman" w:cs="Times New Roman" w:eastAsia="Times New Roman" w:hAnsi="Times New Roman"/>
          <w:sz w:val="14"/>
          <w:szCs w:val="14"/>
          <w:color w:val="auto"/>
        </w:rPr>
        <w:t>. We seek to mitigate non-credit-related risk on our returns in several ways, including call protection provisions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protect future payment income. In addition, most of our investments are floating rate in nature, which we believe helps act as a portfolio-wide hedge against inflation.</w:t>
      </w:r>
    </w:p>
    <w:p>
      <w:pPr>
        <w:spacing w:after="0" w:line="61" w:lineRule="exact"/>
        <w:rPr>
          <w:rFonts w:ascii="Times New Roman" w:cs="Times New Roman" w:eastAsia="Times New Roman" w:hAnsi="Times New Roman"/>
          <w:sz w:val="14"/>
          <w:szCs w:val="14"/>
          <w:color w:val="auto"/>
        </w:rPr>
      </w:pPr>
    </w:p>
    <w:p>
      <w:pPr>
        <w:ind w:left="1100" w:right="539" w:hanging="400"/>
        <w:spacing w:after="0" w:line="266" w:lineRule="auto"/>
        <w:tabs>
          <w:tab w:leader="none" w:pos="1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Robust and active investment management</w:t>
      </w:r>
      <w:r>
        <w:rPr>
          <w:rFonts w:ascii="Times New Roman" w:cs="Times New Roman" w:eastAsia="Times New Roman" w:hAnsi="Times New Roman"/>
          <w:sz w:val="14"/>
          <w:szCs w:val="14"/>
          <w:color w:val="auto"/>
        </w:rPr>
        <w:t>. Our Adviser rigorously monitors the credit profile of portfolio investments, with the aim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proactively identifying sector and operational issues and carefully managing risks. The information gathered on market trends through this process also informs our underwriting for new loans.</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We tailor investments rather than focusing only on driving investment volume.</w:t>
      </w:r>
    </w:p>
    <w:p>
      <w:pPr>
        <w:spacing w:after="0" w:line="172" w:lineRule="exact"/>
        <w:rPr>
          <w:sz w:val="20"/>
          <w:szCs w:val="20"/>
          <w:color w:val="auto"/>
        </w:rPr>
      </w:pPr>
    </w:p>
    <w:p>
      <w:pPr>
        <w:ind w:left="380" w:right="619" w:firstLine="330"/>
        <w:spacing w:after="0" w:line="261" w:lineRule="auto"/>
        <w:rPr>
          <w:sz w:val="20"/>
          <w:szCs w:val="20"/>
          <w:color w:val="auto"/>
        </w:rPr>
      </w:pPr>
      <w:r>
        <w:rPr>
          <w:rFonts w:ascii="Times New Roman" w:cs="Times New Roman" w:eastAsia="Times New Roman" w:hAnsi="Times New Roman"/>
          <w:sz w:val="14"/>
          <w:szCs w:val="14"/>
          <w:i w:val="1"/>
          <w:iCs w:val="1"/>
          <w:color w:val="auto"/>
        </w:rPr>
        <w:t>Carefully constructed, existing portfolio consisting of predominantly senior, floating rate loans across a broad range of industries and borrowers</w:t>
      </w:r>
      <w:r>
        <w:rPr>
          <w:rFonts w:ascii="Times New Roman" w:cs="Times New Roman" w:eastAsia="Times New Roman" w:hAnsi="Times New Roman"/>
          <w:sz w:val="14"/>
          <w:szCs w:val="14"/>
          <w:color w:val="auto"/>
        </w:rPr>
        <w:t>. Since we began investing in July 2011, through September 30, 2023, we have originated more than $28.6 billion aggregate principal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amount of investments. As of September 30, 2023, our investment portfolio consisted of investments in 131 portfolio companies (including 42 structured credit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407" w:right="1440" w:bottom="1440" w:gutter="0" w:footer="0" w:header="0"/>
        </w:sectPr>
      </w:pPr>
    </w:p>
    <w:bookmarkStart w:id="58" w:name="page59"/>
    <w:bookmarkEnd w:id="58"/>
    <w:p>
      <w:pPr>
        <w:ind w:left="380" w:right="41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820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201535" cy="4820285"/>
                    </a:xfrm>
                    <a:prstGeom prst="rect">
                      <a:avLst/>
                    </a:prstGeom>
                    <a:noFill/>
                  </pic:spPr>
                </pic:pic>
              </a:graphicData>
            </a:graphic>
          </wp:anchor>
        </w:drawing>
        <w:t>investments, which include each series of collateralized loan obligation as a separate portfolio company investment) with an aggregate fair value of $3,113.3 million that we believe exhibits strong credit quality and broad industry composition. As of September 30, 2023, 99.7% of our debt investments based on fair value bore interest at floating rates, with 100.0% of these subject to interest rate floors, and 91.0% of the fair value of our portfolio was invested in first-lien debt investments. We believe this portfolio will allow us to generate meaningful investment income, and consequently dividend income, for our stockholders.</w:t>
      </w:r>
    </w:p>
    <w:p>
      <w:pPr>
        <w:spacing w:after="0" w:line="141" w:lineRule="exact"/>
        <w:rPr>
          <w:sz w:val="20"/>
          <w:szCs w:val="20"/>
          <w:color w:val="auto"/>
        </w:rPr>
      </w:pPr>
    </w:p>
    <w:p>
      <w:pPr>
        <w:ind w:left="380" w:right="559" w:firstLine="330"/>
        <w:spacing w:after="0" w:line="253" w:lineRule="auto"/>
        <w:rPr>
          <w:sz w:val="20"/>
          <w:szCs w:val="20"/>
          <w:color w:val="auto"/>
        </w:rPr>
      </w:pPr>
      <w:r>
        <w:rPr>
          <w:rFonts w:ascii="Times New Roman" w:cs="Times New Roman" w:eastAsia="Times New Roman" w:hAnsi="Times New Roman"/>
          <w:sz w:val="14"/>
          <w:szCs w:val="14"/>
          <w:i w:val="1"/>
          <w:iCs w:val="1"/>
          <w:color w:val="auto"/>
        </w:rPr>
        <w:t>Experienced management team</w:t>
      </w:r>
      <w:r>
        <w:rPr>
          <w:rFonts w:ascii="Times New Roman" w:cs="Times New Roman" w:eastAsia="Times New Roman" w:hAnsi="Times New Roman"/>
          <w:sz w:val="14"/>
          <w:szCs w:val="14"/>
          <w:color w:val="auto"/>
        </w:rPr>
        <w:t>. The Adviser has a highly experienced management team consisting of nine Sixth Street Partners and nine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Sixth 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45" w:lineRule="exact"/>
        <w:rPr>
          <w:sz w:val="20"/>
          <w:szCs w:val="20"/>
          <w:color w:val="auto"/>
        </w:rPr>
      </w:pPr>
    </w:p>
    <w:p>
      <w:pPr>
        <w:jc w:val="both"/>
        <w:ind w:left="380" w:right="679" w:firstLine="330"/>
        <w:spacing w:after="0" w:line="266" w:lineRule="auto"/>
        <w:rPr>
          <w:sz w:val="20"/>
          <w:szCs w:val="20"/>
          <w:color w:val="auto"/>
        </w:rPr>
      </w:pPr>
      <w:r>
        <w:rPr>
          <w:rFonts w:ascii="Times New Roman" w:cs="Times New Roman" w:eastAsia="Times New Roman" w:hAnsi="Times New Roman"/>
          <w:sz w:val="14"/>
          <w:szCs w:val="14"/>
          <w:i w:val="1"/>
          <w:iCs w:val="1"/>
          <w:color w:val="auto"/>
        </w:rPr>
        <w:t>Aligned investment professionals</w:t>
      </w:r>
      <w:r>
        <w:rPr>
          <w:rFonts w:ascii="Times New Roman" w:cs="Times New Roman" w:eastAsia="Times New Roman" w:hAnsi="Times New Roman"/>
          <w:sz w:val="14"/>
          <w:szCs w:val="14"/>
          <w:color w:val="auto"/>
        </w:rPr>
        <w:t>. We believe our investment professionals are aligned with our investment objective. The compensation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structure for our investment professionals is based on our returns, as opposed to transaction volume, which we believe fosters a focus on credit quality when originating investments.</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Operating and Regulatory Structure</w:t>
      </w:r>
    </w:p>
    <w:p>
      <w:pPr>
        <w:spacing w:after="0" w:line="92" w:lineRule="exact"/>
        <w:rPr>
          <w:sz w:val="20"/>
          <w:szCs w:val="20"/>
          <w:color w:val="auto"/>
        </w:rPr>
      </w:pPr>
    </w:p>
    <w:p>
      <w:pPr>
        <w:ind w:left="380" w:right="459" w:firstLine="330"/>
        <w:spacing w:after="0" w:line="321" w:lineRule="auto"/>
        <w:rPr>
          <w:sz w:val="20"/>
          <w:szCs w:val="20"/>
          <w:color w:val="auto"/>
        </w:rPr>
      </w:pPr>
      <w:r>
        <w:rPr>
          <w:rFonts w:ascii="Times New Roman" w:cs="Times New Roman" w:eastAsia="Times New Roman" w:hAnsi="Times New Roman"/>
          <w:sz w:val="13"/>
          <w:szCs w:val="13"/>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As a BDC, we are required to comply with numerous regulatory requirements:</w:t>
      </w:r>
    </w:p>
    <w:p>
      <w:pPr>
        <w:spacing w:after="0" w:line="99" w:lineRule="exact"/>
        <w:rPr>
          <w:sz w:val="20"/>
          <w:szCs w:val="20"/>
          <w:color w:val="auto"/>
        </w:rPr>
      </w:pPr>
    </w:p>
    <w:p>
      <w:pPr>
        <w:ind w:left="1100" w:right="499" w:hanging="400"/>
        <w:spacing w:after="0" w:line="256" w:lineRule="auto"/>
        <w:tabs>
          <w:tab w:leader="none" w:pos="1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Leverage</w:t>
      </w:r>
      <w:r>
        <w:rPr>
          <w:rFonts w:ascii="Times New Roman" w:cs="Times New Roman" w:eastAsia="Times New Roman" w:hAnsi="Times New Roman"/>
          <w:sz w:val="14"/>
          <w:szCs w:val="14"/>
          <w:color w:val="auto"/>
        </w:rPr>
        <w:t>. Regulations under the 1940 Act limit our ability to use borrowing, also known as leverage, in significant respects.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2022 Annual Report.</w:t>
      </w:r>
    </w:p>
    <w:p>
      <w:pPr>
        <w:spacing w:after="0" w:line="68" w:lineRule="exact"/>
        <w:rPr>
          <w:rFonts w:ascii="Times New Roman" w:cs="Times New Roman" w:eastAsia="Times New Roman" w:hAnsi="Times New Roman"/>
          <w:sz w:val="14"/>
          <w:szCs w:val="14"/>
          <w:color w:val="auto"/>
        </w:rPr>
      </w:pPr>
    </w:p>
    <w:p>
      <w:pPr>
        <w:ind w:left="1100" w:right="559" w:hanging="400"/>
        <w:spacing w:after="0" w:line="296" w:lineRule="auto"/>
        <w:tabs>
          <w:tab w:leader="none" w:pos="11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Investment Allocation</w:t>
      </w:r>
      <w:r>
        <w:rPr>
          <w:rFonts w:ascii="Times New Roman" w:cs="Times New Roman" w:eastAsia="Times New Roman" w:hAnsi="Times New Roman"/>
          <w:sz w:val="13"/>
          <w:szCs w:val="13"/>
          <w:color w:val="auto"/>
        </w:rPr>
        <w:t>. As a BDC, we are required to invest at least 70% of our total assets in qualifying assets, which generally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45" w:lineRule="exact"/>
        <w:rPr>
          <w:rFonts w:ascii="Times New Roman" w:cs="Times New Roman" w:eastAsia="Times New Roman" w:hAnsi="Times New Roman"/>
          <w:sz w:val="13"/>
          <w:szCs w:val="13"/>
          <w:color w:val="auto"/>
        </w:rPr>
      </w:pPr>
    </w:p>
    <w:p>
      <w:pPr>
        <w:ind w:left="1100" w:hanging="400"/>
        <w:spacing w:after="0"/>
        <w:tabs>
          <w:tab w:leader="none" w:pos="1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domestic operating companies;</w:t>
      </w:r>
    </w:p>
    <w:p>
      <w:pPr>
        <w:spacing w:after="0" w:line="100" w:lineRule="exact"/>
        <w:rPr>
          <w:rFonts w:ascii="Times New Roman" w:cs="Times New Roman" w:eastAsia="Times New Roman" w:hAnsi="Times New Roman"/>
          <w:sz w:val="14"/>
          <w:szCs w:val="14"/>
          <w:color w:val="auto"/>
        </w:rPr>
      </w:pPr>
    </w:p>
    <w:p>
      <w:pPr>
        <w:ind w:left="1100" w:right="459" w:hanging="400"/>
        <w:spacing w:after="0" w:line="321" w:lineRule="auto"/>
        <w:tabs>
          <w:tab w:leader="none" w:pos="11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29" w:lineRule="exact"/>
        <w:rPr>
          <w:rFonts w:ascii="Times New Roman" w:cs="Times New Roman" w:eastAsia="Times New Roman" w:hAnsi="Times New Roman"/>
          <w:sz w:val="13"/>
          <w:szCs w:val="13"/>
          <w:color w:val="auto"/>
        </w:rPr>
      </w:pPr>
    </w:p>
    <w:p>
      <w:pPr>
        <w:ind w:left="1100" w:hanging="400"/>
        <w:spacing w:after="0"/>
        <w:tabs>
          <w:tab w:leader="none" w:pos="1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domestic operating companies having a market capitalization of less than $250 million.</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407" w:right="1440" w:bottom="1440" w:gutter="0" w:footer="0" w:header="0"/>
        </w:sectPr>
      </w:pPr>
    </w:p>
    <w:bookmarkStart w:id="59" w:name="page60"/>
    <w:bookmarkEnd w:id="59"/>
    <w:p>
      <w:pPr>
        <w:ind w:left="380" w:right="559" w:firstLine="330"/>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875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201535" cy="4687570"/>
                    </a:xfrm>
                    <a:prstGeom prst="rect">
                      <a:avLst/>
                    </a:prstGeom>
                    <a:noFill/>
                  </pic:spPr>
                </pic:pic>
              </a:graphicData>
            </a:graphic>
          </wp:anchor>
        </w:drawing>
        <w:t>Public domestic operating companies whose securities are quoted on the over-the-counter bulletin board and through OTC Markets Group, Inc. are not listed on a national securities exchange and, as a result, are eligible portfolio companies.</w:t>
      </w:r>
    </w:p>
    <w:p>
      <w:pPr>
        <w:spacing w:after="0" w:line="50" w:lineRule="exact"/>
        <w:rPr>
          <w:sz w:val="20"/>
          <w:szCs w:val="20"/>
          <w:color w:val="auto"/>
        </w:rPr>
      </w:pPr>
    </w:p>
    <w:p>
      <w:pPr>
        <w:ind w:left="1100" w:right="459" w:hanging="400"/>
        <w:spacing w:after="0" w:line="266" w:lineRule="auto"/>
        <w:tabs>
          <w:tab w:leader="none" w:pos="1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RIC Status</w:t>
      </w:r>
      <w:r>
        <w:rPr>
          <w:rFonts w:ascii="Times New Roman" w:cs="Times New Roman" w:eastAsia="Times New Roman" w:hAnsi="Times New Roman"/>
          <w:sz w:val="14"/>
          <w:szCs w:val="14"/>
          <w:color w:val="auto"/>
        </w:rPr>
        <w:t>. We have elected to be treated as a RIC for U.S. federal income tax purposes. To maintain our status as a RIC and to avoid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having our earnings subject to corporate-level U.S. federal income taxation, we must satisfy certain source of income, asset diversification and distribution requirements.</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See “Material U.S. Federal Income Tax Considerations.”</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Use of Leverage</w:t>
      </w:r>
    </w:p>
    <w:p>
      <w:pPr>
        <w:spacing w:after="0" w:line="92" w:lineRule="exact"/>
        <w:rPr>
          <w:sz w:val="20"/>
          <w:szCs w:val="20"/>
          <w:color w:val="auto"/>
        </w:rPr>
      </w:pPr>
    </w:p>
    <w:p>
      <w:pPr>
        <w:ind w:left="380" w:right="479" w:firstLine="330"/>
        <w:spacing w:after="0" w:line="260" w:lineRule="auto"/>
        <w:rPr>
          <w:sz w:val="20"/>
          <w:szCs w:val="20"/>
          <w:color w:val="auto"/>
        </w:rPr>
      </w:pPr>
      <w:r>
        <w:rPr>
          <w:rFonts w:ascii="Times New Roman" w:cs="Times New Roman" w:eastAsia="Times New Roman" w:hAnsi="Times New Roman"/>
          <w:sz w:val="14"/>
          <w:szCs w:val="14"/>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On October 8, 2018, our stockholders approved the application of the minimum asset coverage ratio of 150% to us, as set forth in</w:t>
      </w:r>
    </w:p>
    <w:p>
      <w:pPr>
        <w:spacing w:after="0" w:line="21" w:lineRule="exact"/>
        <w:rPr>
          <w:sz w:val="20"/>
          <w:szCs w:val="20"/>
          <w:color w:val="auto"/>
        </w:rPr>
      </w:pPr>
    </w:p>
    <w:p>
      <w:pPr>
        <w:ind w:left="380" w:right="419"/>
        <w:spacing w:after="0" w:line="283" w:lineRule="auto"/>
        <w:rPr>
          <w:sz w:val="20"/>
          <w:szCs w:val="20"/>
          <w:color w:val="auto"/>
        </w:rPr>
      </w:pPr>
      <w:r>
        <w:rPr>
          <w:rFonts w:ascii="Times New Roman" w:cs="Times New Roman" w:eastAsia="Times New Roman" w:hAnsi="Times New Roman"/>
          <w:sz w:val="13"/>
          <w:szCs w:val="13"/>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26" w:lineRule="exact"/>
        <w:rPr>
          <w:sz w:val="20"/>
          <w:szCs w:val="20"/>
          <w:color w:val="auto"/>
        </w:rPr>
      </w:pPr>
    </w:p>
    <w:p>
      <w:pPr>
        <w:ind w:left="380" w:right="419" w:firstLine="330"/>
        <w:spacing w:after="0" w:line="254" w:lineRule="auto"/>
        <w:rPr>
          <w:sz w:val="20"/>
          <w:szCs w:val="20"/>
          <w:color w:val="auto"/>
        </w:rPr>
      </w:pPr>
      <w:r>
        <w:rPr>
          <w:rFonts w:ascii="Times New Roman" w:cs="Times New Roman" w:eastAsia="Times New Roman" w:hAnsi="Times New Roman"/>
          <w:sz w:val="14"/>
          <w:szCs w:val="14"/>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respectively, have been waived pursuant to the Leverage Waiver. For the three and nine months ended September 30, 2022, Management Fees of $0.2 million have been waived pursuant to the Leverage Waiver.</w:t>
      </w:r>
    </w:p>
    <w:p>
      <w:pPr>
        <w:spacing w:after="0" w:line="147" w:lineRule="exact"/>
        <w:rPr>
          <w:sz w:val="20"/>
          <w:szCs w:val="20"/>
          <w:color w:val="auto"/>
        </w:rPr>
      </w:pPr>
    </w:p>
    <w:p>
      <w:pPr>
        <w:jc w:val="both"/>
        <w:ind w:left="380" w:right="439" w:firstLine="330"/>
        <w:spacing w:after="0" w:line="255" w:lineRule="auto"/>
        <w:rPr>
          <w:sz w:val="20"/>
          <w:szCs w:val="20"/>
          <w:color w:val="auto"/>
        </w:rPr>
      </w:pPr>
      <w:r>
        <w:rPr>
          <w:rFonts w:ascii="Times New Roman" w:cs="Times New Roman" w:eastAsia="Times New Roman" w:hAnsi="Times New Roman"/>
          <w:sz w:val="14"/>
          <w:szCs w:val="14"/>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46" w:lineRule="exact"/>
        <w:rPr>
          <w:sz w:val="20"/>
          <w:szCs w:val="20"/>
          <w:color w:val="auto"/>
        </w:rPr>
      </w:pPr>
    </w:p>
    <w:p>
      <w:pPr>
        <w:ind w:left="380" w:right="539" w:firstLine="330"/>
        <w:spacing w:after="0" w:line="279" w:lineRule="auto"/>
        <w:rPr>
          <w:sz w:val="20"/>
          <w:szCs w:val="20"/>
          <w:color w:val="auto"/>
        </w:rPr>
      </w:pPr>
      <w:r>
        <w:rPr>
          <w:rFonts w:ascii="Times New Roman" w:cs="Times New Roman" w:eastAsia="Times New Roman" w:hAnsi="Times New Roman"/>
          <w:sz w:val="13"/>
          <w:szCs w:val="13"/>
          <w:color w:val="auto"/>
        </w:rPr>
        <w:t>See “Business-General—Our Company”; and “Business-General-Regulation as a Business Development Company” in Part I, Item 1 of our 2022 Annual Report, as well as “Risk Factors—Legislation allows us to incur additional leverage,” “Risk Factors—We borrow money, which magnifies the potential for gain or loss and increases the risk of investing in us,” “Risk Factors—Regulations governing our operation as a BDC affect our ability to, and the way in which we, raise additional capital,” “Risk Factors—Our indebtedness could adversely affect our business, financial conditions or results of operations,” and “Risk Factors—Even in the event the value of your investment declines, the Management Fee and, in certain circumstances, the Incentive Fee will still be payable to the Adviser.” in Part II, Item 1A of our 3Q 2023 Quarterly Report.</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407" w:right="1440" w:bottom="1440" w:gutter="0" w:footer="0" w:header="0"/>
        </w:sectPr>
      </w:pPr>
    </w:p>
    <w:bookmarkStart w:id="60" w:name="page61"/>
    <w:bookmarkEnd w:id="60"/>
    <w:p>
      <w:pPr>
        <w:ind w:left="3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468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201535" cy="4468495"/>
                    </a:xfrm>
                    <a:prstGeom prst="rect">
                      <a:avLst/>
                    </a:prstGeom>
                    <a:noFill/>
                  </pic:spPr>
                </pic:pic>
              </a:graphicData>
            </a:graphic>
          </wp:anchor>
        </w:drawing>
        <w:t>Conflicts of Interests</w:t>
      </w:r>
    </w:p>
    <w:p>
      <w:pPr>
        <w:spacing w:after="0" w:line="92" w:lineRule="exact"/>
        <w:rPr>
          <w:sz w:val="20"/>
          <w:szCs w:val="20"/>
          <w:color w:val="auto"/>
        </w:rPr>
      </w:pPr>
    </w:p>
    <w:p>
      <w:pPr>
        <w:ind w:left="380" w:right="419" w:firstLine="330"/>
        <w:spacing w:after="0" w:line="251" w:lineRule="auto"/>
        <w:rPr>
          <w:sz w:val="20"/>
          <w:szCs w:val="20"/>
          <w:color w:val="auto"/>
        </w:rPr>
      </w:pPr>
      <w:r>
        <w:rPr>
          <w:rFonts w:ascii="Times New Roman" w:cs="Times New Roman" w:eastAsia="Times New Roman" w:hAnsi="Times New Roman"/>
          <w:sz w:val="14"/>
          <w:szCs w:val="14"/>
          <w:color w:val="auto"/>
        </w:rPr>
        <w:t>Certain members of the Adviser’s senior management and the Investment Review Committee are and will continue to be active in other investment funds affiliated with Sixth Street and its affiliates that pursue investment opportunities that could overlap with those pursued by us. However, the Adviser and its affiliates intend to allocate investment opportunities in a fair and equitable manner in accordance with their allocation principles and are obligated to refer any investments to us, by means of our Adviser, that fit within certain criteria that our Board may establish from time to time (such criteria, the “Board Established Criteria”). If no Board Established Criteria are in effect, then we will be notified of all such potential investment opportunities that fall within our current investment objective and principal investment strategies. The Adviser will determine whether it would be permissible, advisable or otherwise appropriate for us to pursue a particular investment opportunity referred to us for inclusion in our portfolio. For example, certain investment opportunities which otherwise fit within our investment strategies and objectives and any Board Established Criteria may not be suitable for us if they would cause us to violate asset coverage or concentration limitations imposed by the 1940 Act, the Code or the Amended Order (as defined below),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referred to us to be appropriate, it will determine an appropriate size for our investment. If the aggregate interest in an investment opportunity across Sixth Street funds or investment vehicles, including us, exceeds the size of the opportunity, the Adviser would allocate to us our pro-rata share of the investment opportunity based on the size of each respective participating Sixth Street funds’ or investment vehicles’ demand for such opportunity.</w:t>
      </w:r>
    </w:p>
    <w:p>
      <w:pPr>
        <w:spacing w:after="0" w:line="153" w:lineRule="exact"/>
        <w:rPr>
          <w:sz w:val="20"/>
          <w:szCs w:val="20"/>
          <w:color w:val="auto"/>
        </w:rPr>
      </w:pPr>
    </w:p>
    <w:p>
      <w:pPr>
        <w:ind w:left="380" w:right="459" w:firstLine="330"/>
        <w:spacing w:after="0" w:line="253" w:lineRule="auto"/>
        <w:rPr>
          <w:sz w:val="20"/>
          <w:szCs w:val="20"/>
          <w:color w:val="auto"/>
        </w:rPr>
      </w:pPr>
      <w:r>
        <w:rPr>
          <w:rFonts w:ascii="Times New Roman" w:cs="Times New Roman" w:eastAsia="Times New Roman" w:hAnsi="Times New Roman"/>
          <w:sz w:val="14"/>
          <w:szCs w:val="14"/>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outside of our Board Established Criteria and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w:t>
      </w:r>
    </w:p>
    <w:p>
      <w:pPr>
        <w:spacing w:after="0" w:line="145" w:lineRule="exact"/>
        <w:rPr>
          <w:sz w:val="20"/>
          <w:szCs w:val="20"/>
          <w:color w:val="auto"/>
        </w:rPr>
      </w:pPr>
    </w:p>
    <w:p>
      <w:pPr>
        <w:ind w:left="380" w:right="459" w:firstLine="330"/>
        <w:spacing w:after="0" w:line="254" w:lineRule="auto"/>
        <w:rPr>
          <w:sz w:val="20"/>
          <w:szCs w:val="20"/>
          <w:color w:val="auto"/>
        </w:rPr>
      </w:pPr>
      <w:r>
        <w:rPr>
          <w:rFonts w:ascii="Times New Roman" w:cs="Times New Roman" w:eastAsia="Times New Roman" w:hAnsi="Times New Roman"/>
          <w:sz w:val="14"/>
          <w:szCs w:val="14"/>
          <w:color w:val="auto"/>
        </w:rPr>
        <w:t>Our ability to pursue investment opportunities other than those that meet our Board Established Criteria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if the investment falls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w:t>
      </w:r>
    </w:p>
    <w:p>
      <w:pPr>
        <w:spacing w:after="0" w:line="147" w:lineRule="exact"/>
        <w:rPr>
          <w:sz w:val="20"/>
          <w:szCs w:val="20"/>
          <w:color w:val="auto"/>
        </w:rPr>
      </w:pPr>
    </w:p>
    <w:p>
      <w:pPr>
        <w:ind w:left="380" w:right="479" w:firstLine="330"/>
        <w:spacing w:after="0" w:line="265" w:lineRule="auto"/>
        <w:rPr>
          <w:sz w:val="20"/>
          <w:szCs w:val="20"/>
          <w:color w:val="auto"/>
        </w:rPr>
      </w:pPr>
      <w:r>
        <w:rPr>
          <w:rFonts w:ascii="Times New Roman" w:cs="Times New Roman" w:eastAsia="Times New Roman" w:hAnsi="Times New Roman"/>
          <w:sz w:val="14"/>
          <w:szCs w:val="14"/>
          <w:color w:val="auto"/>
        </w:rPr>
        <w:t>See “Certain Relationships and Related Party Transactions” in our Definitive Proxy Statement on Schedule 14A relating to our 2023 Annual Meeting of Stockholders filed with the SEC on April 13, 2023 (“2023 Annual Proxy”), and such section is incorporated by reference in this prospectus.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405" w:right="1440" w:bottom="1440" w:gutter="0" w:footer="0" w:header="0"/>
        </w:sectPr>
      </w:pPr>
    </w:p>
    <w:bookmarkStart w:id="61" w:name="page62"/>
    <w:bookmarkEnd w:id="61"/>
    <w:p>
      <w:pPr>
        <w:ind w:left="3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853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201535" cy="4853940"/>
                    </a:xfrm>
                    <a:prstGeom prst="rect">
                      <a:avLst/>
                    </a:prstGeom>
                    <a:noFill/>
                  </pic:spPr>
                </pic:pic>
              </a:graphicData>
            </a:graphic>
          </wp:anchor>
        </w:drawing>
        <w:t>Exemptive Order</w:t>
      </w:r>
    </w:p>
    <w:p>
      <w:pPr>
        <w:spacing w:after="0" w:line="92" w:lineRule="exact"/>
        <w:rPr>
          <w:sz w:val="20"/>
          <w:szCs w:val="20"/>
          <w:color w:val="auto"/>
        </w:rPr>
      </w:pPr>
    </w:p>
    <w:p>
      <w:pPr>
        <w:jc w:val="both"/>
        <w:ind w:left="380" w:right="499" w:firstLine="330"/>
        <w:spacing w:after="0" w:line="265" w:lineRule="auto"/>
        <w:rPr>
          <w:sz w:val="20"/>
          <w:szCs w:val="20"/>
          <w:color w:val="auto"/>
        </w:rPr>
      </w:pPr>
      <w:r>
        <w:rPr>
          <w:rFonts w:ascii="Times New Roman" w:cs="Times New Roman" w:eastAsia="Times New Roman" w:hAnsi="Times New Roman"/>
          <w:sz w:val="14"/>
          <w:szCs w:val="14"/>
          <w:color w:val="auto"/>
        </w:rPr>
        <w:t>On December 16, 2014, we were granted an exemptive order from the SEC (the “Prior Order”) that allows us to co-invest, subject to certain conditions and to the extent the size of an investment opportunity exceeds the amount our Adviser has independently determined is appropriate to invest, with certain of our affiliates (including affiliates of Sixth Street).</w:t>
      </w:r>
    </w:p>
    <w:p>
      <w:pPr>
        <w:spacing w:after="0" w:line="136" w:lineRule="exact"/>
        <w:rPr>
          <w:sz w:val="20"/>
          <w:szCs w:val="20"/>
          <w:color w:val="auto"/>
        </w:rPr>
      </w:pPr>
    </w:p>
    <w:p>
      <w:pPr>
        <w:ind w:left="380" w:right="419" w:firstLine="330"/>
        <w:spacing w:after="0" w:line="260" w:lineRule="auto"/>
        <w:rPr>
          <w:sz w:val="20"/>
          <w:szCs w:val="20"/>
          <w:color w:val="auto"/>
        </w:rPr>
      </w:pPr>
      <w:r>
        <w:rPr>
          <w:rFonts w:ascii="Times New Roman" w:cs="Times New Roman" w:eastAsia="Times New Roman" w:hAnsi="Times New Roman"/>
          <w:sz w:val="14"/>
          <w:szCs w:val="14"/>
          <w:color w:val="auto"/>
        </w:rPr>
        <w:t>On January 16, 2020, we filed a further application for co-investment exemptive relief with the SEC to better align our existing co-investment relief with more recent SEC exemptive orders. On August 3, 2022, the SEC granted the new order (the “Amended Order”) in response to our application. The Amended Order superseded the Prior Order, and updated the conditions pursuant to which we could co-invest with certain of our affiliates (including affiliates of Sixth Street) in investment opportunities that fall within our Board Established Criteria.</w:t>
      </w:r>
    </w:p>
    <w:p>
      <w:pPr>
        <w:spacing w:after="0" w:line="140" w:lineRule="exact"/>
        <w:rPr>
          <w:sz w:val="20"/>
          <w:szCs w:val="20"/>
          <w:color w:val="auto"/>
        </w:rPr>
      </w:pPr>
    </w:p>
    <w:p>
      <w:pPr>
        <w:ind w:left="380" w:right="419" w:firstLine="330"/>
        <w:spacing w:after="0" w:line="260" w:lineRule="auto"/>
        <w:rPr>
          <w:sz w:val="20"/>
          <w:szCs w:val="20"/>
          <w:color w:val="auto"/>
        </w:rPr>
      </w:pPr>
      <w:r>
        <w:rPr>
          <w:rFonts w:ascii="Times New Roman" w:cs="Times New Roman" w:eastAsia="Times New Roman" w:hAnsi="Times New Roman"/>
          <w:sz w:val="14"/>
          <w:szCs w:val="14"/>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40" w:lineRule="exact"/>
        <w:rPr>
          <w:sz w:val="20"/>
          <w:szCs w:val="20"/>
          <w:color w:val="auto"/>
        </w:rPr>
      </w:pPr>
    </w:p>
    <w:p>
      <w:pPr>
        <w:ind w:left="380" w:right="719" w:firstLine="330"/>
        <w:spacing w:after="0" w:line="281" w:lineRule="auto"/>
        <w:rPr>
          <w:sz w:val="20"/>
          <w:szCs w:val="20"/>
          <w:color w:val="auto"/>
        </w:rPr>
      </w:pPr>
      <w:r>
        <w:rPr>
          <w:rFonts w:ascii="Times New Roman" w:cs="Times New Roman" w:eastAsia="Times New Roman" w:hAnsi="Times New Roman"/>
          <w:sz w:val="14"/>
          <w:szCs w:val="14"/>
          <w:color w:val="auto"/>
        </w:rPr>
        <w:t>See “Regulation as a Business Development Company-Transactions with our Affiliates” in our 2022 Annual Report, and such section is incorporated by reference in this prospectus.</w:t>
      </w:r>
    </w:p>
    <w:p>
      <w:pPr>
        <w:spacing w:after="0" w:line="125" w:lineRule="exact"/>
        <w:rPr>
          <w:sz w:val="20"/>
          <w:szCs w:val="20"/>
          <w:color w:val="auto"/>
        </w:rPr>
      </w:pPr>
    </w:p>
    <w:p>
      <w:pPr>
        <w:ind w:left="380" w:right="539" w:firstLine="330"/>
        <w:spacing w:after="0" w:line="281" w:lineRule="auto"/>
        <w:rPr>
          <w:sz w:val="20"/>
          <w:szCs w:val="20"/>
          <w:color w:val="auto"/>
        </w:rPr>
      </w:pPr>
      <w:r>
        <w:rPr>
          <w:rFonts w:ascii="Times New Roman" w:cs="Times New Roman" w:eastAsia="Times New Roman" w:hAnsi="Times New Roman"/>
          <w:sz w:val="14"/>
          <w:szCs w:val="14"/>
          <w:color w:val="auto"/>
        </w:rPr>
        <w:t>See “Certain Relationships and Related Party Transactions—Exemptive Order” in our 2023 Annual Proxy, and such section is incorporated by reference in this prospectus.</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Stock Repurchase Plan</w:t>
      </w:r>
    </w:p>
    <w:p>
      <w:pPr>
        <w:spacing w:after="0" w:line="92" w:lineRule="exact"/>
        <w:rPr>
          <w:sz w:val="20"/>
          <w:szCs w:val="20"/>
          <w:color w:val="auto"/>
        </w:rPr>
      </w:pPr>
    </w:p>
    <w:p>
      <w:pPr>
        <w:ind w:left="380" w:right="399" w:firstLine="330"/>
        <w:spacing w:after="0" w:line="257" w:lineRule="auto"/>
        <w:rPr>
          <w:sz w:val="20"/>
          <w:szCs w:val="20"/>
          <w:color w:val="auto"/>
        </w:rPr>
      </w:pPr>
      <w:r>
        <w:rPr>
          <w:rFonts w:ascii="Times New Roman" w:cs="Times New Roman" w:eastAsia="Times New Roman" w:hAnsi="Times New Roman"/>
          <w:sz w:val="14"/>
          <w:szCs w:val="14"/>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15, 2023. The amount and timing of stock repurchases under the program may vary depending on market conditions, and no assurance can be given that any particular amount of common stock will be repurchased.</w:t>
      </w:r>
    </w:p>
    <w:p>
      <w:pPr>
        <w:spacing w:after="0" w:line="2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92" w:lineRule="exact"/>
        <w:rPr>
          <w:sz w:val="20"/>
          <w:szCs w:val="20"/>
          <w:color w:val="auto"/>
        </w:rPr>
      </w:pPr>
    </w:p>
    <w:p>
      <w:pPr>
        <w:ind w:left="380" w:right="499" w:firstLine="330"/>
        <w:spacing w:after="0" w:line="257" w:lineRule="auto"/>
        <w:rPr>
          <w:sz w:val="20"/>
          <w:szCs w:val="20"/>
          <w:color w:val="auto"/>
        </w:rPr>
      </w:pPr>
      <w:r>
        <w:rPr>
          <w:rFonts w:ascii="Times New Roman" w:cs="Times New Roman" w:eastAsia="Times New Roman" w:hAnsi="Times New Roman"/>
          <w:sz w:val="14"/>
          <w:szCs w:val="14"/>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2022 Annual Report and our 3Q 2023 Quarterly Report, as well as the other documents that are incorporated by reference in this prospectus or in any prospectus supplement, for a description of these and other risks relating to our business and investments in our securities, including that:</w:t>
      </w:r>
    </w:p>
    <w:p>
      <w:pPr>
        <w:spacing w:after="0" w:line="2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Risks Related to Our Business and Structure</w:t>
      </w:r>
    </w:p>
    <w:p>
      <w:pPr>
        <w:spacing w:after="0" w:line="103" w:lineRule="exact"/>
        <w:rPr>
          <w:sz w:val="20"/>
          <w:szCs w:val="20"/>
          <w:color w:val="auto"/>
        </w:rPr>
      </w:pPr>
    </w:p>
    <w:p>
      <w:pPr>
        <w:ind w:left="1100" w:hanging="400"/>
        <w:spacing w:after="0"/>
        <w:tabs>
          <w:tab w:leader="none" w:pos="1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upon management personnel of the Adviser, Sixth Street and their affiliates for our future success.</w:t>
      </w:r>
    </w:p>
    <w:p>
      <w:pPr>
        <w:spacing w:after="0" w:line="100" w:lineRule="exact"/>
        <w:rPr>
          <w:rFonts w:ascii="Times New Roman" w:cs="Times New Roman" w:eastAsia="Times New Roman" w:hAnsi="Times New Roman"/>
          <w:sz w:val="14"/>
          <w:szCs w:val="14"/>
          <w:color w:val="auto"/>
        </w:rPr>
      </w:pPr>
    </w:p>
    <w:p>
      <w:pPr>
        <w:ind w:left="1100" w:right="419" w:hanging="400"/>
        <w:spacing w:after="0" w:line="281" w:lineRule="auto"/>
        <w:tabs>
          <w:tab w:leader="none" w:pos="1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significant regulations governing our operation as a BDC, which affect our ability to, and the way in which we, raise additional capital. Changes in regulation could adversely affect our business.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405" w:right="1440" w:bottom="1440" w:gutter="0" w:footer="0" w:header="0"/>
        </w:sectPr>
      </w:pPr>
    </w:p>
    <w:bookmarkStart w:id="62" w:name="page63"/>
    <w:bookmarkEnd w:id="62"/>
    <w:p>
      <w:pPr>
        <w:ind w:left="1100" w:hanging="400"/>
        <w:spacing w:after="0"/>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51790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201535" cy="5179060"/>
                    </a:xfrm>
                    <a:prstGeom prst="rect">
                      <a:avLst/>
                    </a:prstGeom>
                    <a:noFill/>
                  </pic:spPr>
                </pic:pic>
              </a:graphicData>
            </a:graphic>
          </wp:anchor>
        </w:drawing>
        <w:t>We borrow money, which magnifies the potential for gain or loss and increases the risk of investing in us.</w:t>
      </w:r>
    </w:p>
    <w:p>
      <w:pPr>
        <w:spacing w:after="0" w:line="100"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market for investment opportunities.</w:t>
      </w:r>
    </w:p>
    <w:p>
      <w:pPr>
        <w:spacing w:after="0" w:line="100" w:lineRule="exact"/>
        <w:rPr>
          <w:rFonts w:ascii="Times New Roman" w:cs="Times New Roman" w:eastAsia="Times New Roman" w:hAnsi="Times New Roman"/>
          <w:sz w:val="14"/>
          <w:szCs w:val="14"/>
          <w:color w:val="auto"/>
        </w:rPr>
      </w:pPr>
    </w:p>
    <w:p>
      <w:pPr>
        <w:ind w:left="1100" w:right="839" w:hanging="400"/>
        <w:spacing w:after="0" w:line="281" w:lineRule="auto"/>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source investments, access financing or manage future growth effectively, we may be unable to achieve our investment objective.</w:t>
      </w:r>
    </w:p>
    <w:p>
      <w:pPr>
        <w:spacing w:after="0" w:line="52" w:lineRule="exact"/>
        <w:rPr>
          <w:rFonts w:ascii="Times New Roman" w:cs="Times New Roman" w:eastAsia="Times New Roman" w:hAnsi="Times New Roman"/>
          <w:sz w:val="14"/>
          <w:szCs w:val="14"/>
          <w:color w:val="auto"/>
        </w:rPr>
      </w:pPr>
    </w:p>
    <w:p>
      <w:pPr>
        <w:ind w:left="1100" w:right="399" w:hanging="400"/>
        <w:spacing w:after="0" w:line="281" w:lineRule="auto"/>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in the event the value of your investment declines, the Management Fee and, in certain circumstances, the Incentive Fee will still be payable to the Adviser.</w:t>
      </w:r>
    </w:p>
    <w:p>
      <w:pPr>
        <w:spacing w:after="0" w:line="52" w:lineRule="exact"/>
        <w:rPr>
          <w:rFonts w:ascii="Times New Roman" w:cs="Times New Roman" w:eastAsia="Times New Roman" w:hAnsi="Times New Roman"/>
          <w:sz w:val="14"/>
          <w:szCs w:val="14"/>
          <w:color w:val="auto"/>
        </w:rPr>
      </w:pPr>
    </w:p>
    <w:p>
      <w:pPr>
        <w:ind w:left="1100" w:right="519" w:hanging="400"/>
        <w:spacing w:after="0" w:line="281" w:lineRule="auto"/>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we do not realize income or choose not to retain after-tax realized net capital gains, we will have a greater need for additional capital to fund our investments and operating expenses.</w:t>
      </w:r>
    </w:p>
    <w:p>
      <w:pPr>
        <w:spacing w:after="0" w:line="52" w:lineRule="exact"/>
        <w:rPr>
          <w:rFonts w:ascii="Times New Roman" w:cs="Times New Roman" w:eastAsia="Times New Roman" w:hAnsi="Times New Roman"/>
          <w:sz w:val="14"/>
          <w:szCs w:val="14"/>
          <w:color w:val="auto"/>
        </w:rPr>
      </w:pPr>
    </w:p>
    <w:p>
      <w:pPr>
        <w:ind w:left="1100" w:right="419" w:hanging="400"/>
        <w:spacing w:after="0" w:line="281" w:lineRule="auto"/>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2" w:lineRule="exact"/>
        <w:rPr>
          <w:rFonts w:ascii="Times New Roman" w:cs="Times New Roman" w:eastAsia="Times New Roman" w:hAnsi="Times New Roman"/>
          <w:sz w:val="14"/>
          <w:szCs w:val="14"/>
          <w:color w:val="auto"/>
        </w:rPr>
      </w:pPr>
    </w:p>
    <w:p>
      <w:pPr>
        <w:ind w:left="1100" w:right="419" w:hanging="400"/>
        <w:spacing w:after="0" w:line="281" w:lineRule="auto"/>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 be expected to retain some income and capital gains in excess of what is permissible for excise tax purposes and such amounts will be subject to a nondeductible 4% U.S. federal excise tax.</w:t>
      </w:r>
    </w:p>
    <w:p>
      <w:pPr>
        <w:spacing w:after="0" w:line="52"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Adviser and its affiliates, officers and employees may face certain conflicts of interest.</w:t>
      </w:r>
    </w:p>
    <w:p>
      <w:pPr>
        <w:spacing w:after="0" w:line="100" w:lineRule="exact"/>
        <w:rPr>
          <w:rFonts w:ascii="Times New Roman" w:cs="Times New Roman" w:eastAsia="Times New Roman" w:hAnsi="Times New Roman"/>
          <w:sz w:val="14"/>
          <w:szCs w:val="14"/>
          <w:color w:val="auto"/>
        </w:rPr>
      </w:pPr>
    </w:p>
    <w:p>
      <w:pPr>
        <w:ind w:left="1100" w:right="419" w:hanging="400"/>
        <w:spacing w:after="0" w:line="265" w:lineRule="auto"/>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63" w:lineRule="exact"/>
        <w:rPr>
          <w:rFonts w:ascii="Times New Roman" w:cs="Times New Roman" w:eastAsia="Times New Roman" w:hAnsi="Times New Roman"/>
          <w:sz w:val="14"/>
          <w:szCs w:val="14"/>
          <w:color w:val="auto"/>
        </w:rPr>
      </w:pPr>
    </w:p>
    <w:p>
      <w:pPr>
        <w:ind w:left="1100" w:right="519" w:hanging="400"/>
        <w:spacing w:after="0" w:line="321" w:lineRule="auto"/>
        <w:tabs>
          <w:tab w:leader="none" w:pos="11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29" w:lineRule="exact"/>
        <w:rPr>
          <w:rFonts w:ascii="Times New Roman" w:cs="Times New Roman" w:eastAsia="Times New Roman" w:hAnsi="Times New Roman"/>
          <w:sz w:val="13"/>
          <w:szCs w:val="13"/>
          <w:color w:val="auto"/>
        </w:rPr>
      </w:pPr>
    </w:p>
    <w:p>
      <w:pPr>
        <w:ind w:left="1100" w:hanging="400"/>
        <w:spacing w:after="0"/>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maintain our status as a BDC would reduce our operating flexibility.</w:t>
      </w:r>
    </w:p>
    <w:p>
      <w:pPr>
        <w:spacing w:after="0" w:line="100"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incur significant costs as a result of being a publicly traded company.</w:t>
      </w:r>
    </w:p>
    <w:p>
      <w:pPr>
        <w:spacing w:after="0" w:line="100" w:lineRule="exact"/>
        <w:rPr>
          <w:rFonts w:ascii="Times New Roman" w:cs="Times New Roman" w:eastAsia="Times New Roman" w:hAnsi="Times New Roman"/>
          <w:sz w:val="14"/>
          <w:szCs w:val="14"/>
          <w:color w:val="auto"/>
        </w:rPr>
      </w:pPr>
    </w:p>
    <w:p>
      <w:pPr>
        <w:ind w:left="1100" w:right="799" w:hanging="400"/>
        <w:spacing w:after="0" w:line="281" w:lineRule="auto"/>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of the General Corporation Law of the State of Delaware and our certificate of incorporation and bylaws could deter takeover attempts and have an adverse effect on the price of our common stock.</w:t>
      </w:r>
    </w:p>
    <w:p>
      <w:pPr>
        <w:spacing w:after="0" w:line="52"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investors are limited in their ability to make significant investments in us.</w:t>
      </w:r>
    </w:p>
    <w:p>
      <w:pPr>
        <w:spacing w:after="0" w:line="100"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risks and cyber incidents may adversely affect our business or those of our portfolio companies.</w:t>
      </w:r>
    </w:p>
    <w:p>
      <w:pPr>
        <w:spacing w:after="0" w:line="100"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may change our investment objective, operating policies and strategies without prior notice or stockholder approval.</w:t>
      </w:r>
    </w:p>
    <w:p>
      <w:pPr>
        <w:spacing w:after="0" w:line="100" w:lineRule="exact"/>
        <w:rPr>
          <w:rFonts w:ascii="Times New Roman" w:cs="Times New Roman" w:eastAsia="Times New Roman" w:hAnsi="Times New Roman"/>
          <w:sz w:val="14"/>
          <w:szCs w:val="14"/>
          <w:color w:val="auto"/>
        </w:rPr>
      </w:pPr>
    </w:p>
    <w:p>
      <w:pPr>
        <w:ind w:left="1100" w:right="519" w:hanging="400"/>
        <w:spacing w:after="0" w:line="281" w:lineRule="auto"/>
        <w:tabs>
          <w:tab w:leader="none" w:pos="1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of our debt investments to our portfolio companies and our indebtedness that extend beyond 2023 might be subject to change based on recent regulatory changes.</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Risks Related to Economic Conditions</w:t>
      </w:r>
    </w:p>
    <w:p>
      <w:pPr>
        <w:spacing w:after="0" w:line="103" w:lineRule="exact"/>
        <w:rPr>
          <w:sz w:val="20"/>
          <w:szCs w:val="20"/>
          <w:color w:val="auto"/>
        </w:rPr>
      </w:pPr>
    </w:p>
    <w:p>
      <w:pPr>
        <w:ind w:left="1100" w:right="799" w:hanging="400"/>
        <w:spacing w:after="0" w:line="281" w:lineRule="auto"/>
        <w:tabs>
          <w:tab w:leader="none" w:pos="1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COVID-19 pandemic has materially and adversely affected, and is likely to continue to materially and adversely affect, our portfolio companies and the results of our operations, including our financial results.</w:t>
      </w:r>
    </w:p>
    <w:p>
      <w:pPr>
        <w:spacing w:after="0" w:line="52" w:lineRule="exact"/>
        <w:rPr>
          <w:rFonts w:ascii="Times New Roman" w:cs="Times New Roman" w:eastAsia="Times New Roman" w:hAnsi="Times New Roman"/>
          <w:sz w:val="14"/>
          <w:szCs w:val="14"/>
          <w:color w:val="auto"/>
        </w:rPr>
      </w:pPr>
    </w:p>
    <w:p>
      <w:pPr>
        <w:ind w:left="1100" w:right="439" w:hanging="400"/>
        <w:spacing w:after="0" w:line="281" w:lineRule="auto"/>
        <w:tabs>
          <w:tab w:leader="none" w:pos="1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state of the economy and financial markets increases the likelihood of adverse effects on our financial position and results of operations.</w:t>
      </w:r>
    </w:p>
    <w:p>
      <w:pPr>
        <w:spacing w:after="0" w:line="52" w:lineRule="exact"/>
        <w:rPr>
          <w:rFonts w:ascii="Times New Roman" w:cs="Times New Roman" w:eastAsia="Times New Roman" w:hAnsi="Times New Roman"/>
          <w:sz w:val="14"/>
          <w:szCs w:val="14"/>
          <w:color w:val="auto"/>
        </w:rPr>
      </w:pPr>
    </w:p>
    <w:p>
      <w:pPr>
        <w:ind w:left="1100" w:right="879" w:hanging="400"/>
        <w:spacing w:after="0" w:line="281" w:lineRule="auto"/>
        <w:tabs>
          <w:tab w:leader="none" w:pos="1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about financial stability could have a significant adverse effect on our business, results of operations and financial condition.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407" w:right="1440" w:bottom="1440" w:gutter="0" w:footer="0" w:header="0"/>
        </w:sectPr>
      </w:pPr>
    </w:p>
    <w:bookmarkStart w:id="63" w:name="page64"/>
    <w:bookmarkEnd w:id="63"/>
    <w:p>
      <w:pPr>
        <w:ind w:left="1100" w:hanging="400"/>
        <w:spacing w:after="0"/>
        <w:tabs>
          <w:tab w:leader="none" w:pos="1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5232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201535" cy="5232400"/>
                    </a:xfrm>
                    <a:prstGeom prst="rect">
                      <a:avLst/>
                    </a:prstGeom>
                    <a:noFill/>
                  </pic:spPr>
                </pic:pic>
              </a:graphicData>
            </a:graphic>
          </wp:anchor>
        </w:drawing>
        <w:t>Economic recessions or downturns could impair our portfolio companies and harm our operating results.</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Risks Related to Our Portfolio Company Investments</w:t>
      </w:r>
    </w:p>
    <w:p>
      <w:pPr>
        <w:spacing w:after="0" w:line="103" w:lineRule="exact"/>
        <w:rPr>
          <w:sz w:val="20"/>
          <w:szCs w:val="20"/>
          <w:color w:val="auto"/>
        </w:rPr>
      </w:pPr>
    </w:p>
    <w:p>
      <w:pPr>
        <w:ind w:left="1100" w:hanging="400"/>
        <w:spacing w:after="0"/>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investments are very risky and highly speculative.</w:t>
      </w:r>
    </w:p>
    <w:p>
      <w:pPr>
        <w:spacing w:after="0" w:line="100" w:lineRule="exact"/>
        <w:rPr>
          <w:rFonts w:ascii="Times New Roman" w:cs="Times New Roman" w:eastAsia="Times New Roman" w:hAnsi="Times New Roman"/>
          <w:sz w:val="14"/>
          <w:szCs w:val="14"/>
          <w:color w:val="auto"/>
        </w:rPr>
      </w:pPr>
    </w:p>
    <w:p>
      <w:pPr>
        <w:jc w:val="both"/>
        <w:ind w:left="1100" w:right="539" w:hanging="400"/>
        <w:spacing w:after="0" w:line="265" w:lineRule="auto"/>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3"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liquidity in our investments may adversely affect our business.</w:t>
      </w:r>
    </w:p>
    <w:p>
      <w:pPr>
        <w:spacing w:after="0" w:line="100" w:lineRule="exact"/>
        <w:rPr>
          <w:rFonts w:ascii="Times New Roman" w:cs="Times New Roman" w:eastAsia="Times New Roman" w:hAnsi="Times New Roman"/>
          <w:sz w:val="14"/>
          <w:szCs w:val="14"/>
          <w:color w:val="auto"/>
        </w:rPr>
      </w:pPr>
    </w:p>
    <w:p>
      <w:pPr>
        <w:ind w:left="1100" w:right="559" w:hanging="400"/>
        <w:spacing w:after="0" w:line="265" w:lineRule="auto"/>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63"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securitize certain of our investments, which may subject us to certain structured financing risks.</w:t>
      </w:r>
    </w:p>
    <w:p>
      <w:pPr>
        <w:spacing w:after="0" w:line="100" w:lineRule="exact"/>
        <w:rPr>
          <w:rFonts w:ascii="Times New Roman" w:cs="Times New Roman" w:eastAsia="Times New Roman" w:hAnsi="Times New Roman"/>
          <w:sz w:val="14"/>
          <w:szCs w:val="14"/>
          <w:color w:val="auto"/>
        </w:rPr>
      </w:pPr>
    </w:p>
    <w:p>
      <w:pPr>
        <w:ind w:left="1100" w:right="419" w:hanging="400"/>
        <w:spacing w:after="0" w:line="265" w:lineRule="auto"/>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63"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exposed to risks associated with changes in interest rates.</w:t>
      </w:r>
    </w:p>
    <w:p>
      <w:pPr>
        <w:spacing w:after="0" w:line="100"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realize expected returns on our invested capital.</w:t>
      </w:r>
    </w:p>
    <w:p>
      <w:pPr>
        <w:spacing w:after="0" w:line="100" w:lineRule="exact"/>
        <w:rPr>
          <w:rFonts w:ascii="Times New Roman" w:cs="Times New Roman" w:eastAsia="Times New Roman" w:hAnsi="Times New Roman"/>
          <w:sz w:val="14"/>
          <w:szCs w:val="14"/>
          <w:color w:val="auto"/>
        </w:rPr>
      </w:pPr>
    </w:p>
    <w:p>
      <w:pPr>
        <w:ind w:left="1100" w:right="459" w:hanging="400"/>
        <w:spacing w:after="0" w:line="281" w:lineRule="auto"/>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originating loans to companies that are experiencing significant financial or business difficulties, we may be exposed to distressed lending risks.</w:t>
      </w:r>
    </w:p>
    <w:p>
      <w:pPr>
        <w:spacing w:after="0" w:line="52" w:lineRule="exact"/>
        <w:rPr>
          <w:rFonts w:ascii="Times New Roman" w:cs="Times New Roman" w:eastAsia="Times New Roman" w:hAnsi="Times New Roman"/>
          <w:sz w:val="14"/>
          <w:szCs w:val="14"/>
          <w:color w:val="auto"/>
        </w:rPr>
      </w:pPr>
    </w:p>
    <w:p>
      <w:pPr>
        <w:ind w:left="1100" w:right="399" w:hanging="400"/>
        <w:spacing w:after="0" w:line="281" w:lineRule="auto"/>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portfolio companies in some cases may incur debt or issue equity securities that rank equally with, or senior to, our investments in those companies and we may be exposed to special risks associated with bankruptcy cases.</w:t>
      </w:r>
    </w:p>
    <w:p>
      <w:pPr>
        <w:spacing w:after="0" w:line="52"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make follow-on investments in our portfolio companies could impair the value of our investments.</w:t>
      </w:r>
    </w:p>
    <w:p>
      <w:pPr>
        <w:spacing w:after="0" w:line="100"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transactions with our affiliates is restricted.</w:t>
      </w:r>
    </w:p>
    <w:p>
      <w:pPr>
        <w:spacing w:after="0" w:line="100"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acquisitions or strategic investments that we pursue are subject to risks and uncertainties.</w:t>
      </w:r>
    </w:p>
    <w:p>
      <w:pPr>
        <w:spacing w:after="0" w:line="100" w:lineRule="exact"/>
        <w:rPr>
          <w:rFonts w:ascii="Times New Roman" w:cs="Times New Roman" w:eastAsia="Times New Roman" w:hAnsi="Times New Roman"/>
          <w:sz w:val="14"/>
          <w:szCs w:val="14"/>
          <w:color w:val="auto"/>
        </w:rPr>
      </w:pPr>
    </w:p>
    <w:p>
      <w:pPr>
        <w:ind w:left="1100" w:right="459" w:hanging="400"/>
        <w:spacing w:after="0" w:line="281" w:lineRule="auto"/>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guarantee that we will be able to obtain various required licenses in U.S. states or in any other jurisdiction where they may be required in the future.</w:t>
      </w:r>
    </w:p>
    <w:p>
      <w:pPr>
        <w:spacing w:after="0" w:line="52"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investments in foreign companies may involve significant risks in addition to the risks inherent in U.S. investments.</w:t>
      </w:r>
    </w:p>
    <w:p>
      <w:pPr>
        <w:spacing w:after="0" w:line="100"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expose ourselves to risks when we engage in hedging transactions.</w:t>
      </w:r>
    </w:p>
    <w:p>
      <w:pPr>
        <w:spacing w:after="0" w:line="100" w:lineRule="exact"/>
        <w:rPr>
          <w:rFonts w:ascii="Times New Roman" w:cs="Times New Roman" w:eastAsia="Times New Roman" w:hAnsi="Times New Roman"/>
          <w:sz w:val="14"/>
          <w:szCs w:val="14"/>
          <w:color w:val="auto"/>
        </w:rPr>
      </w:pPr>
    </w:p>
    <w:p>
      <w:pPr>
        <w:ind w:left="1100" w:right="699" w:hanging="400"/>
        <w:spacing w:after="0" w:line="281" w:lineRule="auto"/>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market structure applicable to derivatives imposed by the Dodd-Frank Act may affect our ability to use over-the-counter (“OTC”) derivatives for hedging purposes.</w:t>
      </w:r>
    </w:p>
    <w:p>
      <w:pPr>
        <w:spacing w:after="0" w:line="52" w:lineRule="exact"/>
        <w:rPr>
          <w:rFonts w:ascii="Times New Roman" w:cs="Times New Roman" w:eastAsia="Times New Roman" w:hAnsi="Times New Roman"/>
          <w:sz w:val="14"/>
          <w:szCs w:val="14"/>
          <w:color w:val="auto"/>
        </w:rPr>
      </w:pPr>
    </w:p>
    <w:p>
      <w:pPr>
        <w:ind w:left="1100" w:right="439" w:hanging="400"/>
        <w:spacing w:after="0" w:line="281" w:lineRule="auto"/>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portfolio investments may present special tax issues, and there are certain risks associated with holding debt obligations that have original issue discount or payment-in-kind interest.</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Risks Related to Our Securities</w:t>
      </w:r>
    </w:p>
    <w:p>
      <w:pPr>
        <w:spacing w:after="0" w:line="103" w:lineRule="exact"/>
        <w:rPr>
          <w:sz w:val="20"/>
          <w:szCs w:val="20"/>
          <w:color w:val="auto"/>
        </w:rPr>
      </w:pPr>
    </w:p>
    <w:p>
      <w:pPr>
        <w:ind w:left="1100" w:hanging="400"/>
        <w:spacing w:after="0"/>
        <w:tabs>
          <w:tab w:leader="none" w:pos="1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 risk that investors in our common stock may not receive dividends or that our dividends may not grow over time.</w:t>
      </w:r>
    </w:p>
    <w:p>
      <w:pPr>
        <w:spacing w:after="0" w:line="257" w:lineRule="exact"/>
        <w:rPr>
          <w:rFonts w:ascii="Times New Roman" w:cs="Times New Roman" w:eastAsia="Times New Roman" w:hAnsi="Times New Roman"/>
          <w:sz w:val="14"/>
          <w:szCs w:val="14"/>
          <w:color w:val="auto"/>
        </w:rPr>
      </w:pPr>
    </w:p>
    <w:p>
      <w:pPr>
        <w:ind w:left="4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407" w:right="1440" w:bottom="1440" w:gutter="0" w:footer="0" w:header="0"/>
        </w:sectPr>
      </w:pPr>
    </w:p>
    <w:bookmarkStart w:id="64" w:name="page65"/>
    <w:bookmarkEnd w:id="64"/>
    <w:p>
      <w:pPr>
        <w:ind w:left="1100" w:right="399" w:hanging="400"/>
        <w:spacing w:after="0" w:line="281" w:lineRule="auto"/>
        <w:tabs>
          <w:tab w:leader="none" w:pos="1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7275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201535" cy="4727575"/>
                    </a:xfrm>
                    <a:prstGeom prst="rect">
                      <a:avLst/>
                    </a:prstGeom>
                    <a:noFill/>
                  </pic:spPr>
                </pic:pic>
              </a:graphicData>
            </a:graphic>
          </wp:anchor>
        </w:drawing>
        <w:t>Investing in our securities may involve a high degree of risk and the market price of our common stock may fluctuate significantly and could decline.</w:t>
      </w:r>
    </w:p>
    <w:p>
      <w:pPr>
        <w:spacing w:after="0" w:line="52"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stockholders will experience dilution in their ownership percentage if they opt out of our dividend reinvestment plan.</w:t>
      </w:r>
    </w:p>
    <w:p>
      <w:pPr>
        <w:spacing w:after="0" w:line="100" w:lineRule="exact"/>
        <w:rPr>
          <w:rFonts w:ascii="Times New Roman" w:cs="Times New Roman" w:eastAsia="Times New Roman" w:hAnsi="Times New Roman"/>
          <w:sz w:val="14"/>
          <w:szCs w:val="14"/>
          <w:color w:val="auto"/>
        </w:rPr>
      </w:pPr>
    </w:p>
    <w:p>
      <w:pPr>
        <w:ind w:left="1100" w:right="539" w:hanging="400"/>
        <w:spacing w:after="0" w:line="281" w:lineRule="auto"/>
        <w:tabs>
          <w:tab w:leader="none" w:pos="1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of our common stock by us under the Company 10b5-1 Plan may result in dilution to our net asset value per share and the price of our common stock being higher than the price that otherwise might exist in the open market.</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General Risk Factors</w:t>
      </w:r>
    </w:p>
    <w:p>
      <w:pPr>
        <w:spacing w:after="0" w:line="103" w:lineRule="exact"/>
        <w:rPr>
          <w:sz w:val="20"/>
          <w:szCs w:val="20"/>
          <w:color w:val="auto"/>
        </w:rPr>
      </w:pPr>
    </w:p>
    <w:p>
      <w:pPr>
        <w:ind w:left="1100" w:right="639" w:hanging="400"/>
        <w:spacing w:after="0" w:line="281" w:lineRule="auto"/>
        <w:tabs>
          <w:tab w:leader="none" w:pos="1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highly dependent on information systems and systems failures could significantly disrupt our business, which may, in turn, negatively affect the market price of our common stock and our ability to pay dividend.</w:t>
      </w:r>
    </w:p>
    <w:p>
      <w:pPr>
        <w:spacing w:after="0" w:line="52"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governing our operations may adversely affect our business.</w:t>
      </w:r>
    </w:p>
    <w:p>
      <w:pPr>
        <w:spacing w:after="0" w:line="100"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global climate change may impact the operations of our portfolio companies.</w:t>
      </w:r>
    </w:p>
    <w:p>
      <w:pPr>
        <w:spacing w:after="0" w:line="100"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Legislation allows us to incur additional leverage.</w:t>
      </w:r>
    </w:p>
    <w:p>
      <w:pPr>
        <w:spacing w:after="0" w:line="100"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borrow money, which magnifies the potential for gain or loss and increases the risk of investing in us.</w:t>
      </w:r>
    </w:p>
    <w:p>
      <w:pPr>
        <w:spacing w:after="0" w:line="100"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governing our operation as a BDC affect our ability to, and the way in which we, raise additional capital.</w:t>
      </w:r>
    </w:p>
    <w:p>
      <w:pPr>
        <w:spacing w:after="0" w:line="100"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could adversely affect our business, financial conditions or results of operations.</w:t>
      </w:r>
    </w:p>
    <w:p>
      <w:pPr>
        <w:spacing w:after="0" w:line="100" w:lineRule="exact"/>
        <w:rPr>
          <w:rFonts w:ascii="Times New Roman" w:cs="Times New Roman" w:eastAsia="Times New Roman" w:hAnsi="Times New Roman"/>
          <w:sz w:val="14"/>
          <w:szCs w:val="14"/>
          <w:color w:val="auto"/>
        </w:rPr>
      </w:pPr>
    </w:p>
    <w:p>
      <w:pPr>
        <w:ind w:left="1100" w:right="399" w:hanging="400"/>
        <w:spacing w:after="0" w:line="281" w:lineRule="auto"/>
        <w:tabs>
          <w:tab w:leader="none" w:pos="1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in the event the value of your investment declines, the Management Fee and, in certain circumstances, the Incentive Fee will still be payable to the Adviser.</w:t>
      </w:r>
    </w:p>
    <w:p>
      <w:pPr>
        <w:spacing w:after="0" w:line="52"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have broad discretion over the use of proceeds of any offering made pursuant to this prospectus, to the extent it is successful.</w:t>
      </w:r>
    </w:p>
    <w:p>
      <w:pPr>
        <w:spacing w:after="0" w:line="100" w:lineRule="exact"/>
        <w:rPr>
          <w:rFonts w:ascii="Times New Roman" w:cs="Times New Roman" w:eastAsia="Times New Roman" w:hAnsi="Times New Roman"/>
          <w:sz w:val="14"/>
          <w:szCs w:val="14"/>
          <w:color w:val="auto"/>
        </w:rPr>
      </w:pPr>
    </w:p>
    <w:p>
      <w:pPr>
        <w:ind w:left="1100" w:right="519" w:hanging="400"/>
        <w:spacing w:after="0" w:line="281" w:lineRule="auto"/>
        <w:tabs>
          <w:tab w:leader="none" w:pos="1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asset value per share of our common stock may be diluted if we sell or otherwise issue shares of our common stock at prices below the then-current net asset value per share of our common stock.</w:t>
      </w:r>
    </w:p>
    <w:p>
      <w:pPr>
        <w:spacing w:after="0" w:line="52" w:lineRule="exact"/>
        <w:rPr>
          <w:rFonts w:ascii="Times New Roman" w:cs="Times New Roman" w:eastAsia="Times New Roman" w:hAnsi="Times New Roman"/>
          <w:sz w:val="14"/>
          <w:szCs w:val="14"/>
          <w:color w:val="auto"/>
        </w:rPr>
      </w:pPr>
    </w:p>
    <w:p>
      <w:pPr>
        <w:ind w:left="1100" w:right="519" w:hanging="400"/>
        <w:spacing w:after="0" w:line="265" w:lineRule="auto"/>
        <w:tabs>
          <w:tab w:leader="none" w:pos="1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63" w:lineRule="exact"/>
        <w:rPr>
          <w:rFonts w:ascii="Times New Roman" w:cs="Times New Roman" w:eastAsia="Times New Roman" w:hAnsi="Times New Roman"/>
          <w:sz w:val="14"/>
          <w:szCs w:val="14"/>
          <w:color w:val="auto"/>
        </w:rPr>
      </w:pPr>
    </w:p>
    <w:p>
      <w:pPr>
        <w:ind w:left="1100" w:right="719" w:hanging="400"/>
        <w:spacing w:after="0" w:line="281" w:lineRule="auto"/>
        <w:tabs>
          <w:tab w:leader="none" w:pos="1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 the future determine to issue preferred stock, which could adversely affect the market value of our common stock and cause the net asset value and market value of our common stock to be more volatile.</w:t>
      </w:r>
    </w:p>
    <w:p>
      <w:pPr>
        <w:spacing w:after="0" w:line="52" w:lineRule="exact"/>
        <w:rPr>
          <w:rFonts w:ascii="Times New Roman" w:cs="Times New Roman" w:eastAsia="Times New Roman" w:hAnsi="Times New Roman"/>
          <w:sz w:val="14"/>
          <w:szCs w:val="14"/>
          <w:color w:val="auto"/>
        </w:rPr>
      </w:pPr>
    </w:p>
    <w:p>
      <w:pPr>
        <w:ind w:left="1100" w:right="499" w:hanging="400"/>
        <w:spacing w:after="0" w:line="281" w:lineRule="auto"/>
        <w:tabs>
          <w:tab w:leader="none" w:pos="1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any preferred stock we might issue would have the right to elect members of the board of directors and class voting rights on certain matters.</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2" w:lineRule="exact"/>
        <w:rPr>
          <w:sz w:val="20"/>
          <w:szCs w:val="20"/>
          <w:color w:val="auto"/>
        </w:rPr>
      </w:pPr>
    </w:p>
    <w:p>
      <w:pPr>
        <w:ind w:left="380" w:right="499" w:firstLine="330"/>
        <w:spacing w:after="0" w:line="265" w:lineRule="auto"/>
        <w:rPr>
          <w:sz w:val="20"/>
          <w:szCs w:val="20"/>
          <w:color w:val="auto"/>
        </w:rPr>
      </w:pPr>
      <w:r>
        <w:rPr>
          <w:rFonts w:ascii="Times New Roman" w:cs="Times New Roman" w:eastAsia="Times New Roman" w:hAnsi="Times New Roman"/>
          <w:sz w:val="14"/>
          <w:szCs w:val="14"/>
          <w:color w:val="auto"/>
        </w:rPr>
        <w:t>Our principal executive offices are located at 2100 McKinney Avenue, Suite 1500, Dallas, TX 75201 and our telephone number is (469) 621-3001. Our corporate website is located at https://sixthstreetspecialtylending.com. Information on our website is not incorporated into or a part of this prospectus.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407"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345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201535" cy="4534535"/>
                    </a:xfrm>
                    <a:prstGeom prst="rect">
                      <a:avLst/>
                    </a:prstGeom>
                    <a:noFill/>
                  </pic:spPr>
                </pic:pic>
              </a:graphicData>
            </a:graphic>
          </wp:anchor>
        </w:drawing>
        <w:t>THE OFFERING</w:t>
      </w:r>
    </w:p>
    <w:p>
      <w:pPr>
        <w:spacing w:after="0" w:line="176" w:lineRule="exact"/>
        <w:rPr>
          <w:sz w:val="20"/>
          <w:szCs w:val="20"/>
          <w:color w:val="auto"/>
        </w:rPr>
      </w:pPr>
    </w:p>
    <w:p>
      <w:pPr>
        <w:ind w:left="380" w:right="419" w:firstLine="330"/>
        <w:spacing w:after="0" w:line="272" w:lineRule="auto"/>
        <w:rPr>
          <w:sz w:val="20"/>
          <w:szCs w:val="20"/>
          <w:color w:val="auto"/>
        </w:rPr>
      </w:pPr>
      <w:r>
        <w:rPr>
          <w:rFonts w:ascii="Times New Roman" w:cs="Times New Roman" w:eastAsia="Times New Roman" w:hAnsi="Times New Roman"/>
          <w:sz w:val="13"/>
          <w:szCs w:val="13"/>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3" w:lineRule="exact"/>
        <w:rPr>
          <w:sz w:val="20"/>
          <w:szCs w:val="20"/>
          <w:color w:val="auto"/>
        </w:rPr>
      </w:pPr>
    </w:p>
    <w:p>
      <w:pPr>
        <w:ind w:left="380" w:right="519" w:hanging="4"/>
        <w:spacing w:after="0" w:line="254" w:lineRule="auto"/>
        <w:tabs>
          <w:tab w:leader="none" w:pos="577"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44" w:lineRule="exact"/>
        <w:rPr>
          <w:sz w:val="20"/>
          <w:szCs w:val="20"/>
          <w:color w:val="auto"/>
        </w:rPr>
      </w:pPr>
    </w:p>
    <w:p>
      <w:pPr>
        <w:ind w:left="380" w:right="459" w:firstLine="330"/>
        <w:spacing w:after="0" w:line="265" w:lineRule="auto"/>
        <w:rPr>
          <w:sz w:val="20"/>
          <w:szCs w:val="20"/>
          <w:color w:val="auto"/>
        </w:rPr>
      </w:pPr>
      <w:r>
        <w:rPr>
          <w:rFonts w:ascii="Times New Roman" w:cs="Times New Roman" w:eastAsia="Times New Roman" w:hAnsi="Times New Roman"/>
          <w:sz w:val="14"/>
          <w:szCs w:val="14"/>
          <w:color w:val="auto"/>
        </w:rPr>
        <w:t>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intend to propose the extension of this approval in future years.</w:t>
      </w:r>
    </w:p>
    <w:p>
      <w:pPr>
        <w:spacing w:after="0" w:line="136" w:lineRule="exact"/>
        <w:rPr>
          <w:sz w:val="20"/>
          <w:szCs w:val="20"/>
          <w:color w:val="auto"/>
        </w:rPr>
      </w:pPr>
    </w:p>
    <w:p>
      <w:pPr>
        <w:ind w:left="380" w:right="459" w:firstLine="330"/>
        <w:spacing w:after="0" w:line="255" w:lineRule="auto"/>
        <w:rPr>
          <w:sz w:val="20"/>
          <w:szCs w:val="20"/>
          <w:color w:val="auto"/>
        </w:rPr>
      </w:pPr>
      <w:r>
        <w:rPr>
          <w:rFonts w:ascii="Times New Roman" w:cs="Times New Roman" w:eastAsia="Times New Roman" w:hAnsi="Times New Roman"/>
          <w:sz w:val="14"/>
          <w:szCs w:val="14"/>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Set forth below is additional information regarding offerings of our securities:</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2" w:lineRule="exact"/>
        <w:rPr>
          <w:sz w:val="20"/>
          <w:szCs w:val="20"/>
          <w:color w:val="auto"/>
        </w:rPr>
      </w:pPr>
    </w:p>
    <w:p>
      <w:pPr>
        <w:ind w:left="380" w:right="599" w:firstLine="743"/>
        <w:spacing w:after="0" w:line="265" w:lineRule="auto"/>
        <w:rPr>
          <w:sz w:val="20"/>
          <w:szCs w:val="20"/>
          <w:color w:val="auto"/>
        </w:rPr>
      </w:pPr>
      <w:r>
        <w:rPr>
          <w:rFonts w:ascii="Times New Roman" w:cs="Times New Roman" w:eastAsia="Times New Roman" w:hAnsi="Times New Roman"/>
          <w:sz w:val="14"/>
          <w:szCs w:val="14"/>
          <w:color w:val="auto"/>
        </w:rPr>
        <w:t>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w:t>
      </w:r>
    </w:p>
    <w:p>
      <w:pPr>
        <w:spacing w:after="0" w:line="136" w:lineRule="exact"/>
        <w:rPr>
          <w:sz w:val="20"/>
          <w:szCs w:val="20"/>
          <w:color w:val="auto"/>
        </w:rPr>
      </w:pPr>
    </w:p>
    <w:p>
      <w:pPr>
        <w:ind w:left="380" w:right="619" w:firstLine="330"/>
        <w:spacing w:after="0" w:line="281" w:lineRule="auto"/>
        <w:rPr>
          <w:sz w:val="20"/>
          <w:szCs w:val="20"/>
          <w:color w:val="auto"/>
        </w:rPr>
      </w:pPr>
      <w:r>
        <w:rPr>
          <w:rFonts w:ascii="Times New Roman" w:cs="Times New Roman" w:eastAsia="Times New Roman" w:hAnsi="Times New Roman"/>
          <w:sz w:val="14"/>
          <w:szCs w:val="14"/>
          <w:color w:val="auto"/>
        </w:rPr>
        <w:t>Each supplement to this prospectus relating to an offering will more fully identify the use of the proceeds from such offering. See “Use of Proceeds.”</w:t>
      </w:r>
    </w:p>
    <w:p>
      <w:pPr>
        <w:spacing w:after="0" w:line="144"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2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Symbol on the NYSE</w:t>
            </w:r>
          </w:p>
        </w:tc>
        <w:tc>
          <w:tcPr>
            <w:tcW w:w="63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“TSLX”</w:t>
            </w:r>
          </w:p>
        </w:tc>
      </w:tr>
      <w:tr>
        <w:trPr>
          <w:trHeight w:val="320"/>
        </w:trPr>
        <w:tc>
          <w:tcPr>
            <w:tcW w:w="2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Distributions</w:t>
            </w:r>
          </w:p>
        </w:tc>
        <w:tc>
          <w:tcPr>
            <w:tcW w:w="63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To the extent we have earnings available for distribution, we expect to continue distributing</w:t>
            </w:r>
          </w:p>
        </w:tc>
      </w:tr>
      <w:tr>
        <w:trPr>
          <w:trHeight w:val="167"/>
        </w:trPr>
        <w:tc>
          <w:tcPr>
            <w:tcW w:w="2240" w:type="dxa"/>
            <w:vAlign w:val="bottom"/>
          </w:tcPr>
          <w:p>
            <w:pPr>
              <w:spacing w:after="0"/>
              <w:rPr>
                <w:sz w:val="14"/>
                <w:szCs w:val="14"/>
                <w:color w:val="auto"/>
              </w:rPr>
            </w:pPr>
          </w:p>
        </w:tc>
        <w:tc>
          <w:tcPr>
            <w:tcW w:w="63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quarterly dividends to our stockholders. The specific tax characteristics of our distributions will</w:t>
            </w:r>
          </w:p>
        </w:tc>
      </w:tr>
      <w:tr>
        <w:trPr>
          <w:trHeight w:val="167"/>
        </w:trPr>
        <w:tc>
          <w:tcPr>
            <w:tcW w:w="2240" w:type="dxa"/>
            <w:vAlign w:val="bottom"/>
          </w:tcPr>
          <w:p>
            <w:pPr>
              <w:spacing w:after="0"/>
              <w:rPr>
                <w:sz w:val="14"/>
                <w:szCs w:val="14"/>
                <w:color w:val="auto"/>
              </w:rPr>
            </w:pPr>
          </w:p>
        </w:tc>
        <w:tc>
          <w:tcPr>
            <w:tcW w:w="63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be reported to stockholders after the end of the calendar year. Future quarterly dividends, if any,</w:t>
            </w:r>
          </w:p>
        </w:tc>
      </w:tr>
      <w:tr>
        <w:trPr>
          <w:trHeight w:val="182"/>
        </w:trPr>
        <w:tc>
          <w:tcPr>
            <w:tcW w:w="2240" w:type="dxa"/>
            <w:vAlign w:val="bottom"/>
          </w:tcPr>
          <w:p>
            <w:pPr>
              <w:spacing w:after="0"/>
              <w:rPr>
                <w:sz w:val="15"/>
                <w:szCs w:val="15"/>
                <w:color w:val="auto"/>
              </w:rPr>
            </w:pPr>
          </w:p>
        </w:tc>
        <w:tc>
          <w:tcPr>
            <w:tcW w:w="63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will be determined by our Board. See “Price Range of Common Stock and Distributions.”</w:t>
            </w:r>
          </w:p>
        </w:tc>
      </w:tr>
      <w:tr>
        <w:trPr>
          <w:trHeight w:val="121"/>
        </w:trPr>
        <w:tc>
          <w:tcPr>
            <w:tcW w:w="2240" w:type="dxa"/>
            <w:vAlign w:val="bottom"/>
            <w:tcBorders>
              <w:bottom w:val="single" w:sz="8" w:color="auto"/>
            </w:tcBorders>
          </w:tcPr>
          <w:p>
            <w:pPr>
              <w:spacing w:after="0"/>
              <w:rPr>
                <w:sz w:val="10"/>
                <w:szCs w:val="10"/>
                <w:color w:val="auto"/>
              </w:rPr>
            </w:pPr>
          </w:p>
        </w:tc>
        <w:tc>
          <w:tcPr>
            <w:tcW w:w="6320" w:type="dxa"/>
            <w:vAlign w:val="bottom"/>
            <w:tcBorders>
              <w:bottom w:val="single" w:sz="8" w:color="auto"/>
            </w:tcBorders>
          </w:tcPr>
          <w:p>
            <w:pPr>
              <w:spacing w:after="0"/>
              <w:rPr>
                <w:sz w:val="10"/>
                <w:szCs w:val="10"/>
                <w:color w:val="auto"/>
              </w:rPr>
            </w:pPr>
          </w:p>
        </w:tc>
      </w:tr>
      <w:tr>
        <w:trPr>
          <w:trHeight w:val="278"/>
        </w:trPr>
        <w:tc>
          <w:tcPr>
            <w:tcW w:w="2240" w:type="dxa"/>
            <w:vAlign w:val="bottom"/>
          </w:tcPr>
          <w:p>
            <w:pPr>
              <w:spacing w:after="0"/>
              <w:rPr>
                <w:sz w:val="24"/>
                <w:szCs w:val="24"/>
                <w:color w:val="auto"/>
              </w:rPr>
            </w:pPr>
          </w:p>
        </w:tc>
        <w:tc>
          <w:tcPr>
            <w:tcW w:w="632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14</w:t>
            </w:r>
          </w:p>
        </w:tc>
      </w:tr>
    </w:tbl>
    <w:p>
      <w:pPr>
        <w:sectPr>
          <w:pgSz w:w="11900" w:h="16838" w:orient="portrait"/>
          <w:cols w:equalWidth="0" w:num="1">
            <w:col w:w="9019"/>
          </w:cols>
          <w:pgMar w:left="1440" w:top="405" w:right="1440" w:bottom="1440" w:gutter="0" w:footer="0" w:header="0"/>
        </w:sectPr>
      </w:pPr>
    </w:p>
    <w:bookmarkStart w:id="66" w:name="page67"/>
    <w:bookmarkEnd w:id="66"/>
    <w:p>
      <w:pPr>
        <w:ind w:left="32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740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201535" cy="4740910"/>
                    </a:xfrm>
                    <a:prstGeom prst="rect">
                      <a:avLst/>
                    </a:prstGeom>
                    <a:noFill/>
                  </pic:spPr>
                </pic:pic>
              </a:graphicData>
            </a:graphic>
          </wp:anchor>
        </w:drawing>
        <w:t>To maintain our tax treatment as a RIC, we must make certain distributions. See “Material U.S.</w:t>
      </w:r>
    </w:p>
    <w:p>
      <w:pPr>
        <w:spacing w:after="0" w:line="3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color w:val="auto"/>
        </w:rPr>
        <w:t>Federal Income Tax Considerations-Regulated Investment Company Classification.”</w:t>
      </w:r>
    </w:p>
    <w:p>
      <w:pPr>
        <w:sectPr>
          <w:pgSz w:w="11900" w:h="16838" w:orient="portrait"/>
          <w:cols w:equalWidth="0" w:num="1">
            <w:col w:w="9019"/>
          </w:cols>
          <w:pgMar w:left="1440" w:top="596" w:right="1440" w:bottom="1440" w:gutter="0" w:footer="0" w:header="0"/>
        </w:sectPr>
      </w:pP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Anti-Takeover Provisions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399"/>
        <w:spacing w:after="0" w:line="257" w:lineRule="auto"/>
        <w:rPr>
          <w:sz w:val="20"/>
          <w:szCs w:val="20"/>
          <w:color w:val="auto"/>
        </w:rPr>
      </w:pPr>
      <w:r>
        <w:rPr>
          <w:rFonts w:ascii="Times New Roman" w:cs="Times New Roman" w:eastAsia="Times New Roman" w:hAnsi="Times New Roman"/>
          <w:sz w:val="14"/>
          <w:szCs w:val="14"/>
          <w:color w:val="auto"/>
        </w:rPr>
        <w:t>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w:t>
      </w:r>
    </w:p>
    <w:p>
      <w:pPr>
        <w:spacing w:after="0" w:line="141" w:lineRule="exact"/>
        <w:rPr>
          <w:sz w:val="20"/>
          <w:szCs w:val="20"/>
          <w:color w:val="auto"/>
        </w:rPr>
      </w:pPr>
    </w:p>
    <w:p>
      <w:pPr>
        <w:sectPr>
          <w:pgSz w:w="11900" w:h="16838" w:orient="portrait"/>
          <w:cols w:equalWidth="0" w:num="2">
            <w:col w:w="2540" w:space="720"/>
            <w:col w:w="5759"/>
          </w:cols>
          <w:pgMar w:left="1440" w:top="596" w:right="1440"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4"/>
          <w:szCs w:val="14"/>
          <w:b w:val="1"/>
          <w:bCs w:val="1"/>
          <w:color w:val="auto"/>
        </w:rPr>
        <w:t>Leverage</w:t>
      </w:r>
    </w:p>
    <w:p>
      <w:pPr>
        <w:spacing w:after="0" w:line="20" w:lineRule="exact"/>
        <w:rPr>
          <w:sz w:val="20"/>
          <w:szCs w:val="20"/>
          <w:color w:val="auto"/>
        </w:rPr>
      </w:pPr>
      <w:r>
        <w:rPr>
          <w:sz w:val="20"/>
          <w:szCs w:val="20"/>
          <w:color w:val="auto"/>
        </w:rPr>
        <w:br w:type="column"/>
      </w:r>
    </w:p>
    <w:p>
      <w:pPr>
        <w:ind w:right="419"/>
        <w:spacing w:after="0" w:line="265" w:lineRule="auto"/>
        <w:rPr>
          <w:sz w:val="20"/>
          <w:szCs w:val="20"/>
          <w:color w:val="auto"/>
        </w:rPr>
      </w:pPr>
      <w:r>
        <w:rPr>
          <w:rFonts w:ascii="Times New Roman" w:cs="Times New Roman" w:eastAsia="Times New Roman" w:hAnsi="Times New Roman"/>
          <w:sz w:val="14"/>
          <w:szCs w:val="14"/>
          <w:color w:val="auto"/>
        </w:rPr>
        <w:t>As a BDC, we are permitted under the 1940 Act to borrow funds or issue senior securities to finance a portion of our investments. As a result, we are exposed to the risks of leverage, which may be considered a speculative investment technique.</w:t>
      </w:r>
    </w:p>
    <w:p>
      <w:pPr>
        <w:spacing w:after="0" w:line="157" w:lineRule="exact"/>
        <w:rPr>
          <w:sz w:val="20"/>
          <w:szCs w:val="20"/>
          <w:color w:val="auto"/>
        </w:rPr>
      </w:pPr>
    </w:p>
    <w:p>
      <w:pPr>
        <w:sectPr>
          <w:pgSz w:w="11900" w:h="16838" w:orient="portrait"/>
          <w:cols w:equalWidth="0" w:num="2">
            <w:col w:w="2540" w:space="720"/>
            <w:col w:w="5759"/>
          </w:cols>
          <w:pgMar w:left="1440" w:top="596" w:right="1440" w:bottom="1440" w:gutter="0" w:footer="0" w:header="0"/>
          <w:type w:val="continuous"/>
        </w:sectPr>
      </w:pPr>
    </w:p>
    <w:p>
      <w:pPr>
        <w:ind w:left="3260" w:right="499"/>
        <w:spacing w:after="0" w:line="254" w:lineRule="auto"/>
        <w:rPr>
          <w:sz w:val="20"/>
          <w:szCs w:val="20"/>
          <w:color w:val="auto"/>
        </w:rPr>
      </w:pPr>
      <w:r>
        <w:rPr>
          <w:rFonts w:ascii="Times New Roman" w:cs="Times New Roman" w:eastAsia="Times New Roman" w:hAnsi="Times New Roman"/>
          <w:sz w:val="14"/>
          <w:szCs w:val="14"/>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“Regulation as a Business Development Company” in Part I, Item 1 of our 2022 Annual Report.</w:t>
      </w:r>
    </w:p>
    <w:p>
      <w:pPr>
        <w:sectPr>
          <w:pgSz w:w="11900" w:h="16838" w:orient="portrait"/>
          <w:cols w:equalWidth="0" w:num="1">
            <w:col w:w="9019"/>
          </w:cols>
          <w:pgMar w:left="1440" w:top="596" w:right="1440" w:bottom="1440" w:gutter="0" w:footer="0" w:header="0"/>
          <w:type w:val="continuous"/>
        </w:sectPr>
      </w:pP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Dividend Reinvestment Plan</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399"/>
        <w:spacing w:after="0" w:line="255" w:lineRule="auto"/>
        <w:rPr>
          <w:sz w:val="20"/>
          <w:szCs w:val="20"/>
          <w:color w:val="auto"/>
        </w:rPr>
      </w:pPr>
      <w:r>
        <w:rPr>
          <w:rFonts w:ascii="Times New Roman" w:cs="Times New Roman" w:eastAsia="Times New Roman" w:hAnsi="Times New Roman"/>
          <w:sz w:val="14"/>
          <w:szCs w:val="14"/>
          <w:color w:val="auto"/>
        </w:rPr>
        <w:t>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w:t>
      </w:r>
    </w:p>
    <w:p>
      <w:pPr>
        <w:spacing w:after="0" w:line="144" w:lineRule="exact"/>
        <w:rPr>
          <w:sz w:val="20"/>
          <w:szCs w:val="20"/>
          <w:color w:val="auto"/>
        </w:rPr>
      </w:pPr>
    </w:p>
    <w:p>
      <w:pPr>
        <w:sectPr>
          <w:pgSz w:w="11900" w:h="16838" w:orient="portrait"/>
          <w:cols w:equalWidth="0" w:num="2">
            <w:col w:w="2540" w:space="720"/>
            <w:col w:w="5759"/>
          </w:cols>
          <w:pgMar w:left="1440" w:top="596" w:right="1440"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3"/>
          <w:szCs w:val="13"/>
          <w:b w:val="1"/>
          <w:bCs w:val="1"/>
          <w:color w:val="auto"/>
        </w:rPr>
        <w:t>Taxation</w:t>
      </w:r>
    </w:p>
    <w:p>
      <w:pPr>
        <w:spacing w:after="0" w:line="20" w:lineRule="exact"/>
        <w:rPr>
          <w:sz w:val="20"/>
          <w:szCs w:val="20"/>
          <w:color w:val="auto"/>
        </w:rPr>
      </w:pPr>
      <w:r>
        <w:rPr>
          <w:sz w:val="20"/>
          <w:szCs w:val="20"/>
          <w:color w:val="auto"/>
        </w:rPr>
        <w:br w:type="column"/>
      </w:r>
    </w:p>
    <w:p>
      <w:pPr>
        <w:ind w:right="639"/>
        <w:spacing w:after="0" w:line="260" w:lineRule="auto"/>
        <w:rPr>
          <w:sz w:val="20"/>
          <w:szCs w:val="20"/>
          <w:color w:val="auto"/>
        </w:rPr>
      </w:pPr>
      <w:r>
        <w:rPr>
          <w:rFonts w:ascii="Times New Roman" w:cs="Times New Roman" w:eastAsia="Times New Roman" w:hAnsi="Times New Roman"/>
          <w:sz w:val="14"/>
          <w:szCs w:val="14"/>
          <w:color w:val="auto"/>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p>
      <w:pPr>
        <w:spacing w:after="0" w:line="140" w:lineRule="exact"/>
        <w:rPr>
          <w:sz w:val="20"/>
          <w:szCs w:val="20"/>
          <w:color w:val="auto"/>
        </w:rPr>
      </w:pPr>
    </w:p>
    <w:p>
      <w:pPr>
        <w:sectPr>
          <w:pgSz w:w="11900" w:h="16838" w:orient="portrait"/>
          <w:cols w:equalWidth="0" w:num="2">
            <w:col w:w="2540" w:space="720"/>
            <w:col w:w="5759"/>
          </w:cols>
          <w:pgMar w:left="1440" w:top="596" w:right="1440" w:bottom="1440" w:gutter="0" w:footer="0" w:header="0"/>
          <w:type w:val="continuous"/>
        </w:sectPr>
      </w:pPr>
    </w:p>
    <w:p>
      <w:pPr>
        <w:ind w:left="380" w:right="519" w:firstLine="330"/>
        <w:spacing w:after="0" w:line="281" w:lineRule="auto"/>
        <w:rPr>
          <w:sz w:val="20"/>
          <w:szCs w:val="20"/>
          <w:color w:val="auto"/>
        </w:rPr>
      </w:pPr>
      <w:r>
        <w:rPr>
          <w:rFonts w:ascii="Times New Roman" w:cs="Times New Roman" w:eastAsia="Times New Roman" w:hAnsi="Times New Roman"/>
          <w:sz w:val="14"/>
          <w:szCs w:val="14"/>
          <w:color w:val="auto"/>
        </w:rPr>
        <w:t>To maintain our status as a RIC and to avoid being subject to corporate-level U.S. federal income taxation on our earnings, we must, among other things:</w:t>
      </w:r>
    </w:p>
    <w:p>
      <w:pPr>
        <w:spacing w:after="0" w:line="52" w:lineRule="exact"/>
        <w:rPr>
          <w:sz w:val="20"/>
          <w:szCs w:val="20"/>
          <w:color w:val="auto"/>
        </w:rPr>
      </w:pPr>
    </w:p>
    <w:p>
      <w:pPr>
        <w:ind w:left="1100" w:hanging="400"/>
        <w:spacing w:after="0"/>
        <w:tabs>
          <w:tab w:leader="none" w:pos="1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our election under the 1940 Act to be treated as a BDC;</w:t>
      </w:r>
    </w:p>
    <w:p>
      <w:pPr>
        <w:spacing w:after="0" w:line="100" w:lineRule="exact"/>
        <w:rPr>
          <w:rFonts w:ascii="Times New Roman" w:cs="Times New Roman" w:eastAsia="Times New Roman" w:hAnsi="Times New Roman"/>
          <w:sz w:val="14"/>
          <w:szCs w:val="14"/>
          <w:color w:val="auto"/>
        </w:rPr>
      </w:pPr>
    </w:p>
    <w:p>
      <w:pPr>
        <w:ind w:left="1100" w:right="479" w:hanging="400"/>
        <w:spacing w:after="0" w:line="281" w:lineRule="auto"/>
        <w:tabs>
          <w:tab w:leader="none" w:pos="1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 in each taxable year at least 90% of our gross income from dividends, interest, gains from the sale or other disposition of stock or securities and other specified categories of investment income; and</w:t>
      </w:r>
    </w:p>
    <w:p>
      <w:pPr>
        <w:spacing w:after="0" w:line="52" w:lineRule="exact"/>
        <w:rPr>
          <w:rFonts w:ascii="Times New Roman" w:cs="Times New Roman" w:eastAsia="Times New Roman" w:hAnsi="Times New Roman"/>
          <w:sz w:val="14"/>
          <w:szCs w:val="14"/>
          <w:color w:val="auto"/>
        </w:rPr>
      </w:pPr>
    </w:p>
    <w:p>
      <w:pPr>
        <w:ind w:left="1100" w:hanging="400"/>
        <w:spacing w:after="0"/>
        <w:tabs>
          <w:tab w:leader="none" w:pos="1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diversified holdings.</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596" w:right="1440" w:bottom="1440" w:gutter="0" w:footer="0" w:header="0"/>
          <w:type w:val="continuous"/>
        </w:sectPr>
      </w:pPr>
    </w:p>
    <w:bookmarkStart w:id="67" w:name="page68"/>
    <w:bookmarkEnd w:id="67"/>
    <w:p>
      <w:pPr>
        <w:ind w:left="380" w:right="719" w:firstLine="330"/>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733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201535" cy="4733925"/>
                    </a:xfrm>
                    <a:prstGeom prst="rect">
                      <a:avLst/>
                    </a:prstGeom>
                    <a:noFill/>
                  </pic:spPr>
                </pic:pic>
              </a:graphicData>
            </a:graphic>
          </wp:anchor>
        </w:drawing>
        <w:t>In addition, we must distribute (or be treated as distributing) in each taxable year dividends for tax purposes equal to at least 90% of our investment company taxable income and net tax-exempt income for that taxable year.</w:t>
      </w:r>
    </w:p>
    <w:p>
      <w:pPr>
        <w:spacing w:after="0" w:line="125" w:lineRule="exact"/>
        <w:rPr>
          <w:sz w:val="20"/>
          <w:szCs w:val="20"/>
          <w:color w:val="auto"/>
        </w:rPr>
      </w:pPr>
    </w:p>
    <w:p>
      <w:pPr>
        <w:ind w:left="380" w:right="419" w:firstLine="330"/>
        <w:spacing w:after="0" w:line="252" w:lineRule="auto"/>
        <w:rPr>
          <w:sz w:val="20"/>
          <w:szCs w:val="20"/>
          <w:color w:val="auto"/>
        </w:rPr>
      </w:pPr>
      <w:r>
        <w:rPr>
          <w:rFonts w:ascii="Times New Roman" w:cs="Times New Roman" w:eastAsia="Times New Roman" w:hAnsi="Times New Roman"/>
          <w:sz w:val="14"/>
          <w:szCs w:val="14"/>
          <w:color w:val="auto"/>
        </w:rPr>
        <w:t>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nine months ended September 30, 2023. For the three and nine months ended September 30, 2023 we recorded a net expense of $0.5 million and $1.8 million, respectively, for U.S. federal excise tax and other taxes. For the three and nine months ended September 30, 2022, the Company recorded a net expense of $0.4 million and $1.5 million, respectively, for U.S. federal excise tax and other taxes and for the calendar years ended December 31, 2022 and 2021 and we recorded a net expense of, $2.6 million and $0.4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w:t>
      </w:r>
    </w:p>
    <w:p>
      <w:pPr>
        <w:spacing w:after="0" w:line="150" w:lineRule="exact"/>
        <w:rPr>
          <w:sz w:val="20"/>
          <w:szCs w:val="20"/>
          <w:color w:val="auto"/>
        </w:rPr>
      </w:pPr>
    </w:p>
    <w:p>
      <w:pPr>
        <w:jc w:val="both"/>
        <w:ind w:left="380" w:right="639" w:firstLine="330"/>
        <w:spacing w:after="0" w:line="295" w:lineRule="auto"/>
        <w:rPr>
          <w:sz w:val="20"/>
          <w:szCs w:val="20"/>
          <w:color w:val="auto"/>
        </w:rPr>
      </w:pPr>
      <w:r>
        <w:rPr>
          <w:rFonts w:ascii="Times New Roman" w:cs="Times New Roman" w:eastAsia="Times New Roman" w:hAnsi="Times New Roman"/>
          <w:sz w:val="13"/>
          <w:szCs w:val="13"/>
          <w:color w:val="auto"/>
        </w:rPr>
        <w:t>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Management Arrangements</w:t>
      </w:r>
    </w:p>
    <w:p>
      <w:pPr>
        <w:spacing w:after="0" w:line="92" w:lineRule="exact"/>
        <w:rPr>
          <w:sz w:val="20"/>
          <w:szCs w:val="20"/>
          <w:color w:val="auto"/>
        </w:rPr>
      </w:pPr>
    </w:p>
    <w:p>
      <w:pPr>
        <w:jc w:val="both"/>
        <w:ind w:left="380" w:right="619" w:firstLine="330"/>
        <w:spacing w:after="0" w:line="265" w:lineRule="auto"/>
        <w:rPr>
          <w:sz w:val="20"/>
          <w:szCs w:val="20"/>
          <w:color w:val="auto"/>
        </w:rPr>
      </w:pPr>
      <w:r>
        <w:rPr>
          <w:rFonts w:ascii="Times New Roman" w:cs="Times New Roman" w:eastAsia="Times New Roman" w:hAnsi="Times New Roman"/>
          <w:sz w:val="14"/>
          <w:szCs w:val="14"/>
          <w:color w:val="auto"/>
        </w:rPr>
        <w:t>Our Adviser serves as our investment adviser and our administrator. For more information regarding our Adviser and Sixth Street and our contractual arrangements with these companies, see “Management Agreements” in Part I, Item 1 of our 2022 Annual Report and Note 3 to our consolidated financial statements in our 3Q 2023 Quarterly Report.</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Trading at a Discount</w:t>
      </w:r>
    </w:p>
    <w:p>
      <w:pPr>
        <w:spacing w:after="0" w:line="92" w:lineRule="exact"/>
        <w:rPr>
          <w:sz w:val="20"/>
          <w:szCs w:val="20"/>
          <w:color w:val="auto"/>
        </w:rPr>
      </w:pPr>
    </w:p>
    <w:p>
      <w:pPr>
        <w:ind w:left="380" w:right="539" w:firstLine="743"/>
        <w:spacing w:after="0" w:line="255" w:lineRule="auto"/>
        <w:rPr>
          <w:sz w:val="20"/>
          <w:szCs w:val="20"/>
          <w:color w:val="auto"/>
        </w:rPr>
      </w:pPr>
      <w:r>
        <w:rPr>
          <w:rFonts w:ascii="Times New Roman" w:cs="Times New Roman" w:eastAsia="Times New Roman" w:hAnsi="Times New Roman"/>
          <w:sz w:val="14"/>
          <w:szCs w:val="14"/>
          <w:color w:val="auto"/>
        </w:rPr>
        <w:t>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at a price per share above, at or below net asset value per share. See “Risk Factors-Risks Related to Offerings Pursuant to This Prospectus.”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2" w:lineRule="exact"/>
        <w:rPr>
          <w:sz w:val="20"/>
          <w:szCs w:val="20"/>
          <w:color w:val="auto"/>
        </w:rPr>
      </w:pPr>
    </w:p>
    <w:p>
      <w:pPr>
        <w:ind w:left="380" w:right="459" w:firstLine="1073"/>
        <w:spacing w:after="0" w:line="265"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w:t>
      </w:r>
    </w:p>
    <w:p>
      <w:pPr>
        <w:spacing w:after="0" w:line="136" w:lineRule="exact"/>
        <w:rPr>
          <w:sz w:val="20"/>
          <w:szCs w:val="20"/>
          <w:color w:val="auto"/>
        </w:rPr>
      </w:pPr>
    </w:p>
    <w:p>
      <w:pPr>
        <w:ind w:left="380" w:right="459" w:firstLine="330"/>
        <w:spacing w:after="0" w:line="281" w:lineRule="auto"/>
        <w:rPr>
          <w:sz w:val="20"/>
          <w:szCs w:val="20"/>
          <w:color w:val="auto"/>
        </w:rPr>
      </w:pPr>
      <w:r>
        <w:rPr>
          <w:rFonts w:ascii="Times New Roman" w:cs="Times New Roman" w:eastAsia="Times New Roman" w:hAnsi="Times New Roman"/>
          <w:sz w:val="14"/>
          <w:szCs w:val="14"/>
          <w:color w:val="auto"/>
        </w:rPr>
        <w:t>We maintain a website at https://sixthstreetspecialtylending.com and make all of our periodic and current reports, proxy statements and other information available, free of charge, on or through our website. Information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407" w:right="1440" w:bottom="1440" w:gutter="0" w:footer="0" w:header="0"/>
        </w:sectPr>
      </w:pPr>
    </w:p>
    <w:bookmarkStart w:id="68" w:name="page69"/>
    <w:bookmarkEnd w:id="68"/>
    <w:p>
      <w:pPr>
        <w:ind w:left="380" w:right="39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11195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201535" cy="1119505"/>
                    </a:xfrm>
                    <a:prstGeom prst="rect">
                      <a:avLst/>
                    </a:prstGeom>
                    <a:noFill/>
                  </pic:spPr>
                </pic:pic>
              </a:graphicData>
            </a:graphic>
          </wp:anchor>
        </w:drawing>
        <w:t>on our website is not incorporated into or part of this prospectus. You may also obtain such information free of charge by contacting us in writing at 888 7th Avenue, 41st Floor, New York, NY 10106, Attention: TSLX Investor Relations, or by emailing us at IRTSLX@sixthstreet.com.</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Information Incorporated by Reference</w:t>
      </w:r>
    </w:p>
    <w:p>
      <w:pPr>
        <w:spacing w:after="0" w:line="92" w:lineRule="exact"/>
        <w:rPr>
          <w:sz w:val="20"/>
          <w:szCs w:val="20"/>
          <w:color w:val="auto"/>
        </w:rPr>
      </w:pPr>
    </w:p>
    <w:p>
      <w:pPr>
        <w:ind w:left="380" w:right="439" w:firstLine="330"/>
        <w:spacing w:after="0" w:line="265" w:lineRule="auto"/>
        <w:rPr>
          <w:sz w:val="20"/>
          <w:szCs w:val="20"/>
          <w:color w:val="auto"/>
        </w:rPr>
      </w:pPr>
      <w:r>
        <w:rPr>
          <w:rFonts w:ascii="Times New Roman" w:cs="Times New Roman" w:eastAsia="Times New Roman" w:hAnsi="Times New Roman"/>
          <w:sz w:val="14"/>
          <w:szCs w:val="14"/>
          <w:color w:val="auto"/>
        </w:rPr>
        <w:t>The rules of the SEC allow us to incorporate by reference information into this prospectus. The information incorporated by reference is considered to be a part of this prospectus, and information that we file later with the SEC will automatically update and supersede this information. See “Information Incorporated by Reference” for more information.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407" w:right="144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846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201535" cy="4846955"/>
                    </a:xfrm>
                    <a:prstGeom prst="rect">
                      <a:avLst/>
                    </a:prstGeom>
                    <a:noFill/>
                  </pic:spPr>
                </pic:pic>
              </a:graphicData>
            </a:graphic>
          </wp:anchor>
        </w:drawing>
        <w:t>FEES AND EXPENSES</w:t>
      </w:r>
    </w:p>
    <w:p>
      <w:pPr>
        <w:spacing w:after="0" w:line="176" w:lineRule="exact"/>
        <w:rPr>
          <w:sz w:val="20"/>
          <w:szCs w:val="20"/>
          <w:color w:val="auto"/>
        </w:rPr>
      </w:pPr>
    </w:p>
    <w:p>
      <w:pPr>
        <w:ind w:left="380" w:right="439" w:firstLine="330"/>
        <w:spacing w:after="0" w:line="253" w:lineRule="auto"/>
        <w:rPr>
          <w:sz w:val="20"/>
          <w:szCs w:val="20"/>
          <w:color w:val="auto"/>
        </w:rPr>
      </w:pPr>
      <w:r>
        <w:rPr>
          <w:rFonts w:ascii="Times New Roman" w:cs="Times New Roman" w:eastAsia="Times New Roman" w:hAnsi="Times New Roman"/>
          <w:sz w:val="14"/>
          <w:szCs w:val="14"/>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“Sixth Street Specialty Lending, Inc.” or says that “we” will pay fees or expenses, stockholders will indirectly bear these fees or expenses as investors in Sixth Street Specialty Lending, Inc.</w:t>
      </w:r>
    </w:p>
    <w:p>
      <w:pPr>
        <w:spacing w:after="0" w:line="183" w:lineRule="exact"/>
        <w:rPr>
          <w:sz w:val="20"/>
          <w:szCs w:val="20"/>
          <w:color w:val="auto"/>
        </w:rPr>
      </w:pPr>
    </w:p>
    <w:tbl>
      <w:tblPr>
        <w:tblLayout w:type="fixed"/>
        <w:tblInd w:w="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 transaction expenses (as a percentage of offering price):</w:t>
            </w:r>
          </w:p>
        </w:tc>
        <w:tc>
          <w:tcPr>
            <w:tcW w:w="1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Sales load</w:t>
            </w: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expenses</w:t>
            </w:r>
          </w:p>
        </w:tc>
        <w:tc>
          <w:tcPr>
            <w:tcW w:w="1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Dividend reinvestment plan expenses</w:t>
            </w: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6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63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3"/>
                <w:szCs w:val="13"/>
                <w:b w:val="1"/>
                <w:bCs w:val="1"/>
                <w:color w:val="auto"/>
              </w:rPr>
              <w:t>Estimated annual expenses (as a percentage of net assets attributable to common stock)</w:t>
            </w:r>
            <w:r>
              <w:rPr>
                <w:rFonts w:ascii="Times New Roman" w:cs="Times New Roman" w:eastAsia="Times New Roman" w:hAnsi="Times New Roman"/>
                <w:sz w:val="19"/>
                <w:szCs w:val="19"/>
                <w:b w:val="1"/>
                <w:bCs w:val="1"/>
                <w:color w:val="auto"/>
                <w:vertAlign w:val="superscript"/>
              </w:rPr>
              <w:t>(4)</w:t>
            </w:r>
            <w:r>
              <w:rPr>
                <w:rFonts w:ascii="Times New Roman" w:cs="Times New Roman" w:eastAsia="Times New Roman" w:hAnsi="Times New Roman"/>
                <w:sz w:val="13"/>
                <w:szCs w:val="13"/>
                <w:b w:val="1"/>
                <w:bCs w:val="1"/>
                <w:color w:val="auto"/>
              </w:rPr>
              <w:t>:</w:t>
            </w:r>
          </w:p>
        </w:tc>
        <w:tc>
          <w:tcPr>
            <w:tcW w:w="1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Management Fee payable under the Investment Advisory Agreement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2.97%</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Incentive Fee payable under the Investment Advisory Agreement</w:t>
            </w: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2.49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Interest payments on borrowed funds</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4.17</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1.20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Total annual expenses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10.83%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700" w:right="619" w:hanging="324"/>
        <w:spacing w:after="0" w:line="281" w:lineRule="auto"/>
        <w:tabs>
          <w:tab w:leader="none" w:pos="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securities to which this prospectus relates are sold to or through underwriters, a corresponding prospectus supplement will disclose the applicable sales load (underwriting discount or commission).</w:t>
      </w:r>
    </w:p>
    <w:p>
      <w:pPr>
        <w:spacing w:after="0" w:line="52" w:lineRule="exact"/>
        <w:rPr>
          <w:rFonts w:ascii="Times New Roman" w:cs="Times New Roman" w:eastAsia="Times New Roman" w:hAnsi="Times New Roman"/>
          <w:sz w:val="14"/>
          <w:szCs w:val="14"/>
          <w:color w:val="auto"/>
        </w:rPr>
      </w:pPr>
    </w:p>
    <w:p>
      <w:pPr>
        <w:ind w:left="700" w:right="739" w:hanging="324"/>
        <w:spacing w:after="0" w:line="281" w:lineRule="auto"/>
        <w:tabs>
          <w:tab w:leader="none" w:pos="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related prospectus supplement will disclose the estimated amount of offering expenses, the offering price and the offering expenses borne by us as a percentage of the offering price.</w:t>
      </w:r>
    </w:p>
    <w:p>
      <w:pPr>
        <w:spacing w:after="0" w:line="52" w:lineRule="exact"/>
        <w:rPr>
          <w:rFonts w:ascii="Times New Roman" w:cs="Times New Roman" w:eastAsia="Times New Roman" w:hAnsi="Times New Roman"/>
          <w:sz w:val="14"/>
          <w:szCs w:val="14"/>
          <w:color w:val="auto"/>
        </w:rPr>
      </w:pPr>
    </w:p>
    <w:p>
      <w:pPr>
        <w:ind w:left="700" w:right="539" w:hanging="324"/>
        <w:spacing w:after="0" w:line="257" w:lineRule="auto"/>
        <w:tabs>
          <w:tab w:leader="none" w:pos="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69" w:lineRule="exact"/>
        <w:rPr>
          <w:rFonts w:ascii="Times New Roman" w:cs="Times New Roman" w:eastAsia="Times New Roman" w:hAnsi="Times New Roman"/>
          <w:sz w:val="14"/>
          <w:szCs w:val="14"/>
          <w:color w:val="auto"/>
        </w:rPr>
      </w:pPr>
    </w:p>
    <w:p>
      <w:pPr>
        <w:ind w:left="700" w:right="739" w:hanging="324"/>
        <w:spacing w:after="0" w:line="281" w:lineRule="auto"/>
        <w:tabs>
          <w:tab w:leader="none" w:pos="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assets attributable to common stock used to calculate the percentages in this table reflect our net assets of $1,341.6 million as of December 31, 2022.</w:t>
      </w:r>
    </w:p>
    <w:p>
      <w:pPr>
        <w:spacing w:after="0" w:line="52" w:lineRule="exact"/>
        <w:rPr>
          <w:rFonts w:ascii="Times New Roman" w:cs="Times New Roman" w:eastAsia="Times New Roman" w:hAnsi="Times New Roman"/>
          <w:sz w:val="14"/>
          <w:szCs w:val="14"/>
          <w:color w:val="auto"/>
        </w:rPr>
      </w:pPr>
    </w:p>
    <w:p>
      <w:pPr>
        <w:ind w:left="700" w:right="419" w:hanging="324"/>
        <w:spacing w:after="0" w:line="255" w:lineRule="auto"/>
        <w:tabs>
          <w:tab w:leader="none" w:pos="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2022 Annual Report and in Note 3 to our consolidated financial statements in our 3Q 2023 Quarterly Report.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405" w:right="1440" w:bottom="1440" w:gutter="0" w:footer="0" w:header="0"/>
        </w:sectPr>
      </w:pPr>
    </w:p>
    <w:bookmarkStart w:id="70" w:name="page71"/>
    <w:bookmarkEnd w:id="70"/>
    <w:p>
      <w:pPr>
        <w:ind w:left="700" w:right="49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412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201535" cy="4641215"/>
                    </a:xfrm>
                    <a:prstGeom prst="rect">
                      <a:avLst/>
                    </a:prstGeom>
                    <a:noFill/>
                  </pic:spPr>
                </pic:pic>
              </a:graphicData>
            </a:graphic>
          </wp:anchor>
        </w:drawing>
        <w:t>The Management Fee reflected in the table is calculated by determining the ratio that the Management Fee for the year ended December 31, 2022 bears to our net assets attributable to common stock (rather than our gross assets).</w:t>
      </w:r>
    </w:p>
    <w:p>
      <w:pPr>
        <w:spacing w:after="0" w:line="125" w:lineRule="exact"/>
        <w:rPr>
          <w:sz w:val="20"/>
          <w:szCs w:val="20"/>
          <w:color w:val="auto"/>
        </w:rPr>
      </w:pPr>
    </w:p>
    <w:p>
      <w:pPr>
        <w:ind w:left="700" w:right="399"/>
        <w:spacing w:after="0" w:line="257" w:lineRule="auto"/>
        <w:rPr>
          <w:sz w:val="20"/>
          <w:szCs w:val="20"/>
          <w:color w:val="auto"/>
        </w:rPr>
      </w:pPr>
      <w:r>
        <w:rPr>
          <w:rFonts w:ascii="Times New Roman" w:cs="Times New Roman" w:eastAsia="Times New Roman" w:hAnsi="Times New Roman"/>
          <w:sz w:val="14"/>
          <w:szCs w:val="14"/>
          <w:color w:val="auto"/>
        </w:rPr>
        <w:t>From time to time, our Adviser voluntarily has waived certain Management Fees. See “Management’s Discussion and Analysis of Financial Condition and Results of Operations-Results of Operations-Management Fees” in Part II, Item 7 of our 2022 Annual Report and in Part I, Item 2 of our 3Q 2023 Quarterly Report. The above estimates are based on our actual Management Fees for the year ended December 31, 2022. For the year ended December 31, 2022, Management Fees of $0.4 million were waived consisting solely of Management Fees pursuant to the Leverage Waiver.</w:t>
      </w:r>
    </w:p>
    <w:p>
      <w:pPr>
        <w:spacing w:after="0" w:line="143" w:lineRule="exact"/>
        <w:rPr>
          <w:sz w:val="20"/>
          <w:szCs w:val="20"/>
          <w:color w:val="auto"/>
        </w:rPr>
      </w:pPr>
    </w:p>
    <w:p>
      <w:pPr>
        <w:ind w:left="700" w:right="479"/>
        <w:spacing w:after="0" w:line="253" w:lineRule="auto"/>
        <w:rPr>
          <w:sz w:val="20"/>
          <w:szCs w:val="20"/>
          <w:color w:val="auto"/>
        </w:rPr>
      </w:pPr>
      <w:r>
        <w:rPr>
          <w:rFonts w:ascii="Times New Roman" w:cs="Times New Roman" w:eastAsia="Times New Roman" w:hAnsi="Times New Roman"/>
          <w:sz w:val="14"/>
          <w:szCs w:val="14"/>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have been waived pursuant to the Leverage Waiver. 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2022 and assumes that the Incentive Fee is 17.5% for all relevant periods. However, the Incentive Fee payable to the Adviser is based on our performance and will not be paid unless we achieve certain goals.</w:t>
      </w:r>
    </w:p>
    <w:p>
      <w:pPr>
        <w:spacing w:after="0" w:line="166" w:lineRule="exact"/>
        <w:rPr>
          <w:sz w:val="20"/>
          <w:szCs w:val="20"/>
          <w:color w:val="auto"/>
        </w:rPr>
      </w:pPr>
    </w:p>
    <w:p>
      <w:pPr>
        <w:ind w:left="700" w:hanging="324"/>
        <w:spacing w:after="0"/>
        <w:tabs>
          <w:tab w:leader="none" w:pos="7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Incentive Fee consists of two parts, as follows:</w:t>
      </w:r>
    </w:p>
    <w:p>
      <w:pPr>
        <w:spacing w:after="0" w:line="173" w:lineRule="exact"/>
        <w:rPr>
          <w:rFonts w:ascii="Times New Roman" w:cs="Times New Roman" w:eastAsia="Times New Roman" w:hAnsi="Times New Roman"/>
          <w:sz w:val="14"/>
          <w:szCs w:val="14"/>
          <w:color w:val="auto"/>
        </w:rPr>
      </w:pPr>
    </w:p>
    <w:p>
      <w:pPr>
        <w:ind w:left="700" w:right="519"/>
        <w:spacing w:after="0" w:line="27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w:t>
      </w:r>
    </w:p>
    <w:p>
      <w:pPr>
        <w:spacing w:after="0" w:line="1" w:lineRule="exact"/>
        <w:rPr>
          <w:rFonts w:ascii="Times New Roman" w:cs="Times New Roman" w:eastAsia="Times New Roman" w:hAnsi="Times New Roman"/>
          <w:sz w:val="14"/>
          <w:szCs w:val="14"/>
          <w:color w:val="auto"/>
        </w:rPr>
      </w:pPr>
    </w:p>
    <w:p>
      <w:pPr>
        <w:ind w:left="700" w:right="43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45" w:lineRule="exact"/>
        <w:rPr>
          <w:sz w:val="20"/>
          <w:szCs w:val="20"/>
          <w:color w:val="auto"/>
        </w:rPr>
      </w:pPr>
    </w:p>
    <w:p>
      <w:pPr>
        <w:ind w:left="700" w:right="459"/>
        <w:spacing w:after="0" w:line="279" w:lineRule="auto"/>
        <w:rPr>
          <w:sz w:val="20"/>
          <w:szCs w:val="20"/>
          <w:color w:val="auto"/>
        </w:rPr>
      </w:pPr>
      <w:r>
        <w:rPr>
          <w:rFonts w:ascii="Times New Roman" w:cs="Times New Roman" w:eastAsia="Times New Roman" w:hAnsi="Times New Roman"/>
          <w:sz w:val="13"/>
          <w:szCs w:val="13"/>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129" w:lineRule="exact"/>
        <w:rPr>
          <w:sz w:val="20"/>
          <w:szCs w:val="20"/>
          <w:color w:val="auto"/>
        </w:rPr>
      </w:pPr>
    </w:p>
    <w:p>
      <w:pPr>
        <w:ind w:left="700" w:right="599" w:firstLine="6"/>
        <w:spacing w:after="0" w:line="265" w:lineRule="auto"/>
        <w:tabs>
          <w:tab w:leader="none" w:pos="905"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407" w:right="1440" w:bottom="1440" w:gutter="0" w:footer="0" w:header="0"/>
        </w:sectPr>
      </w:pPr>
    </w:p>
    <w:bookmarkStart w:id="71" w:name="page72"/>
    <w:bookmarkEnd w:id="71"/>
    <w:p>
      <w:pPr>
        <w:ind w:left="700" w:right="4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81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201535" cy="4581525"/>
                    </a:xfrm>
                    <a:prstGeom prst="rect">
                      <a:avLst/>
                    </a:prstGeom>
                    <a:noFill/>
                  </pic:spPr>
                </pic:pic>
              </a:graphicData>
            </a:graphic>
          </wp:anchor>
        </w:drawing>
        <w:t>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47" w:lineRule="exact"/>
        <w:rPr>
          <w:sz w:val="20"/>
          <w:szCs w:val="20"/>
          <w:color w:val="auto"/>
        </w:rPr>
      </w:pPr>
    </w:p>
    <w:p>
      <w:pPr>
        <w:ind w:left="700" w:right="719"/>
        <w:spacing w:after="0" w:line="321" w:lineRule="auto"/>
        <w:rPr>
          <w:sz w:val="20"/>
          <w:szCs w:val="20"/>
          <w:color w:val="auto"/>
        </w:rPr>
      </w:pPr>
      <w:r>
        <w:rPr>
          <w:rFonts w:ascii="Times New Roman" w:cs="Times New Roman" w:eastAsia="Times New Roman" w:hAnsi="Times New Roman"/>
          <w:sz w:val="13"/>
          <w:szCs w:val="13"/>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02" w:lineRule="exact"/>
        <w:rPr>
          <w:sz w:val="20"/>
          <w:szCs w:val="20"/>
          <w:color w:val="auto"/>
        </w:rPr>
      </w:pPr>
    </w:p>
    <w:p>
      <w:pPr>
        <w:ind w:left="700" w:right="419"/>
        <w:spacing w:after="0" w:line="253" w:lineRule="auto"/>
        <w:rPr>
          <w:sz w:val="20"/>
          <w:szCs w:val="20"/>
          <w:color w:val="auto"/>
        </w:rPr>
      </w:pPr>
      <w:r>
        <w:rPr>
          <w:rFonts w:ascii="Times New Roman" w:cs="Times New Roman" w:eastAsia="Times New Roman" w:hAnsi="Times New Roman"/>
          <w:sz w:val="14"/>
          <w:szCs w:val="14"/>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47" w:lineRule="exact"/>
        <w:rPr>
          <w:sz w:val="20"/>
          <w:szCs w:val="20"/>
          <w:color w:val="auto"/>
        </w:rPr>
      </w:pPr>
    </w:p>
    <w:p>
      <w:pPr>
        <w:ind w:left="700" w:right="499"/>
        <w:spacing w:after="0" w:line="281" w:lineRule="auto"/>
        <w:rPr>
          <w:sz w:val="20"/>
          <w:szCs w:val="20"/>
          <w:color w:val="auto"/>
        </w:rPr>
      </w:pPr>
      <w:r>
        <w:rPr>
          <w:rFonts w:ascii="Times New Roman" w:cs="Times New Roman" w:eastAsia="Times New Roman" w:hAnsi="Times New Roman"/>
          <w:sz w:val="14"/>
          <w:szCs w:val="14"/>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25" w:lineRule="exact"/>
        <w:rPr>
          <w:sz w:val="20"/>
          <w:szCs w:val="20"/>
          <w:color w:val="auto"/>
        </w:rPr>
      </w:pPr>
    </w:p>
    <w:p>
      <w:pPr>
        <w:ind w:left="700" w:right="499"/>
        <w:spacing w:after="0" w:line="265" w:lineRule="auto"/>
        <w:rPr>
          <w:sz w:val="20"/>
          <w:szCs w:val="20"/>
          <w:color w:val="auto"/>
        </w:rPr>
      </w:pPr>
      <w:r>
        <w:rPr>
          <w:rFonts w:ascii="Times New Roman" w:cs="Times New Roman" w:eastAsia="Times New Roman" w:hAnsi="Times New Roman"/>
          <w:sz w:val="14"/>
          <w:szCs w:val="14"/>
          <w:color w:val="auto"/>
        </w:rPr>
        <w:t>See Note 3 to our consolidated financial statements in our 2022 Annual Report and our 3Q 2023 Quarterly Report and “Management Agreements-Investment Advisory Agreement; Administration Agreement; License Agreement” in Part I, Item 1 of our 2022 Annual Report and Note 3 to our consolidated financial statements in our 3Q 2023 Quarterly Report.</w:t>
      </w:r>
    </w:p>
    <w:p>
      <w:pPr>
        <w:spacing w:after="0" w:line="136" w:lineRule="exact"/>
        <w:rPr>
          <w:sz w:val="20"/>
          <w:szCs w:val="20"/>
          <w:color w:val="auto"/>
        </w:rPr>
      </w:pPr>
    </w:p>
    <w:p>
      <w:pPr>
        <w:ind w:left="700" w:right="439"/>
        <w:spacing w:after="0" w:line="265" w:lineRule="auto"/>
        <w:rPr>
          <w:sz w:val="20"/>
          <w:szCs w:val="20"/>
          <w:color w:val="auto"/>
        </w:rPr>
      </w:pPr>
      <w:r>
        <w:rPr>
          <w:rFonts w:ascii="Times New Roman" w:cs="Times New Roman" w:eastAsia="Times New Roman" w:hAnsi="Times New Roman"/>
          <w:sz w:val="14"/>
          <w:szCs w:val="14"/>
          <w:color w:val="auto"/>
        </w:rPr>
        <w:t>From time to time, our Adviser has voluntarily waived certain Incentive Fees. See “Management’s Discussion and Analysis of Financial Condition and Results of Operations-Results of Operations-Incentive Fees” in Part II, Item 7 of our 2022 Annual Report and in Part I, Item 2 of our 3Q 2023 Quarterly Report. The above estimates do not reflect or assume any such waivers.</w:t>
      </w:r>
    </w:p>
    <w:p>
      <w:pPr>
        <w:spacing w:after="0" w:line="63" w:lineRule="exact"/>
        <w:rPr>
          <w:sz w:val="20"/>
          <w:szCs w:val="20"/>
          <w:color w:val="auto"/>
        </w:rPr>
      </w:pPr>
    </w:p>
    <w:p>
      <w:pPr>
        <w:ind w:left="700" w:right="459" w:hanging="324"/>
        <w:spacing w:after="0" w:line="272" w:lineRule="auto"/>
        <w:tabs>
          <w:tab w:leader="none" w:pos="7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payments on borrowed funds is based on our interest expense for the year ended December 31, 2022 under our credit facilities excluding fees (such as fees on undrawn amounts and amortization of upfront fees) and including the swap-adjusted interest expense related to our 2022 Convertible Notes, 2023 Notes,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w:t>
      </w:r>
    </w:p>
    <w:p>
      <w:pPr>
        <w:spacing w:after="0" w:line="2" w:lineRule="exact"/>
        <w:rPr>
          <w:rFonts w:ascii="Times New Roman" w:cs="Times New Roman" w:eastAsia="Times New Roman" w:hAnsi="Times New Roman"/>
          <w:sz w:val="13"/>
          <w:szCs w:val="13"/>
          <w:color w:val="auto"/>
        </w:rPr>
      </w:pPr>
    </w:p>
    <w:p>
      <w:pPr>
        <w:ind w:left="7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SBCAA.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407" w:right="1440" w:bottom="1440" w:gutter="0" w:footer="0" w:header="0"/>
        </w:sectPr>
      </w:pPr>
    </w:p>
    <w:bookmarkStart w:id="72" w:name="page73"/>
    <w:bookmarkEnd w:id="72"/>
    <w:p>
      <w:pPr>
        <w:ind w:left="700" w:right="439" w:hanging="324"/>
        <w:spacing w:after="0" w:line="260" w:lineRule="auto"/>
        <w:tabs>
          <w:tab w:leader="none" w:pos="7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6512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201535" cy="3651250"/>
                    </a:xfrm>
                    <a:prstGeom prst="rect">
                      <a:avLst/>
                    </a:prstGeom>
                    <a:noFill/>
                  </pic:spPr>
                </pic:pic>
              </a:graphicData>
            </a:graphic>
          </wp:anchor>
        </w:drawing>
        <w:t>Includes our overhead expenses, such as payments under the Administration Agreement for certain expenses incurred by the Adviser, and excise taxes. See “Management Agreements-Investment Advisory Agreement; Administration Agreement; License Agreement” in Part I, Item 1 of our 2022 Annual Report and Note 3 to our consolidated financial statements in our 3Q 2023 Quarterly Report. The expenses in this table are based on our actual other expenses and excise taxes for the year ended December 31, 2022.</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Example</w:t>
      </w:r>
    </w:p>
    <w:p>
      <w:pPr>
        <w:spacing w:after="0" w:line="92" w:lineRule="exact"/>
        <w:rPr>
          <w:sz w:val="20"/>
          <w:szCs w:val="20"/>
          <w:color w:val="auto"/>
        </w:rPr>
      </w:pPr>
    </w:p>
    <w:p>
      <w:pPr>
        <w:ind w:left="380" w:right="539" w:firstLine="330"/>
        <w:spacing w:after="0" w:line="255" w:lineRule="auto"/>
        <w:rPr>
          <w:sz w:val="20"/>
          <w:szCs w:val="20"/>
          <w:color w:val="auto"/>
        </w:rPr>
      </w:pPr>
      <w:r>
        <w:rPr>
          <w:rFonts w:ascii="Times New Roman" w:cs="Times New Roman" w:eastAsia="Times New Roman" w:hAnsi="Times New Roman"/>
          <w:sz w:val="14"/>
          <w:szCs w:val="14"/>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162" w:lineRule="exact"/>
        <w:rPr>
          <w:sz w:val="20"/>
          <w:szCs w:val="20"/>
          <w:color w:val="auto"/>
        </w:rPr>
      </w:pPr>
    </w:p>
    <w:tbl>
      <w:tblPr>
        <w:tblLayout w:type="fixed"/>
        <w:tblInd w:w="380" w:type="dxa"/>
        <w:tblCellMar>
          <w:top w:w="0" w:type="dxa"/>
          <w:left w:w="0" w:type="dxa"/>
          <w:bottom w:w="0" w:type="dxa"/>
          <w:right w:w="0" w:type="dxa"/>
        </w:tblCellMar>
      </w:tblPr>
      <w:tr>
        <w:trPr>
          <w:trHeight w:val="134"/>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6"/>
              </w:rPr>
              <w:t>1 year</w:t>
            </w:r>
          </w:p>
        </w:tc>
        <w:tc>
          <w:tcPr>
            <w:tcW w:w="28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5"/>
              </w:rPr>
              <w:t>3 years</w:t>
            </w:r>
          </w:p>
        </w:tc>
        <w:tc>
          <w:tcPr>
            <w:tcW w:w="14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5"/>
              </w:rPr>
              <w:t>5 years</w:t>
            </w:r>
          </w:p>
        </w:tc>
        <w:tc>
          <w:tcPr>
            <w:tcW w:w="120" w:type="dxa"/>
            <w:vAlign w:val="bottom"/>
          </w:tcPr>
          <w:p>
            <w:pPr>
              <w:spacing w:after="0"/>
              <w:rPr>
                <w:sz w:val="11"/>
                <w:szCs w:val="11"/>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10 years</w:t>
            </w:r>
          </w:p>
        </w:tc>
      </w:tr>
      <w:tr>
        <w:trPr>
          <w:trHeight w:val="133"/>
        </w:trPr>
        <w:tc>
          <w:tcPr>
            <w:tcW w:w="58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You would pay the following expenses on a $1,000 common stock investment, assuming a 5% annual</w:t>
            </w: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82"/>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return from realized capital gains</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99"/>
              </w:rPr>
              <w:t>$  92</w:t>
            </w: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$ 265</w:t>
            </w: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$ 423</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765</w:t>
            </w:r>
          </w:p>
        </w:tc>
        <w:tc>
          <w:tcPr>
            <w:tcW w:w="40" w:type="dxa"/>
            <w:vAlign w:val="bottom"/>
            <w:shd w:val="clear" w:color="auto" w:fill="CCEEFF"/>
          </w:tcPr>
          <w:p>
            <w:pPr>
              <w:spacing w:after="0"/>
              <w:rPr>
                <w:sz w:val="15"/>
                <w:szCs w:val="15"/>
                <w:color w:val="auto"/>
              </w:rPr>
            </w:pPr>
          </w:p>
        </w:tc>
      </w:tr>
    </w:tbl>
    <w:p>
      <w:pPr>
        <w:spacing w:after="0" w:line="153" w:lineRule="exact"/>
        <w:rPr>
          <w:sz w:val="20"/>
          <w:szCs w:val="20"/>
          <w:color w:val="auto"/>
        </w:rPr>
      </w:pPr>
    </w:p>
    <w:p>
      <w:pPr>
        <w:ind w:left="380" w:right="399" w:firstLine="330"/>
        <w:spacing w:after="0" w:line="252" w:lineRule="auto"/>
        <w:rPr>
          <w:sz w:val="20"/>
          <w:szCs w:val="20"/>
          <w:color w:val="auto"/>
        </w:rPr>
      </w:pPr>
      <w:r>
        <w:rPr>
          <w:rFonts w:ascii="Times New Roman" w:cs="Times New Roman" w:eastAsia="Times New Roman" w:hAnsi="Times New Roman"/>
          <w:sz w:val="14"/>
          <w:szCs w:val="14"/>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48" w:lineRule="exact"/>
        <w:rPr>
          <w:sz w:val="20"/>
          <w:szCs w:val="20"/>
          <w:color w:val="auto"/>
        </w:rPr>
      </w:pPr>
    </w:p>
    <w:p>
      <w:pPr>
        <w:ind w:left="380" w:right="839" w:firstLine="330"/>
        <w:spacing w:after="0" w:line="284" w:lineRule="auto"/>
        <w:rPr>
          <w:sz w:val="20"/>
          <w:szCs w:val="20"/>
          <w:color w:val="auto"/>
        </w:rPr>
      </w:pPr>
      <w:r>
        <w:rPr>
          <w:rFonts w:ascii="Times New Roman" w:cs="Times New Roman" w:eastAsia="Times New Roman" w:hAnsi="Times New Roman"/>
          <w:sz w:val="14"/>
          <w:szCs w:val="14"/>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407" w:right="1440"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FINANCIAL HIGHLIGHTS</w:t>
      </w:r>
    </w:p>
    <w:p>
      <w:pPr>
        <w:spacing w:after="0" w:line="176" w:lineRule="exact"/>
        <w:rPr>
          <w:sz w:val="20"/>
          <w:szCs w:val="20"/>
          <w:color w:val="auto"/>
        </w:rPr>
      </w:pPr>
    </w:p>
    <w:p>
      <w:pPr>
        <w:ind w:left="240" w:right="259" w:firstLine="341"/>
        <w:spacing w:after="0" w:line="252" w:lineRule="auto"/>
        <w:rPr>
          <w:sz w:val="20"/>
          <w:szCs w:val="20"/>
          <w:color w:val="auto"/>
        </w:rPr>
      </w:pPr>
      <w:r>
        <w:rPr>
          <w:rFonts w:ascii="Times New Roman" w:cs="Times New Roman" w:eastAsia="Times New Roman" w:hAnsi="Times New Roman"/>
          <w:sz w:val="14"/>
          <w:szCs w:val="14"/>
          <w:color w:val="auto"/>
        </w:rPr>
        <w:t>The financial data set forth in the following table as of and for the years ended December 31, 2022, 2021, 2020, 2019, 2018, 2017, 2016, 2015, 2014 and 2013 are derived from our consolidated financial statements, which have been audited by KPMG LLP, an independent registered public accounting firm whose reports thereon are incorporated by reference in this prospectus, certain documents incorporated by reference in this prospectus or the accompanying prospectus supplement, or our Annual Reports on Form 10-K filed with the SEC, which may be obtained from www.sec.gov or upon request. The financial data set forth in the following table as of and for the nine months ended September 30, 2023, is derived from our unaudited financial statements, but in the opinion of management, reflects all adjustments (consisting only of normal recurring adjustments) that are necessary to present fairly the results of such interim period. Interim results as of and for the nine months ended September 30, 2023, are not necessarily indicative of the results that may be expected for the year ending December 31, 2023. You should read these financial highlights in conjunction with our consolidated financial statements and notes thereto and “Management’s Discussion and Analysis of Financial Condition and Results of Operations” incorporated by reference into this prospectus, any documents incorporated by reference in this prospectus or the accompanying prospectus supplement, or our Annual Reports on Form 10-K filed with the SEC.</w:t>
      </w:r>
    </w:p>
    <w:p>
      <w:pPr>
        <w:spacing w:after="0" w:line="155"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2760" w:type="dxa"/>
            <w:vAlign w:val="bottom"/>
          </w:tcPr>
          <w:p>
            <w:pPr>
              <w:spacing w:after="0"/>
              <w:rPr>
                <w:sz w:val="11"/>
                <w:szCs w:val="11"/>
                <w:color w:val="auto"/>
              </w:rPr>
            </w:pPr>
          </w:p>
        </w:tc>
        <w:tc>
          <w:tcPr>
            <w:tcW w:w="800" w:type="dxa"/>
            <w:vAlign w:val="bottom"/>
            <w:gridSpan w:val="3"/>
          </w:tcPr>
          <w:p>
            <w:pPr>
              <w:jc w:val="center"/>
              <w:ind w:right="84"/>
              <w:spacing w:after="0"/>
              <w:rPr>
                <w:sz w:val="20"/>
                <w:szCs w:val="20"/>
                <w:color w:val="auto"/>
              </w:rPr>
            </w:pPr>
            <w:r>
              <w:rPr>
                <w:rFonts w:ascii="Times New Roman" w:cs="Times New Roman" w:eastAsia="Times New Roman" w:hAnsi="Times New Roman"/>
                <w:sz w:val="11"/>
                <w:szCs w:val="11"/>
                <w:b w:val="1"/>
                <w:bCs w:val="1"/>
                <w:color w:val="auto"/>
              </w:rPr>
              <w:t>Nine Months</w:t>
            </w:r>
          </w:p>
        </w:tc>
        <w:tc>
          <w:tcPr>
            <w:tcW w:w="240" w:type="dxa"/>
            <w:vAlign w:val="bottom"/>
          </w:tcPr>
          <w:p>
            <w:pPr>
              <w:spacing w:after="0"/>
              <w:rPr>
                <w:sz w:val="11"/>
                <w:szCs w:val="11"/>
                <w:color w:val="auto"/>
              </w:rPr>
            </w:pPr>
          </w:p>
        </w:tc>
        <w:tc>
          <w:tcPr>
            <w:tcW w:w="72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80" w:type="dxa"/>
            <w:vAlign w:val="bottom"/>
          </w:tcPr>
          <w:p>
            <w:pPr>
              <w:spacing w:after="0"/>
              <w:rPr>
                <w:sz w:val="11"/>
                <w:szCs w:val="11"/>
                <w:color w:val="auto"/>
              </w:rPr>
            </w:pPr>
          </w:p>
        </w:tc>
        <w:tc>
          <w:tcPr>
            <w:tcW w:w="82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80" w:type="dxa"/>
            <w:vAlign w:val="bottom"/>
          </w:tcPr>
          <w:p>
            <w:pPr>
              <w:spacing w:after="0"/>
              <w:rPr>
                <w:sz w:val="11"/>
                <w:szCs w:val="11"/>
                <w:color w:val="auto"/>
              </w:rPr>
            </w:pPr>
          </w:p>
        </w:tc>
        <w:tc>
          <w:tcPr>
            <w:tcW w:w="8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60" w:type="dxa"/>
            <w:vAlign w:val="bottom"/>
          </w:tcPr>
          <w:p>
            <w:pPr>
              <w:spacing w:after="0"/>
              <w:rPr>
                <w:sz w:val="11"/>
                <w:szCs w:val="11"/>
                <w:color w:val="auto"/>
              </w:rPr>
            </w:pPr>
          </w:p>
        </w:tc>
        <w:tc>
          <w:tcPr>
            <w:tcW w:w="7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0" w:type="dxa"/>
            <w:vAlign w:val="bottom"/>
          </w:tcPr>
          <w:p>
            <w:pPr>
              <w:spacing w:after="0"/>
              <w:rPr>
                <w:sz w:val="1"/>
                <w:szCs w:val="1"/>
                <w:color w:val="auto"/>
              </w:rPr>
            </w:pPr>
          </w:p>
        </w:tc>
      </w:tr>
      <w:tr>
        <w:trPr>
          <w:trHeight w:val="115"/>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184"/>
              <w:spacing w:after="0" w:line="115" w:lineRule="exact"/>
              <w:rPr>
                <w:sz w:val="20"/>
                <w:szCs w:val="20"/>
                <w:color w:val="auto"/>
              </w:rPr>
            </w:pPr>
            <w:r>
              <w:rPr>
                <w:rFonts w:ascii="Times New Roman" w:cs="Times New Roman" w:eastAsia="Times New Roman" w:hAnsi="Times New Roman"/>
                <w:sz w:val="11"/>
                <w:szCs w:val="11"/>
                <w:b w:val="1"/>
                <w:bCs w:val="1"/>
                <w:color w:val="auto"/>
              </w:rPr>
              <w:t>Ended</w:t>
            </w:r>
          </w:p>
        </w:tc>
        <w:tc>
          <w:tcPr>
            <w:tcW w:w="24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60" w:type="dxa"/>
            <w:vAlign w:val="bottom"/>
          </w:tcPr>
          <w:p>
            <w:pPr>
              <w:spacing w:after="0"/>
              <w:rPr>
                <w:sz w:val="10"/>
                <w:szCs w:val="10"/>
                <w:color w:val="auto"/>
              </w:rPr>
            </w:pPr>
          </w:p>
        </w:tc>
        <w:tc>
          <w:tcPr>
            <w:tcW w:w="800" w:type="dxa"/>
            <w:vAlign w:val="bottom"/>
            <w:gridSpan w:val="3"/>
          </w:tcPr>
          <w:p>
            <w:pPr>
              <w:jc w:val="center"/>
              <w:ind w:right="64"/>
              <w:spacing w:after="0" w:line="115"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240" w:type="dxa"/>
            <w:vAlign w:val="bottom"/>
          </w:tcPr>
          <w:p>
            <w:pPr>
              <w:spacing w:after="0"/>
              <w:rPr>
                <w:sz w:val="10"/>
                <w:szCs w:val="10"/>
                <w:color w:val="auto"/>
              </w:rPr>
            </w:pPr>
          </w:p>
        </w:tc>
        <w:tc>
          <w:tcPr>
            <w:tcW w:w="72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80" w:type="dxa"/>
            <w:vAlign w:val="bottom"/>
          </w:tcPr>
          <w:p>
            <w:pPr>
              <w:spacing w:after="0"/>
              <w:rPr>
                <w:sz w:val="10"/>
                <w:szCs w:val="10"/>
                <w:color w:val="auto"/>
              </w:rPr>
            </w:pPr>
          </w:p>
        </w:tc>
        <w:tc>
          <w:tcPr>
            <w:tcW w:w="82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Pr>
          <w:p>
            <w:pPr>
              <w:spacing w:after="0"/>
              <w:rPr>
                <w:sz w:val="10"/>
                <w:szCs w:val="10"/>
                <w:color w:val="auto"/>
              </w:rPr>
            </w:pPr>
          </w:p>
        </w:tc>
        <w:tc>
          <w:tcPr>
            <w:tcW w:w="80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Pr>
          <w:p>
            <w:pPr>
              <w:spacing w:after="0"/>
              <w:rPr>
                <w:sz w:val="10"/>
                <w:szCs w:val="10"/>
                <w:color w:val="auto"/>
              </w:rPr>
            </w:pPr>
          </w:p>
        </w:tc>
        <w:tc>
          <w:tcPr>
            <w:tcW w:w="72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8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20" w:type="dxa"/>
            <w:vAlign w:val="bottom"/>
          </w:tcPr>
          <w:p>
            <w:pPr>
              <w:spacing w:after="0"/>
              <w:rPr>
                <w:sz w:val="11"/>
                <w:szCs w:val="11"/>
                <w:color w:val="auto"/>
              </w:rPr>
            </w:pPr>
          </w:p>
        </w:tc>
        <w:tc>
          <w:tcPr>
            <w:tcW w:w="880" w:type="dxa"/>
            <w:vAlign w:val="bottom"/>
            <w:gridSpan w:val="4"/>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2021</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84"/>
              <w:spacing w:after="0"/>
              <w:rPr>
                <w:sz w:val="20"/>
                <w:szCs w:val="20"/>
                <w:color w:val="auto"/>
              </w:rPr>
            </w:pPr>
            <w:r>
              <w:rPr>
                <w:rFonts w:ascii="Times New Roman" w:cs="Times New Roman" w:eastAsia="Times New Roman" w:hAnsi="Times New Roman"/>
                <w:sz w:val="11"/>
                <w:szCs w:val="11"/>
                <w:b w:val="1"/>
                <w:bCs w:val="1"/>
                <w:color w:val="auto"/>
                <w:w w:val="99"/>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76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Per Share Data</w:t>
            </w:r>
            <w:r>
              <w:rPr>
                <w:rFonts w:ascii="Times New Roman" w:cs="Times New Roman" w:eastAsia="Times New Roman" w:hAnsi="Times New Roman"/>
                <w:sz w:val="8"/>
                <w:szCs w:val="8"/>
                <w:b w:val="1"/>
                <w:bCs w:val="1"/>
                <w:color w:val="auto"/>
              </w:rPr>
              <w:t>(8)</w:t>
            </w:r>
          </w:p>
        </w:tc>
        <w:tc>
          <w:tcPr>
            <w:tcW w:w="1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right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Net asset value, beginning of period</w:t>
            </w:r>
          </w:p>
        </w:tc>
        <w:tc>
          <w:tcPr>
            <w:tcW w:w="120" w:type="dxa"/>
            <w:vAlign w:val="bottom"/>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64"/>
              <w:spacing w:after="0" w:line="115" w:lineRule="exact"/>
              <w:rPr>
                <w:sz w:val="20"/>
                <w:szCs w:val="20"/>
                <w:color w:val="auto"/>
              </w:rPr>
            </w:pPr>
            <w:r>
              <w:rPr>
                <w:rFonts w:ascii="Times New Roman" w:cs="Times New Roman" w:eastAsia="Times New Roman" w:hAnsi="Times New Roman"/>
                <w:sz w:val="11"/>
                <w:szCs w:val="11"/>
                <w:color w:val="auto"/>
              </w:rPr>
              <w:t>16.48</w:t>
            </w:r>
          </w:p>
        </w:tc>
        <w:tc>
          <w:tcPr>
            <w:tcW w:w="500" w:type="dxa"/>
            <w:vAlign w:val="bottom"/>
            <w:gridSpan w:val="2"/>
          </w:tcPr>
          <w:p>
            <w:pPr>
              <w:jc w:val="right"/>
              <w:ind w:right="1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16.84</w:t>
            </w:r>
          </w:p>
        </w:tc>
        <w:tc>
          <w:tcPr>
            <w:tcW w:w="360" w:type="dxa"/>
            <w:vAlign w:val="bottom"/>
            <w:gridSpan w:val="2"/>
          </w:tcPr>
          <w:p>
            <w:pPr>
              <w:ind w:left="2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17.16</w:t>
            </w:r>
          </w:p>
        </w:tc>
        <w:tc>
          <w:tcPr>
            <w:tcW w:w="320" w:type="dxa"/>
            <w:vAlign w:val="bottom"/>
            <w:gridSpan w:val="2"/>
          </w:tcPr>
          <w:p>
            <w:pPr>
              <w:ind w:left="1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16.83</w:t>
            </w:r>
          </w:p>
        </w:tc>
        <w:tc>
          <w:tcPr>
            <w:tcW w:w="300" w:type="dxa"/>
            <w:vAlign w:val="bottom"/>
            <w:gridSpan w:val="3"/>
          </w:tcPr>
          <w:p>
            <w:pPr>
              <w:ind w:left="2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ind w:right="200"/>
              <w:spacing w:after="0" w:line="115" w:lineRule="exact"/>
              <w:rPr>
                <w:sz w:val="20"/>
                <w:szCs w:val="20"/>
                <w:color w:val="auto"/>
              </w:rPr>
            </w:pPr>
            <w:r>
              <w:rPr>
                <w:rFonts w:ascii="Times New Roman" w:cs="Times New Roman" w:eastAsia="Times New Roman" w:hAnsi="Times New Roman"/>
                <w:sz w:val="11"/>
                <w:szCs w:val="11"/>
                <w:color w:val="auto"/>
              </w:rPr>
              <w:t>16.25</w:t>
            </w:r>
          </w:p>
        </w:tc>
        <w:tc>
          <w:tcPr>
            <w:tcW w:w="280" w:type="dxa"/>
            <w:vAlign w:val="bottom"/>
            <w:gridSpan w:val="2"/>
          </w:tcPr>
          <w:p>
            <w:pPr>
              <w:ind w:left="1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16.09</w:t>
            </w:r>
          </w:p>
        </w:tc>
        <w:tc>
          <w:tcPr>
            <w:tcW w:w="0" w:type="dxa"/>
            <w:vAlign w:val="bottom"/>
          </w:tcPr>
          <w:p>
            <w:pPr>
              <w:spacing w:after="0"/>
              <w:rPr>
                <w:sz w:val="1"/>
                <w:szCs w:val="1"/>
                <w:color w:val="auto"/>
              </w:rPr>
            </w:pPr>
          </w:p>
        </w:tc>
      </w:tr>
      <w:tr>
        <w:trPr>
          <w:trHeight w:val="115"/>
        </w:trPr>
        <w:tc>
          <w:tcPr>
            <w:tcW w:w="2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Net investment income</w:t>
            </w:r>
            <w:r>
              <w:rPr>
                <w:rFonts w:ascii="Times New Roman" w:cs="Times New Roman" w:eastAsia="Times New Roman" w:hAnsi="Times New Roman"/>
                <w:sz w:val="8"/>
                <w:szCs w:val="8"/>
                <w:color w:val="auto"/>
              </w:rPr>
              <w:t>(1)</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rPr>
              <w:t>1.68</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2.13</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1.97</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2.19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center"/>
              <w:ind w:left="104"/>
              <w:spacing w:after="0" w:line="115" w:lineRule="exact"/>
              <w:rPr>
                <w:sz w:val="20"/>
                <w:szCs w:val="20"/>
                <w:color w:val="auto"/>
              </w:rPr>
            </w:pPr>
            <w:r>
              <w:rPr>
                <w:rFonts w:ascii="Times New Roman" w:cs="Times New Roman" w:eastAsia="Times New Roman" w:hAnsi="Times New Roman"/>
                <w:sz w:val="11"/>
                <w:szCs w:val="11"/>
                <w:color w:val="auto"/>
              </w:rPr>
              <w:t>1.94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rPr>
              <w:t>2.25</w:t>
            </w:r>
          </w:p>
        </w:tc>
        <w:tc>
          <w:tcPr>
            <w:tcW w:w="0" w:type="dxa"/>
            <w:vAlign w:val="bottom"/>
          </w:tcPr>
          <w:p>
            <w:pPr>
              <w:spacing w:after="0"/>
              <w:rPr>
                <w:sz w:val="1"/>
                <w:szCs w:val="1"/>
                <w:color w:val="auto"/>
              </w:rPr>
            </w:pPr>
          </w:p>
        </w:tc>
      </w:tr>
      <w:tr>
        <w:trPr>
          <w:trHeight w:val="115"/>
        </w:trPr>
        <w:tc>
          <w:tcPr>
            <w:tcW w:w="27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Net realized and unrealized gains (losses)</w:t>
            </w:r>
            <w:r>
              <w:rPr>
                <w:rFonts w:ascii="Times New Roman" w:cs="Times New Roman" w:eastAsia="Times New Roman" w:hAnsi="Times New Roman"/>
                <w:sz w:val="8"/>
                <w:szCs w:val="8"/>
                <w:color w:val="auto"/>
              </w:rPr>
              <w:t>(1)</w:t>
            </w:r>
          </w:p>
        </w:tc>
        <w:tc>
          <w:tcPr>
            <w:tcW w:w="120" w:type="dxa"/>
            <w:vAlign w:val="bottom"/>
          </w:tcPr>
          <w:p>
            <w:pPr>
              <w:spacing w:after="0"/>
              <w:rPr>
                <w:sz w:val="10"/>
                <w:szCs w:val="10"/>
                <w:color w:val="auto"/>
              </w:rPr>
            </w:pPr>
          </w:p>
        </w:tc>
        <w:tc>
          <w:tcPr>
            <w:tcW w:w="560" w:type="dxa"/>
            <w:vAlign w:val="bottom"/>
          </w:tcPr>
          <w:p>
            <w:pPr>
              <w:jc w:val="center"/>
              <w:ind w:left="304"/>
              <w:spacing w:after="0" w:line="115" w:lineRule="exact"/>
              <w:rPr>
                <w:sz w:val="20"/>
                <w:szCs w:val="20"/>
                <w:color w:val="auto"/>
              </w:rPr>
            </w:pPr>
            <w:r>
              <w:rPr>
                <w:rFonts w:ascii="Times New Roman" w:cs="Times New Roman" w:eastAsia="Times New Roman" w:hAnsi="Times New Roman"/>
                <w:sz w:val="11"/>
                <w:szCs w:val="11"/>
                <w:color w:val="auto"/>
              </w:rPr>
              <w:t>0.35</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(0.75)</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0.96</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0.46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left="104"/>
              <w:spacing w:after="0" w:line="115" w:lineRule="exact"/>
              <w:rPr>
                <w:sz w:val="20"/>
                <w:szCs w:val="20"/>
                <w:color w:val="auto"/>
              </w:rPr>
            </w:pPr>
            <w:r>
              <w:rPr>
                <w:rFonts w:ascii="Times New Roman" w:cs="Times New Roman" w:eastAsia="Times New Roman" w:hAnsi="Times New Roman"/>
                <w:sz w:val="11"/>
                <w:szCs w:val="11"/>
                <w:color w:val="auto"/>
              </w:rPr>
              <w:t>0.40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rPr>
              <w:t>(0.39)</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760" w:type="dxa"/>
            <w:vAlign w:val="bottom"/>
            <w:shd w:val="clear" w:color="auto" w:fill="CCEEFF"/>
          </w:tcPr>
          <w:p>
            <w:pPr>
              <w:ind w:left="220"/>
              <w:spacing w:after="0" w:line="115" w:lineRule="exact"/>
              <w:rPr>
                <w:sz w:val="20"/>
                <w:szCs w:val="20"/>
                <w:color w:val="auto"/>
              </w:rPr>
            </w:pPr>
            <w:r>
              <w:rPr>
                <w:rFonts w:ascii="Times New Roman" w:cs="Times New Roman" w:eastAsia="Times New Roman" w:hAnsi="Times New Roman"/>
                <w:sz w:val="11"/>
                <w:szCs w:val="11"/>
                <w:color w:val="auto"/>
              </w:rPr>
              <w:t>Total from operations</w:t>
            </w:r>
          </w:p>
        </w:tc>
        <w:tc>
          <w:tcPr>
            <w:tcW w:w="12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jc w:val="center"/>
              <w:ind w:left="304"/>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1.38</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2.93</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2.65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center"/>
              <w:ind w:left="104"/>
              <w:spacing w:after="0" w:line="115" w:lineRule="exact"/>
              <w:rPr>
                <w:sz w:val="20"/>
                <w:szCs w:val="20"/>
                <w:color w:val="auto"/>
              </w:rPr>
            </w:pPr>
            <w:r>
              <w:rPr>
                <w:rFonts w:ascii="Times New Roman" w:cs="Times New Roman" w:eastAsia="Times New Roman" w:hAnsi="Times New Roman"/>
                <w:sz w:val="11"/>
                <w:szCs w:val="11"/>
                <w:color w:val="auto"/>
              </w:rPr>
              <w:t>2.34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rPr>
              <w:t>1.86</w:t>
            </w:r>
          </w:p>
        </w:tc>
        <w:tc>
          <w:tcPr>
            <w:tcW w:w="0" w:type="dxa"/>
            <w:vAlign w:val="bottom"/>
          </w:tcPr>
          <w:p>
            <w:pPr>
              <w:spacing w:after="0"/>
              <w:rPr>
                <w:sz w:val="1"/>
                <w:szCs w:val="1"/>
                <w:color w:val="auto"/>
              </w:rPr>
            </w:pPr>
          </w:p>
        </w:tc>
      </w:tr>
      <w:tr>
        <w:trPr>
          <w:trHeight w:val="115"/>
        </w:trPr>
        <w:tc>
          <w:tcPr>
            <w:tcW w:w="27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Issuance of common stock, net of offering costs</w:t>
            </w:r>
            <w:r>
              <w:rPr>
                <w:rFonts w:ascii="Times New Roman" w:cs="Times New Roman" w:eastAsia="Times New Roman" w:hAnsi="Times New Roman"/>
                <w:sz w:val="8"/>
                <w:szCs w:val="8"/>
                <w:color w:val="auto"/>
              </w:rPr>
              <w:t>(2)</w:t>
            </w:r>
          </w:p>
        </w:tc>
        <w:tc>
          <w:tcPr>
            <w:tcW w:w="120" w:type="dxa"/>
            <w:vAlign w:val="bottom"/>
          </w:tcPr>
          <w:p>
            <w:pPr>
              <w:spacing w:after="0"/>
              <w:rPr>
                <w:sz w:val="10"/>
                <w:szCs w:val="10"/>
                <w:color w:val="auto"/>
              </w:rPr>
            </w:pPr>
          </w:p>
        </w:tc>
        <w:tc>
          <w:tcPr>
            <w:tcW w:w="680" w:type="dxa"/>
            <w:vAlign w:val="bottom"/>
            <w:gridSpan w:val="2"/>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rPr>
              <w:t>0.03</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0.04</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0.31</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0.01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left="104"/>
              <w:spacing w:after="0" w:line="115" w:lineRule="exact"/>
              <w:rPr>
                <w:sz w:val="20"/>
                <w:szCs w:val="20"/>
                <w:color w:val="auto"/>
              </w:rPr>
            </w:pPr>
            <w:r>
              <w:rPr>
                <w:rFonts w:ascii="Times New Roman" w:cs="Times New Roman" w:eastAsia="Times New Roman" w:hAnsi="Times New Roman"/>
                <w:sz w:val="11"/>
                <w:szCs w:val="11"/>
                <w:color w:val="auto"/>
              </w:rPr>
              <w:t>0.04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rPr>
              <w:t>0.08</w:t>
            </w:r>
          </w:p>
        </w:tc>
        <w:tc>
          <w:tcPr>
            <w:tcW w:w="0" w:type="dxa"/>
            <w:vAlign w:val="bottom"/>
          </w:tcPr>
          <w:p>
            <w:pPr>
              <w:spacing w:after="0"/>
              <w:rPr>
                <w:sz w:val="1"/>
                <w:szCs w:val="1"/>
                <w:color w:val="auto"/>
              </w:rPr>
            </w:pPr>
          </w:p>
        </w:tc>
      </w:tr>
      <w:tr>
        <w:trPr>
          <w:trHeight w:val="115"/>
        </w:trPr>
        <w:tc>
          <w:tcPr>
            <w:tcW w:w="2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Settlement of 2022 Convertible Notes</w:t>
            </w:r>
            <w:r>
              <w:rPr>
                <w:rFonts w:ascii="Times New Roman" w:cs="Times New Roman" w:eastAsia="Times New Roman" w:hAnsi="Times New Roman"/>
                <w:sz w:val="8"/>
                <w:szCs w:val="8"/>
                <w:color w:val="auto"/>
              </w:rPr>
              <w:t>(2)</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0.08</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0.03</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center"/>
              <w:ind w:left="84"/>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center"/>
              <w:ind w:left="204"/>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0" w:type="dxa"/>
            <w:vAlign w:val="bottom"/>
          </w:tcPr>
          <w:p>
            <w:pPr>
              <w:spacing w:after="0"/>
              <w:rPr>
                <w:sz w:val="1"/>
                <w:szCs w:val="1"/>
                <w:color w:val="auto"/>
              </w:rPr>
            </w:pPr>
          </w:p>
        </w:tc>
      </w:tr>
      <w:tr>
        <w:trPr>
          <w:trHeight w:val="115"/>
        </w:trPr>
        <w:tc>
          <w:tcPr>
            <w:tcW w:w="27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Repurchase of common stock</w:t>
            </w:r>
            <w:r>
              <w:rPr>
                <w:rFonts w:ascii="Times New Roman" w:cs="Times New Roman" w:eastAsia="Times New Roman" w:hAnsi="Times New Roman"/>
                <w:sz w:val="8"/>
                <w:szCs w:val="8"/>
                <w:color w:val="auto"/>
              </w:rPr>
              <w:t>(2)</w:t>
            </w:r>
          </w:p>
        </w:tc>
        <w:tc>
          <w:tcPr>
            <w:tcW w:w="120" w:type="dxa"/>
            <w:vAlign w:val="bottom"/>
          </w:tcPr>
          <w:p>
            <w:pPr>
              <w:spacing w:after="0"/>
              <w:rPr>
                <w:sz w:val="10"/>
                <w:szCs w:val="10"/>
                <w:color w:val="auto"/>
              </w:rPr>
            </w:pPr>
          </w:p>
        </w:tc>
        <w:tc>
          <w:tcPr>
            <w:tcW w:w="680" w:type="dxa"/>
            <w:vAlign w:val="bottom"/>
            <w:gridSpan w:val="2"/>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(0.02)</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gridSpan w:val="2"/>
          </w:tcPr>
          <w:p>
            <w:pPr>
              <w:jc w:val="right"/>
              <w:ind w:right="200"/>
              <w:spacing w:after="0" w:line="115"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0.01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left="84"/>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left="204"/>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0" w:type="dxa"/>
            <w:vAlign w:val="bottom"/>
          </w:tcPr>
          <w:p>
            <w:pPr>
              <w:spacing w:after="0"/>
              <w:rPr>
                <w:sz w:val="1"/>
                <w:szCs w:val="1"/>
                <w:color w:val="auto"/>
              </w:rPr>
            </w:pPr>
          </w:p>
        </w:tc>
      </w:tr>
      <w:tr>
        <w:trPr>
          <w:trHeight w:val="115"/>
        </w:trPr>
        <w:tc>
          <w:tcPr>
            <w:tcW w:w="2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Repurchase of debt</w:t>
            </w:r>
            <w:r>
              <w:rPr>
                <w:rFonts w:ascii="Times New Roman" w:cs="Times New Roman" w:eastAsia="Times New Roman" w:hAnsi="Times New Roman"/>
                <w:sz w:val="8"/>
                <w:szCs w:val="8"/>
                <w:color w:val="auto"/>
              </w:rPr>
              <w:t>(2)</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0"/>
              <w:spacing w:after="0" w:line="115"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(0.01)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center"/>
              <w:ind w:left="84"/>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center"/>
              <w:ind w:left="204"/>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0" w:type="dxa"/>
            <w:vAlign w:val="bottom"/>
          </w:tcPr>
          <w:p>
            <w:pPr>
              <w:spacing w:after="0"/>
              <w:rPr>
                <w:sz w:val="1"/>
                <w:szCs w:val="1"/>
                <w:color w:val="auto"/>
              </w:rPr>
            </w:pPr>
          </w:p>
        </w:tc>
      </w:tr>
      <w:tr>
        <w:trPr>
          <w:trHeight w:val="115"/>
        </w:trPr>
        <w:tc>
          <w:tcPr>
            <w:tcW w:w="27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Dividends declared from net investment income</w:t>
            </w:r>
            <w:r>
              <w:rPr>
                <w:rFonts w:ascii="Times New Roman" w:cs="Times New Roman" w:eastAsia="Times New Roman" w:hAnsi="Times New Roman"/>
                <w:sz w:val="8"/>
                <w:szCs w:val="8"/>
                <w:color w:val="auto"/>
              </w:rPr>
              <w:t>(2)</w:t>
            </w:r>
          </w:p>
        </w:tc>
        <w:tc>
          <w:tcPr>
            <w:tcW w:w="120" w:type="dxa"/>
            <w:vAlign w:val="bottom"/>
          </w:tcPr>
          <w:p>
            <w:pPr>
              <w:spacing w:after="0"/>
              <w:rPr>
                <w:sz w:val="10"/>
                <w:szCs w:val="10"/>
                <w:color w:val="auto"/>
              </w:rPr>
            </w:pPr>
          </w:p>
        </w:tc>
        <w:tc>
          <w:tcPr>
            <w:tcW w:w="680" w:type="dxa"/>
            <w:vAlign w:val="bottom"/>
            <w:gridSpan w:val="2"/>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(1.59)</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(2.80)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(2.07)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left="104"/>
              <w:spacing w:after="0" w:line="115" w:lineRule="exact"/>
              <w:rPr>
                <w:sz w:val="20"/>
                <w:szCs w:val="20"/>
                <w:color w:val="auto"/>
              </w:rPr>
            </w:pPr>
            <w:r>
              <w:rPr>
                <w:rFonts w:ascii="Times New Roman" w:cs="Times New Roman" w:eastAsia="Times New Roman" w:hAnsi="Times New Roman"/>
                <w:sz w:val="11"/>
                <w:szCs w:val="11"/>
                <w:color w:val="auto"/>
              </w:rPr>
              <w:t>(1.81)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rPr>
              <w:t>(1.77)</w:t>
            </w:r>
          </w:p>
        </w:tc>
        <w:tc>
          <w:tcPr>
            <w:tcW w:w="0" w:type="dxa"/>
            <w:vAlign w:val="bottom"/>
          </w:tcPr>
          <w:p>
            <w:pPr>
              <w:spacing w:after="0"/>
              <w:rPr>
                <w:sz w:val="1"/>
                <w:szCs w:val="1"/>
                <w:color w:val="auto"/>
              </w:rPr>
            </w:pPr>
          </w:p>
        </w:tc>
      </w:tr>
      <w:tr>
        <w:trPr>
          <w:trHeight w:val="115"/>
        </w:trPr>
        <w:tc>
          <w:tcPr>
            <w:tcW w:w="2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Dividends declared from realized gains</w:t>
            </w:r>
            <w:r>
              <w:rPr>
                <w:rFonts w:ascii="Times New Roman" w:cs="Times New Roman" w:eastAsia="Times New Roman" w:hAnsi="Times New Roman"/>
                <w:sz w:val="8"/>
                <w:szCs w:val="8"/>
                <w:color w:val="auto"/>
              </w:rPr>
              <w:t>(2)</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rPr>
              <w:t>(1.57)</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(0.25)</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(0.79)</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(0.23)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center"/>
              <w:ind w:left="84"/>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rPr>
              <w:t>(0.01)</w:t>
            </w:r>
          </w:p>
        </w:tc>
        <w:tc>
          <w:tcPr>
            <w:tcW w:w="0" w:type="dxa"/>
            <w:vAlign w:val="bottom"/>
          </w:tcPr>
          <w:p>
            <w:pPr>
              <w:spacing w:after="0"/>
              <w:rPr>
                <w:sz w:val="1"/>
                <w:szCs w:val="1"/>
                <w:color w:val="auto"/>
              </w:rPr>
            </w:pPr>
          </w:p>
        </w:tc>
      </w:tr>
      <w:tr>
        <w:trPr>
          <w:trHeight w:val="117"/>
        </w:trPr>
        <w:tc>
          <w:tcPr>
            <w:tcW w:w="27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Total increase/(decrease) in net assets</w:t>
            </w:r>
          </w:p>
        </w:tc>
        <w:tc>
          <w:tcPr>
            <w:tcW w:w="12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center"/>
              <w:ind w:left="304"/>
              <w:spacing w:after="0" w:line="116" w:lineRule="exact"/>
              <w:rPr>
                <w:sz w:val="20"/>
                <w:szCs w:val="20"/>
                <w:color w:val="auto"/>
              </w:rPr>
            </w:pPr>
            <w:r>
              <w:rPr>
                <w:rFonts w:ascii="Times New Roman" w:cs="Times New Roman" w:eastAsia="Times New Roman" w:hAnsi="Times New Roman"/>
                <w:sz w:val="11"/>
                <w:szCs w:val="11"/>
                <w:color w:val="auto"/>
              </w:rPr>
              <w:t>0.49</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(0.36)</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(0.32)</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0.33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gridSpan w:val="2"/>
          </w:tcPr>
          <w:p>
            <w:pPr>
              <w:jc w:val="center"/>
              <w:ind w:left="304"/>
              <w:spacing w:after="0" w:line="116" w:lineRule="exact"/>
              <w:rPr>
                <w:sz w:val="20"/>
                <w:szCs w:val="20"/>
                <w:color w:val="auto"/>
              </w:rPr>
            </w:pPr>
            <w:r>
              <w:rPr>
                <w:rFonts w:ascii="Times New Roman" w:cs="Times New Roman" w:eastAsia="Times New Roman" w:hAnsi="Times New Roman"/>
                <w:sz w:val="11"/>
                <w:szCs w:val="11"/>
                <w:color w:val="auto"/>
              </w:rPr>
              <w:t>0.58</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center"/>
              <w:ind w:left="264"/>
              <w:spacing w:after="0" w:line="116" w:lineRule="exact"/>
              <w:rPr>
                <w:sz w:val="20"/>
                <w:szCs w:val="20"/>
                <w:color w:val="auto"/>
              </w:rPr>
            </w:pPr>
            <w:r>
              <w:rPr>
                <w:rFonts w:ascii="Times New Roman" w:cs="Times New Roman" w:eastAsia="Times New Roman" w:hAnsi="Times New Roman"/>
                <w:sz w:val="11"/>
                <w:szCs w:val="11"/>
                <w:color w:val="auto"/>
              </w:rPr>
              <w:t>0.16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Asset Value, End of Period</w:t>
            </w:r>
          </w:p>
        </w:tc>
        <w:tc>
          <w:tcPr>
            <w:tcW w:w="120" w:type="dxa"/>
            <w:vAlign w:val="bottom"/>
            <w:shd w:val="clear" w:color="auto" w:fill="CCEEFF"/>
          </w:tcPr>
          <w:p>
            <w:pPr>
              <w:jc w:val="right"/>
              <w:ind w:right="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16.97</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6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16.48</w:t>
            </w:r>
          </w:p>
        </w:tc>
        <w:tc>
          <w:tcPr>
            <w:tcW w:w="360" w:type="dxa"/>
            <w:vAlign w:val="bottom"/>
            <w:gridSpan w:val="2"/>
            <w:shd w:val="clear" w:color="auto" w:fill="CCEEFF"/>
          </w:tcPr>
          <w:p>
            <w:pPr>
              <w:ind w:left="2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16.84</w:t>
            </w:r>
          </w:p>
        </w:tc>
        <w:tc>
          <w:tcPr>
            <w:tcW w:w="320" w:type="dxa"/>
            <w:vAlign w:val="bottom"/>
            <w:gridSpan w:val="2"/>
            <w:shd w:val="clear" w:color="auto" w:fill="CCEEFF"/>
          </w:tcPr>
          <w:p>
            <w:pPr>
              <w:ind w:left="1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shd w:val="clear" w:color="auto" w:fill="CCEEFF"/>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17.16</w:t>
            </w:r>
          </w:p>
        </w:tc>
        <w:tc>
          <w:tcPr>
            <w:tcW w:w="300" w:type="dxa"/>
            <w:vAlign w:val="bottom"/>
            <w:gridSpan w:val="3"/>
            <w:shd w:val="clear" w:color="auto" w:fill="CCEEFF"/>
          </w:tcPr>
          <w:p>
            <w:pPr>
              <w:ind w:left="2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shd w:val="clear" w:color="auto" w:fill="CCEEFF"/>
          </w:tcPr>
          <w:p>
            <w:pPr>
              <w:jc w:val="right"/>
              <w:ind w:right="200"/>
              <w:spacing w:after="0" w:line="115" w:lineRule="exact"/>
              <w:rPr>
                <w:sz w:val="20"/>
                <w:szCs w:val="20"/>
                <w:color w:val="auto"/>
              </w:rPr>
            </w:pPr>
            <w:r>
              <w:rPr>
                <w:rFonts w:ascii="Times New Roman" w:cs="Times New Roman" w:eastAsia="Times New Roman" w:hAnsi="Times New Roman"/>
                <w:sz w:val="11"/>
                <w:szCs w:val="11"/>
                <w:color w:val="auto"/>
              </w:rPr>
              <w:t>16.83</w:t>
            </w:r>
          </w:p>
        </w:tc>
        <w:tc>
          <w:tcPr>
            <w:tcW w:w="280" w:type="dxa"/>
            <w:vAlign w:val="bottom"/>
            <w:gridSpan w:val="2"/>
            <w:shd w:val="clear" w:color="auto" w:fill="CCEEFF"/>
          </w:tcPr>
          <w:p>
            <w:pPr>
              <w:ind w:left="1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16.25</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vMerge w:val="restart"/>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w w:val="94"/>
              </w:rPr>
              <w:t>Year</w:t>
            </w:r>
          </w:p>
        </w:tc>
        <w:tc>
          <w:tcPr>
            <w:tcW w:w="3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gridSpan w:val="4"/>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64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Ended</w:t>
            </w:r>
          </w:p>
        </w:tc>
        <w:tc>
          <w:tcPr>
            <w:tcW w:w="180" w:type="dxa"/>
            <w:vAlign w:val="bottom"/>
            <w:vMerge w:val="continue"/>
          </w:tcPr>
          <w:p>
            <w:pPr>
              <w:spacing w:after="0"/>
              <w:rPr>
                <w:sz w:val="8"/>
                <w:szCs w:val="8"/>
                <w:color w:val="auto"/>
              </w:rPr>
            </w:pPr>
          </w:p>
        </w:tc>
        <w:tc>
          <w:tcPr>
            <w:tcW w:w="840" w:type="dxa"/>
            <w:vAlign w:val="bottom"/>
            <w:gridSpan w:val="4"/>
          </w:tcPr>
          <w:p>
            <w:pPr>
              <w:jc w:val="center"/>
              <w:ind w:right="144"/>
              <w:spacing w:after="0" w:line="97" w:lineRule="exact"/>
              <w:rPr>
                <w:sz w:val="20"/>
                <w:szCs w:val="20"/>
                <w:color w:val="auto"/>
              </w:rPr>
            </w:pPr>
            <w:r>
              <w:rPr>
                <w:rFonts w:ascii="Times New Roman" w:cs="Times New Roman" w:eastAsia="Times New Roman" w:hAnsi="Times New Roman"/>
                <w:sz w:val="11"/>
                <w:szCs w:val="11"/>
                <w:b w:val="1"/>
                <w:bCs w:val="1"/>
                <w:color w:val="auto"/>
                <w:w w:val="98"/>
              </w:rPr>
              <w:t>Year Ended</w:t>
            </w:r>
          </w:p>
        </w:tc>
        <w:tc>
          <w:tcPr>
            <w:tcW w:w="1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60" w:type="dxa"/>
            <w:vAlign w:val="bottom"/>
            <w:gridSpan w:val="3"/>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2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98"/>
              </w:rPr>
              <w:t>Year Ended</w:t>
            </w:r>
          </w:p>
        </w:tc>
        <w:tc>
          <w:tcPr>
            <w:tcW w:w="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5"/>
          </w:tcPr>
          <w:p>
            <w:pPr>
              <w:jc w:val="right"/>
              <w:ind w:right="460"/>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98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0"/>
                <w:szCs w:val="10"/>
                <w:color w:val="auto"/>
              </w:rPr>
            </w:pPr>
          </w:p>
        </w:tc>
        <w:tc>
          <w:tcPr>
            <w:tcW w:w="940" w:type="dxa"/>
            <w:vAlign w:val="bottom"/>
            <w:gridSpan w:val="5"/>
          </w:tcPr>
          <w:p>
            <w:pPr>
              <w:jc w:val="right"/>
              <w:ind w:right="300"/>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160" w:type="dxa"/>
            <w:vAlign w:val="bottom"/>
          </w:tcPr>
          <w:p>
            <w:pPr>
              <w:spacing w:after="0"/>
              <w:rPr>
                <w:sz w:val="10"/>
                <w:szCs w:val="10"/>
                <w:color w:val="auto"/>
              </w:rPr>
            </w:pPr>
          </w:p>
        </w:tc>
        <w:tc>
          <w:tcPr>
            <w:tcW w:w="72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27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2017</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3"/>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2016</w:t>
            </w:r>
          </w:p>
        </w:tc>
        <w:tc>
          <w:tcPr>
            <w:tcW w:w="2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3"/>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rPr>
              <w:t>2015</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99"/>
              </w:rPr>
              <w:t>2014</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1"/>
                <w:szCs w:val="11"/>
                <w:b w:val="1"/>
                <w:bCs w:val="1"/>
                <w:color w:val="auto"/>
                <w:w w:val="99"/>
              </w:rPr>
              <w:t>2013</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76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Per Share Data</w:t>
            </w:r>
            <w:r>
              <w:rPr>
                <w:rFonts w:ascii="Times New Roman" w:cs="Times New Roman" w:eastAsia="Times New Roman" w:hAnsi="Times New Roman"/>
                <w:sz w:val="8"/>
                <w:szCs w:val="8"/>
                <w:b w:val="1"/>
                <w:bCs w:val="1"/>
                <w:color w:val="auto"/>
              </w:rPr>
              <w:t>(8)</w:t>
            </w:r>
          </w:p>
        </w:tc>
        <w:tc>
          <w:tcPr>
            <w:tcW w:w="120" w:type="dxa"/>
            <w:vAlign w:val="bottom"/>
            <w:shd w:val="clear" w:color="auto" w:fill="CCEEFF"/>
          </w:tcPr>
          <w:p>
            <w:pPr>
              <w:spacing w:after="0"/>
              <w:rPr>
                <w:sz w:val="8"/>
                <w:szCs w:val="8"/>
                <w:color w:val="auto"/>
              </w:rPr>
            </w:pPr>
          </w:p>
        </w:tc>
        <w:tc>
          <w:tcPr>
            <w:tcW w:w="56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Net asset value, beginning of period</w:t>
            </w:r>
          </w:p>
        </w:tc>
        <w:tc>
          <w:tcPr>
            <w:tcW w:w="120" w:type="dxa"/>
            <w:vAlign w:val="bottom"/>
          </w:tcPr>
          <w:p>
            <w:pPr>
              <w:spacing w:after="0"/>
              <w:rPr>
                <w:sz w:val="10"/>
                <w:szCs w:val="10"/>
                <w:color w:val="auto"/>
              </w:rPr>
            </w:pPr>
          </w:p>
        </w:tc>
        <w:tc>
          <w:tcPr>
            <w:tcW w:w="680" w:type="dxa"/>
            <w:vAlign w:val="bottom"/>
            <w:gridSpan w:val="2"/>
          </w:tcPr>
          <w:p>
            <w:pPr>
              <w:ind w:left="5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3"/>
          </w:tcPr>
          <w:p>
            <w:pPr>
              <w:ind w:left="260"/>
              <w:spacing w:after="0" w:line="115" w:lineRule="exact"/>
              <w:rPr>
                <w:sz w:val="20"/>
                <w:szCs w:val="20"/>
                <w:color w:val="auto"/>
              </w:rPr>
            </w:pPr>
            <w:r>
              <w:rPr>
                <w:rFonts w:ascii="Times New Roman" w:cs="Times New Roman" w:eastAsia="Times New Roman" w:hAnsi="Times New Roman"/>
                <w:sz w:val="11"/>
                <w:szCs w:val="11"/>
                <w:color w:val="auto"/>
              </w:rPr>
              <w:t>15.95</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ind w:right="16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0"/>
                <w:szCs w:val="10"/>
                <w:color w:val="auto"/>
              </w:rPr>
            </w:pPr>
          </w:p>
        </w:tc>
        <w:tc>
          <w:tcPr>
            <w:tcW w:w="560" w:type="dxa"/>
            <w:vAlign w:val="bottom"/>
            <w:gridSpan w:val="2"/>
          </w:tcPr>
          <w:p>
            <w:pPr>
              <w:jc w:val="right"/>
              <w:ind w:right="224"/>
              <w:spacing w:after="0" w:line="115" w:lineRule="exact"/>
              <w:rPr>
                <w:sz w:val="20"/>
                <w:szCs w:val="20"/>
                <w:color w:val="auto"/>
              </w:rPr>
            </w:pPr>
            <w:r>
              <w:rPr>
                <w:rFonts w:ascii="Times New Roman" w:cs="Times New Roman" w:eastAsia="Times New Roman" w:hAnsi="Times New Roman"/>
                <w:sz w:val="11"/>
                <w:szCs w:val="11"/>
                <w:color w:val="auto"/>
              </w:rPr>
              <w:t>15.15</w:t>
            </w:r>
          </w:p>
        </w:tc>
        <w:tc>
          <w:tcPr>
            <w:tcW w:w="180" w:type="dxa"/>
            <w:vAlign w:val="bottom"/>
          </w:tcPr>
          <w:p>
            <w:pPr>
              <w:spacing w:after="0"/>
              <w:rPr>
                <w:sz w:val="10"/>
                <w:szCs w:val="10"/>
                <w:color w:val="auto"/>
              </w:rPr>
            </w:pPr>
          </w:p>
        </w:tc>
        <w:tc>
          <w:tcPr>
            <w:tcW w:w="1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jc w:val="right"/>
              <w:ind w:right="144"/>
              <w:spacing w:after="0" w:line="115" w:lineRule="exact"/>
              <w:rPr>
                <w:sz w:val="20"/>
                <w:szCs w:val="20"/>
                <w:color w:val="auto"/>
              </w:rPr>
            </w:pPr>
            <w:r>
              <w:rPr>
                <w:rFonts w:ascii="Times New Roman" w:cs="Times New Roman" w:eastAsia="Times New Roman" w:hAnsi="Times New Roman"/>
                <w:sz w:val="11"/>
                <w:szCs w:val="11"/>
                <w:color w:val="auto"/>
              </w:rPr>
              <w:t>15.53</w:t>
            </w:r>
          </w:p>
        </w:tc>
        <w:tc>
          <w:tcPr>
            <w:tcW w:w="140" w:type="dxa"/>
            <w:vAlign w:val="bottom"/>
          </w:tcPr>
          <w:p>
            <w:pPr>
              <w:spacing w:after="0"/>
              <w:rPr>
                <w:sz w:val="10"/>
                <w:szCs w:val="10"/>
                <w:color w:val="auto"/>
              </w:rPr>
            </w:pPr>
          </w:p>
        </w:tc>
        <w:tc>
          <w:tcPr>
            <w:tcW w:w="2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15.52</w:t>
            </w:r>
          </w:p>
        </w:tc>
        <w:tc>
          <w:tcPr>
            <w:tcW w:w="200" w:type="dxa"/>
            <w:vAlign w:val="bottom"/>
          </w:tcPr>
          <w:p>
            <w:pPr>
              <w:spacing w:after="0"/>
              <w:rPr>
                <w:sz w:val="10"/>
                <w:szCs w:val="10"/>
                <w:color w:val="auto"/>
              </w:rPr>
            </w:pPr>
          </w:p>
        </w:tc>
        <w:tc>
          <w:tcPr>
            <w:tcW w:w="280" w:type="dxa"/>
            <w:vAlign w:val="bottom"/>
            <w:gridSpan w:val="2"/>
          </w:tcPr>
          <w:p>
            <w:pPr>
              <w:ind w:left="1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15.19</w:t>
            </w:r>
          </w:p>
        </w:tc>
        <w:tc>
          <w:tcPr>
            <w:tcW w:w="0" w:type="dxa"/>
            <w:vAlign w:val="bottom"/>
          </w:tcPr>
          <w:p>
            <w:pPr>
              <w:spacing w:after="0"/>
              <w:rPr>
                <w:sz w:val="1"/>
                <w:szCs w:val="1"/>
                <w:color w:val="auto"/>
              </w:rPr>
            </w:pPr>
          </w:p>
        </w:tc>
      </w:tr>
      <w:tr>
        <w:trPr>
          <w:trHeight w:val="115"/>
        </w:trPr>
        <w:tc>
          <w:tcPr>
            <w:tcW w:w="2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Net investment income</w:t>
            </w:r>
            <w:r>
              <w:rPr>
                <w:rFonts w:ascii="Times New Roman" w:cs="Times New Roman" w:eastAsia="Times New Roman" w:hAnsi="Times New Roman"/>
                <w:sz w:val="8"/>
                <w:szCs w:val="8"/>
                <w:color w:val="auto"/>
              </w:rPr>
              <w:t>(1)</w:t>
            </w:r>
          </w:p>
        </w:tc>
        <w:tc>
          <w:tcPr>
            <w:tcW w:w="12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3"/>
            <w:shd w:val="clear" w:color="auto" w:fill="CCEEFF"/>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w w:val="93"/>
              </w:rPr>
              <w:t>2.00</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center"/>
              <w:ind w:right="144"/>
              <w:spacing w:after="0" w:line="115" w:lineRule="exact"/>
              <w:rPr>
                <w:sz w:val="20"/>
                <w:szCs w:val="20"/>
                <w:color w:val="auto"/>
              </w:rPr>
            </w:pPr>
            <w:r>
              <w:rPr>
                <w:rFonts w:ascii="Times New Roman" w:cs="Times New Roman" w:eastAsia="Times New Roman" w:hAnsi="Times New Roman"/>
                <w:sz w:val="11"/>
                <w:szCs w:val="11"/>
                <w:color w:val="auto"/>
              </w:rPr>
              <w:t>1.83</w:t>
            </w: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center"/>
              <w:ind w:right="24"/>
              <w:spacing w:after="0" w:line="115" w:lineRule="exact"/>
              <w:rPr>
                <w:sz w:val="20"/>
                <w:szCs w:val="20"/>
                <w:color w:val="auto"/>
              </w:rPr>
            </w:pPr>
            <w:r>
              <w:rPr>
                <w:rFonts w:ascii="Times New Roman" w:cs="Times New Roman" w:eastAsia="Times New Roman" w:hAnsi="Times New Roman"/>
                <w:sz w:val="11"/>
                <w:szCs w:val="11"/>
                <w:color w:val="auto"/>
              </w:rPr>
              <w:t>1.76</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center"/>
              <w:ind w:left="104"/>
              <w:spacing w:after="0" w:line="115" w:lineRule="exact"/>
              <w:rPr>
                <w:sz w:val="20"/>
                <w:szCs w:val="20"/>
                <w:color w:val="auto"/>
              </w:rPr>
            </w:pPr>
            <w:r>
              <w:rPr>
                <w:rFonts w:ascii="Times New Roman" w:cs="Times New Roman" w:eastAsia="Times New Roman" w:hAnsi="Times New Roman"/>
                <w:sz w:val="11"/>
                <w:szCs w:val="11"/>
                <w:color w:val="auto"/>
              </w:rPr>
              <w:t>2.07</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rPr>
              <w:t>1.66</w:t>
            </w:r>
          </w:p>
        </w:tc>
        <w:tc>
          <w:tcPr>
            <w:tcW w:w="0" w:type="dxa"/>
            <w:vAlign w:val="bottom"/>
          </w:tcPr>
          <w:p>
            <w:pPr>
              <w:spacing w:after="0"/>
              <w:rPr>
                <w:sz w:val="1"/>
                <w:szCs w:val="1"/>
                <w:color w:val="auto"/>
              </w:rPr>
            </w:pPr>
          </w:p>
        </w:tc>
      </w:tr>
      <w:tr>
        <w:trPr>
          <w:trHeight w:val="115"/>
        </w:trPr>
        <w:tc>
          <w:tcPr>
            <w:tcW w:w="27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Net realized and unrealized gains (losses)</w:t>
            </w:r>
            <w:r>
              <w:rPr>
                <w:rFonts w:ascii="Times New Roman" w:cs="Times New Roman" w:eastAsia="Times New Roman" w:hAnsi="Times New Roman"/>
                <w:sz w:val="8"/>
                <w:szCs w:val="8"/>
                <w:color w:val="auto"/>
              </w:rPr>
              <w:t>(1)</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3"/>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w w:val="97"/>
              </w:rPr>
              <w:t>(0.14)</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144"/>
              <w:spacing w:after="0" w:line="115" w:lineRule="exact"/>
              <w:rPr>
                <w:sz w:val="20"/>
                <w:szCs w:val="20"/>
                <w:color w:val="auto"/>
              </w:rPr>
            </w:pPr>
            <w:r>
              <w:rPr>
                <w:rFonts w:ascii="Times New Roman" w:cs="Times New Roman" w:eastAsia="Times New Roman" w:hAnsi="Times New Roman"/>
                <w:sz w:val="11"/>
                <w:szCs w:val="11"/>
                <w:color w:val="auto"/>
              </w:rPr>
              <w:t>0.51</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center"/>
              <w:ind w:right="4"/>
              <w:spacing w:after="0" w:line="115" w:lineRule="exact"/>
              <w:rPr>
                <w:sz w:val="20"/>
                <w:szCs w:val="20"/>
                <w:color w:val="auto"/>
              </w:rPr>
            </w:pPr>
            <w:r>
              <w:rPr>
                <w:rFonts w:ascii="Times New Roman" w:cs="Times New Roman" w:eastAsia="Times New Roman" w:hAnsi="Times New Roman"/>
                <w:sz w:val="11"/>
                <w:szCs w:val="11"/>
                <w:color w:val="auto"/>
                <w:w w:val="97"/>
              </w:rPr>
              <w:t>(0.58)</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left="104"/>
              <w:spacing w:after="0" w:line="115" w:lineRule="exact"/>
              <w:rPr>
                <w:sz w:val="20"/>
                <w:szCs w:val="20"/>
                <w:color w:val="auto"/>
              </w:rPr>
            </w:pPr>
            <w:r>
              <w:rPr>
                <w:rFonts w:ascii="Times New Roman" w:cs="Times New Roman" w:eastAsia="Times New Roman" w:hAnsi="Times New Roman"/>
                <w:sz w:val="11"/>
                <w:szCs w:val="11"/>
                <w:color w:val="auto"/>
              </w:rPr>
              <w:t>(0.33)</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rPr>
              <w:t>0.23</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760" w:type="dxa"/>
            <w:vAlign w:val="bottom"/>
            <w:shd w:val="clear" w:color="auto" w:fill="CCEEFF"/>
          </w:tcPr>
          <w:p>
            <w:pPr>
              <w:ind w:left="220"/>
              <w:spacing w:after="0" w:line="115" w:lineRule="exact"/>
              <w:rPr>
                <w:sz w:val="20"/>
                <w:szCs w:val="20"/>
                <w:color w:val="auto"/>
              </w:rPr>
            </w:pPr>
            <w:r>
              <w:rPr>
                <w:rFonts w:ascii="Times New Roman" w:cs="Times New Roman" w:eastAsia="Times New Roman" w:hAnsi="Times New Roman"/>
                <w:sz w:val="11"/>
                <w:szCs w:val="11"/>
                <w:color w:val="auto"/>
              </w:rPr>
              <w:t>Total from operations</w:t>
            </w:r>
          </w:p>
        </w:tc>
        <w:tc>
          <w:tcPr>
            <w:tcW w:w="12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3"/>
            <w:shd w:val="clear" w:color="auto" w:fill="CCEEFF"/>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w w:val="93"/>
              </w:rPr>
              <w:t>1.86</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center"/>
              <w:ind w:right="144"/>
              <w:spacing w:after="0" w:line="115" w:lineRule="exact"/>
              <w:rPr>
                <w:sz w:val="20"/>
                <w:szCs w:val="20"/>
                <w:color w:val="auto"/>
              </w:rPr>
            </w:pPr>
            <w:r>
              <w:rPr>
                <w:rFonts w:ascii="Times New Roman" w:cs="Times New Roman" w:eastAsia="Times New Roman" w:hAnsi="Times New Roman"/>
                <w:sz w:val="11"/>
                <w:szCs w:val="11"/>
                <w:color w:val="auto"/>
              </w:rPr>
              <w:t>2.34</w:t>
            </w: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center"/>
              <w:ind w:right="24"/>
              <w:spacing w:after="0" w:line="115" w:lineRule="exact"/>
              <w:rPr>
                <w:sz w:val="20"/>
                <w:szCs w:val="20"/>
                <w:color w:val="auto"/>
              </w:rPr>
            </w:pPr>
            <w:r>
              <w:rPr>
                <w:rFonts w:ascii="Times New Roman" w:cs="Times New Roman" w:eastAsia="Times New Roman" w:hAnsi="Times New Roman"/>
                <w:sz w:val="11"/>
                <w:szCs w:val="11"/>
                <w:color w:val="auto"/>
              </w:rPr>
              <w:t>1.18</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center"/>
              <w:ind w:left="104"/>
              <w:spacing w:after="0" w:line="115" w:lineRule="exact"/>
              <w:rPr>
                <w:sz w:val="20"/>
                <w:szCs w:val="20"/>
                <w:color w:val="auto"/>
              </w:rPr>
            </w:pPr>
            <w:r>
              <w:rPr>
                <w:rFonts w:ascii="Times New Roman" w:cs="Times New Roman" w:eastAsia="Times New Roman" w:hAnsi="Times New Roman"/>
                <w:sz w:val="11"/>
                <w:szCs w:val="11"/>
                <w:color w:val="auto"/>
              </w:rPr>
              <w:t>1.74</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rPr>
              <w:t>1.89</w:t>
            </w:r>
          </w:p>
        </w:tc>
        <w:tc>
          <w:tcPr>
            <w:tcW w:w="0" w:type="dxa"/>
            <w:vAlign w:val="bottom"/>
          </w:tcPr>
          <w:p>
            <w:pPr>
              <w:spacing w:after="0"/>
              <w:rPr>
                <w:sz w:val="1"/>
                <w:szCs w:val="1"/>
                <w:color w:val="auto"/>
              </w:rPr>
            </w:pPr>
          </w:p>
        </w:tc>
      </w:tr>
      <w:tr>
        <w:trPr>
          <w:trHeight w:val="115"/>
        </w:trPr>
        <w:tc>
          <w:tcPr>
            <w:tcW w:w="27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Issuance of common stock, net of offering costs</w:t>
            </w:r>
            <w:r>
              <w:rPr>
                <w:rFonts w:ascii="Times New Roman" w:cs="Times New Roman" w:eastAsia="Times New Roman" w:hAnsi="Times New Roman"/>
                <w:sz w:val="8"/>
                <w:szCs w:val="8"/>
                <w:color w:val="auto"/>
              </w:rPr>
              <w:t>(2)</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3"/>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w w:val="93"/>
              </w:rPr>
              <w:t>0.03</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144"/>
              <w:spacing w:after="0" w:line="115" w:lineRule="exact"/>
              <w:rPr>
                <w:sz w:val="20"/>
                <w:szCs w:val="20"/>
                <w:color w:val="auto"/>
              </w:rPr>
            </w:pPr>
            <w:r>
              <w:rPr>
                <w:rFonts w:ascii="Times New Roman" w:cs="Times New Roman" w:eastAsia="Times New Roman" w:hAnsi="Times New Roman"/>
                <w:sz w:val="11"/>
                <w:szCs w:val="11"/>
                <w:color w:val="auto"/>
              </w:rPr>
              <w:t>0.03</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jc w:val="center"/>
              <w:ind w:right="200"/>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left="104"/>
              <w:spacing w:after="0" w:line="115" w:lineRule="exact"/>
              <w:rPr>
                <w:sz w:val="20"/>
                <w:szCs w:val="20"/>
                <w:color w:val="auto"/>
              </w:rPr>
            </w:pPr>
            <w:r>
              <w:rPr>
                <w:rFonts w:ascii="Times New Roman" w:cs="Times New Roman" w:eastAsia="Times New Roman" w:hAnsi="Times New Roman"/>
                <w:sz w:val="11"/>
                <w:szCs w:val="11"/>
                <w:color w:val="auto"/>
              </w:rPr>
              <w:t>(0.20)</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left="204"/>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0" w:type="dxa"/>
            <w:vAlign w:val="bottom"/>
          </w:tcPr>
          <w:p>
            <w:pPr>
              <w:spacing w:after="0"/>
              <w:rPr>
                <w:sz w:val="1"/>
                <w:szCs w:val="1"/>
                <w:color w:val="auto"/>
              </w:rPr>
            </w:pPr>
          </w:p>
        </w:tc>
      </w:tr>
      <w:tr>
        <w:trPr>
          <w:trHeight w:val="115"/>
        </w:trPr>
        <w:tc>
          <w:tcPr>
            <w:tcW w:w="2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Settlement of 2022 Convertible Notes</w:t>
            </w:r>
            <w:r>
              <w:rPr>
                <w:rFonts w:ascii="Times New Roman" w:cs="Times New Roman" w:eastAsia="Times New Roman" w:hAnsi="Times New Roman"/>
                <w:sz w:val="8"/>
                <w:szCs w:val="8"/>
                <w:color w:val="auto"/>
              </w:rPr>
              <w:t>(2)</w:t>
            </w:r>
          </w:p>
        </w:tc>
        <w:tc>
          <w:tcPr>
            <w:tcW w:w="12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center"/>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center"/>
              <w:ind w:right="360"/>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center"/>
              <w:ind w:right="200"/>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center"/>
              <w:ind w:right="20"/>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center"/>
              <w:ind w:left="204"/>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0" w:type="dxa"/>
            <w:vAlign w:val="bottom"/>
          </w:tcPr>
          <w:p>
            <w:pPr>
              <w:spacing w:after="0"/>
              <w:rPr>
                <w:sz w:val="1"/>
                <w:szCs w:val="1"/>
                <w:color w:val="auto"/>
              </w:rPr>
            </w:pPr>
          </w:p>
        </w:tc>
      </w:tr>
      <w:tr>
        <w:trPr>
          <w:trHeight w:val="115"/>
        </w:trPr>
        <w:tc>
          <w:tcPr>
            <w:tcW w:w="27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Repurchase of common stock</w:t>
            </w:r>
            <w:r>
              <w:rPr>
                <w:rFonts w:ascii="Times New Roman" w:cs="Times New Roman" w:eastAsia="Times New Roman" w:hAnsi="Times New Roman"/>
                <w:sz w:val="8"/>
                <w:szCs w:val="8"/>
                <w:color w:val="auto"/>
              </w:rPr>
              <w:t>(2)</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360"/>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jc w:val="center"/>
              <w:ind w:right="200"/>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20"/>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left="204"/>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0" w:type="dxa"/>
            <w:vAlign w:val="bottom"/>
          </w:tcPr>
          <w:p>
            <w:pPr>
              <w:spacing w:after="0"/>
              <w:rPr>
                <w:sz w:val="1"/>
                <w:szCs w:val="1"/>
                <w:color w:val="auto"/>
              </w:rPr>
            </w:pPr>
          </w:p>
        </w:tc>
      </w:tr>
      <w:tr>
        <w:trPr>
          <w:trHeight w:val="115"/>
        </w:trPr>
        <w:tc>
          <w:tcPr>
            <w:tcW w:w="2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Repurchase of debt</w:t>
            </w:r>
            <w:r>
              <w:rPr>
                <w:rFonts w:ascii="Times New Roman" w:cs="Times New Roman" w:eastAsia="Times New Roman" w:hAnsi="Times New Roman"/>
                <w:sz w:val="8"/>
                <w:szCs w:val="8"/>
                <w:color w:val="auto"/>
              </w:rPr>
              <w:t>(2)</w:t>
            </w:r>
          </w:p>
        </w:tc>
        <w:tc>
          <w:tcPr>
            <w:tcW w:w="12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center"/>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center"/>
              <w:ind w:right="360"/>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center"/>
              <w:ind w:right="200"/>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center"/>
              <w:ind w:right="20"/>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center"/>
              <w:ind w:left="204"/>
              <w:spacing w:after="0" w:line="115" w:lineRule="exact"/>
              <w:rPr>
                <w:sz w:val="20"/>
                <w:szCs w:val="20"/>
                <w:color w:val="auto"/>
              </w:rPr>
            </w:pPr>
            <w:r>
              <w:rPr>
                <w:rFonts w:ascii="Times New Roman" w:cs="Times New Roman" w:eastAsia="Times New Roman" w:hAnsi="Times New Roman"/>
                <w:sz w:val="11"/>
                <w:szCs w:val="11"/>
                <w:color w:val="auto"/>
                <w:w w:val="84"/>
              </w:rPr>
              <w:t>— </w:t>
            </w:r>
          </w:p>
        </w:tc>
        <w:tc>
          <w:tcPr>
            <w:tcW w:w="0" w:type="dxa"/>
            <w:vAlign w:val="bottom"/>
          </w:tcPr>
          <w:p>
            <w:pPr>
              <w:spacing w:after="0"/>
              <w:rPr>
                <w:sz w:val="1"/>
                <w:szCs w:val="1"/>
                <w:color w:val="auto"/>
              </w:rPr>
            </w:pPr>
          </w:p>
        </w:tc>
      </w:tr>
      <w:tr>
        <w:trPr>
          <w:trHeight w:val="115"/>
        </w:trPr>
        <w:tc>
          <w:tcPr>
            <w:tcW w:w="27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Dividends declared from net investment income</w:t>
            </w:r>
            <w:r>
              <w:rPr>
                <w:rFonts w:ascii="Times New Roman" w:cs="Times New Roman" w:eastAsia="Times New Roman" w:hAnsi="Times New Roman"/>
                <w:sz w:val="8"/>
                <w:szCs w:val="8"/>
                <w:color w:val="auto"/>
              </w:rPr>
              <w:t>(2)</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3"/>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w w:val="97"/>
              </w:rPr>
              <w:t>(1.53)</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124"/>
              <w:spacing w:after="0" w:line="115" w:lineRule="exact"/>
              <w:rPr>
                <w:sz w:val="20"/>
                <w:szCs w:val="20"/>
                <w:color w:val="auto"/>
              </w:rPr>
            </w:pPr>
            <w:r>
              <w:rPr>
                <w:rFonts w:ascii="Times New Roman" w:cs="Times New Roman" w:eastAsia="Times New Roman" w:hAnsi="Times New Roman"/>
                <w:sz w:val="11"/>
                <w:szCs w:val="11"/>
                <w:color w:val="auto"/>
                <w:w w:val="97"/>
              </w:rPr>
              <w:t>(1.39)</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center"/>
              <w:ind w:right="4"/>
              <w:spacing w:after="0" w:line="115" w:lineRule="exact"/>
              <w:rPr>
                <w:sz w:val="20"/>
                <w:szCs w:val="20"/>
                <w:color w:val="auto"/>
              </w:rPr>
            </w:pPr>
            <w:r>
              <w:rPr>
                <w:rFonts w:ascii="Times New Roman" w:cs="Times New Roman" w:eastAsia="Times New Roman" w:hAnsi="Times New Roman"/>
                <w:sz w:val="11"/>
                <w:szCs w:val="11"/>
                <w:color w:val="auto"/>
                <w:w w:val="97"/>
              </w:rPr>
              <w:t>(1.15)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left="104"/>
              <w:spacing w:after="0" w:line="115" w:lineRule="exact"/>
              <w:rPr>
                <w:sz w:val="20"/>
                <w:szCs w:val="20"/>
                <w:color w:val="auto"/>
              </w:rPr>
            </w:pPr>
            <w:r>
              <w:rPr>
                <w:rFonts w:ascii="Times New Roman" w:cs="Times New Roman" w:eastAsia="Times New Roman" w:hAnsi="Times New Roman"/>
                <w:sz w:val="11"/>
                <w:szCs w:val="11"/>
                <w:color w:val="auto"/>
              </w:rPr>
              <w:t>(1.51)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rPr>
              <w:t>(1.36)</w:t>
            </w:r>
          </w:p>
        </w:tc>
        <w:tc>
          <w:tcPr>
            <w:tcW w:w="0" w:type="dxa"/>
            <w:vAlign w:val="bottom"/>
          </w:tcPr>
          <w:p>
            <w:pPr>
              <w:spacing w:after="0"/>
              <w:rPr>
                <w:sz w:val="1"/>
                <w:szCs w:val="1"/>
                <w:color w:val="auto"/>
              </w:rPr>
            </w:pPr>
          </w:p>
        </w:tc>
      </w:tr>
      <w:tr>
        <w:trPr>
          <w:trHeight w:val="115"/>
        </w:trPr>
        <w:tc>
          <w:tcPr>
            <w:tcW w:w="2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Dividends declared from realized gains</w:t>
            </w:r>
            <w:r>
              <w:rPr>
                <w:rFonts w:ascii="Times New Roman" w:cs="Times New Roman" w:eastAsia="Times New Roman" w:hAnsi="Times New Roman"/>
                <w:sz w:val="8"/>
                <w:szCs w:val="8"/>
                <w:color w:val="auto"/>
              </w:rPr>
              <w:t>(2)</w:t>
            </w:r>
          </w:p>
        </w:tc>
        <w:tc>
          <w:tcPr>
            <w:tcW w:w="12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3"/>
            <w:shd w:val="clear" w:color="auto" w:fill="CCEEFF"/>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w w:val="97"/>
              </w:rPr>
              <w:t>(0.22)</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center"/>
              <w:ind w:right="124"/>
              <w:spacing w:after="0" w:line="115" w:lineRule="exact"/>
              <w:rPr>
                <w:sz w:val="20"/>
                <w:szCs w:val="20"/>
                <w:color w:val="auto"/>
              </w:rPr>
            </w:pPr>
            <w:r>
              <w:rPr>
                <w:rFonts w:ascii="Times New Roman" w:cs="Times New Roman" w:eastAsia="Times New Roman" w:hAnsi="Times New Roman"/>
                <w:sz w:val="11"/>
                <w:szCs w:val="11"/>
                <w:color w:val="auto"/>
                <w:w w:val="97"/>
              </w:rPr>
              <w:t>(0.17)</w:t>
            </w: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center"/>
              <w:ind w:right="4"/>
              <w:spacing w:after="0" w:line="115" w:lineRule="exact"/>
              <w:rPr>
                <w:sz w:val="20"/>
                <w:szCs w:val="20"/>
                <w:color w:val="auto"/>
              </w:rPr>
            </w:pPr>
            <w:r>
              <w:rPr>
                <w:rFonts w:ascii="Times New Roman" w:cs="Times New Roman" w:eastAsia="Times New Roman" w:hAnsi="Times New Roman"/>
                <w:sz w:val="11"/>
                <w:szCs w:val="11"/>
                <w:color w:val="auto"/>
                <w:w w:val="97"/>
              </w:rPr>
              <w:t>(0.41)</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center"/>
              <w:ind w:left="104"/>
              <w:spacing w:after="0" w:line="115" w:lineRule="exact"/>
              <w:rPr>
                <w:sz w:val="20"/>
                <w:szCs w:val="20"/>
                <w:color w:val="auto"/>
              </w:rPr>
            </w:pPr>
            <w:r>
              <w:rPr>
                <w:rFonts w:ascii="Times New Roman" w:cs="Times New Roman" w:eastAsia="Times New Roman" w:hAnsi="Times New Roman"/>
                <w:sz w:val="11"/>
                <w:szCs w:val="11"/>
                <w:color w:val="auto"/>
              </w:rPr>
              <w:t>(0.02)</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center"/>
              <w:ind w:left="184"/>
              <w:spacing w:after="0" w:line="115" w:lineRule="exact"/>
              <w:rPr>
                <w:sz w:val="20"/>
                <w:szCs w:val="20"/>
                <w:color w:val="auto"/>
              </w:rPr>
            </w:pPr>
            <w:r>
              <w:rPr>
                <w:rFonts w:ascii="Times New Roman" w:cs="Times New Roman" w:eastAsia="Times New Roman" w:hAnsi="Times New Roman"/>
                <w:sz w:val="11"/>
                <w:szCs w:val="11"/>
                <w:color w:val="auto"/>
              </w:rPr>
              <w:t>(0.20)</w:t>
            </w:r>
          </w:p>
        </w:tc>
        <w:tc>
          <w:tcPr>
            <w:tcW w:w="0" w:type="dxa"/>
            <w:vAlign w:val="bottom"/>
          </w:tcPr>
          <w:p>
            <w:pPr>
              <w:spacing w:after="0"/>
              <w:rPr>
                <w:sz w:val="1"/>
                <w:szCs w:val="1"/>
                <w:color w:val="auto"/>
              </w:rPr>
            </w:pPr>
          </w:p>
        </w:tc>
      </w:tr>
      <w:tr>
        <w:trPr>
          <w:trHeight w:val="117"/>
        </w:trPr>
        <w:tc>
          <w:tcPr>
            <w:tcW w:w="27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Total increase/(decrease) in net assets</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gridSpan w:val="2"/>
          </w:tcPr>
          <w:p>
            <w:pPr>
              <w:jc w:val="center"/>
              <w:ind w:left="264"/>
              <w:spacing w:after="0" w:line="116" w:lineRule="exact"/>
              <w:rPr>
                <w:sz w:val="20"/>
                <w:szCs w:val="20"/>
                <w:color w:val="auto"/>
              </w:rPr>
            </w:pPr>
            <w:r>
              <w:rPr>
                <w:rFonts w:ascii="Times New Roman" w:cs="Times New Roman" w:eastAsia="Times New Roman" w:hAnsi="Times New Roman"/>
                <w:sz w:val="11"/>
                <w:szCs w:val="11"/>
                <w:color w:val="auto"/>
                <w:w w:val="93"/>
              </w:rPr>
              <w:t>0.14</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jc w:val="center"/>
              <w:ind w:left="24"/>
              <w:spacing w:after="0" w:line="116" w:lineRule="exact"/>
              <w:rPr>
                <w:sz w:val="20"/>
                <w:szCs w:val="20"/>
                <w:color w:val="auto"/>
              </w:rPr>
            </w:pPr>
            <w:r>
              <w:rPr>
                <w:rFonts w:ascii="Times New Roman" w:cs="Times New Roman" w:eastAsia="Times New Roman" w:hAnsi="Times New Roman"/>
                <w:sz w:val="11"/>
                <w:szCs w:val="11"/>
                <w:color w:val="auto"/>
              </w:rPr>
              <w:t>0.81</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(0.38)</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center"/>
              <w:ind w:left="204"/>
              <w:spacing w:after="0" w:line="116" w:lineRule="exact"/>
              <w:rPr>
                <w:sz w:val="20"/>
                <w:szCs w:val="20"/>
                <w:color w:val="auto"/>
              </w:rPr>
            </w:pPr>
            <w:r>
              <w:rPr>
                <w:rFonts w:ascii="Times New Roman" w:cs="Times New Roman" w:eastAsia="Times New Roman" w:hAnsi="Times New Roman"/>
                <w:sz w:val="11"/>
                <w:szCs w:val="11"/>
                <w:color w:val="auto"/>
              </w:rPr>
              <w:t>0.01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center"/>
              <w:ind w:left="264"/>
              <w:spacing w:after="0" w:line="116" w:lineRule="exact"/>
              <w:rPr>
                <w:sz w:val="20"/>
                <w:szCs w:val="20"/>
                <w:color w:val="auto"/>
              </w:rPr>
            </w:pPr>
            <w:r>
              <w:rPr>
                <w:rFonts w:ascii="Times New Roman" w:cs="Times New Roman" w:eastAsia="Times New Roman" w:hAnsi="Times New Roman"/>
                <w:sz w:val="11"/>
                <w:szCs w:val="11"/>
                <w:color w:val="auto"/>
              </w:rPr>
              <w:t>0.33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Asset Value, End of Period</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5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3"/>
            <w:shd w:val="clear" w:color="auto" w:fill="CCEEFF"/>
          </w:tcPr>
          <w:p>
            <w:pPr>
              <w:ind w:left="260"/>
              <w:spacing w:after="0" w:line="115" w:lineRule="exact"/>
              <w:rPr>
                <w:sz w:val="20"/>
                <w:szCs w:val="20"/>
                <w:color w:val="auto"/>
              </w:rPr>
            </w:pPr>
            <w:r>
              <w:rPr>
                <w:rFonts w:ascii="Times New Roman" w:cs="Times New Roman" w:eastAsia="Times New Roman" w:hAnsi="Times New Roman"/>
                <w:sz w:val="11"/>
                <w:szCs w:val="11"/>
                <w:color w:val="auto"/>
              </w:rPr>
              <w:t>16.09</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6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24"/>
              <w:spacing w:after="0" w:line="115" w:lineRule="exact"/>
              <w:rPr>
                <w:sz w:val="20"/>
                <w:szCs w:val="20"/>
                <w:color w:val="auto"/>
              </w:rPr>
            </w:pPr>
            <w:r>
              <w:rPr>
                <w:rFonts w:ascii="Times New Roman" w:cs="Times New Roman" w:eastAsia="Times New Roman" w:hAnsi="Times New Roman"/>
                <w:sz w:val="11"/>
                <w:szCs w:val="11"/>
                <w:color w:val="auto"/>
              </w:rPr>
              <w:t>15.95</w:t>
            </w: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4"/>
              <w:spacing w:after="0" w:line="115" w:lineRule="exact"/>
              <w:rPr>
                <w:sz w:val="20"/>
                <w:szCs w:val="20"/>
                <w:color w:val="auto"/>
              </w:rPr>
            </w:pPr>
            <w:r>
              <w:rPr>
                <w:rFonts w:ascii="Times New Roman" w:cs="Times New Roman" w:eastAsia="Times New Roman" w:hAnsi="Times New Roman"/>
                <w:sz w:val="11"/>
                <w:szCs w:val="11"/>
                <w:color w:val="auto"/>
              </w:rPr>
              <w:t>15.15</w:t>
            </w:r>
          </w:p>
        </w:tc>
        <w:tc>
          <w:tcPr>
            <w:tcW w:w="14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15.53</w:t>
            </w:r>
          </w:p>
        </w:tc>
        <w:tc>
          <w:tcPr>
            <w:tcW w:w="20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1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15.52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59" w:right="1440" w:bottom="1440" w:gutter="0" w:footer="0" w:header="0"/>
        </w:sectPr>
      </w:pPr>
    </w:p>
    <w:bookmarkStart w:id="74" w:name="page75"/>
    <w:bookmarkEnd w:id="74"/>
    <w:tbl>
      <w:tblPr>
        <w:tblLayout w:type="fixed"/>
        <w:tblInd w:w="240" w:type="dxa"/>
        <w:tblCellMar>
          <w:top w:w="0" w:type="dxa"/>
          <w:left w:w="0" w:type="dxa"/>
          <w:bottom w:w="0" w:type="dxa"/>
          <w:right w:w="0" w:type="dxa"/>
        </w:tblCellMar>
      </w:tblPr>
      <w:tr>
        <w:trPr>
          <w:trHeight w:val="126"/>
        </w:trPr>
        <w:tc>
          <w:tcPr>
            <w:tcW w:w="3080" w:type="dxa"/>
            <w:vAlign w:val="bottom"/>
          </w:tcPr>
          <w:p>
            <w:pPr>
              <w:spacing w:after="0"/>
              <w:rPr>
                <w:sz w:val="11"/>
                <w:szCs w:val="11"/>
                <w:color w:val="auto"/>
              </w:rPr>
            </w:pPr>
          </w:p>
        </w:tc>
        <w:tc>
          <w:tcPr>
            <w:tcW w:w="6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Nine Months</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80" w:type="dxa"/>
            <w:vAlign w:val="bottom"/>
          </w:tcPr>
          <w:p>
            <w:pPr>
              <w:spacing w:after="0"/>
              <w:rPr>
                <w:sz w:val="11"/>
                <w:szCs w:val="11"/>
                <w:color w:val="auto"/>
              </w:rPr>
            </w:pPr>
          </w:p>
        </w:tc>
        <w:tc>
          <w:tcPr>
            <w:tcW w:w="7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60" w:type="dxa"/>
            <w:vAlign w:val="bottom"/>
          </w:tcPr>
          <w:p>
            <w:pPr>
              <w:spacing w:after="0"/>
              <w:rPr>
                <w:sz w:val="11"/>
                <w:szCs w:val="11"/>
                <w:color w:val="auto"/>
              </w:rPr>
            </w:pPr>
          </w:p>
        </w:tc>
        <w:tc>
          <w:tcPr>
            <w:tcW w:w="7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80" w:type="dxa"/>
            <w:vAlign w:val="bottom"/>
          </w:tcPr>
          <w:p>
            <w:pPr>
              <w:spacing w:after="0"/>
              <w:rPr>
                <w:sz w:val="11"/>
                <w:szCs w:val="11"/>
                <w:color w:val="auto"/>
              </w:rPr>
            </w:pPr>
          </w:p>
        </w:tc>
        <w:tc>
          <w:tcPr>
            <w:tcW w:w="8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00" w:type="dxa"/>
            <w:vAlign w:val="bottom"/>
          </w:tcPr>
          <w:p>
            <w:pPr>
              <w:spacing w:after="0"/>
              <w:rPr>
                <w:sz w:val="11"/>
                <w:szCs w:val="11"/>
                <w:color w:val="auto"/>
              </w:rPr>
            </w:pPr>
          </w:p>
        </w:tc>
        <w:tc>
          <w:tcPr>
            <w:tcW w:w="7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0" w:type="dxa"/>
            <w:vAlign w:val="bottom"/>
          </w:tcPr>
          <w:p>
            <w:pPr>
              <w:spacing w:after="0"/>
              <w:rPr>
                <w:sz w:val="1"/>
                <w:szCs w:val="1"/>
                <w:color w:val="auto"/>
              </w:rPr>
            </w:pPr>
          </w:p>
        </w:tc>
      </w:tr>
      <w:tr>
        <w:trPr>
          <w:trHeight w:val="115"/>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3"/>
          </w:tcPr>
          <w:p>
            <w:pPr>
              <w:jc w:val="center"/>
              <w:ind w:right="64"/>
              <w:spacing w:after="0" w:line="115" w:lineRule="exact"/>
              <w:rPr>
                <w:sz w:val="20"/>
                <w:szCs w:val="20"/>
                <w:color w:val="auto"/>
              </w:rPr>
            </w:pPr>
            <w:r>
              <w:rPr>
                <w:rFonts w:ascii="Times New Roman" w:cs="Times New Roman" w:eastAsia="Times New Roman" w:hAnsi="Times New Roman"/>
                <w:sz w:val="11"/>
                <w:szCs w:val="11"/>
                <w:b w:val="1"/>
                <w:bCs w:val="1"/>
                <w:color w:val="auto"/>
              </w:rPr>
              <w:t>Ended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80" w:type="dxa"/>
            <w:vAlign w:val="bottom"/>
          </w:tcPr>
          <w:p>
            <w:pPr>
              <w:spacing w:after="0"/>
              <w:rPr>
                <w:sz w:val="10"/>
                <w:szCs w:val="10"/>
                <w:color w:val="auto"/>
              </w:rPr>
            </w:pPr>
          </w:p>
        </w:tc>
        <w:tc>
          <w:tcPr>
            <w:tcW w:w="680" w:type="dxa"/>
            <w:vAlign w:val="bottom"/>
            <w:gridSpan w:val="4"/>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80" w:type="dxa"/>
            <w:vAlign w:val="bottom"/>
          </w:tcPr>
          <w:p>
            <w:pPr>
              <w:spacing w:after="0"/>
              <w:rPr>
                <w:sz w:val="10"/>
                <w:szCs w:val="10"/>
                <w:color w:val="auto"/>
              </w:rPr>
            </w:pPr>
          </w:p>
        </w:tc>
        <w:tc>
          <w:tcPr>
            <w:tcW w:w="76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Pr>
          <w:p>
            <w:pPr>
              <w:spacing w:after="0"/>
              <w:rPr>
                <w:sz w:val="10"/>
                <w:szCs w:val="10"/>
                <w:color w:val="auto"/>
              </w:rPr>
            </w:pPr>
          </w:p>
        </w:tc>
        <w:tc>
          <w:tcPr>
            <w:tcW w:w="74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Pr>
          <w:p>
            <w:pPr>
              <w:spacing w:after="0"/>
              <w:rPr>
                <w:sz w:val="10"/>
                <w:szCs w:val="10"/>
                <w:color w:val="auto"/>
              </w:rPr>
            </w:pPr>
          </w:p>
        </w:tc>
        <w:tc>
          <w:tcPr>
            <w:tcW w:w="82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0"/>
                <w:szCs w:val="10"/>
                <w:color w:val="auto"/>
              </w:rPr>
            </w:pPr>
          </w:p>
        </w:tc>
        <w:tc>
          <w:tcPr>
            <w:tcW w:w="780" w:type="dxa"/>
            <w:vAlign w:val="bottom"/>
            <w:gridSpan w:val="3"/>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4"/>
        </w:trPr>
        <w:tc>
          <w:tcPr>
            <w:tcW w:w="30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center"/>
              <w:ind w:right="4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w w:val="99"/>
              </w:rPr>
              <w:t>2019</w:t>
            </w: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9"/>
              </w:rPr>
              <w:t>2018</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0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Per share market value at end of period</w:t>
            </w:r>
          </w:p>
        </w:tc>
        <w:tc>
          <w:tcPr>
            <w:tcW w:w="120" w:type="dxa"/>
            <w:vAlign w:val="bottom"/>
            <w:shd w:val="clear" w:color="auto" w:fill="CCEEFF"/>
          </w:tcPr>
          <w:p>
            <w:pPr>
              <w:jc w:val="right"/>
              <w:ind w:right="4"/>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20.44</w:t>
            </w:r>
          </w:p>
        </w:tc>
        <w:tc>
          <w:tcPr>
            <w:tcW w:w="2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17.80</w:t>
            </w: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23.39</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20.75</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ind w:left="320"/>
              <w:spacing w:after="0" w:line="106" w:lineRule="exact"/>
              <w:rPr>
                <w:sz w:val="20"/>
                <w:szCs w:val="20"/>
                <w:color w:val="auto"/>
              </w:rPr>
            </w:pPr>
            <w:r>
              <w:rPr>
                <w:rFonts w:ascii="Times New Roman" w:cs="Times New Roman" w:eastAsia="Times New Roman" w:hAnsi="Times New Roman"/>
                <w:sz w:val="11"/>
                <w:szCs w:val="11"/>
                <w:color w:val="auto"/>
                <w:w w:val="88"/>
              </w:rPr>
              <w:t>21.47</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18.09</w:t>
            </w: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080" w:type="dxa"/>
            <w:vAlign w:val="bottom"/>
          </w:tcPr>
          <w:p>
            <w:pPr>
              <w:spacing w:after="0" w:line="98" w:lineRule="exact"/>
              <w:rPr>
                <w:sz w:val="20"/>
                <w:szCs w:val="20"/>
                <w:color w:val="auto"/>
              </w:rPr>
            </w:pPr>
            <w:r>
              <w:rPr>
                <w:rFonts w:ascii="Times New Roman" w:cs="Times New Roman" w:eastAsia="Times New Roman" w:hAnsi="Times New Roman"/>
                <w:sz w:val="11"/>
                <w:szCs w:val="11"/>
                <w:color w:val="auto"/>
              </w:rPr>
              <w:t>Total return based on market value with reinvestment of</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vMerge w:val="restart"/>
          </w:tcPr>
          <w:p>
            <w:pPr>
              <w:jc w:val="right"/>
              <w:ind w:right="104"/>
              <w:spacing w:after="0"/>
              <w:rPr>
                <w:sz w:val="20"/>
                <w:szCs w:val="20"/>
                <w:color w:val="auto"/>
              </w:rPr>
            </w:pPr>
            <w:r>
              <w:rPr>
                <w:rFonts w:ascii="Times New Roman" w:cs="Times New Roman" w:eastAsia="Times New Roman" w:hAnsi="Times New Roman"/>
                <w:sz w:val="11"/>
                <w:szCs w:val="11"/>
                <w:color w:val="auto"/>
              </w:rPr>
              <w:t>23.65%</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4"/>
            <w:vMerge w:val="restart"/>
          </w:tcPr>
          <w:p>
            <w:pPr>
              <w:jc w:val="right"/>
              <w:ind w:right="124"/>
              <w:spacing w:after="0"/>
              <w:rPr>
                <w:sz w:val="20"/>
                <w:szCs w:val="20"/>
                <w:color w:val="auto"/>
              </w:rPr>
            </w:pPr>
            <w:r>
              <w:rPr>
                <w:rFonts w:ascii="Times New Roman" w:cs="Times New Roman" w:eastAsia="Times New Roman" w:hAnsi="Times New Roman"/>
                <w:sz w:val="11"/>
                <w:szCs w:val="11"/>
                <w:color w:val="auto"/>
              </w:rPr>
              <w:t>(15.78)%</w:t>
            </w:r>
          </w:p>
        </w:tc>
        <w:tc>
          <w:tcPr>
            <w:tcW w:w="120" w:type="dxa"/>
            <w:vAlign w:val="bottom"/>
          </w:tcPr>
          <w:p>
            <w:pPr>
              <w:spacing w:after="0"/>
              <w:rPr>
                <w:sz w:val="8"/>
                <w:szCs w:val="8"/>
                <w:color w:val="auto"/>
              </w:rPr>
            </w:pPr>
          </w:p>
        </w:tc>
        <w:tc>
          <w:tcPr>
            <w:tcW w:w="6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32.80%</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11.24%</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1"/>
                <w:szCs w:val="11"/>
                <w:color w:val="auto"/>
              </w:rPr>
              <w:t>30.57%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4.24%</w:t>
            </w:r>
          </w:p>
        </w:tc>
        <w:tc>
          <w:tcPr>
            <w:tcW w:w="0" w:type="dxa"/>
            <w:vAlign w:val="bottom"/>
          </w:tcPr>
          <w:p>
            <w:pPr>
              <w:spacing w:after="0"/>
              <w:rPr>
                <w:sz w:val="1"/>
                <w:szCs w:val="1"/>
                <w:color w:val="auto"/>
              </w:rPr>
            </w:pPr>
          </w:p>
        </w:tc>
      </w:tr>
      <w:tr>
        <w:trPr>
          <w:trHeight w:val="132"/>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dividends</w:t>
            </w:r>
            <w:r>
              <w:rPr>
                <w:rFonts w:ascii="Times New Roman" w:cs="Times New Roman" w:eastAsia="Times New Roman" w:hAnsi="Times New Roman"/>
                <w:sz w:val="8"/>
                <w:szCs w:val="8"/>
                <w:color w:val="auto"/>
              </w:rPr>
              <w:t>(3)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Total return based on market value</w:t>
            </w:r>
            <w:r>
              <w:rPr>
                <w:rFonts w:ascii="Times New Roman" w:cs="Times New Roman" w:eastAsia="Times New Roman" w:hAnsi="Times New Roman"/>
                <w:sz w:val="8"/>
                <w:szCs w:val="8"/>
                <w:color w:val="auto"/>
              </w:rPr>
              <w:t>(4)</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4"/>
              <w:spacing w:after="0" w:line="115" w:lineRule="exact"/>
              <w:rPr>
                <w:sz w:val="20"/>
                <w:szCs w:val="20"/>
                <w:color w:val="auto"/>
              </w:rPr>
            </w:pPr>
            <w:r>
              <w:rPr>
                <w:rFonts w:ascii="Times New Roman" w:cs="Times New Roman" w:eastAsia="Times New Roman" w:hAnsi="Times New Roman"/>
                <w:sz w:val="11"/>
                <w:szCs w:val="11"/>
                <w:color w:val="auto"/>
              </w:rPr>
              <w:t>25.14%</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4"/>
            <w:shd w:val="clear" w:color="auto" w:fill="CCEEFF"/>
          </w:tcPr>
          <w:p>
            <w:pPr>
              <w:jc w:val="right"/>
              <w:ind w:right="124"/>
              <w:spacing w:after="0" w:line="115" w:lineRule="exact"/>
              <w:rPr>
                <w:sz w:val="20"/>
                <w:szCs w:val="20"/>
                <w:color w:val="auto"/>
              </w:rPr>
            </w:pPr>
            <w:r>
              <w:rPr>
                <w:rFonts w:ascii="Times New Roman" w:cs="Times New Roman" w:eastAsia="Times New Roman" w:hAnsi="Times New Roman"/>
                <w:sz w:val="11"/>
                <w:szCs w:val="11"/>
                <w:color w:val="auto"/>
              </w:rPr>
              <w:t>(16.03)%</w:t>
            </w:r>
          </w:p>
        </w:tc>
        <w:tc>
          <w:tcPr>
            <w:tcW w:w="12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30.02%</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7.36%</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3"/>
            <w:shd w:val="clear" w:color="auto" w:fill="CCEEFF"/>
          </w:tcPr>
          <w:p>
            <w:pPr>
              <w:ind w:left="320"/>
              <w:spacing w:after="0" w:line="115" w:lineRule="exact"/>
              <w:rPr>
                <w:sz w:val="20"/>
                <w:szCs w:val="20"/>
                <w:color w:val="auto"/>
              </w:rPr>
            </w:pPr>
            <w:r>
              <w:rPr>
                <w:rFonts w:ascii="Times New Roman" w:cs="Times New Roman" w:eastAsia="Times New Roman" w:hAnsi="Times New Roman"/>
                <w:sz w:val="11"/>
                <w:szCs w:val="11"/>
                <w:color w:val="auto"/>
              </w:rPr>
              <w:t>28.69%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0.35%</w:t>
            </w:r>
          </w:p>
        </w:tc>
        <w:tc>
          <w:tcPr>
            <w:tcW w:w="0" w:type="dxa"/>
            <w:vAlign w:val="bottom"/>
          </w:tcPr>
          <w:p>
            <w:pPr>
              <w:spacing w:after="0"/>
              <w:rPr>
                <w:sz w:val="1"/>
                <w:szCs w:val="1"/>
                <w:color w:val="auto"/>
              </w:rPr>
            </w:pPr>
          </w:p>
        </w:tc>
      </w:tr>
      <w:tr>
        <w:trPr>
          <w:trHeight w:val="115"/>
        </w:trPr>
        <w:tc>
          <w:tcPr>
            <w:tcW w:w="30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Total return based on net asset value</w:t>
            </w:r>
            <w:r>
              <w:rPr>
                <w:rFonts w:ascii="Times New Roman" w:cs="Times New Roman" w:eastAsia="Times New Roman" w:hAnsi="Times New Roman"/>
                <w:sz w:val="8"/>
                <w:szCs w:val="8"/>
                <w:color w:val="auto"/>
              </w:rPr>
              <w:t>(5)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04"/>
              <w:spacing w:after="0" w:line="115" w:lineRule="exact"/>
              <w:rPr>
                <w:sz w:val="20"/>
                <w:szCs w:val="20"/>
                <w:color w:val="auto"/>
              </w:rPr>
            </w:pPr>
            <w:r>
              <w:rPr>
                <w:rFonts w:ascii="Times New Roman" w:cs="Times New Roman" w:eastAsia="Times New Roman" w:hAnsi="Times New Roman"/>
                <w:sz w:val="11"/>
                <w:szCs w:val="11"/>
                <w:color w:val="auto"/>
              </w:rPr>
              <w:t>12.49%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jc w:val="right"/>
              <w:ind w:right="164"/>
              <w:spacing w:after="0" w:line="115" w:lineRule="exact"/>
              <w:rPr>
                <w:sz w:val="20"/>
                <w:szCs w:val="20"/>
                <w:color w:val="auto"/>
              </w:rPr>
            </w:pPr>
            <w:r>
              <w:rPr>
                <w:rFonts w:ascii="Times New Roman" w:cs="Times New Roman" w:eastAsia="Times New Roman" w:hAnsi="Times New Roman"/>
                <w:sz w:val="11"/>
                <w:szCs w:val="11"/>
                <w:color w:val="auto"/>
              </w:rPr>
              <w:t>8.79%</w:t>
            </w:r>
          </w:p>
        </w:tc>
        <w:tc>
          <w:tcPr>
            <w:tcW w:w="120" w:type="dxa"/>
            <w:vAlign w:val="bottom"/>
          </w:tcPr>
          <w:p>
            <w:pPr>
              <w:spacing w:after="0"/>
              <w:rPr>
                <w:sz w:val="10"/>
                <w:szCs w:val="10"/>
                <w:color w:val="auto"/>
              </w:rPr>
            </w:pPr>
          </w:p>
        </w:tc>
        <w:tc>
          <w:tcPr>
            <w:tcW w:w="64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19.06%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color w:val="auto"/>
              </w:rPr>
              <w:t>15.63%</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ind w:left="320"/>
              <w:spacing w:after="0" w:line="115" w:lineRule="exact"/>
              <w:rPr>
                <w:sz w:val="20"/>
                <w:szCs w:val="20"/>
                <w:color w:val="auto"/>
              </w:rPr>
            </w:pPr>
            <w:r>
              <w:rPr>
                <w:rFonts w:ascii="Times New Roman" w:cs="Times New Roman" w:eastAsia="Times New Roman" w:hAnsi="Times New Roman"/>
                <w:sz w:val="11"/>
                <w:szCs w:val="11"/>
                <w:color w:val="auto"/>
              </w:rPr>
              <w:t>14.71%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12.06%</w:t>
            </w:r>
          </w:p>
        </w:tc>
        <w:tc>
          <w:tcPr>
            <w:tcW w:w="0" w:type="dxa"/>
            <w:vAlign w:val="bottom"/>
          </w:tcPr>
          <w:p>
            <w:pPr>
              <w:spacing w:after="0"/>
              <w:rPr>
                <w:sz w:val="1"/>
                <w:szCs w:val="1"/>
                <w:color w:val="auto"/>
              </w:rPr>
            </w:pPr>
          </w:p>
        </w:tc>
      </w:tr>
      <w:tr>
        <w:trPr>
          <w:trHeight w:val="115"/>
        </w:trPr>
        <w:tc>
          <w:tcPr>
            <w:tcW w:w="30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Shares Outstanding, End of Period</w:t>
            </w:r>
          </w:p>
        </w:tc>
        <w:tc>
          <w:tcPr>
            <w:tcW w:w="120" w:type="dxa"/>
            <w:vAlign w:val="bottom"/>
            <w:shd w:val="clear" w:color="auto" w:fill="CCEEFF"/>
          </w:tcPr>
          <w:p>
            <w:pPr>
              <w:spacing w:after="0"/>
              <w:rPr>
                <w:sz w:val="10"/>
                <w:szCs w:val="10"/>
                <w:color w:val="auto"/>
              </w:rPr>
            </w:pPr>
          </w:p>
        </w:tc>
        <w:tc>
          <w:tcPr>
            <w:tcW w:w="560" w:type="dxa"/>
            <w:vAlign w:val="bottom"/>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87,546,498</w:t>
            </w: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3"/>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81,389,287</w:t>
            </w: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75,771,542</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67,684,209</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66,524,591</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65,412,817</w:t>
            </w:r>
          </w:p>
        </w:tc>
        <w:tc>
          <w:tcPr>
            <w:tcW w:w="0" w:type="dxa"/>
            <w:vAlign w:val="bottom"/>
          </w:tcPr>
          <w:p>
            <w:pPr>
              <w:spacing w:after="0"/>
              <w:rPr>
                <w:sz w:val="1"/>
                <w:szCs w:val="1"/>
                <w:color w:val="auto"/>
              </w:rPr>
            </w:pPr>
          </w:p>
        </w:tc>
      </w:tr>
      <w:tr>
        <w:trPr>
          <w:trHeight w:val="115"/>
        </w:trPr>
        <w:tc>
          <w:tcPr>
            <w:tcW w:w="30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Ratios / Supplemental Data</w:t>
            </w:r>
            <w:r>
              <w:rPr>
                <w:rFonts w:ascii="Times New Roman" w:cs="Times New Roman" w:eastAsia="Times New Roman" w:hAnsi="Times New Roman"/>
                <w:sz w:val="8"/>
                <w:szCs w:val="8"/>
                <w:b w:val="1"/>
                <w:bCs w:val="1"/>
                <w:color w:val="auto"/>
              </w:rPr>
              <w:t>(6)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Ratio of net expenses to average net assets</w:t>
            </w:r>
            <w:r>
              <w:rPr>
                <w:rFonts w:ascii="Times New Roman" w:cs="Times New Roman" w:eastAsia="Times New Roman" w:hAnsi="Times New Roman"/>
                <w:sz w:val="8"/>
                <w:szCs w:val="8"/>
                <w:color w:val="auto"/>
              </w:rPr>
              <w:t>(7)</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4"/>
              <w:spacing w:after="0" w:line="115" w:lineRule="exact"/>
              <w:rPr>
                <w:sz w:val="20"/>
                <w:szCs w:val="20"/>
                <w:color w:val="auto"/>
              </w:rPr>
            </w:pPr>
            <w:r>
              <w:rPr>
                <w:rFonts w:ascii="Times New Roman" w:cs="Times New Roman" w:eastAsia="Times New Roman" w:hAnsi="Times New Roman"/>
                <w:sz w:val="11"/>
                <w:szCs w:val="11"/>
                <w:color w:val="auto"/>
              </w:rPr>
              <w:t>16.71%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4"/>
            <w:shd w:val="clear" w:color="auto" w:fill="CCEEFF"/>
          </w:tcPr>
          <w:p>
            <w:pPr>
              <w:jc w:val="right"/>
              <w:ind w:right="164"/>
              <w:spacing w:after="0" w:line="115" w:lineRule="exact"/>
              <w:rPr>
                <w:sz w:val="20"/>
                <w:szCs w:val="20"/>
                <w:color w:val="auto"/>
              </w:rPr>
            </w:pPr>
            <w:r>
              <w:rPr>
                <w:rFonts w:ascii="Times New Roman" w:cs="Times New Roman" w:eastAsia="Times New Roman" w:hAnsi="Times New Roman"/>
                <w:sz w:val="11"/>
                <w:szCs w:val="11"/>
                <w:color w:val="auto"/>
              </w:rPr>
              <w:t>11.05%</w:t>
            </w:r>
          </w:p>
        </w:tc>
        <w:tc>
          <w:tcPr>
            <w:tcW w:w="12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11.17%</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11.10%</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3"/>
            <w:shd w:val="clear" w:color="auto" w:fill="CCEEFF"/>
          </w:tcPr>
          <w:p>
            <w:pPr>
              <w:ind w:left="320"/>
              <w:spacing w:after="0" w:line="115" w:lineRule="exact"/>
              <w:rPr>
                <w:sz w:val="20"/>
                <w:szCs w:val="20"/>
                <w:color w:val="auto"/>
              </w:rPr>
            </w:pPr>
            <w:r>
              <w:rPr>
                <w:rFonts w:ascii="Times New Roman" w:cs="Times New Roman" w:eastAsia="Times New Roman" w:hAnsi="Times New Roman"/>
                <w:sz w:val="11"/>
                <w:szCs w:val="11"/>
                <w:color w:val="auto"/>
              </w:rPr>
              <w:t>11.27%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11.32%</w:t>
            </w:r>
          </w:p>
        </w:tc>
        <w:tc>
          <w:tcPr>
            <w:tcW w:w="0" w:type="dxa"/>
            <w:vAlign w:val="bottom"/>
          </w:tcPr>
          <w:p>
            <w:pPr>
              <w:spacing w:after="0"/>
              <w:rPr>
                <w:sz w:val="1"/>
                <w:szCs w:val="1"/>
                <w:color w:val="auto"/>
              </w:rPr>
            </w:pPr>
          </w:p>
        </w:tc>
      </w:tr>
      <w:tr>
        <w:trPr>
          <w:trHeight w:val="115"/>
        </w:trPr>
        <w:tc>
          <w:tcPr>
            <w:tcW w:w="30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Ratio of net investment income to average net assets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04"/>
              <w:spacing w:after="0" w:line="115" w:lineRule="exact"/>
              <w:rPr>
                <w:sz w:val="20"/>
                <w:szCs w:val="20"/>
                <w:color w:val="auto"/>
              </w:rPr>
            </w:pPr>
            <w:r>
              <w:rPr>
                <w:rFonts w:ascii="Times New Roman" w:cs="Times New Roman" w:eastAsia="Times New Roman" w:hAnsi="Times New Roman"/>
                <w:sz w:val="11"/>
                <w:szCs w:val="11"/>
                <w:color w:val="auto"/>
              </w:rPr>
              <w:t>13.39%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jc w:val="right"/>
              <w:ind w:right="164"/>
              <w:spacing w:after="0" w:line="115" w:lineRule="exact"/>
              <w:rPr>
                <w:sz w:val="20"/>
                <w:szCs w:val="20"/>
                <w:color w:val="auto"/>
              </w:rPr>
            </w:pPr>
            <w:r>
              <w:rPr>
                <w:rFonts w:ascii="Times New Roman" w:cs="Times New Roman" w:eastAsia="Times New Roman" w:hAnsi="Times New Roman"/>
                <w:sz w:val="11"/>
                <w:szCs w:val="11"/>
                <w:color w:val="auto"/>
              </w:rPr>
              <w:t>12.85%</w:t>
            </w:r>
          </w:p>
        </w:tc>
        <w:tc>
          <w:tcPr>
            <w:tcW w:w="120" w:type="dxa"/>
            <w:vAlign w:val="bottom"/>
          </w:tcPr>
          <w:p>
            <w:pPr>
              <w:spacing w:after="0"/>
              <w:rPr>
                <w:sz w:val="10"/>
                <w:szCs w:val="10"/>
                <w:color w:val="auto"/>
              </w:rPr>
            </w:pPr>
          </w:p>
        </w:tc>
        <w:tc>
          <w:tcPr>
            <w:tcW w:w="64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11.67%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color w:val="auto"/>
              </w:rPr>
              <w:t>13.26%</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ind w:left="320"/>
              <w:spacing w:after="0" w:line="115" w:lineRule="exact"/>
              <w:rPr>
                <w:sz w:val="20"/>
                <w:szCs w:val="20"/>
                <w:color w:val="auto"/>
              </w:rPr>
            </w:pPr>
            <w:r>
              <w:rPr>
                <w:rFonts w:ascii="Times New Roman" w:cs="Times New Roman" w:eastAsia="Times New Roman" w:hAnsi="Times New Roman"/>
                <w:sz w:val="11"/>
                <w:szCs w:val="11"/>
                <w:color w:val="auto"/>
              </w:rPr>
              <w:t>11.73%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13.80%</w:t>
            </w:r>
          </w:p>
        </w:tc>
        <w:tc>
          <w:tcPr>
            <w:tcW w:w="0" w:type="dxa"/>
            <w:vAlign w:val="bottom"/>
          </w:tcPr>
          <w:p>
            <w:pPr>
              <w:spacing w:after="0"/>
              <w:rPr>
                <w:sz w:val="1"/>
                <w:szCs w:val="1"/>
                <w:color w:val="auto"/>
              </w:rPr>
            </w:pPr>
          </w:p>
        </w:tc>
      </w:tr>
      <w:tr>
        <w:trPr>
          <w:trHeight w:val="115"/>
        </w:trPr>
        <w:tc>
          <w:tcPr>
            <w:tcW w:w="30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Portfolio turnover</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4"/>
              <w:spacing w:after="0" w:line="115" w:lineRule="exact"/>
              <w:rPr>
                <w:sz w:val="20"/>
                <w:szCs w:val="20"/>
                <w:color w:val="auto"/>
              </w:rPr>
            </w:pPr>
            <w:r>
              <w:rPr>
                <w:rFonts w:ascii="Times New Roman" w:cs="Times New Roman" w:eastAsia="Times New Roman" w:hAnsi="Times New Roman"/>
                <w:sz w:val="11"/>
                <w:szCs w:val="11"/>
                <w:color w:val="auto"/>
              </w:rPr>
              <w:t>16.12%</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4"/>
            <w:shd w:val="clear" w:color="auto" w:fill="CCEEFF"/>
          </w:tcPr>
          <w:p>
            <w:pPr>
              <w:jc w:val="right"/>
              <w:ind w:right="164"/>
              <w:spacing w:after="0" w:line="115" w:lineRule="exact"/>
              <w:rPr>
                <w:sz w:val="20"/>
                <w:szCs w:val="20"/>
                <w:color w:val="auto"/>
              </w:rPr>
            </w:pPr>
            <w:r>
              <w:rPr>
                <w:rFonts w:ascii="Times New Roman" w:cs="Times New Roman" w:eastAsia="Times New Roman" w:hAnsi="Times New Roman"/>
                <w:sz w:val="11"/>
                <w:szCs w:val="11"/>
                <w:color w:val="auto"/>
              </w:rPr>
              <w:t>26.67%</w:t>
            </w:r>
          </w:p>
        </w:tc>
        <w:tc>
          <w:tcPr>
            <w:tcW w:w="12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44.23%</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41.88%</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3"/>
            <w:shd w:val="clear" w:color="auto" w:fill="CCEEFF"/>
          </w:tcPr>
          <w:p>
            <w:pPr>
              <w:ind w:left="320"/>
              <w:spacing w:after="0" w:line="115" w:lineRule="exact"/>
              <w:rPr>
                <w:sz w:val="20"/>
                <w:szCs w:val="20"/>
                <w:color w:val="auto"/>
              </w:rPr>
            </w:pPr>
            <w:r>
              <w:rPr>
                <w:rFonts w:ascii="Times New Roman" w:cs="Times New Roman" w:eastAsia="Times New Roman" w:hAnsi="Times New Roman"/>
                <w:sz w:val="11"/>
                <w:szCs w:val="11"/>
                <w:color w:val="auto"/>
              </w:rPr>
              <w:t>30.89%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44.57%</w:t>
            </w:r>
          </w:p>
        </w:tc>
        <w:tc>
          <w:tcPr>
            <w:tcW w:w="0" w:type="dxa"/>
            <w:vAlign w:val="bottom"/>
          </w:tcPr>
          <w:p>
            <w:pPr>
              <w:spacing w:after="0"/>
              <w:rPr>
                <w:sz w:val="1"/>
                <w:szCs w:val="1"/>
                <w:color w:val="auto"/>
              </w:rPr>
            </w:pPr>
          </w:p>
        </w:tc>
      </w:tr>
      <w:tr>
        <w:trPr>
          <w:trHeight w:val="145"/>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Net assets, end of period</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1,485,822</w:t>
            </w: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1,341,569</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1,275,848</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1,161,315</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1,119,297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1,063,202</w:t>
            </w: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5"/>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320" w:type="dxa"/>
            <w:vAlign w:val="bottom"/>
          </w:tcPr>
          <w:p>
            <w:pPr>
              <w:spacing w:after="0"/>
              <w:rPr>
                <w:sz w:val="22"/>
                <w:szCs w:val="22"/>
                <w:color w:val="auto"/>
              </w:rPr>
            </w:pPr>
          </w:p>
        </w:tc>
        <w:tc>
          <w:tcPr>
            <w:tcW w:w="660" w:type="dxa"/>
            <w:vAlign w:val="bottom"/>
            <w:gridSpan w:val="4"/>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440" w:type="dxa"/>
            <w:vAlign w:val="bottom"/>
          </w:tcPr>
          <w:p>
            <w:pPr>
              <w:spacing w:after="0"/>
              <w:rPr>
                <w:sz w:val="22"/>
                <w:szCs w:val="22"/>
                <w:color w:val="auto"/>
              </w:rPr>
            </w:pPr>
          </w:p>
        </w:tc>
        <w:tc>
          <w:tcPr>
            <w:tcW w:w="1100" w:type="dxa"/>
            <w:vAlign w:val="bottom"/>
            <w:gridSpan w:val="7"/>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00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00" w:type="dxa"/>
            <w:vAlign w:val="bottom"/>
          </w:tcPr>
          <w:p>
            <w:pPr>
              <w:spacing w:after="0"/>
              <w:rPr>
                <w:sz w:val="22"/>
                <w:szCs w:val="22"/>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0" w:type="dxa"/>
            <w:vAlign w:val="bottom"/>
          </w:tcPr>
          <w:p>
            <w:pPr>
              <w:spacing w:after="0"/>
              <w:rPr>
                <w:sz w:val="1"/>
                <w:szCs w:val="1"/>
                <w:color w:val="auto"/>
              </w:rPr>
            </w:pPr>
          </w:p>
        </w:tc>
      </w:tr>
      <w:tr>
        <w:trPr>
          <w:trHeight w:val="115"/>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320" w:type="dxa"/>
            <w:vAlign w:val="bottom"/>
          </w:tcPr>
          <w:p>
            <w:pPr>
              <w:spacing w:after="0"/>
              <w:rPr>
                <w:sz w:val="10"/>
                <w:szCs w:val="10"/>
                <w:color w:val="auto"/>
              </w:rPr>
            </w:pPr>
          </w:p>
        </w:tc>
        <w:tc>
          <w:tcPr>
            <w:tcW w:w="66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440" w:type="dxa"/>
            <w:vAlign w:val="bottom"/>
          </w:tcPr>
          <w:p>
            <w:pPr>
              <w:spacing w:after="0"/>
              <w:rPr>
                <w:sz w:val="10"/>
                <w:szCs w:val="10"/>
                <w:color w:val="auto"/>
              </w:rPr>
            </w:pPr>
          </w:p>
        </w:tc>
        <w:tc>
          <w:tcPr>
            <w:tcW w:w="1100" w:type="dxa"/>
            <w:vAlign w:val="bottom"/>
            <w:gridSpan w:val="7"/>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0"/>
                <w:szCs w:val="10"/>
                <w:color w:val="auto"/>
              </w:rPr>
            </w:pPr>
          </w:p>
        </w:tc>
        <w:tc>
          <w:tcPr>
            <w:tcW w:w="780" w:type="dxa"/>
            <w:vAlign w:val="bottom"/>
            <w:gridSpan w:val="3"/>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4"/>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rPr>
              <w:t>2017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2016</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2015</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2014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9"/>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08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Per share market value at end of period</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96"/>
              </w:rPr>
              <w:t>19.80</w:t>
            </w: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18.68</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gridSpan w:val="3"/>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16.22</w:t>
            </w:r>
          </w:p>
        </w:tc>
        <w:tc>
          <w:tcPr>
            <w:tcW w:w="3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ind w:left="140"/>
              <w:spacing w:after="0" w:line="106" w:lineRule="exact"/>
              <w:rPr>
                <w:sz w:val="20"/>
                <w:szCs w:val="20"/>
                <w:color w:val="auto"/>
              </w:rPr>
            </w:pPr>
            <w:r>
              <w:rPr>
                <w:rFonts w:ascii="Times New Roman" w:cs="Times New Roman" w:eastAsia="Times New Roman" w:hAnsi="Times New Roman"/>
                <w:sz w:val="11"/>
                <w:szCs w:val="11"/>
                <w:color w:val="auto"/>
                <w:w w:val="88"/>
              </w:rPr>
              <w:t>16.82</w:t>
            </w:r>
          </w:p>
        </w:tc>
        <w:tc>
          <w:tcPr>
            <w:tcW w:w="1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ind w:left="380"/>
              <w:spacing w:after="0" w:line="106" w:lineRule="exact"/>
              <w:rPr>
                <w:sz w:val="20"/>
                <w:szCs w:val="20"/>
                <w:color w:val="auto"/>
              </w:rPr>
            </w:pPr>
            <w:r>
              <w:rPr>
                <w:rFonts w:ascii="Times New Roman" w:cs="Times New Roman" w:eastAsia="Times New Roman" w:hAnsi="Times New Roman"/>
                <w:sz w:val="11"/>
                <w:szCs w:val="11"/>
                <w:color w:val="auto"/>
                <w:w w:val="84"/>
              </w:rPr>
              <w:t>— </w:t>
            </w: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080" w:type="dxa"/>
            <w:vAlign w:val="bottom"/>
          </w:tcPr>
          <w:p>
            <w:pPr>
              <w:spacing w:after="0" w:line="98" w:lineRule="exact"/>
              <w:rPr>
                <w:sz w:val="20"/>
                <w:szCs w:val="20"/>
                <w:color w:val="auto"/>
              </w:rPr>
            </w:pPr>
            <w:r>
              <w:rPr>
                <w:rFonts w:ascii="Times New Roman" w:cs="Times New Roman" w:eastAsia="Times New Roman" w:hAnsi="Times New Roman"/>
                <w:sz w:val="11"/>
                <w:szCs w:val="11"/>
                <w:color w:val="auto"/>
              </w:rPr>
              <w:t>Total return based on market value with reinvestment of</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w w:val="94"/>
              </w:rPr>
              <w:t>15.75%</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3"/>
            <w:vMerge w:val="restart"/>
          </w:tcPr>
          <w:p>
            <w:pPr>
              <w:jc w:val="right"/>
              <w:ind w:right="304"/>
              <w:spacing w:after="0"/>
              <w:rPr>
                <w:sz w:val="20"/>
                <w:szCs w:val="20"/>
                <w:color w:val="auto"/>
              </w:rPr>
            </w:pPr>
            <w:r>
              <w:rPr>
                <w:rFonts w:ascii="Times New Roman" w:cs="Times New Roman" w:eastAsia="Times New Roman" w:hAnsi="Times New Roman"/>
                <w:sz w:val="11"/>
                <w:szCs w:val="11"/>
                <w:color w:val="auto"/>
              </w:rPr>
              <w:t>26.74%</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w w:val="98"/>
              </w:rPr>
              <w:t>5.75%</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12.28%</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2"/>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dividends</w:t>
            </w:r>
            <w:r>
              <w:rPr>
                <w:rFonts w:ascii="Times New Roman" w:cs="Times New Roman" w:eastAsia="Times New Roman" w:hAnsi="Times New Roman"/>
                <w:sz w:val="8"/>
                <w:szCs w:val="8"/>
                <w:color w:val="auto"/>
              </w:rPr>
              <w:t>(3)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Total return based on market value</w:t>
            </w:r>
            <w:r>
              <w:rPr>
                <w:rFonts w:ascii="Times New Roman" w:cs="Times New Roman" w:eastAsia="Times New Roman" w:hAnsi="Times New Roman"/>
                <w:sz w:val="8"/>
                <w:szCs w:val="8"/>
                <w:color w:val="auto"/>
              </w:rPr>
              <w:t>(4)</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15.36%</w:t>
            </w: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304"/>
              <w:spacing w:after="0" w:line="115" w:lineRule="exact"/>
              <w:rPr>
                <w:sz w:val="20"/>
                <w:szCs w:val="20"/>
                <w:color w:val="auto"/>
              </w:rPr>
            </w:pPr>
            <w:r>
              <w:rPr>
                <w:rFonts w:ascii="Times New Roman" w:cs="Times New Roman" w:eastAsia="Times New Roman" w:hAnsi="Times New Roman"/>
                <w:sz w:val="11"/>
                <w:szCs w:val="11"/>
                <w:color w:val="auto"/>
              </w:rPr>
              <w:t>24.78%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60"/>
              <w:spacing w:after="0" w:line="115" w:lineRule="exact"/>
              <w:rPr>
                <w:sz w:val="20"/>
                <w:szCs w:val="20"/>
                <w:color w:val="auto"/>
              </w:rPr>
            </w:pPr>
            <w:r>
              <w:rPr>
                <w:rFonts w:ascii="Times New Roman" w:cs="Times New Roman" w:eastAsia="Times New Roman" w:hAnsi="Times New Roman"/>
                <w:sz w:val="11"/>
                <w:szCs w:val="11"/>
                <w:color w:val="auto"/>
                <w:w w:val="98"/>
              </w:rPr>
              <w:t>5.71%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14.69%</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380"/>
              <w:spacing w:after="0" w:line="115"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5"/>
        </w:trPr>
        <w:tc>
          <w:tcPr>
            <w:tcW w:w="30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Total return based on net asset value</w:t>
            </w:r>
            <w:r>
              <w:rPr>
                <w:rFonts w:ascii="Times New Roman" w:cs="Times New Roman" w:eastAsia="Times New Roman" w:hAnsi="Times New Roman"/>
                <w:sz w:val="8"/>
                <w:szCs w:val="8"/>
                <w:color w:val="auto"/>
              </w:rPr>
              <w:t>(5)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11.87%</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tcPr>
          <w:p>
            <w:pPr>
              <w:jc w:val="right"/>
              <w:ind w:right="304"/>
              <w:spacing w:after="0" w:line="115" w:lineRule="exact"/>
              <w:rPr>
                <w:sz w:val="20"/>
                <w:szCs w:val="20"/>
                <w:color w:val="auto"/>
              </w:rPr>
            </w:pPr>
            <w:r>
              <w:rPr>
                <w:rFonts w:ascii="Times New Roman" w:cs="Times New Roman" w:eastAsia="Times New Roman" w:hAnsi="Times New Roman"/>
                <w:sz w:val="11"/>
                <w:szCs w:val="11"/>
                <w:color w:val="auto"/>
              </w:rPr>
              <w:t>15.54%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260"/>
              <w:spacing w:after="0" w:line="115" w:lineRule="exact"/>
              <w:rPr>
                <w:sz w:val="20"/>
                <w:szCs w:val="20"/>
                <w:color w:val="auto"/>
              </w:rPr>
            </w:pPr>
            <w:r>
              <w:rPr>
                <w:rFonts w:ascii="Times New Roman" w:cs="Times New Roman" w:eastAsia="Times New Roman" w:hAnsi="Times New Roman"/>
                <w:sz w:val="11"/>
                <w:szCs w:val="11"/>
                <w:color w:val="auto"/>
                <w:w w:val="98"/>
              </w:rPr>
              <w:t>7.62%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9.92%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12.44%</w:t>
            </w:r>
          </w:p>
        </w:tc>
        <w:tc>
          <w:tcPr>
            <w:tcW w:w="0" w:type="dxa"/>
            <w:vAlign w:val="bottom"/>
          </w:tcPr>
          <w:p>
            <w:pPr>
              <w:spacing w:after="0"/>
              <w:rPr>
                <w:sz w:val="1"/>
                <w:szCs w:val="1"/>
                <w:color w:val="auto"/>
              </w:rPr>
            </w:pPr>
          </w:p>
        </w:tc>
      </w:tr>
      <w:tr>
        <w:trPr>
          <w:trHeight w:val="115"/>
        </w:trPr>
        <w:tc>
          <w:tcPr>
            <w:tcW w:w="30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Shares Outstanding, End of Period</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60,247,201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5"/>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59,716,205</w:t>
            </w:r>
          </w:p>
        </w:tc>
        <w:tc>
          <w:tcPr>
            <w:tcW w:w="1440" w:type="dxa"/>
            <w:vAlign w:val="bottom"/>
            <w:gridSpan w:val="7"/>
            <w:shd w:val="clear" w:color="auto" w:fill="CCEEFF"/>
          </w:tcPr>
          <w:p>
            <w:pPr>
              <w:jc w:val="right"/>
              <w:ind w:right="340"/>
              <w:spacing w:after="0" w:line="115" w:lineRule="exact"/>
              <w:rPr>
                <w:sz w:val="20"/>
                <w:szCs w:val="20"/>
                <w:color w:val="auto"/>
              </w:rPr>
            </w:pPr>
            <w:r>
              <w:rPr>
                <w:rFonts w:ascii="Times New Roman" w:cs="Times New Roman" w:eastAsia="Times New Roman" w:hAnsi="Times New Roman"/>
                <w:sz w:val="11"/>
                <w:szCs w:val="11"/>
                <w:color w:val="auto"/>
              </w:rPr>
              <w:t>54,163,960</w:t>
            </w:r>
          </w:p>
        </w:tc>
        <w:tc>
          <w:tcPr>
            <w:tcW w:w="100" w:type="dxa"/>
            <w:vAlign w:val="bottom"/>
            <w:shd w:val="clear" w:color="auto" w:fill="CCEEFF"/>
          </w:tcPr>
          <w:p>
            <w:pPr>
              <w:spacing w:after="0"/>
              <w:rPr>
                <w:sz w:val="10"/>
                <w:szCs w:val="10"/>
                <w:color w:val="auto"/>
              </w:rPr>
            </w:pPr>
          </w:p>
        </w:tc>
        <w:tc>
          <w:tcPr>
            <w:tcW w:w="820" w:type="dxa"/>
            <w:vAlign w:val="bottom"/>
            <w:gridSpan w:val="4"/>
            <w:shd w:val="clear" w:color="auto" w:fill="CCEEFF"/>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53,797,358</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37,026,023</w:t>
            </w:r>
          </w:p>
        </w:tc>
        <w:tc>
          <w:tcPr>
            <w:tcW w:w="0" w:type="dxa"/>
            <w:vAlign w:val="bottom"/>
          </w:tcPr>
          <w:p>
            <w:pPr>
              <w:spacing w:after="0"/>
              <w:rPr>
                <w:sz w:val="1"/>
                <w:szCs w:val="1"/>
                <w:color w:val="auto"/>
              </w:rPr>
            </w:pPr>
          </w:p>
        </w:tc>
      </w:tr>
      <w:tr>
        <w:trPr>
          <w:trHeight w:val="115"/>
        </w:trPr>
        <w:tc>
          <w:tcPr>
            <w:tcW w:w="30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Ratios / Supplemental Data</w:t>
            </w:r>
            <w:r>
              <w:rPr>
                <w:rFonts w:ascii="Times New Roman" w:cs="Times New Roman" w:eastAsia="Times New Roman" w:hAnsi="Times New Roman"/>
                <w:sz w:val="8"/>
                <w:szCs w:val="8"/>
                <w:b w:val="1"/>
                <w:bCs w:val="1"/>
                <w:color w:val="auto"/>
              </w:rPr>
              <w:t>(6)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Ratio of net expenses to average net assets</w:t>
            </w:r>
            <w:r>
              <w:rPr>
                <w:rFonts w:ascii="Times New Roman" w:cs="Times New Roman" w:eastAsia="Times New Roman" w:hAnsi="Times New Roman"/>
                <w:sz w:val="8"/>
                <w:szCs w:val="8"/>
                <w:color w:val="auto"/>
              </w:rPr>
              <w:t>(7)</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9.41%</w:t>
            </w: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304"/>
              <w:spacing w:after="0" w:line="115" w:lineRule="exact"/>
              <w:rPr>
                <w:sz w:val="20"/>
                <w:szCs w:val="20"/>
                <w:color w:val="auto"/>
              </w:rPr>
            </w:pPr>
            <w:r>
              <w:rPr>
                <w:rFonts w:ascii="Times New Roman" w:cs="Times New Roman" w:eastAsia="Times New Roman" w:hAnsi="Times New Roman"/>
                <w:sz w:val="11"/>
                <w:szCs w:val="11"/>
                <w:color w:val="auto"/>
              </w:rPr>
              <w:t>9.39%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60"/>
              <w:spacing w:after="0" w:line="115" w:lineRule="exact"/>
              <w:rPr>
                <w:sz w:val="20"/>
                <w:szCs w:val="20"/>
                <w:color w:val="auto"/>
              </w:rPr>
            </w:pPr>
            <w:r>
              <w:rPr>
                <w:rFonts w:ascii="Times New Roman" w:cs="Times New Roman" w:eastAsia="Times New Roman" w:hAnsi="Times New Roman"/>
                <w:sz w:val="11"/>
                <w:szCs w:val="11"/>
                <w:color w:val="auto"/>
                <w:w w:val="98"/>
              </w:rPr>
              <w:t>9.31%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7.56%</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6.60%</w:t>
            </w:r>
          </w:p>
        </w:tc>
        <w:tc>
          <w:tcPr>
            <w:tcW w:w="0" w:type="dxa"/>
            <w:vAlign w:val="bottom"/>
          </w:tcPr>
          <w:p>
            <w:pPr>
              <w:spacing w:after="0"/>
              <w:rPr>
                <w:sz w:val="1"/>
                <w:szCs w:val="1"/>
                <w:color w:val="auto"/>
              </w:rPr>
            </w:pPr>
          </w:p>
        </w:tc>
      </w:tr>
      <w:tr>
        <w:trPr>
          <w:trHeight w:val="115"/>
        </w:trPr>
        <w:tc>
          <w:tcPr>
            <w:tcW w:w="30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Ratio of net investment income to average net assets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12.49%</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tcPr>
          <w:p>
            <w:pPr>
              <w:jc w:val="right"/>
              <w:ind w:right="304"/>
              <w:spacing w:after="0" w:line="115" w:lineRule="exact"/>
              <w:rPr>
                <w:sz w:val="20"/>
                <w:szCs w:val="20"/>
                <w:color w:val="auto"/>
              </w:rPr>
            </w:pPr>
            <w:r>
              <w:rPr>
                <w:rFonts w:ascii="Times New Roman" w:cs="Times New Roman" w:eastAsia="Times New Roman" w:hAnsi="Times New Roman"/>
                <w:sz w:val="11"/>
                <w:szCs w:val="11"/>
                <w:color w:val="auto"/>
              </w:rPr>
              <w:t>11.84%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4"/>
          </w:tcPr>
          <w:p>
            <w:pPr>
              <w:jc w:val="right"/>
              <w:ind w:right="260"/>
              <w:spacing w:after="0" w:line="115" w:lineRule="exact"/>
              <w:rPr>
                <w:sz w:val="20"/>
                <w:szCs w:val="20"/>
                <w:color w:val="auto"/>
              </w:rPr>
            </w:pPr>
            <w:r>
              <w:rPr>
                <w:rFonts w:ascii="Times New Roman" w:cs="Times New Roman" w:eastAsia="Times New Roman" w:hAnsi="Times New Roman"/>
                <w:sz w:val="11"/>
                <w:szCs w:val="11"/>
                <w:color w:val="auto"/>
              </w:rPr>
              <w:t>11.35%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13.42%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10.80%</w:t>
            </w:r>
          </w:p>
        </w:tc>
        <w:tc>
          <w:tcPr>
            <w:tcW w:w="0" w:type="dxa"/>
            <w:vAlign w:val="bottom"/>
          </w:tcPr>
          <w:p>
            <w:pPr>
              <w:spacing w:after="0"/>
              <w:rPr>
                <w:sz w:val="1"/>
                <w:szCs w:val="1"/>
                <w:color w:val="auto"/>
              </w:rPr>
            </w:pPr>
          </w:p>
        </w:tc>
      </w:tr>
      <w:tr>
        <w:trPr>
          <w:trHeight w:val="115"/>
        </w:trPr>
        <w:tc>
          <w:tcPr>
            <w:tcW w:w="30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Portfolio turnover</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58.08%</w:t>
            </w: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304"/>
              <w:spacing w:after="0" w:line="115" w:lineRule="exact"/>
              <w:rPr>
                <w:sz w:val="20"/>
                <w:szCs w:val="20"/>
                <w:color w:val="auto"/>
              </w:rPr>
            </w:pPr>
            <w:r>
              <w:rPr>
                <w:rFonts w:ascii="Times New Roman" w:cs="Times New Roman" w:eastAsia="Times New Roman" w:hAnsi="Times New Roman"/>
                <w:sz w:val="11"/>
                <w:szCs w:val="11"/>
                <w:color w:val="auto"/>
              </w:rPr>
              <w:t>37.40%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4"/>
            <w:shd w:val="clear" w:color="auto" w:fill="CCEEFF"/>
          </w:tcPr>
          <w:p>
            <w:pPr>
              <w:jc w:val="right"/>
              <w:ind w:right="260"/>
              <w:spacing w:after="0" w:line="115" w:lineRule="exact"/>
              <w:rPr>
                <w:sz w:val="20"/>
                <w:szCs w:val="20"/>
                <w:color w:val="auto"/>
              </w:rPr>
            </w:pPr>
            <w:r>
              <w:rPr>
                <w:rFonts w:ascii="Times New Roman" w:cs="Times New Roman" w:eastAsia="Times New Roman" w:hAnsi="Times New Roman"/>
                <w:sz w:val="11"/>
                <w:szCs w:val="11"/>
                <w:color w:val="auto"/>
              </w:rPr>
              <w:t>34.51%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53.16%</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26.97%</w:t>
            </w:r>
          </w:p>
        </w:tc>
        <w:tc>
          <w:tcPr>
            <w:tcW w:w="0" w:type="dxa"/>
            <w:vAlign w:val="bottom"/>
          </w:tcPr>
          <w:p>
            <w:pPr>
              <w:spacing w:after="0"/>
              <w:rPr>
                <w:sz w:val="1"/>
                <w:szCs w:val="1"/>
                <w:color w:val="auto"/>
              </w:rPr>
            </w:pPr>
          </w:p>
        </w:tc>
      </w:tr>
      <w:tr>
        <w:trPr>
          <w:trHeight w:val="145"/>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Net assets, end of period</w:t>
            </w:r>
          </w:p>
        </w:tc>
        <w:tc>
          <w:tcPr>
            <w:tcW w:w="120" w:type="dxa"/>
            <w:vAlign w:val="bottom"/>
          </w:tcPr>
          <w:p>
            <w:pPr>
              <w:spacing w:after="0"/>
              <w:rPr>
                <w:sz w:val="12"/>
                <w:szCs w:val="12"/>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969,284</w:t>
            </w:r>
          </w:p>
        </w:tc>
        <w:tc>
          <w:tcPr>
            <w:tcW w:w="10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952,212</w:t>
            </w:r>
          </w:p>
        </w:tc>
        <w:tc>
          <w:tcPr>
            <w:tcW w:w="5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4"/>
          </w:tcPr>
          <w:p>
            <w:pPr>
              <w:jc w:val="right"/>
              <w:ind w:right="340"/>
              <w:spacing w:after="0"/>
              <w:rPr>
                <w:sz w:val="20"/>
                <w:szCs w:val="20"/>
                <w:color w:val="auto"/>
              </w:rPr>
            </w:pPr>
            <w:r>
              <w:rPr>
                <w:rFonts w:ascii="Times New Roman" w:cs="Times New Roman" w:eastAsia="Times New Roman" w:hAnsi="Times New Roman"/>
                <w:sz w:val="11"/>
                <w:szCs w:val="11"/>
                <w:color w:val="auto"/>
              </w:rPr>
              <w:t>820,741</w:t>
            </w:r>
          </w:p>
        </w:tc>
        <w:tc>
          <w:tcPr>
            <w:tcW w:w="10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835,405</w:t>
            </w:r>
          </w:p>
        </w:tc>
        <w:tc>
          <w:tcPr>
            <w:tcW w:w="18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574,696</w:t>
            </w:r>
          </w:p>
        </w:tc>
        <w:tc>
          <w:tcPr>
            <w:tcW w:w="0" w:type="dxa"/>
            <w:vAlign w:val="bottom"/>
          </w:tcPr>
          <w:p>
            <w:pPr>
              <w:spacing w:after="0"/>
              <w:rPr>
                <w:sz w:val="1"/>
                <w:szCs w:val="1"/>
                <w:color w:val="auto"/>
              </w:rPr>
            </w:pP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ind w:left="560" w:hanging="325"/>
        <w:spacing w:after="0"/>
        <w:tabs>
          <w:tab w:leader="none" w:pos="5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per share data was derived by using the weighted average shares outstanding during the period.</w:t>
      </w:r>
    </w:p>
    <w:p>
      <w:pPr>
        <w:ind w:left="560" w:hanging="325"/>
        <w:spacing w:after="0" w:line="218" w:lineRule="auto"/>
        <w:tabs>
          <w:tab w:leader="none" w:pos="5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per share data was derived by using the actual shares outstanding at the date of the relevant transactions.</w:t>
      </w:r>
    </w:p>
    <w:p>
      <w:pPr>
        <w:ind w:left="560" w:right="579" w:hanging="325"/>
        <w:spacing w:after="0" w:line="218" w:lineRule="auto"/>
        <w:tabs>
          <w:tab w:leader="none" w:pos="5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ind w:left="560" w:right="279" w:hanging="325"/>
        <w:spacing w:after="0" w:line="218" w:lineRule="auto"/>
        <w:tabs>
          <w:tab w:leader="none" w:pos="5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return based on market value is calculated as the change in market value per share during the period plus declared dividends per share, divided by the beginning market value per share.</w:t>
      </w:r>
    </w:p>
    <w:p>
      <w:pPr>
        <w:ind w:left="560" w:right="499" w:hanging="325"/>
        <w:spacing w:after="0" w:line="218" w:lineRule="auto"/>
        <w:tabs>
          <w:tab w:leader="none" w:pos="5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return based on net asset value is calculated as the change in net asset value per share during the period plus declared dividends per share, divided by the beginning net asset value per share.</w:t>
      </w:r>
    </w:p>
    <w:p>
      <w:pPr>
        <w:ind w:left="560" w:hanging="325"/>
        <w:spacing w:after="0" w:line="218" w:lineRule="auto"/>
        <w:tabs>
          <w:tab w:leader="none" w:pos="5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ratios reflect an annualized amount.</w:t>
      </w:r>
    </w:p>
    <w:p>
      <w:pPr>
        <w:ind w:left="560" w:right="239" w:hanging="325"/>
        <w:spacing w:after="0" w:line="218" w:lineRule="auto"/>
        <w:tabs>
          <w:tab w:leader="none" w:pos="5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ratio of net expenses to average net assets in the table above reflects the Adviser’s waivers of its right to receive a portion of the Management Fee pursuant to the Leverage Waiver for the nine months ended September 30, 2023. Excluding the effects of the waivers, the ratio of net expenses to average net assets would have been 16.79%, for the nine months ended September 30, 2023. The ratio of net expenses to average net assets in the table above reflects the Adviser’s waivers of its right to receive a portion of the Management Fee pursuant to the Leverage Waiver for the years ended December 31, 2022 and 2021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 11.08%, 11.19% and 11.33% for the years ended December 31, 2022, 2021 and 2018, respectively. The Adviser did not waive any Management Fees or Incentive Fees for the years ended December 31, 2020 and 2019. Excluding the effects of the waivers, the ratio of net expenses to average net assets would have been 9.42%, 9.43% and 9.33% for the years ended December 31, 2017, 2016 and 2015, respectively. For the years ended December 31, 2014 and 2013, the Company did not own any shares of common stock of TICC Capital Corp. or Triangle Capital Corp. For the years ended December 31, 2014 and 2013,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and 7.94% for the years ended December 31, 2014 and 2013, respectively.</w:t>
      </w:r>
    </w:p>
    <w:p>
      <w:pPr>
        <w:spacing w:after="0" w:line="2" w:lineRule="exact"/>
        <w:rPr>
          <w:rFonts w:ascii="Times New Roman" w:cs="Times New Roman" w:eastAsia="Times New Roman" w:hAnsi="Times New Roman"/>
          <w:sz w:val="11"/>
          <w:szCs w:val="11"/>
          <w:color w:val="auto"/>
        </w:rPr>
      </w:pPr>
    </w:p>
    <w:p>
      <w:pPr>
        <w:ind w:left="560" w:hanging="325"/>
        <w:spacing w:after="0"/>
        <w:tabs>
          <w:tab w:leader="none" w:pos="5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Table may not sum due to rounding.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5" w:right="144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RISK FACTORS</w:t>
      </w:r>
    </w:p>
    <w:p>
      <w:pPr>
        <w:spacing w:after="0" w:line="176" w:lineRule="exact"/>
        <w:rPr>
          <w:sz w:val="20"/>
          <w:szCs w:val="20"/>
          <w:color w:val="auto"/>
        </w:rPr>
      </w:pPr>
    </w:p>
    <w:p>
      <w:pPr>
        <w:ind w:left="240" w:right="279" w:firstLine="341"/>
        <w:spacing w:after="0" w:line="275" w:lineRule="auto"/>
        <w:rPr>
          <w:sz w:val="20"/>
          <w:szCs w:val="20"/>
          <w:color w:val="auto"/>
        </w:rPr>
      </w:pPr>
      <w:r>
        <w:rPr>
          <w:rFonts w:ascii="Times New Roman" w:cs="Times New Roman" w:eastAsia="Times New Roman" w:hAnsi="Times New Roman"/>
          <w:sz w:val="13"/>
          <w:szCs w:val="13"/>
          <w:color w:val="auto"/>
        </w:rPr>
        <w:t>Investing in our securities involves a number of significant risks. You should carefully consider the risks set out below and described in Part I, Item 1A, “Risk Factors,” in our 2022 Annual Report and Part I, Item IA, “Risk Factors,” in our quarterly report on Form 10-Q for the three months ended March 31, 2023 (the “1Q 2023 Quarterly Report”), in our quarterly report on Form 10-Q for the three months ended June 30, 2023 (the “2Q 2023 Quarterly Report”), and in our 3Q 2023 Quarterly Report, which are incorporated by reference in this prospectus, together with the other information set forth in this prospectus or in any prospectus supplement and in the other documents that we include or incorporate by reference into this prospectus before making a decision about investing in our securities. The risks and uncertainties set out below and discussed in our 2022 Annual Report, 1Q 2023 Quarterly Report, 2Q 2023 Quarterly Report, and 3Q 2023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Risks Related to Offerings Pursuant to This Prospectus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We will have broad discretion over the use of proceeds of any offering made pursuant to this prospectus, to the extent it is successful.</w:t>
      </w:r>
    </w:p>
    <w:p>
      <w:pPr>
        <w:spacing w:after="0" w:line="92" w:lineRule="exact"/>
        <w:rPr>
          <w:sz w:val="20"/>
          <w:szCs w:val="20"/>
          <w:color w:val="auto"/>
        </w:rPr>
      </w:pPr>
    </w:p>
    <w:p>
      <w:pPr>
        <w:ind w:left="240" w:right="299" w:firstLine="341"/>
        <w:spacing w:after="0" w:line="281" w:lineRule="auto"/>
        <w:rPr>
          <w:sz w:val="20"/>
          <w:szCs w:val="20"/>
          <w:color w:val="auto"/>
        </w:rPr>
      </w:pPr>
      <w:r>
        <w:rPr>
          <w:rFonts w:ascii="Times New Roman" w:cs="Times New Roman" w:eastAsia="Times New Roman" w:hAnsi="Times New Roman"/>
          <w:sz w:val="14"/>
          <w:szCs w:val="14"/>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07" w:lineRule="exact"/>
        <w:rPr>
          <w:sz w:val="20"/>
          <w:szCs w:val="20"/>
          <w:color w:val="auto"/>
        </w:rPr>
      </w:pPr>
    </w:p>
    <w:p>
      <w:pPr>
        <w:ind w:left="240" w:right="29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Pursuant to approval granted at a special meeting of stockholders held on May 25, 2023, we are currently permitted to sell or otherwise issue</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shares of our common stock at a price below our then-current net asset value per share, subject to the approval of our Board and certain other conditions.</w:t>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Such stockholder approval expires on May 25, 2024. We intend to propose the extension of this approval in future years.</w:t>
      </w:r>
    </w:p>
    <w:p>
      <w:pPr>
        <w:spacing w:after="0" w:line="159" w:lineRule="exact"/>
        <w:rPr>
          <w:sz w:val="20"/>
          <w:szCs w:val="20"/>
          <w:color w:val="auto"/>
        </w:rPr>
      </w:pPr>
    </w:p>
    <w:p>
      <w:pPr>
        <w:ind w:left="240" w:right="659" w:firstLine="341"/>
        <w:spacing w:after="0" w:line="281" w:lineRule="auto"/>
        <w:rPr>
          <w:sz w:val="20"/>
          <w:szCs w:val="20"/>
          <w:color w:val="auto"/>
        </w:rPr>
      </w:pPr>
      <w:r>
        <w:rPr>
          <w:rFonts w:ascii="Times New Roman" w:cs="Times New Roman" w:eastAsia="Times New Roman" w:hAnsi="Times New Roman"/>
          <w:sz w:val="14"/>
          <w:szCs w:val="14"/>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25"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3"/>
          <w:szCs w:val="13"/>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29" w:lineRule="exact"/>
        <w:rPr>
          <w:sz w:val="20"/>
          <w:szCs w:val="20"/>
          <w:color w:val="auto"/>
        </w:rPr>
      </w:pPr>
    </w:p>
    <w:p>
      <w:pPr>
        <w:ind w:left="240" w:right="379" w:firstLine="341"/>
        <w:spacing w:after="0" w:line="265" w:lineRule="auto"/>
        <w:rPr>
          <w:sz w:val="20"/>
          <w:szCs w:val="20"/>
          <w:color w:val="auto"/>
        </w:rPr>
      </w:pPr>
      <w:r>
        <w:rPr>
          <w:rFonts w:ascii="Times New Roman" w:cs="Times New Roman" w:eastAsia="Times New Roman" w:hAnsi="Times New Roman"/>
          <w:sz w:val="14"/>
          <w:szCs w:val="14"/>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59" w:right="1440" w:bottom="1440" w:gutter="0" w:footer="0" w:header="0"/>
        </w:sectPr>
      </w:pPr>
    </w:p>
    <w:bookmarkStart w:id="76" w:name="page77"/>
    <w:bookmarkEnd w:id="76"/>
    <w:p>
      <w:pPr>
        <w:ind w:left="240" w:right="37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201535" cy="45720"/>
                    </a:xfrm>
                    <a:prstGeom prst="rect">
                      <a:avLst/>
                    </a:prstGeom>
                    <a:noFill/>
                  </pic:spPr>
                </pic:pic>
              </a:graphicData>
            </a:graphic>
          </wp:anchor>
        </w:drawing>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40" w:lineRule="exact"/>
        <w:rPr>
          <w:sz w:val="20"/>
          <w:szCs w:val="20"/>
          <w:color w:val="auto"/>
        </w:rPr>
      </w:pPr>
    </w:p>
    <w:p>
      <w:pPr>
        <w:ind w:left="240" w:right="659" w:firstLine="341"/>
        <w:spacing w:after="0" w:line="260" w:lineRule="auto"/>
        <w:rPr>
          <w:sz w:val="20"/>
          <w:szCs w:val="20"/>
          <w:color w:val="auto"/>
        </w:rPr>
      </w:pPr>
      <w:r>
        <w:rPr>
          <w:rFonts w:ascii="Times New Roman" w:cs="Times New Roman" w:eastAsia="Times New Roman" w:hAnsi="Times New Roman"/>
          <w:sz w:val="14"/>
          <w:szCs w:val="14"/>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40"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21" w:lineRule="exact"/>
        <w:rPr>
          <w:sz w:val="20"/>
          <w:szCs w:val="20"/>
          <w:color w:val="auto"/>
        </w:rPr>
      </w:pPr>
    </w:p>
    <w:p>
      <w:pPr>
        <w:ind w:left="240" w:right="31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40" w:lineRule="exact"/>
        <w:rPr>
          <w:sz w:val="20"/>
          <w:szCs w:val="20"/>
          <w:color w:val="auto"/>
        </w:rPr>
      </w:pPr>
    </w:p>
    <w:p>
      <w:pPr>
        <w:ind w:left="240" w:right="279" w:firstLine="341"/>
        <w:spacing w:after="0" w:line="251" w:lineRule="auto"/>
        <w:rPr>
          <w:sz w:val="20"/>
          <w:szCs w:val="20"/>
          <w:color w:val="auto"/>
        </w:rPr>
      </w:pPr>
      <w:r>
        <w:rPr>
          <w:rFonts w:ascii="Times New Roman" w:cs="Times New Roman" w:eastAsia="Times New Roman" w:hAnsi="Times New Roman"/>
          <w:sz w:val="14"/>
          <w:szCs w:val="14"/>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35" w:lineRule="exact"/>
        <w:rPr>
          <w:sz w:val="20"/>
          <w:szCs w:val="20"/>
          <w:color w:val="auto"/>
        </w:rPr>
      </w:pPr>
    </w:p>
    <w:p>
      <w:pPr>
        <w:ind w:left="240" w:right="57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Holders of any preferred stock we might issue would have the right to elect members of the board of directors and class voting rights on certain matters.</w:t>
      </w:r>
    </w:p>
    <w:p>
      <w:pPr>
        <w:spacing w:after="0" w:line="40"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59" w:right="1440" w:bottom="1440" w:gutter="0" w:footer="0" w:header="0"/>
        </w:sectPr>
      </w:pPr>
    </w:p>
    <w:bookmarkStart w:id="77" w:name="page78"/>
    <w:bookmarkEnd w:id="77"/>
    <w:p>
      <w:pPr>
        <w:ind w:left="240" w:right="33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61"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SPECIAL NOTE REGARDING FORWARD-LOOKING STATEMENTS</w:t>
      </w:r>
    </w:p>
    <w:p>
      <w:pPr>
        <w:spacing w:after="0" w:line="176" w:lineRule="exact"/>
        <w:rPr>
          <w:sz w:val="20"/>
          <w:szCs w:val="20"/>
          <w:color w:val="auto"/>
        </w:rPr>
      </w:pPr>
    </w:p>
    <w:p>
      <w:pPr>
        <w:ind w:left="240" w:right="359" w:firstLine="341"/>
        <w:spacing w:after="0" w:line="255" w:lineRule="auto"/>
        <w:rPr>
          <w:sz w:val="20"/>
          <w:szCs w:val="20"/>
          <w:color w:val="auto"/>
        </w:rPr>
      </w:pPr>
      <w:r>
        <w:rPr>
          <w:rFonts w:ascii="Times New Roman" w:cs="Times New Roman" w:eastAsia="Times New Roman" w:hAnsi="Times New Roman"/>
          <w:sz w:val="14"/>
          <w:szCs w:val="14"/>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46" w:lineRule="exact"/>
        <w:rPr>
          <w:sz w:val="20"/>
          <w:szCs w:val="20"/>
          <w:color w:val="auto"/>
        </w:rPr>
      </w:pPr>
    </w:p>
    <w:p>
      <w:pPr>
        <w:ind w:left="240" w:right="499" w:firstLine="341"/>
        <w:spacing w:after="0" w:line="281" w:lineRule="auto"/>
        <w:rPr>
          <w:sz w:val="20"/>
          <w:szCs w:val="20"/>
          <w:color w:val="auto"/>
        </w:rPr>
      </w:pPr>
      <w:r>
        <w:rPr>
          <w:rFonts w:ascii="Times New Roman" w:cs="Times New Roman" w:eastAsia="Times New Roman" w:hAnsi="Times New Roman"/>
          <w:sz w:val="14"/>
          <w:szCs w:val="14"/>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52" w:lineRule="exact"/>
        <w:rPr>
          <w:sz w:val="20"/>
          <w:szCs w:val="20"/>
          <w:color w:val="auto"/>
        </w:rPr>
      </w:pPr>
    </w:p>
    <w:p>
      <w:pPr>
        <w:ind w:left="980" w:right="279" w:hanging="411"/>
        <w:spacing w:after="0" w:line="281" w:lineRule="auto"/>
        <w:tabs>
          <w:tab w:leader="none" w:pos="9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could impair our portfolio companies’ abilities to continue to operate, which could lead to the loss of some or all of our investments in those portfolio companies;</w:t>
      </w:r>
    </w:p>
    <w:p>
      <w:pPr>
        <w:spacing w:after="0" w:line="52" w:lineRule="exact"/>
        <w:rPr>
          <w:rFonts w:ascii="Times New Roman" w:cs="Times New Roman" w:eastAsia="Times New Roman" w:hAnsi="Times New Roman"/>
          <w:sz w:val="14"/>
          <w:szCs w:val="14"/>
          <w:color w:val="auto"/>
        </w:rPr>
      </w:pPr>
    </w:p>
    <w:p>
      <w:pPr>
        <w:jc w:val="both"/>
        <w:ind w:left="980" w:right="359" w:hanging="411"/>
        <w:spacing w:after="0" w:line="265" w:lineRule="auto"/>
        <w:tabs>
          <w:tab w:leader="none" w:pos="9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63"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an economic downturn could also impact availability and pricing of our financing;</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access the capital markets could impair our ability to raise capital and our investment activities;</w:t>
      </w:r>
    </w:p>
    <w:p>
      <w:pPr>
        <w:spacing w:after="0" w:line="100" w:lineRule="exact"/>
        <w:rPr>
          <w:rFonts w:ascii="Times New Roman" w:cs="Times New Roman" w:eastAsia="Times New Roman" w:hAnsi="Times New Roman"/>
          <w:sz w:val="14"/>
          <w:szCs w:val="14"/>
          <w:color w:val="auto"/>
        </w:rPr>
      </w:pPr>
    </w:p>
    <w:p>
      <w:pPr>
        <w:ind w:left="980" w:right="519" w:hanging="411"/>
        <w:spacing w:after="0" w:line="281" w:lineRule="auto"/>
        <w:tabs>
          <w:tab w:leader="none" w:pos="9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could negatively impact our business, including our ability to access the debt markets on favorable terms, or could negatively impact our portfolio companies; and</w:t>
      </w:r>
    </w:p>
    <w:p>
      <w:pPr>
        <w:spacing w:after="0" w:line="52" w:lineRule="exact"/>
        <w:rPr>
          <w:rFonts w:ascii="Times New Roman" w:cs="Times New Roman" w:eastAsia="Times New Roman" w:hAnsi="Times New Roman"/>
          <w:sz w:val="14"/>
          <w:szCs w:val="14"/>
          <w:color w:val="auto"/>
        </w:rPr>
      </w:pPr>
    </w:p>
    <w:p>
      <w:pPr>
        <w:ind w:left="980" w:right="359" w:hanging="411"/>
        <w:spacing w:after="0" w:line="321" w:lineRule="auto"/>
        <w:tabs>
          <w:tab w:leader="none" w:pos="9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risks, uncertainties and other factors we identify in the section entitled “Risk Factors” in this prospectus and in Part I, Item 1A of our 2022 Annual Report and Part II, Item 1A of our 3Q 2023 Quarterly Report, and those discussed in other documents we file with the SEC.</w:t>
      </w:r>
    </w:p>
    <w:p>
      <w:pPr>
        <w:spacing w:after="0" w:line="102" w:lineRule="exact"/>
        <w:rPr>
          <w:sz w:val="20"/>
          <w:szCs w:val="20"/>
          <w:color w:val="auto"/>
        </w:rPr>
      </w:pPr>
    </w:p>
    <w:p>
      <w:pPr>
        <w:ind w:left="240" w:right="259" w:firstLine="341"/>
        <w:spacing w:after="0" w:line="271" w:lineRule="auto"/>
        <w:rPr>
          <w:sz w:val="20"/>
          <w:szCs w:val="20"/>
          <w:color w:val="auto"/>
        </w:rPr>
      </w:pPr>
      <w:r>
        <w:rPr>
          <w:rFonts w:ascii="Times New Roman" w:cs="Times New Roman" w:eastAsia="Times New Roman" w:hAnsi="Times New Roman"/>
          <w:sz w:val="13"/>
          <w:szCs w:val="13"/>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and Part II, Item 1A of our 3Q 2023 Quarterly Report, and in our 2022 Annual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w:t>
      </w:r>
    </w:p>
    <w:p>
      <w:pPr>
        <w:spacing w:after="0" w:line="3" w:lineRule="exact"/>
        <w:rPr>
          <w:sz w:val="20"/>
          <w:szCs w:val="20"/>
          <w:color w:val="auto"/>
        </w:rPr>
      </w:pPr>
    </w:p>
    <w:p>
      <w:pPr>
        <w:ind w:left="240" w:right="419"/>
        <w:spacing w:after="0" w:line="254" w:lineRule="auto"/>
        <w:rPr>
          <w:sz w:val="20"/>
          <w:szCs w:val="20"/>
          <w:color w:val="auto"/>
        </w:rPr>
      </w:pPr>
      <w:r>
        <w:rPr>
          <w:rFonts w:ascii="Times New Roman" w:cs="Times New Roman" w:eastAsia="Times New Roman" w:hAnsi="Times New Roman"/>
          <w:sz w:val="14"/>
          <w:szCs w:val="14"/>
          <w:color w:val="auto"/>
        </w:rPr>
        <w:t>(2)(B)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“TSLX” and “TAO” marks are marks of Sixth Street.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59"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USE OF PROCEEDS</w:t>
      </w:r>
    </w:p>
    <w:p>
      <w:pPr>
        <w:spacing w:after="0" w:line="176"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40" w:lineRule="exact"/>
        <w:rPr>
          <w:sz w:val="20"/>
          <w:szCs w:val="20"/>
          <w:color w:val="auto"/>
        </w:rPr>
      </w:pPr>
    </w:p>
    <w:p>
      <w:pPr>
        <w:ind w:left="240" w:right="299" w:firstLine="341"/>
        <w:spacing w:after="0" w:line="281" w:lineRule="auto"/>
        <w:rPr>
          <w:sz w:val="20"/>
          <w:szCs w:val="20"/>
          <w:color w:val="auto"/>
        </w:rPr>
      </w:pPr>
      <w:r>
        <w:rPr>
          <w:rFonts w:ascii="Times New Roman" w:cs="Times New Roman" w:eastAsia="Times New Roman" w:hAnsi="Times New Roman"/>
          <w:sz w:val="14"/>
          <w:szCs w:val="14"/>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25" w:lineRule="exact"/>
        <w:rPr>
          <w:sz w:val="20"/>
          <w:szCs w:val="20"/>
          <w:color w:val="auto"/>
        </w:rPr>
      </w:pPr>
    </w:p>
    <w:p>
      <w:pPr>
        <w:ind w:left="240" w:right="319" w:firstLine="341"/>
        <w:spacing w:after="0" w:line="260" w:lineRule="auto"/>
        <w:rPr>
          <w:sz w:val="20"/>
          <w:szCs w:val="20"/>
          <w:color w:val="auto"/>
        </w:rPr>
      </w:pPr>
      <w:r>
        <w:rPr>
          <w:rFonts w:ascii="Times New Roman" w:cs="Times New Roman" w:eastAsia="Times New Roman" w:hAnsi="Times New Roman"/>
          <w:sz w:val="14"/>
          <w:szCs w:val="14"/>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59" w:right="144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PRICE RANGE OF COMMON STOCK AND DISTRIBUTIONS</w:t>
      </w:r>
    </w:p>
    <w:p>
      <w:pPr>
        <w:spacing w:after="0" w:line="176"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36" w:lineRule="exact"/>
        <w:rPr>
          <w:sz w:val="20"/>
          <w:szCs w:val="20"/>
          <w:color w:val="auto"/>
        </w:rPr>
      </w:pPr>
    </w:p>
    <w:p>
      <w:pPr>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2023, and for the years ended December 31, 2022 and December 31, 2021. On December 20, 2023, the last reported closing sales price of our common stock on the NYSE was $21.08 per share, which represented a premium of approximately 24.2% to the net asset value per share reported by us as of September 30, 2023, the last date prior to the date of this prospectus for which we reported net asset value.</w:t>
      </w:r>
    </w:p>
    <w:p>
      <w:pPr>
        <w:spacing w:after="0" w:line="148"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3"/>
            <w:vMerge w:val="restart"/>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Price Range</w:t>
            </w:r>
          </w:p>
        </w:tc>
        <w:tc>
          <w:tcPr>
            <w:tcW w:w="260" w:type="dxa"/>
            <w:vAlign w:val="bottom"/>
            <w:vMerge w:val="restart"/>
          </w:tcPr>
          <w:p>
            <w:pPr>
              <w:spacing w:after="0"/>
              <w:rPr>
                <w:sz w:val="11"/>
                <w:szCs w:val="11"/>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High Sales</w:t>
            </w: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Low Sales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Cash</w:t>
            </w:r>
          </w:p>
        </w:tc>
        <w:tc>
          <w:tcPr>
            <w:tcW w:w="0" w:type="dxa"/>
            <w:vAlign w:val="bottom"/>
          </w:tcPr>
          <w:p>
            <w:pPr>
              <w:spacing w:after="0"/>
              <w:rPr>
                <w:sz w:val="1"/>
                <w:szCs w:val="1"/>
                <w:color w:val="auto"/>
              </w:rPr>
            </w:pPr>
          </w:p>
        </w:tc>
      </w:tr>
      <w:tr>
        <w:trPr>
          <w:trHeight w:val="129"/>
        </w:trPr>
        <w:tc>
          <w:tcPr>
            <w:tcW w:w="3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Borders>
              <w:bottom w:val="single" w:sz="8" w:color="auto"/>
            </w:tcBorders>
            <w:gridSpan w:val="3"/>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96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1"/>
                <w:szCs w:val="11"/>
                <w:b w:val="1"/>
                <w:bCs w:val="1"/>
                <w:color w:val="auto"/>
              </w:rPr>
              <w:t>Price to Net</w:t>
            </w:r>
          </w:p>
        </w:tc>
        <w:tc>
          <w:tcPr>
            <w:tcW w:w="78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1"/>
                <w:szCs w:val="11"/>
                <w:b w:val="1"/>
                <w:bCs w:val="1"/>
                <w:color w:val="auto"/>
                <w:w w:val="98"/>
              </w:rPr>
              <w:t>Price to</w:t>
            </w:r>
          </w:p>
        </w:tc>
        <w:tc>
          <w:tcPr>
            <w:tcW w:w="140" w:type="dxa"/>
            <w:vAlign w:val="bottom"/>
          </w:tcPr>
          <w:p>
            <w:pPr>
              <w:spacing w:after="0"/>
              <w:rPr>
                <w:sz w:val="10"/>
                <w:szCs w:val="10"/>
                <w:color w:val="auto"/>
              </w:rPr>
            </w:pPr>
          </w:p>
        </w:tc>
        <w:tc>
          <w:tcPr>
            <w:tcW w:w="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86"/>
        </w:trPr>
        <w:tc>
          <w:tcPr>
            <w:tcW w:w="3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gridSpan w:val="2"/>
            <w:vMerge w:val="restart"/>
          </w:tcPr>
          <w:p>
            <w:pPr>
              <w:ind w:left="20"/>
              <w:spacing w:after="0" w:line="221" w:lineRule="exact"/>
              <w:rPr>
                <w:sz w:val="20"/>
                <w:szCs w:val="20"/>
                <w:color w:val="auto"/>
              </w:rPr>
            </w:pPr>
            <w:r>
              <w:rPr>
                <w:rFonts w:ascii="Times New Roman" w:cs="Times New Roman" w:eastAsia="Times New Roman" w:hAnsi="Times New Roman"/>
                <w:sz w:val="22"/>
                <w:szCs w:val="22"/>
                <w:b w:val="1"/>
                <w:bCs w:val="1"/>
                <w:color w:val="auto"/>
                <w:vertAlign w:val="subscript"/>
              </w:rPr>
              <w:t>NAV</w:t>
            </w:r>
            <w:r>
              <w:rPr>
                <w:rFonts w:ascii="Times New Roman" w:cs="Times New Roman" w:eastAsia="Times New Roman" w:hAnsi="Times New Roman"/>
                <w:sz w:val="8"/>
                <w:szCs w:val="8"/>
                <w:b w:val="1"/>
                <w:bCs w:val="1"/>
                <w:color w:val="auto"/>
              </w:rPr>
              <w:t>(1)</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High</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Low</w:t>
            </w:r>
          </w:p>
        </w:tc>
        <w:tc>
          <w:tcPr>
            <w:tcW w:w="960" w:type="dxa"/>
            <w:vAlign w:val="bottom"/>
            <w:gridSpan w:val="2"/>
          </w:tcPr>
          <w:p>
            <w:pPr>
              <w:jc w:val="center"/>
              <w:ind w:right="380"/>
              <w:spacing w:after="0" w:line="87" w:lineRule="exact"/>
              <w:rPr>
                <w:sz w:val="20"/>
                <w:szCs w:val="20"/>
                <w:color w:val="auto"/>
              </w:rPr>
            </w:pPr>
            <w:r>
              <w:rPr>
                <w:rFonts w:ascii="Times New Roman" w:cs="Times New Roman" w:eastAsia="Times New Roman" w:hAnsi="Times New Roman"/>
                <w:sz w:val="10"/>
                <w:szCs w:val="10"/>
                <w:b w:val="1"/>
                <w:bCs w:val="1"/>
                <w:color w:val="auto"/>
              </w:rPr>
              <w:t>Asset</w:t>
            </w:r>
          </w:p>
        </w:tc>
        <w:tc>
          <w:tcPr>
            <w:tcW w:w="780" w:type="dxa"/>
            <w:vAlign w:val="bottom"/>
            <w:gridSpan w:val="2"/>
          </w:tcPr>
          <w:p>
            <w:pPr>
              <w:jc w:val="center"/>
              <w:ind w:right="300"/>
              <w:spacing w:after="0" w:line="87" w:lineRule="exact"/>
              <w:rPr>
                <w:sz w:val="20"/>
                <w:szCs w:val="20"/>
                <w:color w:val="auto"/>
              </w:rPr>
            </w:pPr>
            <w:r>
              <w:rPr>
                <w:rFonts w:ascii="Times New Roman" w:cs="Times New Roman" w:eastAsia="Times New Roman" w:hAnsi="Times New Roman"/>
                <w:sz w:val="10"/>
                <w:szCs w:val="10"/>
                <w:b w:val="1"/>
                <w:bCs w:val="1"/>
                <w:color w:val="auto"/>
              </w:rPr>
              <w:t>Net Asset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tcPr>
          <w:p>
            <w:pPr>
              <w:jc w:val="center"/>
              <w:ind w:right="140"/>
              <w:spacing w:after="0" w:line="87" w:lineRule="exact"/>
              <w:rPr>
                <w:sz w:val="20"/>
                <w:szCs w:val="20"/>
                <w:color w:val="auto"/>
              </w:rPr>
            </w:pPr>
            <w:r>
              <w:rPr>
                <w:rFonts w:ascii="Times New Roman" w:cs="Times New Roman" w:eastAsia="Times New Roman" w:hAnsi="Times New Roman"/>
                <w:sz w:val="10"/>
                <w:szCs w:val="10"/>
                <w:b w:val="1"/>
                <w:bCs w:val="1"/>
                <w:color w:val="auto"/>
              </w:rPr>
              <w:t>Per</w:t>
            </w:r>
          </w:p>
        </w:tc>
        <w:tc>
          <w:tcPr>
            <w:tcW w:w="0" w:type="dxa"/>
            <w:vAlign w:val="bottom"/>
          </w:tcPr>
          <w:p>
            <w:pPr>
              <w:spacing w:after="0"/>
              <w:rPr>
                <w:sz w:val="1"/>
                <w:szCs w:val="1"/>
                <w:color w:val="auto"/>
              </w:rPr>
            </w:pPr>
          </w:p>
        </w:tc>
      </w:tr>
      <w:tr>
        <w:trPr>
          <w:trHeight w:val="134"/>
        </w:trPr>
        <w:tc>
          <w:tcPr>
            <w:tcW w:w="3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8"/>
                <w:szCs w:val="8"/>
                <w:b w:val="1"/>
                <w:bCs w:val="1"/>
                <w:color w:val="auto"/>
              </w:rPr>
              <w:t>(2)</w:t>
            </w: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40" w:type="dxa"/>
            <w:vAlign w:val="bottom"/>
          </w:tcPr>
          <w:p>
            <w:pPr>
              <w:spacing w:after="0"/>
              <w:rPr>
                <w:sz w:val="11"/>
                <w:szCs w:val="11"/>
                <w:color w:val="auto"/>
              </w:rPr>
            </w:pPr>
          </w:p>
        </w:tc>
        <w:tc>
          <w:tcPr>
            <w:tcW w:w="48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Share</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147"/>
        </w:trPr>
        <w:tc>
          <w:tcPr>
            <w:tcW w:w="336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8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$16.47</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3"/>
              </w:rPr>
              <w:t>$22.76</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3"/>
              </w:rPr>
              <w:t>$20.46</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38.2%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24.2%</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16.85</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22.78</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20.80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35.2%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17.18</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23.97</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21.13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39.5%</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16.84</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24.74</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21.97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47.0%</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0.98</w:t>
            </w: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$16.88</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3"/>
              </w:rPr>
              <w:t>$24.27</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3"/>
              </w:rPr>
              <w:t>$22.40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43.8%</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23.0%</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16.27</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23.64</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18.09</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45.3%</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0.45</w:t>
            </w: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16.36</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19.64</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6.13</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19.9%</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16.48</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19.14</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16.56</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16.1%</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0.45</w:t>
            </w: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 2023</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$16.59</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3"/>
              </w:rPr>
              <w:t>$19.83</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3"/>
              </w:rPr>
              <w:t>$16.86</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19.5%</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16.74</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20.08</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17.31</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20.0%</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16.97</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20.97</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19.02</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23.6%</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 (through December 20, 2023)</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21.49</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19.05</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0.53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560" w:right="419" w:hanging="325"/>
        <w:spacing w:after="0" w:line="281" w:lineRule="auto"/>
        <w:tabs>
          <w:tab w:leader="none" w:pos="5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52" w:lineRule="exact"/>
        <w:rPr>
          <w:rFonts w:ascii="Times New Roman" w:cs="Times New Roman" w:eastAsia="Times New Roman" w:hAnsi="Times New Roman"/>
          <w:sz w:val="14"/>
          <w:szCs w:val="14"/>
          <w:color w:val="auto"/>
        </w:rPr>
      </w:pPr>
    </w:p>
    <w:p>
      <w:pPr>
        <w:ind w:left="560" w:right="659" w:hanging="325"/>
        <w:spacing w:after="0" w:line="281" w:lineRule="auto"/>
        <w:tabs>
          <w:tab w:leader="none" w:pos="5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respective high or low closing sales price less net asset value, divided by net asset value (in each case, as of the applicable quarter). Does not reflect intraday trading prices.</w:t>
      </w:r>
    </w:p>
    <w:p>
      <w:pPr>
        <w:spacing w:after="0" w:line="52" w:lineRule="exact"/>
        <w:rPr>
          <w:rFonts w:ascii="Times New Roman" w:cs="Times New Roman" w:eastAsia="Times New Roman" w:hAnsi="Times New Roman"/>
          <w:sz w:val="14"/>
          <w:szCs w:val="14"/>
          <w:color w:val="auto"/>
        </w:rPr>
      </w:pPr>
    </w:p>
    <w:p>
      <w:pPr>
        <w:ind w:left="560" w:hanging="325"/>
        <w:spacing w:after="0"/>
        <w:tabs>
          <w:tab w:leader="none" w:pos="5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dividends declared in the relevant quarter.</w:t>
      </w:r>
    </w:p>
    <w:p>
      <w:pPr>
        <w:spacing w:after="0" w:line="101" w:lineRule="exact"/>
        <w:rPr>
          <w:sz w:val="20"/>
          <w:szCs w:val="20"/>
          <w:color w:val="auto"/>
        </w:rPr>
      </w:pPr>
    </w:p>
    <w:p>
      <w:pPr>
        <w:ind w:left="560" w:hanging="325"/>
        <w:spacing w:after="0"/>
        <w:tabs>
          <w:tab w:leader="none" w:pos="5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 value has not yet been reported for this period.</w:t>
      </w:r>
    </w:p>
    <w:p>
      <w:pPr>
        <w:spacing w:after="0" w:line="174" w:lineRule="exact"/>
        <w:rPr>
          <w:sz w:val="20"/>
          <w:szCs w:val="20"/>
          <w:color w:val="auto"/>
        </w:rPr>
      </w:pPr>
    </w:p>
    <w:p>
      <w:pPr>
        <w:ind w:left="240" w:right="279" w:firstLine="341"/>
        <w:spacing w:after="0" w:line="321" w:lineRule="auto"/>
        <w:rPr>
          <w:sz w:val="20"/>
          <w:szCs w:val="20"/>
          <w:color w:val="auto"/>
        </w:rPr>
      </w:pPr>
      <w:r>
        <w:rPr>
          <w:rFonts w:ascii="Times New Roman" w:cs="Times New Roman" w:eastAsia="Times New Roman" w:hAnsi="Times New Roman"/>
          <w:sz w:val="13"/>
          <w:szCs w:val="13"/>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59" w:right="1440" w:bottom="1440" w:gutter="0" w:footer="0" w:header="0"/>
        </w:sectPr>
      </w:pPr>
    </w:p>
    <w:bookmarkStart w:id="81" w:name="page82"/>
    <w:bookmarkEnd w:id="81"/>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The following tables summarize dividends declared during the nine months ended September 30, 2023 and years ended December 31, 2022 and</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2021:</w:t>
      </w:r>
    </w:p>
    <w:p>
      <w:pPr>
        <w:spacing w:after="0" w:line="175" w:lineRule="exact"/>
        <w:rPr>
          <w:sz w:val="20"/>
          <w:szCs w:val="20"/>
          <w:color w:val="auto"/>
        </w:rPr>
      </w:pPr>
    </w:p>
    <w:tbl>
      <w:tblPr>
        <w:tblLayout w:type="fixed"/>
        <w:tblInd w:w="240" w:type="dxa"/>
        <w:tblCellMar>
          <w:top w:w="0" w:type="dxa"/>
          <w:left w:w="0" w:type="dxa"/>
          <w:bottom w:w="0" w:type="dxa"/>
          <w:right w:w="0" w:type="dxa"/>
        </w:tblCellMar>
      </w:tblPr>
      <w:tr>
        <w:trPr>
          <w:trHeight w:val="134"/>
        </w:trPr>
        <w:tc>
          <w:tcPr>
            <w:tcW w:w="35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160" w:type="dxa"/>
            <w:vAlign w:val="bottom"/>
            <w:tcBorders>
              <w:bottom w:val="single" w:sz="8" w:color="auto"/>
            </w:tcBorders>
            <w:gridSpan w:val="4"/>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rPr>
              <w:t>Nine Months Ended September 30, 2023</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35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Date Declared</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Dividend</w:t>
            </w:r>
          </w:p>
        </w:tc>
        <w:tc>
          <w:tcPr>
            <w:tcW w:w="1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1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80" w:type="dxa"/>
            <w:vAlign w:val="bottom"/>
          </w:tcPr>
          <w:p>
            <w:pPr>
              <w:spacing w:after="0"/>
              <w:rPr>
                <w:sz w:val="7"/>
                <w:szCs w:val="7"/>
                <w:color w:val="auto"/>
              </w:rPr>
            </w:pPr>
          </w:p>
        </w:tc>
        <w:tc>
          <w:tcPr>
            <w:tcW w:w="50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Dividend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58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per Share</w:t>
            </w:r>
          </w:p>
        </w:tc>
        <w:tc>
          <w:tcPr>
            <w:tcW w:w="0" w:type="dxa"/>
            <w:vAlign w:val="bottom"/>
          </w:tcPr>
          <w:p>
            <w:pPr>
              <w:spacing w:after="0"/>
              <w:rPr>
                <w:sz w:val="1"/>
                <w:szCs w:val="1"/>
                <w:color w:val="auto"/>
              </w:rPr>
            </w:pPr>
          </w:p>
        </w:tc>
      </w:tr>
      <w:tr>
        <w:trPr>
          <w:trHeight w:val="158"/>
        </w:trPr>
        <w:tc>
          <w:tcPr>
            <w:tcW w:w="358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February 16, 2023</w:t>
            </w:r>
          </w:p>
        </w:tc>
        <w:tc>
          <w:tcPr>
            <w:tcW w:w="940" w:type="dxa"/>
            <w:vAlign w:val="bottom"/>
            <w:tcBorders>
              <w:top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Supplemental</w:t>
            </w:r>
          </w:p>
        </w:tc>
        <w:tc>
          <w:tcPr>
            <w:tcW w:w="2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February 28, 2023</w:t>
            </w:r>
          </w:p>
        </w:tc>
        <w:tc>
          <w:tcPr>
            <w:tcW w:w="2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March 20, 2023</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0.09</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February 16, 2023</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5"/>
              </w:rPr>
              <w:t>Base</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March 15, 2023</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March 31, 2023</w:t>
            </w: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16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8, 2023</w:t>
            </w:r>
          </w:p>
        </w:tc>
        <w:tc>
          <w:tcPr>
            <w:tcW w:w="11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Supplemental</w:t>
            </w:r>
          </w:p>
        </w:tc>
        <w:tc>
          <w:tcPr>
            <w:tcW w:w="15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May 31, 2023</w:t>
            </w:r>
          </w:p>
        </w:tc>
        <w:tc>
          <w:tcPr>
            <w:tcW w:w="15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June 20, 2023</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May 8, 2023</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5"/>
              </w:rPr>
              <w:t>Base</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June 15, 2023</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June 30, 2023</w:t>
            </w: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16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August 3, 2023</w:t>
            </w:r>
          </w:p>
        </w:tc>
        <w:tc>
          <w:tcPr>
            <w:tcW w:w="11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Supplemental</w:t>
            </w:r>
          </w:p>
        </w:tc>
        <w:tc>
          <w:tcPr>
            <w:tcW w:w="15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8"/>
              </w:rPr>
              <w:t>August 31, 2023</w:t>
            </w:r>
          </w:p>
        </w:tc>
        <w:tc>
          <w:tcPr>
            <w:tcW w:w="15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9"/>
              </w:rPr>
              <w:t>September 20, 2023</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August 3, 2023</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5"/>
              </w:rPr>
              <w:t>Base</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September 15, 2023</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September 29, 2023</w:t>
            </w: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Dividends Declared</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gridSpan w:val="4"/>
            <w:vMerge w:val="restart"/>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5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5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Date Declared</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Dividend</w:t>
            </w:r>
          </w:p>
        </w:tc>
        <w:tc>
          <w:tcPr>
            <w:tcW w:w="1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1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80" w:type="dxa"/>
            <w:vAlign w:val="bottom"/>
          </w:tcPr>
          <w:p>
            <w:pPr>
              <w:spacing w:after="0"/>
              <w:rPr>
                <w:sz w:val="7"/>
                <w:szCs w:val="7"/>
                <w:color w:val="auto"/>
              </w:rPr>
            </w:pPr>
          </w:p>
        </w:tc>
        <w:tc>
          <w:tcPr>
            <w:tcW w:w="50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Dividend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58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per Share</w:t>
            </w:r>
          </w:p>
        </w:tc>
        <w:tc>
          <w:tcPr>
            <w:tcW w:w="0" w:type="dxa"/>
            <w:vAlign w:val="bottom"/>
          </w:tcPr>
          <w:p>
            <w:pPr>
              <w:spacing w:after="0"/>
              <w:rPr>
                <w:sz w:val="1"/>
                <w:szCs w:val="1"/>
                <w:color w:val="auto"/>
              </w:rPr>
            </w:pPr>
          </w:p>
        </w:tc>
      </w:tr>
      <w:tr>
        <w:trPr>
          <w:trHeight w:val="158"/>
        </w:trPr>
        <w:tc>
          <w:tcPr>
            <w:tcW w:w="358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February 17, 2022</w:t>
            </w:r>
          </w:p>
        </w:tc>
        <w:tc>
          <w:tcPr>
            <w:tcW w:w="940" w:type="dxa"/>
            <w:vAlign w:val="bottom"/>
            <w:tcBorders>
              <w:top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Supplemental</w:t>
            </w:r>
          </w:p>
        </w:tc>
        <w:tc>
          <w:tcPr>
            <w:tcW w:w="2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February 28, 2022</w:t>
            </w:r>
          </w:p>
        </w:tc>
        <w:tc>
          <w:tcPr>
            <w:tcW w:w="2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March 31, 2022</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0.11</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February 17, 2022</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5"/>
              </w:rPr>
              <w:t>Base</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March 15, 2022</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April 18, 2022</w:t>
            </w: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16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3, 2022</w:t>
            </w:r>
          </w:p>
        </w:tc>
        <w:tc>
          <w:tcPr>
            <w:tcW w:w="11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Supplemental</w:t>
            </w:r>
          </w:p>
        </w:tc>
        <w:tc>
          <w:tcPr>
            <w:tcW w:w="15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May 31, 2022</w:t>
            </w:r>
          </w:p>
        </w:tc>
        <w:tc>
          <w:tcPr>
            <w:tcW w:w="15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9"/>
              </w:rPr>
              <w:t>September 30, 2022</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May 3, 2022</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5"/>
              </w:rPr>
              <w:t>Base</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June 15, 2022</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July 15, 2022</w:t>
            </w: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16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August 2, 2022</w:t>
            </w:r>
          </w:p>
        </w:tc>
        <w:tc>
          <w:tcPr>
            <w:tcW w:w="11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5"/>
              </w:rPr>
              <w:t>Base</w:t>
            </w:r>
          </w:p>
        </w:tc>
        <w:tc>
          <w:tcPr>
            <w:tcW w:w="15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9"/>
              </w:rPr>
              <w:t>September 15, 2022</w:t>
            </w:r>
          </w:p>
        </w:tc>
        <w:tc>
          <w:tcPr>
            <w:tcW w:w="15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9"/>
              </w:rPr>
              <w:t>September 30, 2022</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November 1, 2022</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5"/>
              </w:rPr>
              <w:t>Base</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December 15, 2022</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December 30, 2022</w:t>
            </w: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0.45</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Dividends Declared</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gridSpan w:val="4"/>
            <w:vMerge w:val="restart"/>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rPr>
              <w:t>Year Ended December 31, 2021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5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5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Date Declared</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Dividend</w:t>
            </w:r>
          </w:p>
        </w:tc>
        <w:tc>
          <w:tcPr>
            <w:tcW w:w="1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1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80" w:type="dxa"/>
            <w:vAlign w:val="bottom"/>
          </w:tcPr>
          <w:p>
            <w:pPr>
              <w:spacing w:after="0"/>
              <w:rPr>
                <w:sz w:val="7"/>
                <w:szCs w:val="7"/>
                <w:color w:val="auto"/>
              </w:rPr>
            </w:pPr>
          </w:p>
        </w:tc>
        <w:tc>
          <w:tcPr>
            <w:tcW w:w="50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Dividend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58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per Share</w:t>
            </w:r>
          </w:p>
        </w:tc>
        <w:tc>
          <w:tcPr>
            <w:tcW w:w="0" w:type="dxa"/>
            <w:vAlign w:val="bottom"/>
          </w:tcPr>
          <w:p>
            <w:pPr>
              <w:spacing w:after="0"/>
              <w:rPr>
                <w:sz w:val="1"/>
                <w:szCs w:val="1"/>
                <w:color w:val="auto"/>
              </w:rPr>
            </w:pPr>
          </w:p>
        </w:tc>
      </w:tr>
      <w:tr>
        <w:trPr>
          <w:trHeight w:val="158"/>
        </w:trPr>
        <w:tc>
          <w:tcPr>
            <w:tcW w:w="358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February 17, 2021</w:t>
            </w:r>
          </w:p>
        </w:tc>
        <w:tc>
          <w:tcPr>
            <w:tcW w:w="940" w:type="dxa"/>
            <w:vAlign w:val="bottom"/>
            <w:tcBorders>
              <w:top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Supplemental</w:t>
            </w:r>
          </w:p>
        </w:tc>
        <w:tc>
          <w:tcPr>
            <w:tcW w:w="2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February 26, 2021</w:t>
            </w:r>
          </w:p>
        </w:tc>
        <w:tc>
          <w:tcPr>
            <w:tcW w:w="2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March 31, 2021</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0.05</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February 17, 2021</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5"/>
              </w:rPr>
              <w:t>Base</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March 15, 2021</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April 15, 2021</w:t>
            </w: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16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17, 2021</w:t>
            </w:r>
          </w:p>
        </w:tc>
        <w:tc>
          <w:tcPr>
            <w:tcW w:w="11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Special</w:t>
            </w:r>
          </w:p>
        </w:tc>
        <w:tc>
          <w:tcPr>
            <w:tcW w:w="15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8"/>
              </w:rPr>
              <w:t>March 25, 2021</w:t>
            </w:r>
          </w:p>
        </w:tc>
        <w:tc>
          <w:tcPr>
            <w:tcW w:w="15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8"/>
              </w:rPr>
              <w:t>April 8, 2021</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May 4, 2021</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Supplemental</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May 28, 2021</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June 30, 2021</w:t>
            </w: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6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4, 2021</w:t>
            </w:r>
          </w:p>
        </w:tc>
        <w:tc>
          <w:tcPr>
            <w:tcW w:w="11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5"/>
              </w:rPr>
              <w:t>Base</w:t>
            </w:r>
          </w:p>
        </w:tc>
        <w:tc>
          <w:tcPr>
            <w:tcW w:w="15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June 15, 2021</w:t>
            </w:r>
          </w:p>
        </w:tc>
        <w:tc>
          <w:tcPr>
            <w:tcW w:w="15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July 15, 2021</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August 3, 2021</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Supplemental</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August 31, 2021</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September 30, 2021</w:t>
            </w: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6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August 3, 2021</w:t>
            </w:r>
          </w:p>
        </w:tc>
        <w:tc>
          <w:tcPr>
            <w:tcW w:w="11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5"/>
              </w:rPr>
              <w:t>Base</w:t>
            </w:r>
          </w:p>
        </w:tc>
        <w:tc>
          <w:tcPr>
            <w:tcW w:w="15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9"/>
              </w:rPr>
              <w:t>September 15, 2021</w:t>
            </w:r>
          </w:p>
        </w:tc>
        <w:tc>
          <w:tcPr>
            <w:tcW w:w="15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October 15, 2021</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November 2, 2021</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Supplemental</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November 30, 2021</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December 31, 2021</w:t>
            </w: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16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November 2, 2021</w:t>
            </w:r>
          </w:p>
        </w:tc>
        <w:tc>
          <w:tcPr>
            <w:tcW w:w="11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Special</w:t>
            </w:r>
          </w:p>
        </w:tc>
        <w:tc>
          <w:tcPr>
            <w:tcW w:w="15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December 7, 2021</w:t>
            </w:r>
          </w:p>
        </w:tc>
        <w:tc>
          <w:tcPr>
            <w:tcW w:w="15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December 20, 2021</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November 2, 2021</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5"/>
              </w:rPr>
              <w:t>Base</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December 15, 2021</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January 14, 2022</w:t>
            </w: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Dividends Declared</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240" w:right="399" w:firstLine="341"/>
        <w:spacing w:after="0" w:line="265" w:lineRule="auto"/>
        <w:rPr>
          <w:sz w:val="20"/>
          <w:szCs w:val="20"/>
          <w:color w:val="auto"/>
        </w:rPr>
      </w:pPr>
      <w:r>
        <w:rPr>
          <w:rFonts w:ascii="Times New Roman" w:cs="Times New Roman" w:eastAsia="Times New Roman" w:hAnsi="Times New Roman"/>
          <w:sz w:val="14"/>
          <w:szCs w:val="14"/>
          <w:color w:val="auto"/>
        </w:rPr>
        <w:t>The dividends declared during the nine months ended September 30, 2023 were derived from net investment income, determined on a tax basis. The dividends declared during the year ended December 31, 2022 were derived from net investment income and net realized capital gains, determined on a tax basis.</w:t>
      </w:r>
    </w:p>
    <w:p>
      <w:pPr>
        <w:spacing w:after="0" w:line="136" w:lineRule="exact"/>
        <w:rPr>
          <w:sz w:val="20"/>
          <w:szCs w:val="20"/>
          <w:color w:val="auto"/>
        </w:rPr>
      </w:pPr>
    </w:p>
    <w:p>
      <w:pPr>
        <w:jc w:val="both"/>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40" w:lineRule="exact"/>
        <w:rPr>
          <w:sz w:val="20"/>
          <w:szCs w:val="20"/>
          <w:color w:val="auto"/>
        </w:rPr>
      </w:pPr>
    </w:p>
    <w:p>
      <w:pPr>
        <w:ind w:left="240" w:right="279" w:firstLine="341"/>
        <w:spacing w:after="0" w:line="281" w:lineRule="auto"/>
        <w:rPr>
          <w:sz w:val="20"/>
          <w:szCs w:val="20"/>
          <w:color w:val="auto"/>
        </w:rPr>
      </w:pPr>
      <w:r>
        <w:rPr>
          <w:rFonts w:ascii="Times New Roman" w:cs="Times New Roman" w:eastAsia="Times New Roman" w:hAnsi="Times New Roman"/>
          <w:sz w:val="14"/>
          <w:szCs w:val="14"/>
          <w:color w:val="auto"/>
        </w:rPr>
        <w:t>To be treated as a regulated investment company, or a RIC, for U.S. federal income tax purposes and therefore to avoid being subject to corporate-level U.S. federal income taxation of our earnings, we must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61" w:right="1440" w:bottom="1440" w:gutter="0" w:footer="0" w:header="0"/>
        </w:sectPr>
      </w:pPr>
    </w:p>
    <w:bookmarkStart w:id="82" w:name="page83"/>
    <w:bookmarkEnd w:id="82"/>
    <w:p>
      <w:pPr>
        <w:ind w:left="240" w:right="2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63" w:lineRule="exact"/>
        <w:rPr>
          <w:sz w:val="20"/>
          <w:szCs w:val="20"/>
          <w:color w:val="auto"/>
        </w:rPr>
      </w:pPr>
    </w:p>
    <w:p>
      <w:pPr>
        <w:ind w:left="980" w:hanging="411"/>
        <w:spacing w:after="0"/>
        <w:tabs>
          <w:tab w:leader="none" w:pos="9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 of our net ordinary income, excluding certain ordinary gains and losses, recognized during such calendar year;</w:t>
      </w:r>
    </w:p>
    <w:p>
      <w:pPr>
        <w:spacing w:after="0" w:line="100" w:lineRule="exact"/>
        <w:rPr>
          <w:rFonts w:ascii="Times New Roman" w:cs="Times New Roman" w:eastAsia="Times New Roman" w:hAnsi="Times New Roman"/>
          <w:sz w:val="14"/>
          <w:szCs w:val="14"/>
          <w:color w:val="auto"/>
        </w:rPr>
      </w:pPr>
    </w:p>
    <w:p>
      <w:pPr>
        <w:ind w:left="980" w:right="499" w:hanging="411"/>
        <w:spacing w:after="0" w:line="281" w:lineRule="auto"/>
        <w:tabs>
          <w:tab w:leader="none" w:pos="9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98.2% of our capital gain net income, adjusted for certain ordinary gains and losses, recognized for the twelve-month period ending on October 31 of such calendar year; and</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income or gains recognized, but not distributed, in preceding years.</w:t>
      </w:r>
    </w:p>
    <w:p>
      <w:pPr>
        <w:spacing w:after="0" w:line="174"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nine months ended September 30, 2023 and for calendar years ended December 31, 2022 and 2021 for purposes of additional liquidity and we recorded a net expense of $1.8 million for the nine months ended September 30, 2023 and $2.2 million and $0.7 million for the years ended December 31, 2022, and December 31, 2021,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2022 Annual Report.</w:t>
      </w:r>
    </w:p>
    <w:p>
      <w:pPr>
        <w:spacing w:after="0" w:line="147"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44" w:lineRule="exact"/>
        <w:rPr>
          <w:sz w:val="20"/>
          <w:szCs w:val="20"/>
          <w:color w:val="auto"/>
        </w:rPr>
      </w:pPr>
    </w:p>
    <w:p>
      <w:pPr>
        <w:ind w:left="240" w:right="279" w:firstLine="341"/>
        <w:spacing w:after="0" w:line="281" w:lineRule="auto"/>
        <w:rPr>
          <w:sz w:val="20"/>
          <w:szCs w:val="20"/>
          <w:color w:val="auto"/>
        </w:rPr>
      </w:pPr>
      <w:r>
        <w:rPr>
          <w:rFonts w:ascii="Times New Roman" w:cs="Times New Roman" w:eastAsia="Times New Roman" w:hAnsi="Times New Roman"/>
          <w:sz w:val="14"/>
          <w:szCs w:val="14"/>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61" w:right="1440"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SENIOR SECURITIES</w:t>
      </w:r>
    </w:p>
    <w:p>
      <w:pPr>
        <w:spacing w:after="0" w:line="176" w:lineRule="exact"/>
        <w:rPr>
          <w:sz w:val="20"/>
          <w:szCs w:val="20"/>
          <w:color w:val="auto"/>
        </w:rPr>
      </w:pPr>
    </w:p>
    <w:p>
      <w:pPr>
        <w:jc w:val="both"/>
        <w:ind w:left="240" w:right="599" w:firstLine="341"/>
        <w:spacing w:after="0" w:line="265" w:lineRule="auto"/>
        <w:rPr>
          <w:sz w:val="20"/>
          <w:szCs w:val="20"/>
          <w:color w:val="auto"/>
        </w:rPr>
      </w:pPr>
      <w:r>
        <w:rPr>
          <w:rFonts w:ascii="Times New Roman" w:cs="Times New Roman" w:eastAsia="Times New Roman" w:hAnsi="Times New Roman"/>
          <w:sz w:val="14"/>
          <w:szCs w:val="14"/>
          <w:color w:val="auto"/>
        </w:rPr>
        <w:t>Information about our senior securities is shown as of the dates indicated in the below table. The report of our independent registered public accounting firm, KPMG LLP, on the senior securities table as of December 31, 2022 is included in our 2022 Annual Report and is incorporated by reference to the registration statement of which this prospectus is a part.</w:t>
      </w:r>
    </w:p>
    <w:p>
      <w:pPr>
        <w:spacing w:after="0" w:line="142"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680"/>
              <w:spacing w:after="0"/>
              <w:rPr>
                <w:sz w:val="20"/>
                <w:szCs w:val="20"/>
                <w:color w:val="auto"/>
              </w:rPr>
            </w:pPr>
            <w:r>
              <w:rPr>
                <w:rFonts w:ascii="Times New Roman" w:cs="Times New Roman" w:eastAsia="Times New Roman" w:hAnsi="Times New Roman"/>
                <w:sz w:val="11"/>
                <w:szCs w:val="11"/>
                <w:b w:val="1"/>
                <w:bCs w:val="1"/>
                <w:color w:val="auto"/>
                <w:w w:val="96"/>
              </w:rPr>
              <w:t>Total Amount</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2"/>
            <w:vMerge w:val="restart"/>
          </w:tcPr>
          <w:p>
            <w:pPr>
              <w:jc w:val="center"/>
              <w:ind w:left="444"/>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520" w:type="dxa"/>
            <w:vAlign w:val="bottom"/>
          </w:tcPr>
          <w:p>
            <w:pPr>
              <w:spacing w:after="0"/>
              <w:rPr>
                <w:sz w:val="10"/>
                <w:szCs w:val="10"/>
                <w:color w:val="auto"/>
              </w:rPr>
            </w:pPr>
          </w:p>
        </w:tc>
        <w:tc>
          <w:tcPr>
            <w:tcW w:w="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Exclusive of</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restart"/>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Asset</w:t>
            </w:r>
          </w:p>
        </w:tc>
        <w:tc>
          <w:tcPr>
            <w:tcW w:w="10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51"/>
              <w:spacing w:after="0" w:line="115"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Liquidating</w:t>
            </w:r>
          </w:p>
        </w:tc>
        <w:tc>
          <w:tcPr>
            <w:tcW w:w="520" w:type="dxa"/>
            <w:vAlign w:val="bottom"/>
          </w:tcPr>
          <w:p>
            <w:pPr>
              <w:spacing w:after="0"/>
              <w:rPr>
                <w:sz w:val="10"/>
                <w:szCs w:val="10"/>
                <w:color w:val="auto"/>
              </w:rPr>
            </w:pPr>
          </w:p>
        </w:tc>
        <w:tc>
          <w:tcPr>
            <w:tcW w:w="46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Market</w:t>
            </w:r>
          </w:p>
        </w:tc>
        <w:tc>
          <w:tcPr>
            <w:tcW w:w="0" w:type="dxa"/>
            <w:vAlign w:val="bottom"/>
          </w:tcPr>
          <w:p>
            <w:pPr>
              <w:spacing w:after="0"/>
              <w:rPr>
                <w:sz w:val="1"/>
                <w:szCs w:val="1"/>
                <w:color w:val="auto"/>
              </w:rPr>
            </w:pPr>
          </w:p>
        </w:tc>
      </w:tr>
      <w:tr>
        <w:trPr>
          <w:trHeight w:val="115"/>
        </w:trPr>
        <w:tc>
          <w:tcPr>
            <w:tcW w:w="2760" w:type="dxa"/>
            <w:vAlign w:val="bottom"/>
            <w:gridSpan w:val="6"/>
            <w:vMerge w:val="restart"/>
          </w:tcPr>
          <w:p>
            <w:pPr>
              <w:spacing w:after="0"/>
              <w:rPr>
                <w:sz w:val="20"/>
                <w:szCs w:val="20"/>
                <w:color w:val="auto"/>
              </w:rPr>
            </w:pPr>
            <w:r>
              <w:rPr>
                <w:rFonts w:ascii="Times New Roman" w:cs="Times New Roman" w:eastAsia="Times New Roman" w:hAnsi="Times New Roman"/>
                <w:sz w:val="11"/>
                <w:szCs w:val="11"/>
                <w:b w:val="1"/>
                <w:bCs w:val="1"/>
                <w:color w:val="auto"/>
              </w:rPr>
              <w:t>Class and Year/Period</w:t>
            </w:r>
          </w:p>
        </w:tc>
        <w:tc>
          <w:tcPr>
            <w:tcW w:w="680" w:type="dxa"/>
            <w:vAlign w:val="bottom"/>
          </w:tcPr>
          <w:p>
            <w:pPr>
              <w:spacing w:after="0"/>
              <w:rPr>
                <w:sz w:val="10"/>
                <w:szCs w:val="10"/>
                <w:color w:val="auto"/>
              </w:rPr>
            </w:pPr>
          </w:p>
        </w:tc>
        <w:tc>
          <w:tcPr>
            <w:tcW w:w="6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 xml:space="preserve">Securities </w:t>
            </w:r>
            <w:r>
              <w:rPr>
                <w:rFonts w:ascii="Times New Roman" w:cs="Times New Roman" w:eastAsia="Times New Roman" w:hAnsi="Times New Roman"/>
                <w:sz w:val="8"/>
                <w:szCs w:val="8"/>
                <w:b w:val="1"/>
                <w:bCs w:val="1"/>
                <w:color w:val="auto"/>
              </w:rPr>
              <w:t>(1)</w:t>
            </w:r>
          </w:p>
        </w:tc>
        <w:tc>
          <w:tcPr>
            <w:tcW w:w="520" w:type="dxa"/>
            <w:vAlign w:val="bottom"/>
          </w:tcPr>
          <w:p>
            <w:pPr>
              <w:spacing w:after="0"/>
              <w:rPr>
                <w:sz w:val="10"/>
                <w:szCs w:val="10"/>
                <w:color w:val="auto"/>
              </w:rPr>
            </w:pPr>
          </w:p>
        </w:tc>
        <w:tc>
          <w:tcPr>
            <w:tcW w:w="50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Coverage</w:t>
            </w:r>
          </w:p>
        </w:tc>
        <w:tc>
          <w:tcPr>
            <w:tcW w:w="50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Preference</w:t>
            </w:r>
          </w:p>
        </w:tc>
        <w:tc>
          <w:tcPr>
            <w:tcW w:w="520" w:type="dxa"/>
            <w:vAlign w:val="bottom"/>
          </w:tcPr>
          <w:p>
            <w:pPr>
              <w:spacing w:after="0"/>
              <w:rPr>
                <w:sz w:val="10"/>
                <w:szCs w:val="10"/>
                <w:color w:val="auto"/>
              </w:rPr>
            </w:pPr>
          </w:p>
        </w:tc>
        <w:tc>
          <w:tcPr>
            <w:tcW w:w="46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24"/>
        </w:trPr>
        <w:tc>
          <w:tcPr>
            <w:tcW w:w="2760" w:type="dxa"/>
            <w:vAlign w:val="bottom"/>
            <w:gridSpan w:val="6"/>
            <w:vMerge w:val="continue"/>
          </w:tcPr>
          <w:p>
            <w:pPr>
              <w:spacing w:after="0"/>
              <w:rPr>
                <w:sz w:val="10"/>
                <w:szCs w:val="10"/>
                <w:color w:val="auto"/>
              </w:rPr>
            </w:pPr>
          </w:p>
        </w:tc>
        <w:tc>
          <w:tcPr>
            <w:tcW w:w="1340" w:type="dxa"/>
            <w:vAlign w:val="bottom"/>
            <w:gridSpan w:val="3"/>
          </w:tcPr>
          <w:p>
            <w:pPr>
              <w:ind w:left="680"/>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8"/>
              </w:rPr>
              <w:t>(</w:t>
            </w:r>
            <w:r>
              <w:rPr>
                <w:rFonts w:ascii="Times New Roman" w:cs="Times New Roman" w:eastAsia="Times New Roman" w:hAnsi="Times New Roman"/>
                <w:sz w:val="11"/>
                <w:szCs w:val="11"/>
                <w:b w:val="1"/>
                <w:bCs w:val="1"/>
                <w:color w:val="auto"/>
                <w:w w:val="98"/>
              </w:rPr>
              <w:t>$ in millions)</w:t>
            </w:r>
          </w:p>
        </w:tc>
        <w:tc>
          <w:tcPr>
            <w:tcW w:w="5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Per Unit</w:t>
            </w:r>
          </w:p>
        </w:tc>
        <w:tc>
          <w:tcPr>
            <w:tcW w:w="500" w:type="dxa"/>
            <w:vAlign w:val="bottom"/>
          </w:tcPr>
          <w:p>
            <w:pPr>
              <w:spacing w:after="0"/>
              <w:rPr>
                <w:sz w:val="10"/>
                <w:szCs w:val="10"/>
                <w:color w:val="auto"/>
              </w:rPr>
            </w:pPr>
          </w:p>
        </w:tc>
        <w:tc>
          <w:tcPr>
            <w:tcW w:w="5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9"/>
              </w:rPr>
              <w:t>Per Unit</w:t>
            </w:r>
          </w:p>
        </w:tc>
        <w:tc>
          <w:tcPr>
            <w:tcW w:w="980" w:type="dxa"/>
            <w:vAlign w:val="bottom"/>
            <w:gridSpan w:val="3"/>
          </w:tcPr>
          <w:p>
            <w:pPr>
              <w:jc w:val="right"/>
              <w:ind w:right="60"/>
              <w:spacing w:after="0" w:line="124" w:lineRule="exact"/>
              <w:rPr>
                <w:sz w:val="20"/>
                <w:szCs w:val="20"/>
                <w:color w:val="auto"/>
              </w:rPr>
            </w:pPr>
            <w:r>
              <w:rPr>
                <w:rFonts w:ascii="Times New Roman" w:cs="Times New Roman" w:eastAsia="Times New Roman" w:hAnsi="Times New Roman"/>
                <w:sz w:val="11"/>
                <w:szCs w:val="11"/>
                <w:b w:val="1"/>
                <w:bCs w:val="1"/>
                <w:color w:val="auto"/>
              </w:rPr>
              <w:t>Per Unit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2740" w:type="dxa"/>
            <w:vAlign w:val="bottom"/>
            <w:gridSpan w:val="5"/>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Revolving Credit Facilities</w:t>
            </w: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2740" w:type="dxa"/>
            <w:vAlign w:val="bottom"/>
            <w:gridSpan w:val="5"/>
          </w:tcPr>
          <w:p>
            <w:pPr>
              <w:spacing w:after="0" w:line="159" w:lineRule="exact"/>
              <w:rPr>
                <w:sz w:val="20"/>
                <w:szCs w:val="20"/>
                <w:color w:val="auto"/>
              </w:rPr>
            </w:pPr>
            <w:r>
              <w:rPr>
                <w:rFonts w:ascii="Times New Roman" w:cs="Times New Roman" w:eastAsia="Times New Roman" w:hAnsi="Times New Roman"/>
                <w:sz w:val="14"/>
                <w:szCs w:val="14"/>
                <w:color w:val="auto"/>
              </w:rPr>
              <w:t>September 30, 2023 (unaudited)</w:t>
            </w:r>
          </w:p>
        </w:tc>
        <w:tc>
          <w:tcPr>
            <w:tcW w:w="760" w:type="dxa"/>
            <w:vAlign w:val="bottom"/>
            <w:gridSpan w:val="2"/>
          </w:tcPr>
          <w:p>
            <w:pPr>
              <w:ind w:left="68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758.2</w:t>
            </w:r>
          </w:p>
        </w:tc>
        <w:tc>
          <w:tcPr>
            <w:tcW w:w="58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1,872.8</w:t>
            </w:r>
          </w:p>
        </w:tc>
        <w:tc>
          <w:tcPr>
            <w:tcW w:w="5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3"/>
                <w:szCs w:val="13"/>
                <w:color w:val="auto"/>
              </w:rPr>
            </w:pPr>
          </w:p>
        </w:tc>
        <w:tc>
          <w:tcPr>
            <w:tcW w:w="46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719.3</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1,885.7</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2,053.6</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2020</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2,045.4</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495.7</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2,004.1</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2018</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2,705.2</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2017</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486.8</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2,355.3</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2016</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578.7</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2,376.6</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2015</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540.3</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2,257.3</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2014</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3,110.3</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2013</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2,329.5</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gridSpan w:val="5"/>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Convertible Senior Notes due 2019</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gridSpan w:val="4"/>
          </w:tcPr>
          <w:p>
            <w:pPr>
              <w:spacing w:after="0" w:line="159" w:lineRule="exact"/>
              <w:rPr>
                <w:sz w:val="20"/>
                <w:szCs w:val="20"/>
                <w:color w:val="auto"/>
              </w:rPr>
            </w:pPr>
            <w:r>
              <w:rPr>
                <w:rFonts w:ascii="Times New Roman" w:cs="Times New Roman" w:eastAsia="Times New Roman" w:hAnsi="Times New Roman"/>
                <w:sz w:val="14"/>
                <w:szCs w:val="14"/>
                <w:color w:val="auto"/>
              </w:rPr>
              <w:t>September 30, 2023 (unaudited)</w:t>
            </w:r>
          </w:p>
        </w:tc>
        <w:tc>
          <w:tcPr>
            <w:tcW w:w="70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gridSpan w:val="2"/>
          </w:tcPr>
          <w:p>
            <w:pPr>
              <w:ind w:left="68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CCEEFF"/>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Borders>
              <w:top w:val="single" w:sz="8" w:color="CCEEFF"/>
            </w:tcBorders>
            <w:gridSpan w:val="2"/>
          </w:tcPr>
          <w:p>
            <w:pPr>
              <w:ind w:left="520"/>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CCEEFF"/>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2020</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2018</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2,705.2</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2017</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2,355.3</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2016</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2,376.6</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2015</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2,257.3</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2014</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3,110.3</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40" w:type="dxa"/>
            <w:vAlign w:val="bottom"/>
            <w:gridSpan w:val="5"/>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Convertible Senior Notes due 2022</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30, 2023 (unaudited)</w:t>
            </w:r>
          </w:p>
        </w:tc>
        <w:tc>
          <w:tcPr>
            <w:tcW w:w="7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2,053.6</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2020</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2,045.4</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2,004.1</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2018</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2,705.2</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2017</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2,355.3</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40" w:type="dxa"/>
            <w:vAlign w:val="bottom"/>
            <w:gridSpan w:val="5"/>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2023 Notes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30, 2023 (unaudited)</w:t>
            </w:r>
          </w:p>
        </w:tc>
        <w:tc>
          <w:tcPr>
            <w:tcW w:w="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1,885.7</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2,053.6</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2020</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2,045.4</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2,004.1</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December 31, 2018</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2,705.2</w:t>
            </w:r>
          </w:p>
        </w:tc>
        <w:tc>
          <w:tcPr>
            <w:tcW w:w="5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w w:val="85"/>
              </w:rPr>
              <w:t>32</w:t>
            </w: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9" w:right="1440" w:bottom="1440" w:gutter="0" w:footer="0" w:header="0"/>
        </w:sectPr>
      </w:pPr>
    </w:p>
    <w:bookmarkStart w:id="84" w:name="page85"/>
    <w:bookmarkEnd w:id="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80" w:type="dxa"/>
            <w:vAlign w:val="bottom"/>
            <w:gridSpan w:val="3"/>
          </w:tcPr>
          <w:p>
            <w:pPr>
              <w:ind w:left="820"/>
              <w:spacing w:after="0"/>
              <w:rPr>
                <w:sz w:val="20"/>
                <w:szCs w:val="20"/>
                <w:color w:val="auto"/>
              </w:rPr>
            </w:pPr>
            <w:r>
              <w:rPr>
                <w:rFonts w:ascii="Times New Roman" w:cs="Times New Roman" w:eastAsia="Times New Roman" w:hAnsi="Times New Roman"/>
                <w:sz w:val="11"/>
                <w:szCs w:val="11"/>
                <w:b w:val="1"/>
                <w:bCs w:val="1"/>
                <w:color w:val="auto"/>
                <w:w w:val="96"/>
              </w:rPr>
              <w:t>Total Amount</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gridSpan w:val="2"/>
            <w:vMerge w:val="restart"/>
          </w:tcPr>
          <w:p>
            <w:pPr>
              <w:jc w:val="center"/>
              <w:ind w:left="444"/>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520" w:type="dxa"/>
            <w:vAlign w:val="bottom"/>
          </w:tcPr>
          <w:p>
            <w:pPr>
              <w:spacing w:after="0"/>
              <w:rPr>
                <w:sz w:val="10"/>
                <w:szCs w:val="10"/>
                <w:color w:val="auto"/>
              </w:rPr>
            </w:pPr>
          </w:p>
        </w:tc>
        <w:tc>
          <w:tcPr>
            <w:tcW w:w="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Exclusive of</w:t>
            </w:r>
          </w:p>
        </w:tc>
        <w:tc>
          <w:tcPr>
            <w:tcW w:w="52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Asset</w:t>
            </w:r>
          </w:p>
        </w:tc>
        <w:tc>
          <w:tcPr>
            <w:tcW w:w="10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32"/>
              <w:spacing w:after="0" w:line="115"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5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Liquidating</w:t>
            </w:r>
          </w:p>
        </w:tc>
        <w:tc>
          <w:tcPr>
            <w:tcW w:w="520" w:type="dxa"/>
            <w:vAlign w:val="bottom"/>
          </w:tcPr>
          <w:p>
            <w:pPr>
              <w:spacing w:after="0"/>
              <w:rPr>
                <w:sz w:val="10"/>
                <w:szCs w:val="10"/>
                <w:color w:val="auto"/>
              </w:rPr>
            </w:pPr>
          </w:p>
        </w:tc>
        <w:tc>
          <w:tcPr>
            <w:tcW w:w="46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Market</w:t>
            </w:r>
          </w:p>
        </w:tc>
        <w:tc>
          <w:tcPr>
            <w:tcW w:w="0" w:type="dxa"/>
            <w:vAlign w:val="bottom"/>
          </w:tcPr>
          <w:p>
            <w:pPr>
              <w:spacing w:after="0"/>
              <w:rPr>
                <w:sz w:val="1"/>
                <w:szCs w:val="1"/>
                <w:color w:val="auto"/>
              </w:rPr>
            </w:pPr>
          </w:p>
        </w:tc>
      </w:tr>
      <w:tr>
        <w:trPr>
          <w:trHeight w:val="115"/>
        </w:trPr>
        <w:tc>
          <w:tcPr>
            <w:tcW w:w="262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Class and Year/Period</w:t>
            </w:r>
          </w:p>
        </w:tc>
        <w:tc>
          <w:tcPr>
            <w:tcW w:w="820" w:type="dxa"/>
            <w:vAlign w:val="bottom"/>
          </w:tcPr>
          <w:p>
            <w:pPr>
              <w:spacing w:after="0"/>
              <w:rPr>
                <w:sz w:val="10"/>
                <w:szCs w:val="10"/>
                <w:color w:val="auto"/>
              </w:rPr>
            </w:pPr>
          </w:p>
        </w:tc>
        <w:tc>
          <w:tcPr>
            <w:tcW w:w="66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 xml:space="preserve">Securities </w:t>
            </w:r>
            <w:r>
              <w:rPr>
                <w:rFonts w:ascii="Times New Roman" w:cs="Times New Roman" w:eastAsia="Times New Roman" w:hAnsi="Times New Roman"/>
                <w:sz w:val="8"/>
                <w:szCs w:val="8"/>
                <w:b w:val="1"/>
                <w:bCs w:val="1"/>
                <w:color w:val="auto"/>
              </w:rPr>
              <w:t>(1)</w:t>
            </w:r>
          </w:p>
        </w:tc>
        <w:tc>
          <w:tcPr>
            <w:tcW w:w="520" w:type="dxa"/>
            <w:vAlign w:val="bottom"/>
          </w:tcPr>
          <w:p>
            <w:pPr>
              <w:spacing w:after="0"/>
              <w:rPr>
                <w:sz w:val="10"/>
                <w:szCs w:val="10"/>
                <w:color w:val="auto"/>
              </w:rPr>
            </w:pPr>
          </w:p>
        </w:tc>
        <w:tc>
          <w:tcPr>
            <w:tcW w:w="5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Coverage</w:t>
            </w:r>
          </w:p>
        </w:tc>
        <w:tc>
          <w:tcPr>
            <w:tcW w:w="50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Preference</w:t>
            </w:r>
          </w:p>
        </w:tc>
        <w:tc>
          <w:tcPr>
            <w:tcW w:w="520" w:type="dxa"/>
            <w:vAlign w:val="bottom"/>
          </w:tcPr>
          <w:p>
            <w:pPr>
              <w:spacing w:after="0"/>
              <w:rPr>
                <w:sz w:val="10"/>
                <w:szCs w:val="10"/>
                <w:color w:val="auto"/>
              </w:rPr>
            </w:pPr>
          </w:p>
        </w:tc>
        <w:tc>
          <w:tcPr>
            <w:tcW w:w="46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44"/>
        </w:trPr>
        <w:tc>
          <w:tcPr>
            <w:tcW w:w="2620" w:type="dxa"/>
            <w:vAlign w:val="bottom"/>
            <w:gridSpan w:val="4"/>
            <w:vMerge w:val="continue"/>
          </w:tcPr>
          <w:p>
            <w:pPr>
              <w:spacing w:after="0"/>
              <w:rPr>
                <w:sz w:val="12"/>
                <w:szCs w:val="12"/>
                <w:color w:val="auto"/>
              </w:rPr>
            </w:pPr>
          </w:p>
        </w:tc>
        <w:tc>
          <w:tcPr>
            <w:tcW w:w="1480" w:type="dxa"/>
            <w:vAlign w:val="bottom"/>
            <w:gridSpan w:val="3"/>
          </w:tcPr>
          <w:p>
            <w:pPr>
              <w:ind w:left="820"/>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8"/>
              </w:rPr>
              <w:t>(</w:t>
            </w:r>
            <w:r>
              <w:rPr>
                <w:rFonts w:ascii="Times New Roman" w:cs="Times New Roman" w:eastAsia="Times New Roman" w:hAnsi="Times New Roman"/>
                <w:sz w:val="11"/>
                <w:szCs w:val="11"/>
                <w:b w:val="1"/>
                <w:bCs w:val="1"/>
                <w:color w:val="auto"/>
                <w:w w:val="98"/>
              </w:rPr>
              <w:t>$ in millions)</w:t>
            </w:r>
          </w:p>
        </w:tc>
        <w:tc>
          <w:tcPr>
            <w:tcW w:w="520" w:type="dxa"/>
            <w:vAlign w:val="bottom"/>
          </w:tcPr>
          <w:p>
            <w:pPr>
              <w:spacing w:after="0"/>
              <w:rPr>
                <w:sz w:val="12"/>
                <w:szCs w:val="12"/>
                <w:color w:val="auto"/>
              </w:rPr>
            </w:pPr>
          </w:p>
        </w:tc>
        <w:tc>
          <w:tcPr>
            <w:tcW w:w="5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9"/>
              </w:rPr>
              <w:t>Per Unit</w:t>
            </w:r>
          </w:p>
        </w:tc>
        <w:tc>
          <w:tcPr>
            <w:tcW w:w="500" w:type="dxa"/>
            <w:vAlign w:val="bottom"/>
          </w:tcPr>
          <w:p>
            <w:pPr>
              <w:spacing w:after="0"/>
              <w:rPr>
                <w:sz w:val="12"/>
                <w:szCs w:val="12"/>
                <w:color w:val="auto"/>
              </w:rPr>
            </w:pPr>
          </w:p>
        </w:tc>
        <w:tc>
          <w:tcPr>
            <w:tcW w:w="5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9"/>
              </w:rPr>
              <w:t>Per Unit</w:t>
            </w:r>
          </w:p>
        </w:tc>
        <w:tc>
          <w:tcPr>
            <w:tcW w:w="980" w:type="dxa"/>
            <w:vAlign w:val="bottom"/>
            <w:gridSpan w:val="3"/>
          </w:tcPr>
          <w:p>
            <w:pPr>
              <w:jc w:val="right"/>
              <w:ind w:right="60"/>
              <w:spacing w:after="0" w:line="124" w:lineRule="exact"/>
              <w:rPr>
                <w:sz w:val="20"/>
                <w:szCs w:val="20"/>
                <w:color w:val="auto"/>
              </w:rPr>
            </w:pPr>
            <w:r>
              <w:rPr>
                <w:rFonts w:ascii="Times New Roman" w:cs="Times New Roman" w:eastAsia="Times New Roman" w:hAnsi="Times New Roman"/>
                <w:sz w:val="11"/>
                <w:szCs w:val="11"/>
                <w:b w:val="1"/>
                <w:bCs w:val="1"/>
                <w:color w:val="auto"/>
              </w:rPr>
              <w:t>Per Unit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60" w:type="dxa"/>
            <w:vAlign w:val="bottom"/>
            <w:tcBorders>
              <w:top w:val="single" w:sz="8" w:color="auto"/>
            </w:tcBorders>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2024 Notes</w:t>
            </w:r>
          </w:p>
        </w:tc>
        <w:tc>
          <w:tcPr>
            <w:tcW w:w="154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260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rPr>
              <w:t>September 30, 2023 (unaudited)</w:t>
            </w:r>
          </w:p>
        </w:tc>
        <w:tc>
          <w:tcPr>
            <w:tcW w:w="920" w:type="dxa"/>
            <w:vAlign w:val="bottom"/>
            <w:gridSpan w:val="2"/>
          </w:tcPr>
          <w:p>
            <w:pPr>
              <w:ind w:left="8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347.1</w:t>
            </w:r>
          </w:p>
        </w:tc>
        <w:tc>
          <w:tcPr>
            <w:tcW w:w="10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$1,872.8</w:t>
            </w:r>
          </w:p>
        </w:tc>
        <w:tc>
          <w:tcPr>
            <w:tcW w:w="5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3"/>
                <w:szCs w:val="13"/>
                <w:color w:val="auto"/>
              </w:rPr>
            </w:pPr>
          </w:p>
        </w:tc>
        <w:tc>
          <w:tcPr>
            <w:tcW w:w="46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1,885.7</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2,053.6</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2020</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2,045.4</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2,004.1</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0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2026 Notes</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260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rPr>
              <w:t>September 30, 2023 (unaudited)</w:t>
            </w:r>
          </w:p>
        </w:tc>
        <w:tc>
          <w:tcPr>
            <w:tcW w:w="920" w:type="dxa"/>
            <w:vAlign w:val="bottom"/>
            <w:gridSpan w:val="2"/>
          </w:tcPr>
          <w:p>
            <w:pPr>
              <w:ind w:left="8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298.8</w:t>
            </w:r>
          </w:p>
        </w:tc>
        <w:tc>
          <w:tcPr>
            <w:tcW w:w="10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$1,872.8</w:t>
            </w:r>
          </w:p>
        </w:tc>
        <w:tc>
          <w:tcPr>
            <w:tcW w:w="5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3"/>
                <w:szCs w:val="13"/>
                <w:color w:val="auto"/>
              </w:rPr>
            </w:pPr>
          </w:p>
        </w:tc>
        <w:tc>
          <w:tcPr>
            <w:tcW w:w="46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1,885.7</w:t>
            </w: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2,053.6</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0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2028 Notes</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30, 2023 (unaudited)</w:t>
            </w:r>
          </w:p>
        </w:tc>
        <w:tc>
          <w:tcPr>
            <w:tcW w:w="9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$1,872.8</w:t>
            </w:r>
          </w:p>
        </w:tc>
        <w:tc>
          <w:tcPr>
            <w:tcW w:w="5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60" w:right="859" w:hanging="325"/>
        <w:spacing w:after="0" w:line="281" w:lineRule="auto"/>
        <w:tabs>
          <w:tab w:leader="none" w:pos="5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amount of each class of senior securities outstanding at carrying value, excluding the impact of deferred financing costs and hedge accounting relationships, at the end of the period presented</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5"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PORTFOLIO COMPANIES</w:t>
      </w:r>
    </w:p>
    <w:p>
      <w:pPr>
        <w:spacing w:after="0" w:line="176" w:lineRule="exact"/>
        <w:rPr>
          <w:sz w:val="20"/>
          <w:szCs w:val="20"/>
          <w:color w:val="auto"/>
        </w:rPr>
      </w:pPr>
    </w:p>
    <w:p>
      <w:pPr>
        <w:ind w:left="240" w:right="239" w:firstLine="341"/>
        <w:spacing w:after="0" w:line="255" w:lineRule="auto"/>
        <w:rPr>
          <w:sz w:val="20"/>
          <w:szCs w:val="20"/>
          <w:color w:val="auto"/>
        </w:rPr>
      </w:pPr>
      <w:r>
        <w:rPr>
          <w:rFonts w:ascii="Times New Roman" w:cs="Times New Roman" w:eastAsia="Times New Roman" w:hAnsi="Times New Roman"/>
          <w:sz w:val="14"/>
          <w:szCs w:val="14"/>
          <w:color w:val="auto"/>
        </w:rPr>
        <w:t>The table set forth below contains certain information as of September 30, 2023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such as first-lien or second-lien loans, unsecured notes, or bonds, or they are Equity or Other Investments such as common equity, preferred equity, or equity warrants. We either originated or purchased in the secondary market the Debt Investments and Equity or Other Investments in our current portfolio.</w:t>
      </w:r>
    </w:p>
    <w:p>
      <w:pPr>
        <w:spacing w:after="0" w:line="156" w:lineRule="exact"/>
        <w:rPr>
          <w:sz w:val="20"/>
          <w:szCs w:val="20"/>
          <w:color w:val="auto"/>
        </w:rPr>
      </w:pPr>
    </w:p>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3"/>
              </w:rPr>
              <w:t>Reference</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04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66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3"/>
              </w:rPr>
              <w:t>Acquisition</w:t>
            </w:r>
          </w:p>
        </w:tc>
        <w:tc>
          <w:tcPr>
            <w:tcW w:w="900" w:type="dxa"/>
            <w:vAlign w:val="bottom"/>
            <w:gridSpan w:val="2"/>
          </w:tcPr>
          <w:p>
            <w:pPr>
              <w:jc w:val="center"/>
              <w:ind w:right="280"/>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tcPr>
          <w:p>
            <w:pPr>
              <w:jc w:val="right"/>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tcPr>
          <w:p>
            <w:pPr>
              <w:jc w:val="right"/>
              <w:ind w:right="30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500" w:type="dxa"/>
            <w:vAlign w:val="bottom"/>
            <w:gridSpan w:val="2"/>
          </w:tcPr>
          <w:p>
            <w:pPr>
              <w:jc w:val="center"/>
              <w:ind w:right="20"/>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66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89"/>
              </w:rPr>
              <w:t>Date</w:t>
            </w:r>
          </w:p>
        </w:tc>
        <w:tc>
          <w:tcPr>
            <w:tcW w:w="900" w:type="dxa"/>
            <w:vAlign w:val="bottom"/>
            <w:gridSpan w:val="2"/>
          </w:tcPr>
          <w:p>
            <w:pPr>
              <w:jc w:val="center"/>
              <w:ind w:right="280"/>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720" w:type="dxa"/>
            <w:vAlign w:val="bottom"/>
            <w:gridSpan w:val="2"/>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80" w:type="dxa"/>
            <w:vAlign w:val="bottom"/>
          </w:tcPr>
          <w:p>
            <w:pPr>
              <w:spacing w:after="0"/>
              <w:rPr>
                <w:sz w:val="11"/>
                <w:szCs w:val="11"/>
                <w:color w:val="auto"/>
              </w:rPr>
            </w:pPr>
          </w:p>
        </w:tc>
        <w:tc>
          <w:tcPr>
            <w:tcW w:w="540" w:type="dxa"/>
            <w:vAlign w:val="bottom"/>
            <w:gridSpan w:val="3"/>
          </w:tcPr>
          <w:p>
            <w:pPr>
              <w:jc w:val="right"/>
              <w:ind w:right="12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140" w:type="dxa"/>
            <w:vAlign w:val="bottom"/>
          </w:tcPr>
          <w:p>
            <w:pPr>
              <w:spacing w:after="0"/>
              <w:rPr>
                <w:sz w:val="11"/>
                <w:szCs w:val="11"/>
                <w:color w:val="auto"/>
              </w:rPr>
            </w:pPr>
          </w:p>
        </w:tc>
        <w:tc>
          <w:tcPr>
            <w:tcW w:w="820" w:type="dxa"/>
            <w:vAlign w:val="bottom"/>
            <w:gridSpan w:val="2"/>
          </w:tcPr>
          <w:p>
            <w:pPr>
              <w:jc w:val="right"/>
              <w:ind w:right="280"/>
              <w:spacing w:after="0" w:line="110" w:lineRule="exact"/>
              <w:rPr>
                <w:sz w:val="20"/>
                <w:szCs w:val="20"/>
                <w:color w:val="auto"/>
              </w:rPr>
            </w:pPr>
            <w:r>
              <w:rPr>
                <w:rFonts w:ascii="Times New Roman" w:cs="Times New Roman" w:eastAsia="Times New Roman" w:hAnsi="Times New Roman"/>
                <w:sz w:val="9"/>
                <w:szCs w:val="9"/>
                <w:b w:val="1"/>
                <w:bCs w:val="1"/>
                <w:color w:val="auto"/>
                <w:w w:val="98"/>
              </w:rPr>
              <w:t xml:space="preserve">Fair Value </w:t>
            </w:r>
            <w:r>
              <w:rPr>
                <w:rFonts w:ascii="Times New Roman" w:cs="Times New Roman" w:eastAsia="Times New Roman" w:hAnsi="Times New Roman"/>
                <w:sz w:val="12"/>
                <w:szCs w:val="12"/>
                <w:b w:val="1"/>
                <w:bCs w:val="1"/>
                <w:color w:val="auto"/>
                <w:w w:val="98"/>
                <w:vertAlign w:val="superscript"/>
              </w:rPr>
              <w:t>(9)</w:t>
            </w:r>
          </w:p>
        </w:tc>
        <w:tc>
          <w:tcPr>
            <w:tcW w:w="8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4"/>
              </w:rPr>
              <w:t>of Net Assets</w:t>
            </w:r>
          </w:p>
        </w:tc>
        <w:tc>
          <w:tcPr>
            <w:tcW w:w="50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0"/>
                <w:szCs w:val="10"/>
                <w:b w:val="1"/>
                <w:bCs w:val="1"/>
                <w:color w:val="auto"/>
              </w:rPr>
              <w:t>Class Held</w:t>
            </w:r>
          </w:p>
        </w:tc>
        <w:tc>
          <w:tcPr>
            <w:tcW w:w="0" w:type="dxa"/>
            <w:vAlign w:val="bottom"/>
          </w:tcPr>
          <w:p>
            <w:pPr>
              <w:spacing w:after="0"/>
              <w:rPr>
                <w:sz w:val="1"/>
                <w:szCs w:val="1"/>
                <w:color w:val="auto"/>
              </w:rPr>
            </w:pPr>
          </w:p>
        </w:tc>
      </w:tr>
      <w:tr>
        <w:trPr>
          <w:trHeight w:val="86"/>
        </w:trPr>
        <w:tc>
          <w:tcPr>
            <w:tcW w:w="1640" w:type="dxa"/>
            <w:vAlign w:val="bottom"/>
            <w:tcBorders>
              <w:top w:val="single" w:sz="8" w:color="CCEEFF"/>
            </w:tcBorders>
            <w:gridSpan w:val="2"/>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Debt Investments</w:t>
            </w:r>
          </w:p>
        </w:tc>
        <w:tc>
          <w:tcPr>
            <w:tcW w:w="100" w:type="dxa"/>
            <w:vAlign w:val="bottom"/>
            <w:tcBorders>
              <w:top w:val="single" w:sz="8" w:color="CCEEFF"/>
            </w:tcBorders>
            <w:shd w:val="clear" w:color="auto" w:fill="CCEEFF"/>
          </w:tcPr>
          <w:p>
            <w:pPr>
              <w:spacing w:after="0"/>
              <w:rPr>
                <w:sz w:val="7"/>
                <w:szCs w:val="7"/>
                <w:color w:val="auto"/>
              </w:rPr>
            </w:pPr>
          </w:p>
        </w:tc>
        <w:tc>
          <w:tcPr>
            <w:tcW w:w="15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64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Automotive</w:t>
            </w: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4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Bestpass, Inc. </w:t>
            </w:r>
            <w:r>
              <w:rPr>
                <w:rFonts w:ascii="Times New Roman" w:cs="Times New Roman" w:eastAsia="Times New Roman" w:hAnsi="Times New Roman"/>
                <w:sz w:val="8"/>
                <w:szCs w:val="8"/>
                <w:color w:val="auto"/>
              </w:rPr>
              <w:t>(3)(5)</w:t>
            </w:r>
          </w:p>
        </w:tc>
        <w:tc>
          <w:tcPr>
            <w:tcW w:w="10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500 New Karner Road</w:t>
            </w:r>
          </w:p>
        </w:tc>
        <w:tc>
          <w:tcPr>
            <w:tcW w:w="174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First-lien loan ($39,900 par, due</w:t>
            </w: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Albany, NY 12205</w:t>
            </w:r>
          </w:p>
        </w:tc>
        <w:tc>
          <w:tcPr>
            <w:tcW w:w="1740" w:type="dxa"/>
            <w:vAlign w:val="bottom"/>
            <w:gridSpan w:val="3"/>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5/26/2023</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SOFR + 5.75%</w:t>
            </w:r>
          </w:p>
        </w:tc>
        <w:tc>
          <w:tcPr>
            <w:tcW w:w="720" w:type="dxa"/>
            <w:vAlign w:val="bottom"/>
            <w:gridSpan w:val="2"/>
            <w:vMerge w:val="restart"/>
            <w:shd w:val="clear" w:color="auto" w:fill="CCEEFF"/>
          </w:tcPr>
          <w:p>
            <w:pPr>
              <w:jc w:val="center"/>
              <w:ind w:left="165"/>
              <w:spacing w:after="0"/>
              <w:rPr>
                <w:sz w:val="20"/>
                <w:szCs w:val="20"/>
                <w:color w:val="auto"/>
              </w:rPr>
            </w:pPr>
            <w:r>
              <w:rPr>
                <w:rFonts w:ascii="Times New Roman" w:cs="Times New Roman" w:eastAsia="Times New Roman" w:hAnsi="Times New Roman"/>
                <w:sz w:val="11"/>
                <w:szCs w:val="11"/>
                <w:color w:val="auto"/>
              </w:rPr>
              <w:t>11.07%</w:t>
            </w:r>
          </w:p>
        </w:tc>
        <w:tc>
          <w:tcPr>
            <w:tcW w:w="18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38,810</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39,202</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2.6%</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5/2029)</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140" w:type="dxa"/>
            <w:vAlign w:val="bottom"/>
            <w:tcBorders>
              <w:right w:val="single" w:sz="8" w:color="CCEEFF"/>
            </w:tcBorders>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4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Carlstar Group, LLC </w:t>
            </w:r>
            <w:r>
              <w:rPr>
                <w:rFonts w:ascii="Times New Roman" w:cs="Times New Roman" w:eastAsia="Times New Roman" w:hAnsi="Times New Roman"/>
                <w:sz w:val="8"/>
                <w:szCs w:val="8"/>
                <w:color w:val="auto"/>
              </w:rPr>
              <w:t>(3)</w:t>
            </w: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725 Cool Springs Boulevard</w:t>
            </w: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500</w:t>
            </w:r>
          </w:p>
        </w:tc>
        <w:tc>
          <w:tcPr>
            <w:tcW w:w="17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color w:val="auto"/>
              </w:rPr>
              <w:t>First-lien loan ($26,118 par, due</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Franklin, TN 37067</w:t>
            </w:r>
          </w:p>
        </w:tc>
        <w:tc>
          <w:tcPr>
            <w:tcW w:w="1740" w:type="dxa"/>
            <w:vAlign w:val="bottom"/>
            <w:gridSpan w:val="3"/>
            <w:vMerge w:val="continue"/>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7/8/2022</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SOFR + 6.60%</w:t>
            </w:r>
          </w:p>
        </w:tc>
        <w:tc>
          <w:tcPr>
            <w:tcW w:w="720" w:type="dxa"/>
            <w:vAlign w:val="bottom"/>
            <w:gridSpan w:val="2"/>
            <w:vMerge w:val="restart"/>
          </w:tcPr>
          <w:p>
            <w:pPr>
              <w:jc w:val="center"/>
              <w:ind w:left="165"/>
              <w:spacing w:after="0"/>
              <w:rPr>
                <w:sz w:val="20"/>
                <w:szCs w:val="20"/>
                <w:color w:val="auto"/>
              </w:rPr>
            </w:pPr>
            <w:r>
              <w:rPr>
                <w:rFonts w:ascii="Times New Roman" w:cs="Times New Roman" w:eastAsia="Times New Roman" w:hAnsi="Times New Roman"/>
                <w:sz w:val="11"/>
                <w:szCs w:val="11"/>
                <w:color w:val="auto"/>
              </w:rPr>
              <w:t>11.92%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25,508</w:t>
            </w:r>
          </w:p>
        </w:tc>
        <w:tc>
          <w:tcPr>
            <w:tcW w:w="14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26,378</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1.8%</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7/2027)</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64,318</w:t>
            </w:r>
          </w:p>
        </w:tc>
        <w:tc>
          <w:tcPr>
            <w:tcW w:w="140" w:type="dxa"/>
            <w:vAlign w:val="bottom"/>
            <w:tcBorders>
              <w:righ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15" w:lineRule="exact"/>
              <w:rPr>
                <w:sz w:val="20"/>
                <w:szCs w:val="20"/>
                <w:color w:val="auto"/>
              </w:rPr>
            </w:pPr>
            <w:r>
              <w:rPr>
                <w:rFonts w:ascii="Times New Roman" w:cs="Times New Roman" w:eastAsia="Times New Roman" w:hAnsi="Times New Roman"/>
                <w:sz w:val="11"/>
                <w:szCs w:val="11"/>
                <w:color w:val="auto"/>
              </w:rPr>
              <w:t>65,580</w:t>
            </w:r>
          </w:p>
        </w:tc>
        <w:tc>
          <w:tcPr>
            <w:tcW w:w="80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4.4%</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4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Business Services</w:t>
            </w: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4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Acceo Solutions, Inc. </w:t>
            </w:r>
            <w:r>
              <w:rPr>
                <w:rFonts w:ascii="Times New Roman" w:cs="Times New Roman" w:eastAsia="Times New Roman" w:hAnsi="Times New Roman"/>
                <w:sz w:val="8"/>
                <w:szCs w:val="8"/>
                <w:color w:val="auto"/>
              </w:rPr>
              <w:t>(3)(4)(5)</w:t>
            </w:r>
          </w:p>
        </w:tc>
        <w:tc>
          <w:tcPr>
            <w:tcW w:w="10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75, Queen Street</w:t>
            </w:r>
          </w:p>
        </w:tc>
        <w:tc>
          <w:tcPr>
            <w:tcW w:w="1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6100</w:t>
            </w:r>
          </w:p>
        </w:tc>
        <w:tc>
          <w:tcPr>
            <w:tcW w:w="174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First-lien loan (CAD 57,353 par,</w:t>
            </w: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42,633</w:t>
            </w: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640" w:type="dxa"/>
            <w:vAlign w:val="bottom"/>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1"/>
                <w:szCs w:val="11"/>
                <w:color w:val="auto"/>
              </w:rPr>
              <w:t>Montreal, Quebec H3C 2N6</w:t>
            </w:r>
          </w:p>
        </w:tc>
        <w:tc>
          <w:tcPr>
            <w:tcW w:w="1740" w:type="dxa"/>
            <w:vAlign w:val="bottom"/>
            <w:gridSpan w:val="3"/>
            <w:vMerge w:val="continue"/>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7/6/2018</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C + 4.75%</w:t>
            </w:r>
          </w:p>
        </w:tc>
        <w:tc>
          <w:tcPr>
            <w:tcW w:w="720" w:type="dxa"/>
            <w:vAlign w:val="bottom"/>
            <w:gridSpan w:val="2"/>
            <w:vMerge w:val="restart"/>
            <w:shd w:val="clear" w:color="auto" w:fill="CCEEFF"/>
          </w:tcPr>
          <w:p>
            <w:pPr>
              <w:jc w:val="center"/>
              <w:ind w:left="145"/>
              <w:spacing w:after="0"/>
              <w:rPr>
                <w:sz w:val="20"/>
                <w:szCs w:val="20"/>
                <w:color w:val="auto"/>
              </w:rPr>
            </w:pPr>
            <w:r>
              <w:rPr>
                <w:rFonts w:ascii="Times New Roman" w:cs="Times New Roman" w:eastAsia="Times New Roman" w:hAnsi="Times New Roman"/>
                <w:sz w:val="11"/>
                <w:szCs w:val="11"/>
                <w:color w:val="auto"/>
              </w:rPr>
              <w:t>10.14%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43,340</w:t>
            </w:r>
          </w:p>
        </w:tc>
        <w:tc>
          <w:tcPr>
            <w:tcW w:w="140" w:type="dxa"/>
            <w:vAlign w:val="bottom"/>
            <w:tcBorders>
              <w:right w:val="single" w:sz="8" w:color="CCEEFF"/>
            </w:tcBorders>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2.9%</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Canada</w:t>
            </w:r>
          </w:p>
        </w:tc>
        <w:tc>
          <w:tcPr>
            <w:tcW w:w="100" w:type="dxa"/>
            <w:vAlign w:val="bottom"/>
            <w:shd w:val="clear" w:color="auto" w:fill="CCEEFF"/>
          </w:tcPr>
          <w:p>
            <w:pPr>
              <w:spacing w:after="0"/>
              <w:rPr>
                <w:sz w:val="11"/>
                <w:szCs w:val="11"/>
                <w:color w:val="auto"/>
              </w:rPr>
            </w:pPr>
          </w:p>
        </w:tc>
        <w:tc>
          <w:tcPr>
            <w:tcW w:w="1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due 10/2025)</w:t>
            </w: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(CAD 57,640)</w:t>
            </w: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4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Alpha Midco, Inc. </w:t>
            </w:r>
            <w:r>
              <w:rPr>
                <w:rFonts w:ascii="Times New Roman" w:cs="Times New Roman" w:eastAsia="Times New Roman" w:hAnsi="Times New Roman"/>
                <w:sz w:val="8"/>
                <w:szCs w:val="8"/>
                <w:color w:val="auto"/>
              </w:rPr>
              <w:t>(3)(5)</w:t>
            </w:r>
            <w:r>
              <w:rPr>
                <w:rFonts w:ascii="Times New Roman" w:cs="Times New Roman" w:eastAsia="Times New Roman" w:hAnsi="Times New Roman"/>
                <w:sz w:val="11"/>
                <w:szCs w:val="11"/>
                <w:color w:val="auto"/>
              </w:rPr>
              <w:t xml:space="preserve"> 3933 Lake</w:t>
            </w: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Washington Blvd NE</w:t>
            </w: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#350</w:t>
            </w:r>
          </w:p>
        </w:tc>
        <w:tc>
          <w:tcPr>
            <w:tcW w:w="1040" w:type="dxa"/>
            <w:vAlign w:val="bottom"/>
          </w:tcPr>
          <w:p>
            <w:pPr>
              <w:spacing w:after="0"/>
              <w:rPr>
                <w:sz w:val="10"/>
                <w:szCs w:val="10"/>
                <w:color w:val="auto"/>
              </w:rPr>
            </w:pPr>
          </w:p>
        </w:tc>
        <w:tc>
          <w:tcPr>
            <w:tcW w:w="17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color w:val="auto"/>
              </w:rPr>
              <w:t>First-lien loan ($68,794 par, due</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Kirkland, WA 98033</w:t>
            </w:r>
          </w:p>
        </w:tc>
        <w:tc>
          <w:tcPr>
            <w:tcW w:w="1740" w:type="dxa"/>
            <w:vAlign w:val="bottom"/>
            <w:gridSpan w:val="3"/>
            <w:vMerge w:val="continue"/>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8/15/2019</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SOFR + 7.65%</w:t>
            </w:r>
          </w:p>
        </w:tc>
        <w:tc>
          <w:tcPr>
            <w:tcW w:w="720" w:type="dxa"/>
            <w:vAlign w:val="bottom"/>
            <w:gridSpan w:val="2"/>
            <w:vMerge w:val="restart"/>
          </w:tcPr>
          <w:p>
            <w:pPr>
              <w:jc w:val="center"/>
              <w:ind w:left="145"/>
              <w:spacing w:after="0"/>
              <w:rPr>
                <w:sz w:val="20"/>
                <w:szCs w:val="20"/>
                <w:color w:val="auto"/>
              </w:rPr>
            </w:pPr>
            <w:r>
              <w:rPr>
                <w:rFonts w:ascii="Times New Roman" w:cs="Times New Roman" w:eastAsia="Times New Roman" w:hAnsi="Times New Roman"/>
                <w:sz w:val="11"/>
                <w:szCs w:val="11"/>
                <w:color w:val="auto"/>
              </w:rPr>
              <w:t>12.99%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68,125</w:t>
            </w:r>
          </w:p>
        </w:tc>
        <w:tc>
          <w:tcPr>
            <w:tcW w:w="14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69,660</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4.7%</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8/2025)</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4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BCTO Ignition Purchaser, Inc. </w:t>
            </w:r>
            <w:r>
              <w:rPr>
                <w:rFonts w:ascii="Times New Roman" w:cs="Times New Roman" w:eastAsia="Times New Roman" w:hAnsi="Times New Roman"/>
                <w:sz w:val="8"/>
                <w:szCs w:val="8"/>
                <w:color w:val="auto"/>
              </w:rPr>
              <w:t>(3)</w:t>
            </w:r>
          </w:p>
        </w:tc>
        <w:tc>
          <w:tcPr>
            <w:tcW w:w="10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1801 West End Ave</w:t>
            </w:r>
          </w:p>
        </w:tc>
        <w:tc>
          <w:tcPr>
            <w:tcW w:w="1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300</w:t>
            </w:r>
          </w:p>
        </w:tc>
        <w:tc>
          <w:tcPr>
            <w:tcW w:w="174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First-lien holdco loan ($30,913</w:t>
            </w: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center"/>
              <w:ind w:left="145"/>
              <w:spacing w:after="0"/>
              <w:rPr>
                <w:sz w:val="20"/>
                <w:szCs w:val="20"/>
                <w:color w:val="auto"/>
              </w:rPr>
            </w:pPr>
            <w:r>
              <w:rPr>
                <w:rFonts w:ascii="Times New Roman" w:cs="Times New Roman" w:eastAsia="Times New Roman" w:hAnsi="Times New Roman"/>
                <w:sz w:val="11"/>
                <w:szCs w:val="11"/>
                <w:color w:val="auto"/>
              </w:rPr>
              <w:t>14.31%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640" w:type="dxa"/>
            <w:vAlign w:val="bottom"/>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1"/>
                <w:szCs w:val="11"/>
                <w:color w:val="auto"/>
              </w:rPr>
              <w:t>Nashville, TN 37203</w:t>
            </w:r>
          </w:p>
        </w:tc>
        <w:tc>
          <w:tcPr>
            <w:tcW w:w="1740" w:type="dxa"/>
            <w:vAlign w:val="bottom"/>
            <w:gridSpan w:val="3"/>
            <w:vMerge w:val="continue"/>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4/18/2023</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SOFR + 9.00%</w:t>
            </w:r>
          </w:p>
        </w:tc>
        <w:tc>
          <w:tcPr>
            <w:tcW w:w="7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30,045</w:t>
            </w:r>
          </w:p>
        </w:tc>
        <w:tc>
          <w:tcPr>
            <w:tcW w:w="140" w:type="dxa"/>
            <w:vAlign w:val="bottom"/>
            <w:tcBorders>
              <w:right w:val="single" w:sz="8" w:color="CCEEFF"/>
            </w:tcBorders>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30,449</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2.0%</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00" w:type="dxa"/>
            <w:vAlign w:val="bottom"/>
            <w:shd w:val="clear" w:color="auto" w:fill="CCEEFF"/>
          </w:tcPr>
          <w:p>
            <w:pPr>
              <w:spacing w:after="0"/>
              <w:rPr>
                <w:sz w:val="11"/>
                <w:szCs w:val="11"/>
                <w:color w:val="auto"/>
              </w:rPr>
            </w:pPr>
          </w:p>
        </w:tc>
        <w:tc>
          <w:tcPr>
            <w:tcW w:w="1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par, due 10/2030)</w:t>
            </w: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720" w:type="dxa"/>
            <w:vAlign w:val="bottom"/>
            <w:gridSpan w:val="2"/>
            <w:shd w:val="clear" w:color="auto" w:fill="CCEEFF"/>
          </w:tcPr>
          <w:p>
            <w:pPr>
              <w:jc w:val="center"/>
              <w:ind w:left="125"/>
              <w:spacing w:after="0"/>
              <w:rPr>
                <w:sz w:val="20"/>
                <w:szCs w:val="20"/>
                <w:color w:val="auto"/>
              </w:rPr>
            </w:pPr>
            <w:r>
              <w:rPr>
                <w:rFonts w:ascii="Times New Roman" w:cs="Times New Roman" w:eastAsia="Times New Roman" w:hAnsi="Times New Roman"/>
                <w:sz w:val="11"/>
                <w:szCs w:val="11"/>
                <w:color w:val="auto"/>
              </w:rPr>
              <w:t>PIK</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4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Dye &amp; Durham Corp. </w:t>
            </w:r>
            <w:r>
              <w:rPr>
                <w:rFonts w:ascii="Times New Roman" w:cs="Times New Roman" w:eastAsia="Times New Roman" w:hAnsi="Times New Roman"/>
                <w:sz w:val="8"/>
                <w:szCs w:val="8"/>
                <w:color w:val="auto"/>
              </w:rPr>
              <w:t>(3)(4)</w:t>
            </w: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25 York Street</w:t>
            </w: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1100</w:t>
            </w:r>
          </w:p>
        </w:tc>
        <w:tc>
          <w:tcPr>
            <w:tcW w:w="17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color w:val="auto"/>
              </w:rPr>
              <w:t>First-lien loan (CAD 36,778 par,</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27,483</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640" w:type="dxa"/>
            <w:vAlign w:val="bottom"/>
            <w:gridSpan w:val="2"/>
          </w:tcPr>
          <w:p>
            <w:pPr>
              <w:ind w:left="100"/>
              <w:spacing w:after="0" w:line="112" w:lineRule="exact"/>
              <w:rPr>
                <w:sz w:val="20"/>
                <w:szCs w:val="20"/>
                <w:color w:val="auto"/>
              </w:rPr>
            </w:pPr>
            <w:r>
              <w:rPr>
                <w:rFonts w:ascii="Times New Roman" w:cs="Times New Roman" w:eastAsia="Times New Roman" w:hAnsi="Times New Roman"/>
                <w:sz w:val="11"/>
                <w:szCs w:val="11"/>
                <w:color w:val="auto"/>
              </w:rPr>
              <w:t>Toronto, Ontario M5J 2V5</w:t>
            </w:r>
          </w:p>
        </w:tc>
        <w:tc>
          <w:tcPr>
            <w:tcW w:w="1740" w:type="dxa"/>
            <w:vAlign w:val="bottom"/>
            <w:gridSpan w:val="3"/>
            <w:vMerge w:val="continue"/>
          </w:tcPr>
          <w:p>
            <w:pPr>
              <w:spacing w:after="0"/>
              <w:rPr>
                <w:sz w:val="9"/>
                <w:szCs w:val="9"/>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12/3/2021</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C + 5.75%</w:t>
            </w:r>
          </w:p>
        </w:tc>
        <w:tc>
          <w:tcPr>
            <w:tcW w:w="720" w:type="dxa"/>
            <w:vAlign w:val="bottom"/>
            <w:gridSpan w:val="2"/>
            <w:vMerge w:val="restart"/>
          </w:tcPr>
          <w:p>
            <w:pPr>
              <w:jc w:val="center"/>
              <w:ind w:left="165"/>
              <w:spacing w:after="0"/>
              <w:rPr>
                <w:sz w:val="20"/>
                <w:szCs w:val="20"/>
                <w:color w:val="auto"/>
              </w:rPr>
            </w:pPr>
            <w:r>
              <w:rPr>
                <w:rFonts w:ascii="Times New Roman" w:cs="Times New Roman" w:eastAsia="Times New Roman" w:hAnsi="Times New Roman"/>
                <w:sz w:val="11"/>
                <w:szCs w:val="11"/>
                <w:color w:val="auto"/>
              </w:rPr>
              <w:t>11.26%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28,026</w:t>
            </w: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1.8%</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Canada</w:t>
            </w:r>
          </w:p>
        </w:tc>
        <w:tc>
          <w:tcPr>
            <w:tcW w:w="100" w:type="dxa"/>
            <w:vAlign w:val="bottom"/>
          </w:tcPr>
          <w:p>
            <w:pPr>
              <w:spacing w:after="0"/>
              <w:rPr>
                <w:sz w:val="11"/>
                <w:szCs w:val="11"/>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due 12/2027)</w:t>
            </w:r>
          </w:p>
        </w:tc>
        <w:tc>
          <w:tcPr>
            <w:tcW w:w="6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(CAD 37,157)</w:t>
            </w: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740" w:type="dxa"/>
            <w:vAlign w:val="bottom"/>
            <w:gridSpan w:val="3"/>
            <w:shd w:val="clear" w:color="auto" w:fill="CCEEFF"/>
          </w:tcPr>
          <w:p>
            <w:pPr>
              <w:ind w:left="100"/>
              <w:spacing w:after="0" w:line="105" w:lineRule="exact"/>
              <w:rPr>
                <w:sz w:val="20"/>
                <w:szCs w:val="20"/>
                <w:color w:val="auto"/>
              </w:rPr>
            </w:pPr>
            <w:r>
              <w:rPr>
                <w:rFonts w:ascii="Times New Roman" w:cs="Times New Roman" w:eastAsia="Times New Roman" w:hAnsi="Times New Roman"/>
                <w:sz w:val="11"/>
                <w:szCs w:val="11"/>
                <w:color w:val="auto"/>
              </w:rPr>
              <w:t>First-lien revolving loan (CAD</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12/3/2021</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C + 5.75%</w:t>
            </w:r>
          </w:p>
        </w:tc>
        <w:tc>
          <w:tcPr>
            <w:tcW w:w="720" w:type="dxa"/>
            <w:vAlign w:val="bottom"/>
            <w:gridSpan w:val="2"/>
            <w:vMerge w:val="restart"/>
            <w:shd w:val="clear" w:color="auto" w:fill="CCEEFF"/>
          </w:tcPr>
          <w:p>
            <w:pPr>
              <w:jc w:val="center"/>
              <w:ind w:left="165"/>
              <w:spacing w:after="0"/>
              <w:rPr>
                <w:sz w:val="20"/>
                <w:szCs w:val="20"/>
                <w:color w:val="auto"/>
              </w:rPr>
            </w:pPr>
            <w:r>
              <w:rPr>
                <w:rFonts w:ascii="Times New Roman" w:cs="Times New Roman" w:eastAsia="Times New Roman" w:hAnsi="Times New Roman"/>
                <w:sz w:val="11"/>
                <w:szCs w:val="11"/>
                <w:color w:val="auto"/>
              </w:rPr>
              <w:t>11.26%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715</w:t>
            </w:r>
          </w:p>
        </w:tc>
        <w:tc>
          <w:tcPr>
            <w:tcW w:w="1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rPr>
              <w:t>804</w:t>
            </w:r>
          </w:p>
        </w:tc>
        <w:tc>
          <w:tcPr>
            <w:tcW w:w="2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1,086 par, due 12/2026)</w:t>
            </w: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(CAD 1,086)</w:t>
            </w: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59" w:right="1440" w:bottom="1440" w:gutter="0" w:footer="0" w:header="0"/>
        </w:sectPr>
      </w:pPr>
    </w:p>
    <w:bookmarkStart w:id="86" w:name="page87"/>
    <w:bookmarkEnd w:id="86"/>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220" w:type="dxa"/>
            <w:vAlign w:val="bottom"/>
            <w:vMerge w:val="restart"/>
          </w:tcPr>
          <w:p>
            <w:pPr>
              <w:spacing w:after="0"/>
              <w:rPr>
                <w:sz w:val="9"/>
                <w:szCs w:val="9"/>
                <w:color w:val="auto"/>
              </w:rPr>
            </w:pPr>
          </w:p>
        </w:tc>
        <w:tc>
          <w:tcPr>
            <w:tcW w:w="17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64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8"/>
              </w:rPr>
              <w:t>Acquisition</w:t>
            </w:r>
          </w:p>
        </w:tc>
        <w:tc>
          <w:tcPr>
            <w:tcW w:w="82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right"/>
              <w:ind w:right="24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500" w:type="dxa"/>
            <w:vAlign w:val="bottom"/>
            <w:gridSpan w:val="2"/>
          </w:tcPr>
          <w:p>
            <w:pPr>
              <w:jc w:val="center"/>
              <w:ind w:right="20"/>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64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82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1040" w:type="dxa"/>
            <w:vAlign w:val="bottom"/>
            <w:gridSpan w:val="2"/>
          </w:tcPr>
          <w:p>
            <w:pPr>
              <w:jc w:val="right"/>
              <w:ind w:right="340"/>
              <w:spacing w:after="0" w:line="110"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540" w:type="dxa"/>
            <w:vAlign w:val="bottom"/>
            <w:gridSpan w:val="2"/>
          </w:tcPr>
          <w:p>
            <w:pPr>
              <w:jc w:val="right"/>
              <w:ind w:right="14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72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74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0"/>
                <w:szCs w:val="10"/>
                <w:b w:val="1"/>
                <w:bCs w:val="1"/>
                <w:color w:val="auto"/>
                <w:w w:val="94"/>
              </w:rPr>
              <w:t>of Net Assets</w:t>
            </w:r>
          </w:p>
        </w:tc>
        <w:tc>
          <w:tcPr>
            <w:tcW w:w="50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0"/>
                <w:szCs w:val="10"/>
                <w:b w:val="1"/>
                <w:bCs w:val="1"/>
                <w:color w:val="auto"/>
              </w:rPr>
              <w:t>Class Held</w:t>
            </w:r>
          </w:p>
        </w:tc>
        <w:tc>
          <w:tcPr>
            <w:tcW w:w="0" w:type="dxa"/>
            <w:vAlign w:val="bottom"/>
          </w:tcPr>
          <w:p>
            <w:pPr>
              <w:spacing w:after="0"/>
              <w:rPr>
                <w:sz w:val="1"/>
                <w:szCs w:val="1"/>
                <w:color w:val="auto"/>
              </w:rPr>
            </w:pPr>
          </w:p>
        </w:tc>
      </w:tr>
      <w:tr>
        <w:trPr>
          <w:trHeight w:val="68"/>
        </w:trPr>
        <w:tc>
          <w:tcPr>
            <w:tcW w:w="1820" w:type="dxa"/>
            <w:vAlign w:val="bottom"/>
            <w:tcBorders>
              <w:top w:val="single" w:sz="8" w:color="CCEEFF"/>
            </w:tcBorders>
            <w:gridSpan w:val="2"/>
            <w:shd w:val="clear" w:color="auto" w:fill="CCEEFF"/>
          </w:tcPr>
          <w:p>
            <w:pPr>
              <w:spacing w:after="0" w:line="69" w:lineRule="exact"/>
              <w:rPr>
                <w:sz w:val="20"/>
                <w:szCs w:val="20"/>
                <w:color w:val="auto"/>
              </w:rPr>
            </w:pPr>
            <w:r>
              <w:rPr>
                <w:rFonts w:ascii="Times New Roman" w:cs="Times New Roman" w:eastAsia="Times New Roman" w:hAnsi="Times New Roman"/>
                <w:sz w:val="7"/>
                <w:szCs w:val="7"/>
                <w:color w:val="auto"/>
              </w:rPr>
              <w:t xml:space="preserve">ExtraHop Networks, Inc. </w:t>
            </w:r>
            <w:r>
              <w:rPr>
                <w:rFonts w:ascii="Times New Roman" w:cs="Times New Roman" w:eastAsia="Times New Roman" w:hAnsi="Times New Roman"/>
                <w:sz w:val="5"/>
                <w:szCs w:val="5"/>
                <w:color w:val="auto"/>
              </w:rPr>
              <w:t>(3)(5)</w:t>
            </w:r>
          </w:p>
        </w:tc>
        <w:tc>
          <w:tcPr>
            <w:tcW w:w="16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8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520 Pike St</w:t>
            </w:r>
          </w:p>
        </w:tc>
        <w:tc>
          <w:tcPr>
            <w:tcW w:w="1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($64,162 par, due</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1600</w:t>
            </w:r>
          </w:p>
        </w:tc>
        <w:tc>
          <w:tcPr>
            <w:tcW w:w="1720" w:type="dxa"/>
            <w:vAlign w:val="bottom"/>
            <w:gridSpan w:val="2"/>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7/22/2021</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SOFR + 7.60%</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12.92%</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63,157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63,681</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4.3%</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Seattle, WA 98101 USA</w:t>
            </w:r>
          </w:p>
        </w:tc>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7/2027)</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2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ForeScout Technologies, Inc. </w:t>
            </w:r>
            <w:r>
              <w:rPr>
                <w:rFonts w:ascii="Times New Roman" w:cs="Times New Roman" w:eastAsia="Times New Roman" w:hAnsi="Times New Roman"/>
                <w:sz w:val="8"/>
                <w:szCs w:val="8"/>
                <w:color w:val="auto"/>
              </w:rPr>
              <w:t>(3)</w:t>
            </w:r>
            <w:r>
              <w:rPr>
                <w:rFonts w:ascii="Times New Roman" w:cs="Times New Roman" w:eastAsia="Times New Roman" w:hAnsi="Times New Roman"/>
                <w:sz w:val="11"/>
                <w:szCs w:val="11"/>
                <w:color w:val="auto"/>
              </w:rPr>
              <w:t xml:space="preserve"> 300</w:t>
            </w: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Santana Row</w:t>
            </w:r>
          </w:p>
        </w:tc>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($2,788 par, due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14.49%</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820" w:type="dxa"/>
            <w:vAlign w:val="bottom"/>
            <w:gridSpan w:val="2"/>
          </w:tcPr>
          <w:p>
            <w:pPr>
              <w:ind w:left="100"/>
              <w:spacing w:after="0" w:line="112" w:lineRule="exact"/>
              <w:rPr>
                <w:sz w:val="20"/>
                <w:szCs w:val="20"/>
                <w:color w:val="auto"/>
              </w:rPr>
            </w:pPr>
            <w:r>
              <w:rPr>
                <w:rFonts w:ascii="Times New Roman" w:cs="Times New Roman" w:eastAsia="Times New Roman" w:hAnsi="Times New Roman"/>
                <w:sz w:val="11"/>
                <w:szCs w:val="11"/>
                <w:color w:val="auto"/>
              </w:rPr>
              <w:t>Suite 400</w:t>
            </w:r>
          </w:p>
        </w:tc>
        <w:tc>
          <w:tcPr>
            <w:tcW w:w="1720" w:type="dxa"/>
            <w:vAlign w:val="bottom"/>
            <w:gridSpan w:val="2"/>
            <w:vMerge w:val="continue"/>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7/1/2022</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SOFR + 9.10%</w:t>
            </w:r>
          </w:p>
        </w:tc>
        <w:tc>
          <w:tcPr>
            <w:tcW w:w="1040" w:type="dxa"/>
            <w:vAlign w:val="bottom"/>
            <w:gridSpan w:val="2"/>
            <w:vMerge w:val="continue"/>
          </w:tcPr>
          <w:p>
            <w:pPr>
              <w:spacing w:after="0"/>
              <w:rPr>
                <w:sz w:val="9"/>
                <w:szCs w:val="9"/>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2,737</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2,803</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0.2%</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San Jose, CA 95128 USA</w:t>
            </w:r>
          </w:p>
        </w:tc>
        <w:tc>
          <w:tcPr>
            <w:tcW w:w="16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8/2026)</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(incl. 9.00% PIK)</w:t>
            </w:r>
          </w:p>
        </w:tc>
        <w:tc>
          <w:tcPr>
            <w:tcW w:w="5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72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First-lien loan ($2,566 par, due</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8/17/2020</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SOFR + 9.10%</w:t>
            </w:r>
          </w:p>
        </w:tc>
        <w:tc>
          <w:tcPr>
            <w:tcW w:w="1040" w:type="dxa"/>
            <w:vAlign w:val="bottom"/>
            <w:gridSpan w:val="2"/>
            <w:shd w:val="clear" w:color="auto" w:fill="CCEEFF"/>
          </w:tcPr>
          <w:p>
            <w:pPr>
              <w:jc w:val="right"/>
              <w:ind w:right="120"/>
              <w:spacing w:after="0" w:line="105" w:lineRule="exact"/>
              <w:rPr>
                <w:sz w:val="20"/>
                <w:szCs w:val="20"/>
                <w:color w:val="auto"/>
              </w:rPr>
            </w:pPr>
            <w:r>
              <w:rPr>
                <w:rFonts w:ascii="Times New Roman" w:cs="Times New Roman" w:eastAsia="Times New Roman" w:hAnsi="Times New Roman"/>
                <w:sz w:val="11"/>
                <w:szCs w:val="11"/>
                <w:color w:val="auto"/>
              </w:rPr>
              <w:t>14.49%</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2,554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2,572</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0.2%</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8/2026)</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(incl. 9.00% PIK)</w:t>
            </w:r>
          </w:p>
        </w:tc>
        <w:tc>
          <w:tcPr>
            <w:tcW w:w="5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2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Galileo Parent, Inc. </w:t>
            </w:r>
            <w:r>
              <w:rPr>
                <w:rFonts w:ascii="Times New Roman" w:cs="Times New Roman" w:eastAsia="Times New Roman" w:hAnsi="Times New Roman"/>
                <w:sz w:val="8"/>
                <w:szCs w:val="8"/>
                <w:color w:val="auto"/>
              </w:rPr>
              <w:t>(3)</w:t>
            </w: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Prudential Tower, 800 Boylston</w:t>
            </w:r>
          </w:p>
        </w:tc>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($64,904 par, due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Street Boston, MA 02199</w:t>
            </w:r>
          </w:p>
        </w:tc>
        <w:tc>
          <w:tcPr>
            <w:tcW w:w="1720" w:type="dxa"/>
            <w:vAlign w:val="bottom"/>
            <w:gridSpan w:val="2"/>
            <w:vMerge w:val="continue"/>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5/3/2023</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SOFR + 7.25%</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12.64%</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63,030</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63,930</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4.3%</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6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5/2030)</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7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First-lien revolving loan ($4,471</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5/3/2023</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SOFR + 7.25%</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12.64%</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4,189</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4,320</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0.3%</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par, due 5/2029)</w:t>
            </w:r>
          </w:p>
        </w:tc>
        <w:tc>
          <w:tcPr>
            <w:tcW w:w="64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2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Hornetsecurity Holding GmbH (3)(4)</w:t>
            </w: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Am Listholze 78</w:t>
            </w:r>
          </w:p>
        </w:tc>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(EUR 3,335 par, due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3,335</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820" w:type="dxa"/>
            <w:vAlign w:val="bottom"/>
            <w:gridSpan w:val="2"/>
          </w:tcPr>
          <w:p>
            <w:pPr>
              <w:ind w:left="100"/>
              <w:spacing w:after="0" w:line="112" w:lineRule="exact"/>
              <w:rPr>
                <w:sz w:val="20"/>
                <w:szCs w:val="20"/>
                <w:color w:val="auto"/>
              </w:rPr>
            </w:pPr>
            <w:r>
              <w:rPr>
                <w:rFonts w:ascii="Times New Roman" w:cs="Times New Roman" w:eastAsia="Times New Roman" w:hAnsi="Times New Roman"/>
                <w:sz w:val="11"/>
                <w:szCs w:val="11"/>
                <w:color w:val="auto"/>
              </w:rPr>
              <w:t>30177 Hanover</w:t>
            </w:r>
          </w:p>
        </w:tc>
        <w:tc>
          <w:tcPr>
            <w:tcW w:w="1720" w:type="dxa"/>
            <w:vAlign w:val="bottom"/>
            <w:gridSpan w:val="2"/>
            <w:vMerge w:val="continue"/>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11/14/2022</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E + 6.50%</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10.30%</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3,150</w:t>
            </w:r>
          </w:p>
        </w:tc>
        <w:tc>
          <w:tcPr>
            <w:tcW w:w="720" w:type="dxa"/>
            <w:vAlign w:val="bottom"/>
            <w:gridSpan w:val="2"/>
            <w:vMerge w:val="continue"/>
          </w:tcPr>
          <w:p>
            <w:pPr>
              <w:spacing w:after="0"/>
              <w:rPr>
                <w:sz w:val="9"/>
                <w:szCs w:val="9"/>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0.2%</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Germany</w:t>
            </w:r>
          </w:p>
        </w:tc>
        <w:tc>
          <w:tcPr>
            <w:tcW w:w="16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11/2029)</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(EUR 3,150)</w:t>
            </w:r>
          </w:p>
        </w:tc>
        <w:tc>
          <w:tcPr>
            <w:tcW w:w="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Information Clearinghouse, LLC and</w:t>
            </w:r>
          </w:p>
        </w:tc>
        <w:tc>
          <w:tcPr>
            <w:tcW w:w="1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 xml:space="preserve">MS Market Service, LLC </w:t>
            </w:r>
            <w:r>
              <w:rPr>
                <w:rFonts w:ascii="Times New Roman" w:cs="Times New Roman" w:eastAsia="Times New Roman" w:hAnsi="Times New Roman"/>
                <w:sz w:val="8"/>
                <w:szCs w:val="8"/>
                <w:color w:val="auto"/>
              </w:rPr>
              <w:t>(3)(5)</w:t>
            </w:r>
          </w:p>
        </w:tc>
        <w:tc>
          <w:tcPr>
            <w:tcW w:w="1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($17,685 par, due</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310 East Shore Road</w:t>
            </w:r>
          </w:p>
        </w:tc>
        <w:tc>
          <w:tcPr>
            <w:tcW w:w="1720" w:type="dxa"/>
            <w:vAlign w:val="bottom"/>
            <w:gridSpan w:val="2"/>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12/20/2021</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SOFR + 6.65%</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12.05%</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17,361</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17,596</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1.2%</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Great Neck, NY 11023 USA</w:t>
            </w:r>
          </w:p>
        </w:tc>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12/2026)</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2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Mitnick Corporate Purchaser, Inc. </w:t>
            </w:r>
            <w:r>
              <w:rPr>
                <w:rFonts w:ascii="Times New Roman" w:cs="Times New Roman" w:eastAsia="Times New Roman" w:hAnsi="Times New Roman"/>
                <w:sz w:val="8"/>
                <w:szCs w:val="8"/>
                <w:color w:val="auto"/>
              </w:rPr>
              <w:t>(3)(9)</w:t>
            </w:r>
          </w:p>
        </w:tc>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($330 par, due</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197 East University Drive</w:t>
            </w:r>
          </w:p>
        </w:tc>
        <w:tc>
          <w:tcPr>
            <w:tcW w:w="1720" w:type="dxa"/>
            <w:vAlign w:val="bottom"/>
            <w:gridSpan w:val="2"/>
            <w:vMerge w:val="continue"/>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5/2/2022</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SOFR + 4.60%</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9.97%</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Auburn, AL 36832 USA</w:t>
            </w:r>
          </w:p>
        </w:tc>
        <w:tc>
          <w:tcPr>
            <w:tcW w:w="16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5/2029)</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Netwrix Corp. </w:t>
            </w:r>
            <w:r>
              <w:rPr>
                <w:rFonts w:ascii="Times New Roman" w:cs="Times New Roman" w:eastAsia="Times New Roman" w:hAnsi="Times New Roman"/>
                <w:sz w:val="8"/>
                <w:szCs w:val="8"/>
                <w:color w:val="auto"/>
              </w:rPr>
              <w:t>(3)</w:t>
            </w:r>
          </w:p>
        </w:tc>
        <w:tc>
          <w:tcPr>
            <w:tcW w:w="1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6160 Warren Parkway</w:t>
            </w:r>
          </w:p>
        </w:tc>
        <w:tc>
          <w:tcPr>
            <w:tcW w:w="1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100</w:t>
            </w:r>
          </w:p>
        </w:tc>
        <w:tc>
          <w:tcPr>
            <w:tcW w:w="1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($36,456 par, due</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Frisco, TX 75034</w:t>
            </w:r>
          </w:p>
        </w:tc>
        <w:tc>
          <w:tcPr>
            <w:tcW w:w="1720" w:type="dxa"/>
            <w:vAlign w:val="bottom"/>
            <w:gridSpan w:val="2"/>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6/9/2022</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SOFR + 5.00%</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10.30%</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35,952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36,456</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2.5%</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6/2029)</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72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First-lien revolving loan ($718 par,</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6/9/2022</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SOFR + 5.00%</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10.24%</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682</w:t>
            </w:r>
          </w:p>
        </w:tc>
        <w:tc>
          <w:tcPr>
            <w:tcW w:w="10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718</w:t>
            </w:r>
          </w:p>
        </w:tc>
        <w:tc>
          <w:tcPr>
            <w:tcW w:w="140" w:type="dxa"/>
            <w:vAlign w:val="bottom"/>
          </w:tcPr>
          <w:p>
            <w:pPr>
              <w:spacing w:after="0"/>
              <w:rPr>
                <w:sz w:val="8"/>
                <w:szCs w:val="8"/>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due 6/2029)</w:t>
            </w:r>
          </w:p>
        </w:tc>
        <w:tc>
          <w:tcPr>
            <w:tcW w:w="6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OutSystems Luxco SARL</w:t>
            </w:r>
            <w:r>
              <w:rPr>
                <w:rFonts w:ascii="Times New Roman" w:cs="Times New Roman" w:eastAsia="Times New Roman" w:hAnsi="Times New Roman"/>
                <w:sz w:val="8"/>
                <w:szCs w:val="8"/>
                <w:color w:val="auto"/>
              </w:rPr>
              <w:t>(3)(4)(5)</w:t>
            </w:r>
          </w:p>
        </w:tc>
        <w:tc>
          <w:tcPr>
            <w:tcW w:w="1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55 Thomson Place</w:t>
            </w:r>
          </w:p>
        </w:tc>
        <w:tc>
          <w:tcPr>
            <w:tcW w:w="1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(EUR 3,180 par, due</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3,180</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820" w:type="dxa"/>
            <w:vAlign w:val="bottom"/>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1"/>
                <w:szCs w:val="11"/>
                <w:color w:val="auto"/>
              </w:rPr>
              <w:t>2nd Floor</w:t>
            </w:r>
          </w:p>
        </w:tc>
        <w:tc>
          <w:tcPr>
            <w:tcW w:w="1720" w:type="dxa"/>
            <w:vAlign w:val="bottom"/>
            <w:gridSpan w:val="2"/>
            <w:vMerge w:val="continue"/>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12/8/2022</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E + 5.75%</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9.72%</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3,083</w:t>
            </w:r>
          </w:p>
        </w:tc>
        <w:tc>
          <w:tcPr>
            <w:tcW w:w="720" w:type="dxa"/>
            <w:vAlign w:val="bottom"/>
            <w:gridSpan w:val="2"/>
            <w:vMerge w:val="continue"/>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0.2%</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Boston, MA 02210 USA</w:t>
            </w:r>
          </w:p>
        </w:tc>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12/2028)</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(EUR 3,004)</w:t>
            </w: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50" w:right="1440" w:bottom="1440" w:gutter="0" w:footer="0" w:header="0"/>
        </w:sectPr>
      </w:pPr>
    </w:p>
    <w:bookmarkStart w:id="87" w:name="page88"/>
    <w:bookmarkEnd w:id="87"/>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3"/>
              </w:rPr>
              <w:t>Reference</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06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70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8"/>
              </w:rPr>
              <w:t>Acquisition</w:t>
            </w:r>
          </w:p>
        </w:tc>
        <w:tc>
          <w:tcPr>
            <w:tcW w:w="900" w:type="dxa"/>
            <w:vAlign w:val="bottom"/>
            <w:gridSpan w:val="2"/>
          </w:tcPr>
          <w:p>
            <w:pPr>
              <w:jc w:val="center"/>
              <w:ind w:right="260"/>
              <w:spacing w:after="0" w:line="105" w:lineRule="exact"/>
              <w:rPr>
                <w:sz w:val="20"/>
                <w:szCs w:val="20"/>
                <w:color w:val="auto"/>
              </w:rPr>
            </w:pPr>
            <w:r>
              <w:rPr>
                <w:rFonts w:ascii="Times New Roman" w:cs="Times New Roman" w:eastAsia="Times New Roman" w:hAnsi="Times New Roman"/>
                <w:sz w:val="10"/>
                <w:szCs w:val="10"/>
                <w:b w:val="1"/>
                <w:bCs w:val="1"/>
                <w:color w:val="auto"/>
                <w:w w:val="93"/>
              </w:rPr>
              <w:t>Rate and</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6"/>
              </w:rPr>
              <w:t>Amortized</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tcPr>
          <w:p>
            <w:pPr>
              <w:jc w:val="right"/>
              <w:ind w:right="30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500" w:type="dxa"/>
            <w:vAlign w:val="bottom"/>
            <w:gridSpan w:val="2"/>
          </w:tcPr>
          <w:p>
            <w:pPr>
              <w:jc w:val="center"/>
              <w:ind w:right="20"/>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70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89"/>
              </w:rPr>
              <w:t>Date</w:t>
            </w:r>
          </w:p>
        </w:tc>
        <w:tc>
          <w:tcPr>
            <w:tcW w:w="90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1"/>
              </w:rPr>
              <w:t>Spread</w:t>
            </w:r>
          </w:p>
        </w:tc>
        <w:tc>
          <w:tcPr>
            <w:tcW w:w="8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3"/>
              </w:rPr>
              <w:t>Interest Rate</w:t>
            </w:r>
          </w:p>
        </w:tc>
        <w:tc>
          <w:tcPr>
            <w:tcW w:w="62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820" w:type="dxa"/>
            <w:vAlign w:val="bottom"/>
            <w:gridSpan w:val="2"/>
          </w:tcPr>
          <w:p>
            <w:pPr>
              <w:jc w:val="right"/>
              <w:ind w:right="240"/>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8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4"/>
              </w:rPr>
              <w:t>of Net Assets</w:t>
            </w:r>
          </w:p>
        </w:tc>
        <w:tc>
          <w:tcPr>
            <w:tcW w:w="50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0"/>
                <w:szCs w:val="10"/>
                <w:b w:val="1"/>
                <w:bCs w:val="1"/>
                <w:color w:val="auto"/>
              </w:rPr>
              <w:t>Class Held</w:t>
            </w:r>
          </w:p>
        </w:tc>
        <w:tc>
          <w:tcPr>
            <w:tcW w:w="0" w:type="dxa"/>
            <w:vAlign w:val="bottom"/>
          </w:tcPr>
          <w:p>
            <w:pPr>
              <w:spacing w:after="0"/>
              <w:rPr>
                <w:sz w:val="1"/>
                <w:szCs w:val="1"/>
                <w:color w:val="auto"/>
              </w:rPr>
            </w:pPr>
          </w:p>
        </w:tc>
      </w:tr>
      <w:tr>
        <w:trPr>
          <w:trHeight w:val="68"/>
        </w:trPr>
        <w:tc>
          <w:tcPr>
            <w:tcW w:w="1660" w:type="dxa"/>
            <w:vAlign w:val="bottom"/>
            <w:tcBorders>
              <w:top w:val="single" w:sz="8" w:color="CCEEFF"/>
            </w:tcBorders>
            <w:gridSpan w:val="2"/>
            <w:shd w:val="clear" w:color="auto" w:fill="CCEEFF"/>
          </w:tcPr>
          <w:p>
            <w:pPr>
              <w:spacing w:after="0" w:line="69" w:lineRule="exact"/>
              <w:rPr>
                <w:sz w:val="20"/>
                <w:szCs w:val="20"/>
                <w:color w:val="auto"/>
              </w:rPr>
            </w:pPr>
            <w:r>
              <w:rPr>
                <w:rFonts w:ascii="Times New Roman" w:cs="Times New Roman" w:eastAsia="Times New Roman" w:hAnsi="Times New Roman"/>
                <w:sz w:val="7"/>
                <w:szCs w:val="7"/>
                <w:color w:val="auto"/>
              </w:rPr>
              <w:t xml:space="preserve">ReliaQuest Holdings, LLC </w:t>
            </w:r>
            <w:r>
              <w:rPr>
                <w:rFonts w:ascii="Times New Roman" w:cs="Times New Roman" w:eastAsia="Times New Roman" w:hAnsi="Times New Roman"/>
                <w:sz w:val="5"/>
                <w:szCs w:val="5"/>
                <w:color w:val="auto"/>
              </w:rPr>
              <w:t>(3)(5)</w:t>
            </w:r>
          </w:p>
        </w:tc>
        <w:tc>
          <w:tcPr>
            <w:tcW w:w="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6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777 South Harbour Island</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Boulevard</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500</w:t>
            </w:r>
          </w:p>
        </w:tc>
        <w:tc>
          <w:tcPr>
            <w:tcW w:w="174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First-lien loan ($76,220 par, due</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Tampa, FL 33602</w:t>
            </w:r>
          </w:p>
        </w:tc>
        <w:tc>
          <w:tcPr>
            <w:tcW w:w="1740" w:type="dxa"/>
            <w:vAlign w:val="bottom"/>
            <w:gridSpan w:val="3"/>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10/8/2020</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SOFR + 7.25%</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12.62%</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75,271</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77,172</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5.2%</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10/2026)</w:t>
            </w: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Wrangler TopCo, LLC </w:t>
            </w:r>
            <w:r>
              <w:rPr>
                <w:rFonts w:ascii="Times New Roman" w:cs="Times New Roman" w:eastAsia="Times New Roman" w:hAnsi="Times New Roman"/>
                <w:sz w:val="8"/>
                <w:szCs w:val="8"/>
                <w:color w:val="auto"/>
              </w:rPr>
              <w:t>(3)</w:t>
            </w:r>
          </w:p>
        </w:tc>
        <w:tc>
          <w:tcPr>
            <w:tcW w:w="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555 California Street</w:t>
            </w: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2900</w:t>
            </w: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color w:val="auto"/>
              </w:rPr>
              <w:t>First-lien loan ($4,153 par, due</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San Francisco, CA 94104</w:t>
            </w:r>
          </w:p>
        </w:tc>
        <w:tc>
          <w:tcPr>
            <w:tcW w:w="1740" w:type="dxa"/>
            <w:vAlign w:val="bottom"/>
            <w:gridSpan w:val="3"/>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7/7/2023</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SOFR + 7.50%</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12.88%</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4,041</w:t>
            </w:r>
          </w:p>
        </w:tc>
        <w:tc>
          <w:tcPr>
            <w:tcW w:w="160" w:type="dxa"/>
            <w:vAlign w:val="bottom"/>
            <w:vMerge w:val="restart"/>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4,095</w:t>
            </w:r>
          </w:p>
        </w:tc>
        <w:tc>
          <w:tcPr>
            <w:tcW w:w="200" w:type="dxa"/>
            <w:vAlign w:val="bottom"/>
            <w:vMerge w:val="restart"/>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0.3%</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7/2029)</w:t>
            </w: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445,788</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451,204</w:t>
            </w: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30.4%</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Chemicals</w:t>
            </w: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Erling Lux Bidco SARL</w:t>
            </w:r>
            <w:r>
              <w:rPr>
                <w:rFonts w:ascii="Times New Roman" w:cs="Times New Roman" w:eastAsia="Times New Roman" w:hAnsi="Times New Roman"/>
                <w:sz w:val="8"/>
                <w:szCs w:val="8"/>
                <w:color w:val="auto"/>
              </w:rPr>
              <w:t>(3)(4)</w:t>
            </w:r>
          </w:p>
        </w:tc>
        <w:tc>
          <w:tcPr>
            <w:tcW w:w="8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1-3 Boulevard De La Foire</w:t>
            </w:r>
          </w:p>
        </w:tc>
        <w:tc>
          <w:tcPr>
            <w:tcW w:w="174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First-lien loan (EUR 9,625 par,</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10,257</w:t>
            </w: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660" w:type="dxa"/>
            <w:vAlign w:val="bottom"/>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1"/>
                <w:szCs w:val="11"/>
                <w:color w:val="auto"/>
              </w:rPr>
              <w:t>1528 Luxembourg</w:t>
            </w:r>
          </w:p>
        </w:tc>
        <w:tc>
          <w:tcPr>
            <w:tcW w:w="1740" w:type="dxa"/>
            <w:vAlign w:val="bottom"/>
            <w:gridSpan w:val="3"/>
            <w:vMerge w:val="continue"/>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9/6/2022</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E + 6.75%</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10.61%</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9,514</w:t>
            </w:r>
          </w:p>
        </w:tc>
        <w:tc>
          <w:tcPr>
            <w:tcW w:w="820" w:type="dxa"/>
            <w:vAlign w:val="bottom"/>
            <w:gridSpan w:val="2"/>
            <w:vMerge w:val="continue"/>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0.7%</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Luxembourg</w:t>
            </w:r>
          </w:p>
        </w:tc>
        <w:tc>
          <w:tcPr>
            <w:tcW w:w="8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due 9/2028)</w:t>
            </w: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(EUR 9,688)</w:t>
            </w: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740" w:type="dxa"/>
            <w:vAlign w:val="bottom"/>
            <w:gridSpan w:val="3"/>
          </w:tcPr>
          <w:p>
            <w:pPr>
              <w:ind w:left="80"/>
              <w:spacing w:after="0" w:line="105" w:lineRule="exact"/>
              <w:rPr>
                <w:sz w:val="20"/>
                <w:szCs w:val="20"/>
                <w:color w:val="auto"/>
              </w:rPr>
            </w:pPr>
            <w:r>
              <w:rPr>
                <w:rFonts w:ascii="Times New Roman" w:cs="Times New Roman" w:eastAsia="Times New Roman" w:hAnsi="Times New Roman"/>
                <w:sz w:val="11"/>
                <w:szCs w:val="11"/>
                <w:color w:val="auto"/>
              </w:rPr>
              <w:t>First-lien loan (GBP 10,217 par,</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9/6/2022</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S + 6.75%</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11.94%</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11,276</w:t>
            </w:r>
          </w:p>
        </w:tc>
        <w:tc>
          <w:tcPr>
            <w:tcW w:w="160" w:type="dxa"/>
            <w:vAlign w:val="bottom"/>
          </w:tcPr>
          <w:p>
            <w:pPr>
              <w:spacing w:after="0"/>
              <w:rPr>
                <w:sz w:val="9"/>
                <w:szCs w:val="9"/>
                <w:color w:val="auto"/>
              </w:rPr>
            </w:pPr>
          </w:p>
        </w:tc>
        <w:tc>
          <w:tcPr>
            <w:tcW w:w="820" w:type="dxa"/>
            <w:vAlign w:val="bottom"/>
            <w:gridSpan w:val="2"/>
          </w:tcPr>
          <w:p>
            <w:pPr>
              <w:jc w:val="right"/>
              <w:ind w:right="200"/>
              <w:spacing w:after="0" w:line="105" w:lineRule="exact"/>
              <w:rPr>
                <w:sz w:val="20"/>
                <w:szCs w:val="20"/>
                <w:color w:val="auto"/>
              </w:rPr>
            </w:pPr>
            <w:r>
              <w:rPr>
                <w:rFonts w:ascii="Times New Roman" w:cs="Times New Roman" w:eastAsia="Times New Roman" w:hAnsi="Times New Roman"/>
                <w:sz w:val="11"/>
                <w:szCs w:val="11"/>
                <w:color w:val="auto"/>
              </w:rPr>
              <w:t>12,533</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0.8%</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due 9/2028)</w:t>
            </w: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(GBP 10,269)</w:t>
            </w: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740" w:type="dxa"/>
            <w:vAlign w:val="bottom"/>
            <w:gridSpan w:val="3"/>
            <w:shd w:val="clear" w:color="auto" w:fill="CCEEFF"/>
          </w:tcPr>
          <w:p>
            <w:pPr>
              <w:ind w:left="80"/>
              <w:spacing w:after="0" w:line="105" w:lineRule="exact"/>
              <w:rPr>
                <w:sz w:val="20"/>
                <w:szCs w:val="20"/>
                <w:color w:val="auto"/>
              </w:rPr>
            </w:pPr>
            <w:r>
              <w:rPr>
                <w:rFonts w:ascii="Times New Roman" w:cs="Times New Roman" w:eastAsia="Times New Roman" w:hAnsi="Times New Roman"/>
                <w:sz w:val="11"/>
                <w:szCs w:val="11"/>
                <w:color w:val="auto"/>
              </w:rPr>
              <w:t>First-lien revolving loan (GBP</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9/6/2022</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S + 6.75%</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11.94%</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rPr>
              <w:t>382</w:t>
            </w:r>
          </w:p>
        </w:tc>
        <w:tc>
          <w:tcPr>
            <w:tcW w:w="2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312 par, due 9/2028)</w:t>
            </w: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(GBP 313)</w:t>
            </w: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21,190</w:t>
            </w:r>
          </w:p>
        </w:tc>
        <w:tc>
          <w:tcPr>
            <w:tcW w:w="160" w:type="dxa"/>
            <w:vAlign w:val="bottom"/>
            <w:vMerge w:val="continue"/>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23,172</w:t>
            </w:r>
          </w:p>
        </w:tc>
        <w:tc>
          <w:tcPr>
            <w:tcW w:w="200" w:type="dxa"/>
            <w:vAlign w:val="bottom"/>
            <w:vMerge w:val="continue"/>
          </w:tcPr>
          <w:p>
            <w:pPr>
              <w:spacing w:after="0"/>
              <w:rPr>
                <w:sz w:val="10"/>
                <w:szCs w:val="10"/>
                <w:color w:val="auto"/>
              </w:rPr>
            </w:pPr>
          </w:p>
        </w:tc>
        <w:tc>
          <w:tcPr>
            <w:tcW w:w="80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1.5%</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Communications</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6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color w:val="auto"/>
              </w:rPr>
              <w:t xml:space="preserve">Banyan Software Holdings, LLC </w:t>
            </w:r>
            <w:r>
              <w:rPr>
                <w:rFonts w:ascii="Times New Roman" w:cs="Times New Roman" w:eastAsia="Times New Roman" w:hAnsi="Times New Roman"/>
                <w:sz w:val="8"/>
                <w:szCs w:val="8"/>
                <w:color w:val="auto"/>
              </w:rPr>
              <w:t>(3)</w:t>
            </w:r>
          </w:p>
        </w:tc>
        <w:tc>
          <w:tcPr>
            <w:tcW w:w="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tcPr>
          <w:p>
            <w:pPr>
              <w:ind w:left="100"/>
              <w:spacing w:after="0" w:line="87" w:lineRule="exact"/>
              <w:rPr>
                <w:sz w:val="20"/>
                <w:szCs w:val="20"/>
                <w:color w:val="auto"/>
              </w:rPr>
            </w:pPr>
            <w:r>
              <w:rPr>
                <w:rFonts w:ascii="Times New Roman" w:cs="Times New Roman" w:eastAsia="Times New Roman" w:hAnsi="Times New Roman"/>
                <w:sz w:val="8"/>
                <w:szCs w:val="8"/>
                <w:color w:val="auto"/>
              </w:rPr>
              <w:t>(4)</w:t>
            </w: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6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303 Perimeter Center North</w:t>
            </w: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450</w:t>
            </w: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color w:val="auto"/>
              </w:rPr>
              <w:t>First-lien loan ($19,850 par, due</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Atlanta, GA 30346</w:t>
            </w:r>
          </w:p>
        </w:tc>
        <w:tc>
          <w:tcPr>
            <w:tcW w:w="1740" w:type="dxa"/>
            <w:vAlign w:val="bottom"/>
            <w:gridSpan w:val="3"/>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1/27/2023</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SOFR + 7.35%</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12.67%</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18,803</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19,651</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10/2026)</w:t>
            </w: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Celtra Technologies, Inc. </w:t>
            </w:r>
            <w:r>
              <w:rPr>
                <w:rFonts w:ascii="Times New Roman" w:cs="Times New Roman" w:eastAsia="Times New Roman" w:hAnsi="Times New Roman"/>
                <w:sz w:val="8"/>
                <w:szCs w:val="8"/>
                <w:color w:val="auto"/>
              </w:rPr>
              <w:t>(3)(5)</w:t>
            </w:r>
          </w:p>
        </w:tc>
        <w:tc>
          <w:tcPr>
            <w:tcW w:w="8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545 Boylston Street</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11th Floor</w:t>
            </w:r>
          </w:p>
        </w:tc>
        <w:tc>
          <w:tcPr>
            <w:tcW w:w="174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First-lien loan ($34,256 par, due</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Boston, MA 02116</w:t>
            </w:r>
          </w:p>
        </w:tc>
        <w:tc>
          <w:tcPr>
            <w:tcW w:w="1740" w:type="dxa"/>
            <w:vAlign w:val="bottom"/>
            <w:gridSpan w:val="3"/>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11/19/2021</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SOFR + 7.10%</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12.42%</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33,521</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33,742</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2.3%</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11/2026)</w:t>
            </w: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IntelePeer Holdings, Inc.</w:t>
            </w:r>
          </w:p>
        </w:tc>
        <w:tc>
          <w:tcPr>
            <w:tcW w:w="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155 Bovet Rd.</w:t>
            </w: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405</w:t>
            </w: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color w:val="auto"/>
              </w:rPr>
              <w:t>First-lien loan ($33,925 par, due</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San Mateo, CA 94402</w:t>
            </w:r>
          </w:p>
        </w:tc>
        <w:tc>
          <w:tcPr>
            <w:tcW w:w="1740" w:type="dxa"/>
            <w:vAlign w:val="bottom"/>
            <w:gridSpan w:val="3"/>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12/2/2019</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SOFR + 8.40%</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13.79%</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33,899</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33,586</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2.3%</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 xml:space="preserve">12/2024) </w:t>
            </w:r>
            <w:r>
              <w:rPr>
                <w:rFonts w:ascii="Times New Roman" w:cs="Times New Roman" w:eastAsia="Times New Roman" w:hAnsi="Times New Roman"/>
                <w:sz w:val="8"/>
                <w:szCs w:val="8"/>
                <w:color w:val="auto"/>
              </w:rPr>
              <w:t>(3)</w:t>
            </w: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740" w:type="dxa"/>
            <w:vAlign w:val="bottom"/>
            <w:gridSpan w:val="3"/>
            <w:shd w:val="clear" w:color="auto" w:fill="CCEEFF"/>
          </w:tcPr>
          <w:p>
            <w:pPr>
              <w:ind w:left="80"/>
              <w:spacing w:after="0" w:line="105" w:lineRule="exact"/>
              <w:rPr>
                <w:sz w:val="20"/>
                <w:szCs w:val="20"/>
                <w:color w:val="auto"/>
              </w:rPr>
            </w:pPr>
            <w:r>
              <w:rPr>
                <w:rFonts w:ascii="Times New Roman" w:cs="Times New Roman" w:eastAsia="Times New Roman" w:hAnsi="Times New Roman"/>
                <w:sz w:val="11"/>
                <w:szCs w:val="11"/>
                <w:color w:val="auto"/>
              </w:rPr>
              <w:t>Convertible note ($4,619 par, due</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5/12/2021</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800" w:type="dxa"/>
            <w:vAlign w:val="bottom"/>
            <w:gridSpan w:val="2"/>
            <w:shd w:val="clear" w:color="auto" w:fill="CCEEFF"/>
          </w:tcPr>
          <w:p>
            <w:pPr>
              <w:jc w:val="right"/>
              <w:ind w:right="160"/>
              <w:spacing w:after="0" w:line="105" w:lineRule="exact"/>
              <w:rPr>
                <w:sz w:val="20"/>
                <w:szCs w:val="20"/>
                <w:color w:val="auto"/>
              </w:rPr>
            </w:pPr>
            <w:r>
              <w:rPr>
                <w:rFonts w:ascii="Times New Roman" w:cs="Times New Roman" w:eastAsia="Times New Roman" w:hAnsi="Times New Roman"/>
                <w:sz w:val="11"/>
                <w:szCs w:val="11"/>
                <w:color w:val="auto"/>
              </w:rPr>
              <w:t>7.00%</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4,590</w:t>
            </w:r>
          </w:p>
        </w:tc>
        <w:tc>
          <w:tcPr>
            <w:tcW w:w="160" w:type="dxa"/>
            <w:vAlign w:val="bottom"/>
            <w:vMerge w:val="restart"/>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4,803</w:t>
            </w:r>
          </w:p>
        </w:tc>
        <w:tc>
          <w:tcPr>
            <w:tcW w:w="200" w:type="dxa"/>
            <w:vAlign w:val="bottom"/>
            <w:vMerge w:val="restart"/>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0.3%</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5/2028)</w:t>
            </w: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PIK</w:t>
            </w:r>
          </w:p>
        </w:tc>
        <w:tc>
          <w:tcPr>
            <w:tcW w:w="46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90,813</w:t>
            </w:r>
          </w:p>
        </w:tc>
        <w:tc>
          <w:tcPr>
            <w:tcW w:w="160" w:type="dxa"/>
            <w:vAlign w:val="bottom"/>
            <w:vMerge w:val="continue"/>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91,782</w:t>
            </w:r>
          </w:p>
        </w:tc>
        <w:tc>
          <w:tcPr>
            <w:tcW w:w="200" w:type="dxa"/>
            <w:vAlign w:val="bottom"/>
            <w:vMerge w:val="continue"/>
          </w:tcPr>
          <w:p>
            <w:pPr>
              <w:spacing w:after="0"/>
              <w:rPr>
                <w:sz w:val="10"/>
                <w:szCs w:val="10"/>
                <w:color w:val="auto"/>
              </w:rPr>
            </w:pPr>
          </w:p>
        </w:tc>
        <w:tc>
          <w:tcPr>
            <w:tcW w:w="80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6.2%</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Education</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Astra Acquisition Corp. </w:t>
            </w:r>
            <w:r>
              <w:rPr>
                <w:rFonts w:ascii="Times New Roman" w:cs="Times New Roman" w:eastAsia="Times New Roman" w:hAnsi="Times New Roman"/>
                <w:sz w:val="8"/>
                <w:szCs w:val="8"/>
                <w:color w:val="auto"/>
              </w:rPr>
              <w:t>(3)</w:t>
            </w: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color w:val="auto"/>
              </w:rPr>
              <w:t>Second-lien loan ($43,479 par,</w:t>
            </w: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5201 Congress Ave.</w:t>
            </w:r>
          </w:p>
        </w:tc>
        <w:tc>
          <w:tcPr>
            <w:tcW w:w="1740" w:type="dxa"/>
            <w:vAlign w:val="bottom"/>
            <w:gridSpan w:val="3"/>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10/25/2021</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SOFR + 8.99%</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14.53%</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42,796</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34,566</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2.3%</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Boca Raton, FL 33487</w:t>
            </w:r>
          </w:p>
        </w:tc>
        <w:tc>
          <w:tcPr>
            <w:tcW w:w="80" w:type="dxa"/>
            <w:vAlign w:val="bottom"/>
          </w:tcPr>
          <w:p>
            <w:pPr>
              <w:spacing w:after="0"/>
              <w:rPr>
                <w:sz w:val="11"/>
                <w:szCs w:val="11"/>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due 10/2029)</w:t>
            </w: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Destiny Solutions Parent Holding</w:t>
            </w:r>
          </w:p>
        </w:tc>
        <w:tc>
          <w:tcPr>
            <w:tcW w:w="8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 xml:space="preserve">Company </w:t>
            </w:r>
            <w:r>
              <w:rPr>
                <w:rFonts w:ascii="Times New Roman" w:cs="Times New Roman" w:eastAsia="Times New Roman" w:hAnsi="Times New Roman"/>
                <w:sz w:val="8"/>
                <w:szCs w:val="8"/>
                <w:color w:val="auto"/>
              </w:rPr>
              <w:t>(3)(5)</w:t>
            </w:r>
          </w:p>
        </w:tc>
        <w:tc>
          <w:tcPr>
            <w:tcW w:w="174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First-lien loan ($59,700 par, due</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1320 Flynn Road, Suite 100</w:t>
            </w:r>
          </w:p>
        </w:tc>
        <w:tc>
          <w:tcPr>
            <w:tcW w:w="1740" w:type="dxa"/>
            <w:vAlign w:val="bottom"/>
            <w:gridSpan w:val="3"/>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6/8/2021</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SOFR + 5.85%</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11.17%</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58,941</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59,103</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4.0%</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Camarillo, CA 93012</w:t>
            </w:r>
          </w:p>
        </w:tc>
        <w:tc>
          <w:tcPr>
            <w:tcW w:w="1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6/2026)</w:t>
            </w: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50" w:right="1440" w:bottom="1440" w:gutter="0" w:footer="0" w:header="0"/>
        </w:sectPr>
      </w:pPr>
    </w:p>
    <w:bookmarkStart w:id="88" w:name="page89"/>
    <w:bookmarkEnd w:id="88"/>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3"/>
              </w:rPr>
              <w:t>Reference</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220" w:type="dxa"/>
            <w:vAlign w:val="bottom"/>
            <w:vMerge w:val="restart"/>
          </w:tcPr>
          <w:p>
            <w:pPr>
              <w:spacing w:after="0"/>
              <w:rPr>
                <w:sz w:val="9"/>
                <w:szCs w:val="9"/>
                <w:color w:val="auto"/>
              </w:rPr>
            </w:pPr>
          </w:p>
        </w:tc>
        <w:tc>
          <w:tcPr>
            <w:tcW w:w="16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64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3"/>
              </w:rPr>
              <w:t>Acquisition</w:t>
            </w:r>
          </w:p>
        </w:tc>
        <w:tc>
          <w:tcPr>
            <w:tcW w:w="8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auto"/>
                <w:w w:val="93"/>
              </w:rPr>
              <w:t>Rate and</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6"/>
              </w:rPr>
              <w:t>Amortized</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24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500" w:type="dxa"/>
            <w:vAlign w:val="bottom"/>
            <w:gridSpan w:val="2"/>
          </w:tcPr>
          <w:p>
            <w:pPr>
              <w:jc w:val="center"/>
              <w:ind w:right="20"/>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64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0"/>
                <w:szCs w:val="10"/>
                <w:b w:val="1"/>
                <w:bCs w:val="1"/>
                <w:color w:val="auto"/>
                <w:w w:val="89"/>
              </w:rPr>
              <w:t>Date</w:t>
            </w:r>
          </w:p>
        </w:tc>
        <w:tc>
          <w:tcPr>
            <w:tcW w:w="84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0"/>
                <w:szCs w:val="10"/>
                <w:b w:val="1"/>
                <w:bCs w:val="1"/>
                <w:color w:val="auto"/>
                <w:w w:val="91"/>
              </w:rPr>
              <w:t>Spread</w:t>
            </w:r>
          </w:p>
        </w:tc>
        <w:tc>
          <w:tcPr>
            <w:tcW w:w="1020" w:type="dxa"/>
            <w:vAlign w:val="bottom"/>
            <w:gridSpan w:val="2"/>
          </w:tcPr>
          <w:p>
            <w:pPr>
              <w:ind w:left="140"/>
              <w:spacing w:after="0" w:line="110"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58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78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74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0"/>
                <w:szCs w:val="10"/>
                <w:b w:val="1"/>
                <w:bCs w:val="1"/>
                <w:color w:val="auto"/>
                <w:w w:val="94"/>
              </w:rPr>
              <w:t>of Net Assets</w:t>
            </w:r>
          </w:p>
        </w:tc>
        <w:tc>
          <w:tcPr>
            <w:tcW w:w="50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0"/>
                <w:szCs w:val="10"/>
                <w:b w:val="1"/>
                <w:bCs w:val="1"/>
                <w:color w:val="auto"/>
              </w:rPr>
              <w:t>Class Held</w:t>
            </w:r>
          </w:p>
        </w:tc>
        <w:tc>
          <w:tcPr>
            <w:tcW w:w="0" w:type="dxa"/>
            <w:vAlign w:val="bottom"/>
          </w:tcPr>
          <w:p>
            <w:pPr>
              <w:spacing w:after="0"/>
              <w:rPr>
                <w:sz w:val="1"/>
                <w:szCs w:val="1"/>
                <w:color w:val="auto"/>
              </w:rPr>
            </w:pPr>
          </w:p>
        </w:tc>
      </w:tr>
      <w:tr>
        <w:trPr>
          <w:trHeight w:val="68"/>
        </w:trPr>
        <w:tc>
          <w:tcPr>
            <w:tcW w:w="1820" w:type="dxa"/>
            <w:vAlign w:val="bottom"/>
            <w:tcBorders>
              <w:top w:val="single" w:sz="8" w:color="CCEEFF"/>
            </w:tcBorders>
            <w:gridSpan w:val="2"/>
            <w:shd w:val="clear" w:color="auto" w:fill="CCEEFF"/>
          </w:tcPr>
          <w:p>
            <w:pPr>
              <w:spacing w:after="0" w:line="69" w:lineRule="exact"/>
              <w:rPr>
                <w:sz w:val="20"/>
                <w:szCs w:val="20"/>
                <w:color w:val="auto"/>
              </w:rPr>
            </w:pPr>
            <w:r>
              <w:rPr>
                <w:rFonts w:ascii="Times New Roman" w:cs="Times New Roman" w:eastAsia="Times New Roman" w:hAnsi="Times New Roman"/>
                <w:sz w:val="7"/>
                <w:szCs w:val="7"/>
                <w:color w:val="auto"/>
              </w:rPr>
              <w:t xml:space="preserve">EMS Linq, Inc. </w:t>
            </w:r>
            <w:r>
              <w:rPr>
                <w:rFonts w:ascii="Times New Roman" w:cs="Times New Roman" w:eastAsia="Times New Roman" w:hAnsi="Times New Roman"/>
                <w:sz w:val="5"/>
                <w:szCs w:val="5"/>
                <w:color w:val="auto"/>
              </w:rPr>
              <w:t>(3)</w:t>
            </w:r>
          </w:p>
        </w:tc>
        <w:tc>
          <w:tcPr>
            <w:tcW w:w="15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8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2528 INDEPENDENCE BLVD</w:t>
            </w:r>
          </w:p>
        </w:tc>
        <w:tc>
          <w:tcPr>
            <w:tcW w:w="1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($56,216 par, due</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STE 200</w:t>
            </w:r>
          </w:p>
        </w:tc>
        <w:tc>
          <w:tcPr>
            <w:tcW w:w="1620" w:type="dxa"/>
            <w:vAlign w:val="bottom"/>
            <w:gridSpan w:val="2"/>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12/22/2021</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+ 6.35%</w:t>
            </w:r>
          </w:p>
        </w:tc>
        <w:tc>
          <w:tcPr>
            <w:tcW w:w="1020" w:type="dxa"/>
            <w:vAlign w:val="bottom"/>
            <w:gridSpan w:val="2"/>
            <w:vMerge w:val="restart"/>
            <w:shd w:val="clear" w:color="auto" w:fill="CCEEFF"/>
          </w:tcPr>
          <w:p>
            <w:pPr>
              <w:jc w:val="center"/>
              <w:ind w:left="425"/>
              <w:spacing w:after="0"/>
              <w:rPr>
                <w:sz w:val="20"/>
                <w:szCs w:val="20"/>
                <w:color w:val="auto"/>
              </w:rPr>
            </w:pPr>
            <w:r>
              <w:rPr>
                <w:rFonts w:ascii="Times New Roman" w:cs="Times New Roman" w:eastAsia="Times New Roman" w:hAnsi="Times New Roman"/>
                <w:sz w:val="11"/>
                <w:szCs w:val="11"/>
                <w:color w:val="auto"/>
              </w:rPr>
              <w:t>11.67%</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55,240</w:t>
            </w:r>
          </w:p>
        </w:tc>
        <w:tc>
          <w:tcPr>
            <w:tcW w:w="120" w:type="dxa"/>
            <w:vAlign w:val="bottom"/>
            <w:vMerge w:val="restart"/>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54,916</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3.7%</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WILMINGTON NC 28412-2591</w:t>
            </w:r>
          </w:p>
        </w:tc>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12/2027)</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156,977</w:t>
            </w:r>
          </w:p>
        </w:tc>
        <w:tc>
          <w:tcPr>
            <w:tcW w:w="120" w:type="dxa"/>
            <w:vAlign w:val="bottom"/>
            <w:vMerge w:val="continue"/>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148,585</w:t>
            </w:r>
          </w:p>
        </w:tc>
        <w:tc>
          <w:tcPr>
            <w:tcW w:w="160" w:type="dxa"/>
            <w:vAlign w:val="bottom"/>
            <w:vMerge w:val="continue"/>
          </w:tcPr>
          <w:p>
            <w:pPr>
              <w:spacing w:after="0"/>
              <w:rPr>
                <w:sz w:val="10"/>
                <w:szCs w:val="10"/>
                <w:color w:val="auto"/>
              </w:rPr>
            </w:pPr>
          </w:p>
        </w:tc>
        <w:tc>
          <w:tcPr>
            <w:tcW w:w="7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10.0%</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Financial Services</w:t>
            </w:r>
          </w:p>
        </w:tc>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2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Alaska Bidco Oy </w:t>
            </w:r>
            <w:r>
              <w:rPr>
                <w:rFonts w:ascii="Times New Roman" w:cs="Times New Roman" w:eastAsia="Times New Roman" w:hAnsi="Times New Roman"/>
                <w:sz w:val="8"/>
                <w:szCs w:val="8"/>
                <w:color w:val="auto"/>
              </w:rPr>
              <w:t>(3)(4)</w:t>
            </w: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(EUR 727 par, due</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763</w:t>
            </w: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820" w:type="dxa"/>
            <w:vAlign w:val="bottom"/>
            <w:gridSpan w:val="2"/>
          </w:tcPr>
          <w:p>
            <w:pPr>
              <w:ind w:left="100"/>
              <w:spacing w:after="0" w:line="112" w:lineRule="exact"/>
              <w:rPr>
                <w:sz w:val="20"/>
                <w:szCs w:val="20"/>
                <w:color w:val="auto"/>
              </w:rPr>
            </w:pPr>
            <w:r>
              <w:rPr>
                <w:rFonts w:ascii="Times New Roman" w:cs="Times New Roman" w:eastAsia="Times New Roman" w:hAnsi="Times New Roman"/>
                <w:sz w:val="11"/>
                <w:szCs w:val="11"/>
                <w:color w:val="auto"/>
              </w:rPr>
              <w:t>Linnoitustie 6</w:t>
            </w:r>
          </w:p>
        </w:tc>
        <w:tc>
          <w:tcPr>
            <w:tcW w:w="1620" w:type="dxa"/>
            <w:vAlign w:val="bottom"/>
            <w:gridSpan w:val="2"/>
            <w:vMerge w:val="continue"/>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5/30/2023</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E + 6.25%</w:t>
            </w:r>
          </w:p>
        </w:tc>
        <w:tc>
          <w:tcPr>
            <w:tcW w:w="1020" w:type="dxa"/>
            <w:vAlign w:val="bottom"/>
            <w:gridSpan w:val="2"/>
            <w:vMerge w:val="restart"/>
          </w:tcPr>
          <w:p>
            <w:pPr>
              <w:jc w:val="center"/>
              <w:ind w:left="405"/>
              <w:spacing w:after="0"/>
              <w:rPr>
                <w:sz w:val="20"/>
                <w:szCs w:val="20"/>
                <w:color w:val="auto"/>
              </w:rPr>
            </w:pPr>
            <w:r>
              <w:rPr>
                <w:rFonts w:ascii="Times New Roman" w:cs="Times New Roman" w:eastAsia="Times New Roman" w:hAnsi="Times New Roman"/>
                <w:sz w:val="11"/>
                <w:szCs w:val="11"/>
                <w:color w:val="auto"/>
              </w:rPr>
              <w:t>10.39%</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754</w:t>
            </w:r>
          </w:p>
        </w:tc>
        <w:tc>
          <w:tcPr>
            <w:tcW w:w="780" w:type="dxa"/>
            <w:vAlign w:val="bottom"/>
            <w:gridSpan w:val="2"/>
            <w:vMerge w:val="continue"/>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02600, Norway</w:t>
            </w:r>
          </w:p>
        </w:tc>
        <w:tc>
          <w:tcPr>
            <w:tcW w:w="1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5/2030)</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(EUR 720)</w:t>
            </w:r>
          </w:p>
        </w:tc>
        <w:tc>
          <w:tcPr>
            <w:tcW w:w="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BCTO Bluebill Buyer, Inc. </w:t>
            </w:r>
            <w:r>
              <w:rPr>
                <w:rFonts w:ascii="Times New Roman" w:cs="Times New Roman" w:eastAsia="Times New Roman" w:hAnsi="Times New Roman"/>
                <w:sz w:val="8"/>
                <w:szCs w:val="8"/>
                <w:color w:val="auto"/>
              </w:rPr>
              <w:t>(3)(5)</w:t>
            </w:r>
          </w:p>
        </w:tc>
        <w:tc>
          <w:tcPr>
            <w:tcW w:w="1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($28,164 par, due</w:t>
            </w: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6100 W. 96th Street, Suite 100</w:t>
            </w:r>
          </w:p>
        </w:tc>
        <w:tc>
          <w:tcPr>
            <w:tcW w:w="1620" w:type="dxa"/>
            <w:vAlign w:val="bottom"/>
            <w:gridSpan w:val="2"/>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7/20/2023</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+ 7.25%</w:t>
            </w:r>
          </w:p>
        </w:tc>
        <w:tc>
          <w:tcPr>
            <w:tcW w:w="1020" w:type="dxa"/>
            <w:vAlign w:val="bottom"/>
            <w:gridSpan w:val="2"/>
            <w:vMerge w:val="restart"/>
            <w:shd w:val="clear" w:color="auto" w:fill="CCEEFF"/>
          </w:tcPr>
          <w:p>
            <w:pPr>
              <w:jc w:val="center"/>
              <w:ind w:left="405"/>
              <w:spacing w:after="0"/>
              <w:rPr>
                <w:sz w:val="20"/>
                <w:szCs w:val="20"/>
                <w:color w:val="auto"/>
              </w:rPr>
            </w:pPr>
            <w:r>
              <w:rPr>
                <w:rFonts w:ascii="Times New Roman" w:cs="Times New Roman" w:eastAsia="Times New Roman" w:hAnsi="Times New Roman"/>
                <w:sz w:val="11"/>
                <w:szCs w:val="11"/>
                <w:color w:val="auto"/>
              </w:rPr>
              <w:t>12.64%</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27,122</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27,319</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1.8%</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Indianapolis, IN 46278</w:t>
            </w:r>
          </w:p>
        </w:tc>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7/2029)</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2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BTRS Holdings, Inc.</w:t>
            </w:r>
            <w:r>
              <w:rPr>
                <w:rFonts w:ascii="Times New Roman" w:cs="Times New Roman" w:eastAsia="Times New Roman" w:hAnsi="Times New Roman"/>
                <w:sz w:val="8"/>
                <w:szCs w:val="8"/>
                <w:color w:val="auto"/>
              </w:rPr>
              <w:t>(3)</w:t>
            </w:r>
            <w:r>
              <w:rPr>
                <w:rFonts w:ascii="Times New Roman" w:cs="Times New Roman" w:eastAsia="Times New Roman" w:hAnsi="Times New Roman"/>
                <w:sz w:val="11"/>
                <w:szCs w:val="11"/>
                <w:color w:val="auto"/>
              </w:rPr>
              <w:t xml:space="preserve"> 1009 Lenox</w:t>
            </w: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($46,580 par, due</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Drive, Suite 101</w:t>
            </w:r>
          </w:p>
        </w:tc>
        <w:tc>
          <w:tcPr>
            <w:tcW w:w="1620" w:type="dxa"/>
            <w:vAlign w:val="bottom"/>
            <w:gridSpan w:val="2"/>
            <w:vMerge w:val="continue"/>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12/16/2022</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SOFR + 8.00%</w:t>
            </w:r>
          </w:p>
        </w:tc>
        <w:tc>
          <w:tcPr>
            <w:tcW w:w="1020" w:type="dxa"/>
            <w:vAlign w:val="bottom"/>
            <w:gridSpan w:val="2"/>
            <w:vMerge w:val="restart"/>
          </w:tcPr>
          <w:p>
            <w:pPr>
              <w:jc w:val="center"/>
              <w:ind w:left="405"/>
              <w:spacing w:after="0"/>
              <w:rPr>
                <w:sz w:val="20"/>
                <w:szCs w:val="20"/>
                <w:color w:val="auto"/>
              </w:rPr>
            </w:pPr>
            <w:r>
              <w:rPr>
                <w:rFonts w:ascii="Times New Roman" w:cs="Times New Roman" w:eastAsia="Times New Roman" w:hAnsi="Times New Roman"/>
                <w:sz w:val="11"/>
                <w:szCs w:val="11"/>
                <w:color w:val="auto"/>
              </w:rPr>
              <w:t>13.41%</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45,277</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46,323</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3.1%</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Lawrenceville, NJ 08648</w:t>
            </w:r>
          </w:p>
        </w:tc>
        <w:tc>
          <w:tcPr>
            <w:tcW w:w="1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12/2028)</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Bear OpCo, LLC </w:t>
            </w:r>
            <w:r>
              <w:rPr>
                <w:rFonts w:ascii="Times New Roman" w:cs="Times New Roman" w:eastAsia="Times New Roman" w:hAnsi="Times New Roman"/>
                <w:sz w:val="8"/>
                <w:szCs w:val="8"/>
                <w:color w:val="auto"/>
              </w:rPr>
              <w:t>(3)(5)</w:t>
            </w:r>
          </w:p>
        </w:tc>
        <w:tc>
          <w:tcPr>
            <w:tcW w:w="1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($21,082 par, due</w:t>
            </w: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5435 Corporate Drive, Suite 300</w:t>
            </w:r>
          </w:p>
        </w:tc>
        <w:tc>
          <w:tcPr>
            <w:tcW w:w="1620" w:type="dxa"/>
            <w:vAlign w:val="bottom"/>
            <w:gridSpan w:val="2"/>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10/10/2019</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+ 7.65%</w:t>
            </w:r>
          </w:p>
        </w:tc>
        <w:tc>
          <w:tcPr>
            <w:tcW w:w="1020" w:type="dxa"/>
            <w:vAlign w:val="bottom"/>
            <w:gridSpan w:val="2"/>
            <w:vMerge w:val="restart"/>
            <w:shd w:val="clear" w:color="auto" w:fill="CCEEFF"/>
          </w:tcPr>
          <w:p>
            <w:pPr>
              <w:jc w:val="center"/>
              <w:ind w:left="405"/>
              <w:spacing w:after="0"/>
              <w:rPr>
                <w:sz w:val="20"/>
                <w:szCs w:val="20"/>
                <w:color w:val="auto"/>
              </w:rPr>
            </w:pPr>
            <w:r>
              <w:rPr>
                <w:rFonts w:ascii="Times New Roman" w:cs="Times New Roman" w:eastAsia="Times New Roman" w:hAnsi="Times New Roman"/>
                <w:sz w:val="11"/>
                <w:szCs w:val="11"/>
                <w:color w:val="auto"/>
              </w:rPr>
              <w:t>12.97%</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20,953</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21,345</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1.4%</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Troy, MI 48098</w:t>
            </w:r>
          </w:p>
        </w:tc>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10/2024)</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2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BlueSnap, Inc. </w:t>
            </w:r>
            <w:r>
              <w:rPr>
                <w:rFonts w:ascii="Times New Roman" w:cs="Times New Roman" w:eastAsia="Times New Roman" w:hAnsi="Times New Roman"/>
                <w:sz w:val="8"/>
                <w:szCs w:val="8"/>
                <w:color w:val="auto"/>
              </w:rPr>
              <w:t>(3)(5)</w:t>
            </w: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800 South Street</w:t>
            </w: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($42,000 par, due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640</w:t>
            </w:r>
          </w:p>
        </w:tc>
        <w:tc>
          <w:tcPr>
            <w:tcW w:w="1620" w:type="dxa"/>
            <w:vAlign w:val="bottom"/>
            <w:gridSpan w:val="2"/>
            <w:vMerge w:val="continue"/>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10/25/2019</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SOFR + 7.15%</w:t>
            </w:r>
          </w:p>
        </w:tc>
        <w:tc>
          <w:tcPr>
            <w:tcW w:w="1020" w:type="dxa"/>
            <w:vAlign w:val="bottom"/>
            <w:gridSpan w:val="2"/>
            <w:vMerge w:val="restart"/>
          </w:tcPr>
          <w:p>
            <w:pPr>
              <w:jc w:val="center"/>
              <w:ind w:left="405"/>
              <w:spacing w:after="0"/>
              <w:rPr>
                <w:sz w:val="20"/>
                <w:szCs w:val="20"/>
                <w:color w:val="auto"/>
              </w:rPr>
            </w:pPr>
            <w:r>
              <w:rPr>
                <w:rFonts w:ascii="Times New Roman" w:cs="Times New Roman" w:eastAsia="Times New Roman" w:hAnsi="Times New Roman"/>
                <w:sz w:val="11"/>
                <w:szCs w:val="11"/>
                <w:color w:val="auto"/>
              </w:rPr>
              <w:t>12.54%</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41,786</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42,223</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2.8%</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Waltham, MA 02453</w:t>
            </w:r>
          </w:p>
        </w:tc>
        <w:tc>
          <w:tcPr>
            <w:tcW w:w="1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10/2024)</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Ibis Intermediate Co. </w:t>
            </w:r>
            <w:r>
              <w:rPr>
                <w:rFonts w:ascii="Times New Roman" w:cs="Times New Roman" w:eastAsia="Times New Roman" w:hAnsi="Times New Roman"/>
                <w:sz w:val="8"/>
                <w:szCs w:val="8"/>
                <w:color w:val="auto"/>
              </w:rPr>
              <w:t>(3)(5)</w:t>
            </w:r>
          </w:p>
        </w:tc>
        <w:tc>
          <w:tcPr>
            <w:tcW w:w="1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($1,514 par, due</w:t>
            </w: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485 Lexington Ave, 20th Floor</w:t>
            </w:r>
          </w:p>
        </w:tc>
        <w:tc>
          <w:tcPr>
            <w:tcW w:w="1620" w:type="dxa"/>
            <w:vAlign w:val="bottom"/>
            <w:gridSpan w:val="2"/>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5/28/2021</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+ 4.65%</w:t>
            </w:r>
          </w:p>
        </w:tc>
        <w:tc>
          <w:tcPr>
            <w:tcW w:w="1020" w:type="dxa"/>
            <w:vAlign w:val="bottom"/>
            <w:gridSpan w:val="2"/>
            <w:vMerge w:val="restart"/>
            <w:shd w:val="clear" w:color="auto" w:fill="CCEEFF"/>
          </w:tcPr>
          <w:p>
            <w:pPr>
              <w:jc w:val="center"/>
              <w:ind w:left="405"/>
              <w:spacing w:after="0"/>
              <w:rPr>
                <w:sz w:val="20"/>
                <w:szCs w:val="20"/>
                <w:color w:val="auto"/>
              </w:rPr>
            </w:pPr>
            <w:r>
              <w:rPr>
                <w:rFonts w:ascii="Times New Roman" w:cs="Times New Roman" w:eastAsia="Times New Roman" w:hAnsi="Times New Roman"/>
                <w:sz w:val="11"/>
                <w:szCs w:val="11"/>
                <w:color w:val="auto"/>
              </w:rPr>
              <w:t>10.07%</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1,359</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1,593</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New York, NY 10017</w:t>
            </w:r>
          </w:p>
        </w:tc>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5/2027)</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2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Ibis US Blocker Co. </w:t>
            </w:r>
            <w:r>
              <w:rPr>
                <w:rFonts w:ascii="Times New Roman" w:cs="Times New Roman" w:eastAsia="Times New Roman" w:hAnsi="Times New Roman"/>
                <w:sz w:val="8"/>
                <w:szCs w:val="8"/>
                <w:color w:val="auto"/>
              </w:rPr>
              <w:t>(3)</w:t>
            </w:r>
            <w:r>
              <w:rPr>
                <w:rFonts w:ascii="Times New Roman" w:cs="Times New Roman" w:eastAsia="Times New Roman" w:hAnsi="Times New Roman"/>
                <w:sz w:val="11"/>
                <w:szCs w:val="11"/>
                <w:color w:val="auto"/>
              </w:rPr>
              <w:t xml:space="preserve"> 485 Lexington</w:t>
            </w: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($15,419 par, due</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gridSpan w:val="2"/>
            <w:vMerge w:val="restart"/>
          </w:tcPr>
          <w:p>
            <w:pPr>
              <w:jc w:val="center"/>
              <w:ind w:left="405"/>
              <w:spacing w:after="0"/>
              <w:rPr>
                <w:sz w:val="20"/>
                <w:szCs w:val="20"/>
                <w:color w:val="auto"/>
              </w:rPr>
            </w:pPr>
            <w:r>
              <w:rPr>
                <w:rFonts w:ascii="Times New Roman" w:cs="Times New Roman" w:eastAsia="Times New Roman" w:hAnsi="Times New Roman"/>
                <w:sz w:val="11"/>
                <w:szCs w:val="11"/>
                <w:color w:val="auto"/>
              </w:rPr>
              <w:t>13.82%</w:t>
            </w: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820" w:type="dxa"/>
            <w:vAlign w:val="bottom"/>
            <w:gridSpan w:val="2"/>
          </w:tcPr>
          <w:p>
            <w:pPr>
              <w:ind w:left="100"/>
              <w:spacing w:after="0" w:line="112" w:lineRule="exact"/>
              <w:rPr>
                <w:sz w:val="20"/>
                <w:szCs w:val="20"/>
                <w:color w:val="auto"/>
              </w:rPr>
            </w:pPr>
            <w:r>
              <w:rPr>
                <w:rFonts w:ascii="Times New Roman" w:cs="Times New Roman" w:eastAsia="Times New Roman" w:hAnsi="Times New Roman"/>
                <w:sz w:val="11"/>
                <w:szCs w:val="11"/>
                <w:color w:val="auto"/>
              </w:rPr>
              <w:t>Ave, 20th Floor</w:t>
            </w:r>
          </w:p>
        </w:tc>
        <w:tc>
          <w:tcPr>
            <w:tcW w:w="1620" w:type="dxa"/>
            <w:vAlign w:val="bottom"/>
            <w:gridSpan w:val="2"/>
            <w:vMerge w:val="continue"/>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5/28/2021</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SOFR + 8.40%</w:t>
            </w:r>
          </w:p>
        </w:tc>
        <w:tc>
          <w:tcPr>
            <w:tcW w:w="1020" w:type="dxa"/>
            <w:vAlign w:val="bottom"/>
            <w:gridSpan w:val="2"/>
            <w:vMerge w:val="continue"/>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15,196</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15,342</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1.0%</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New York, NY 10017</w:t>
            </w:r>
          </w:p>
        </w:tc>
        <w:tc>
          <w:tcPr>
            <w:tcW w:w="1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5/2028)</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20" w:type="dxa"/>
            <w:vAlign w:val="bottom"/>
            <w:gridSpan w:val="2"/>
          </w:tcPr>
          <w:p>
            <w:pPr>
              <w:jc w:val="center"/>
              <w:ind w:left="385"/>
              <w:spacing w:after="0"/>
              <w:rPr>
                <w:sz w:val="20"/>
                <w:szCs w:val="20"/>
                <w:color w:val="auto"/>
              </w:rPr>
            </w:pPr>
            <w:r>
              <w:rPr>
                <w:rFonts w:ascii="Times New Roman" w:cs="Times New Roman" w:eastAsia="Times New Roman" w:hAnsi="Times New Roman"/>
                <w:sz w:val="11"/>
                <w:szCs w:val="11"/>
                <w:color w:val="auto"/>
              </w:rPr>
              <w:t>PIK</w:t>
            </w:r>
          </w:p>
        </w:tc>
        <w:tc>
          <w:tcPr>
            <w:tcW w:w="5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Kyriba Corp.</w:t>
            </w:r>
            <w:r>
              <w:rPr>
                <w:rFonts w:ascii="Times New Roman" w:cs="Times New Roman" w:eastAsia="Times New Roman" w:hAnsi="Times New Roman"/>
                <w:sz w:val="8"/>
                <w:szCs w:val="8"/>
                <w:color w:val="auto"/>
              </w:rPr>
              <w:t>(3)</w:t>
            </w:r>
          </w:p>
        </w:tc>
        <w:tc>
          <w:tcPr>
            <w:tcW w:w="1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($20,382 par, due</w:t>
            </w: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center"/>
              <w:ind w:left="405"/>
              <w:spacing w:after="0"/>
              <w:rPr>
                <w:sz w:val="20"/>
                <w:szCs w:val="20"/>
                <w:color w:val="auto"/>
              </w:rPr>
            </w:pPr>
            <w:r>
              <w:rPr>
                <w:rFonts w:ascii="Times New Roman" w:cs="Times New Roman" w:eastAsia="Times New Roman" w:hAnsi="Times New Roman"/>
                <w:sz w:val="11"/>
                <w:szCs w:val="11"/>
                <w:color w:val="auto"/>
              </w:rPr>
              <w:t>14.72%</w:t>
            </w: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820" w:type="dxa"/>
            <w:vAlign w:val="bottom"/>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1"/>
                <w:szCs w:val="11"/>
                <w:color w:val="auto"/>
              </w:rPr>
              <w:t>4435 Eastgate Mall, Suite 200</w:t>
            </w:r>
          </w:p>
        </w:tc>
        <w:tc>
          <w:tcPr>
            <w:tcW w:w="1620" w:type="dxa"/>
            <w:vAlign w:val="bottom"/>
            <w:gridSpan w:val="2"/>
            <w:vMerge w:val="continue"/>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4/9/2019</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+ 9.25%</w:t>
            </w:r>
          </w:p>
        </w:tc>
        <w:tc>
          <w:tcPr>
            <w:tcW w:w="1020" w:type="dxa"/>
            <w:vAlign w:val="bottom"/>
            <w:gridSpan w:val="2"/>
            <w:vMerge w:val="continue"/>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20,255</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20,433</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1.4%</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San Diego, CA 92121</w:t>
            </w:r>
          </w:p>
        </w:tc>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4/2025)</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(incl. 9.00% PIK)</w:t>
            </w:r>
          </w:p>
        </w:tc>
        <w:tc>
          <w:tcPr>
            <w:tcW w:w="58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20" w:type="dxa"/>
            <w:vAlign w:val="bottom"/>
            <w:gridSpan w:val="2"/>
          </w:tcPr>
          <w:p>
            <w:pPr>
              <w:spacing w:after="0" w:line="105" w:lineRule="exact"/>
              <w:rPr>
                <w:sz w:val="20"/>
                <w:szCs w:val="20"/>
                <w:color w:val="auto"/>
              </w:rPr>
            </w:pPr>
            <w:r>
              <w:rPr>
                <w:rFonts w:ascii="Times New Roman" w:cs="Times New Roman" w:eastAsia="Times New Roman" w:hAnsi="Times New Roman"/>
                <w:sz w:val="11"/>
                <w:szCs w:val="11"/>
                <w:color w:val="auto"/>
              </w:rPr>
              <w:t>First-lien loan (EUR 10,617 par,</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4/9/2019</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E + 9.00%</w:t>
            </w:r>
          </w:p>
        </w:tc>
        <w:tc>
          <w:tcPr>
            <w:tcW w:w="1020" w:type="dxa"/>
            <w:vAlign w:val="bottom"/>
            <w:gridSpan w:val="2"/>
          </w:tcPr>
          <w:p>
            <w:pPr>
              <w:jc w:val="center"/>
              <w:ind w:left="405"/>
              <w:spacing w:after="0" w:line="105" w:lineRule="exact"/>
              <w:rPr>
                <w:sz w:val="20"/>
                <w:szCs w:val="20"/>
                <w:color w:val="auto"/>
              </w:rPr>
            </w:pPr>
            <w:r>
              <w:rPr>
                <w:rFonts w:ascii="Times New Roman" w:cs="Times New Roman" w:eastAsia="Times New Roman" w:hAnsi="Times New Roman"/>
                <w:sz w:val="11"/>
                <w:szCs w:val="11"/>
                <w:color w:val="auto"/>
              </w:rPr>
              <w:t>13.14%</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11,782</w:t>
            </w:r>
          </w:p>
        </w:tc>
        <w:tc>
          <w:tcPr>
            <w:tcW w:w="780" w:type="dxa"/>
            <w:vAlign w:val="bottom"/>
            <w:gridSpan w:val="2"/>
          </w:tcPr>
          <w:p>
            <w:pPr>
              <w:jc w:val="right"/>
              <w:ind w:right="160"/>
              <w:spacing w:after="0" w:line="105" w:lineRule="exact"/>
              <w:rPr>
                <w:sz w:val="20"/>
                <w:szCs w:val="20"/>
                <w:color w:val="auto"/>
              </w:rPr>
            </w:pPr>
            <w:r>
              <w:rPr>
                <w:rFonts w:ascii="Times New Roman" w:cs="Times New Roman" w:eastAsia="Times New Roman" w:hAnsi="Times New Roman"/>
                <w:sz w:val="11"/>
                <w:szCs w:val="11"/>
                <w:color w:val="auto"/>
              </w:rPr>
              <w:t>11,269</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0.8%</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due 4/2025)</w:t>
            </w:r>
          </w:p>
        </w:tc>
        <w:tc>
          <w:tcPr>
            <w:tcW w:w="6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(incl. 9.00% PIK)</w:t>
            </w:r>
          </w:p>
        </w:tc>
        <w:tc>
          <w:tcPr>
            <w:tcW w:w="580" w:type="dxa"/>
            <w:vAlign w:val="bottom"/>
            <w:gridSpan w:val="2"/>
            <w:vMerge w:val="continue"/>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(EUR 10,644)</w:t>
            </w:r>
          </w:p>
        </w:tc>
        <w:tc>
          <w:tcPr>
            <w:tcW w:w="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6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First-lien revolving loan ($1,411</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4/9/2019</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+ 7.50%</w:t>
            </w:r>
          </w:p>
        </w:tc>
        <w:tc>
          <w:tcPr>
            <w:tcW w:w="1020" w:type="dxa"/>
            <w:vAlign w:val="bottom"/>
            <w:gridSpan w:val="2"/>
            <w:vMerge w:val="restart"/>
            <w:shd w:val="clear" w:color="auto" w:fill="CCEEFF"/>
          </w:tcPr>
          <w:p>
            <w:pPr>
              <w:jc w:val="center"/>
              <w:ind w:left="405"/>
              <w:spacing w:after="0"/>
              <w:rPr>
                <w:sz w:val="20"/>
                <w:szCs w:val="20"/>
                <w:color w:val="auto"/>
              </w:rPr>
            </w:pPr>
            <w:r>
              <w:rPr>
                <w:rFonts w:ascii="Times New Roman" w:cs="Times New Roman" w:eastAsia="Times New Roman" w:hAnsi="Times New Roman"/>
                <w:sz w:val="11"/>
                <w:szCs w:val="11"/>
                <w:color w:val="auto"/>
              </w:rPr>
              <w:t>12.97%</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1,399</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1,415</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par, due 4/2025)</w:t>
            </w:r>
          </w:p>
        </w:tc>
        <w:tc>
          <w:tcPr>
            <w:tcW w:w="64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20" w:type="dxa"/>
            <w:vAlign w:val="bottom"/>
            <w:gridSpan w:val="2"/>
          </w:tcPr>
          <w:p>
            <w:pPr>
              <w:spacing w:after="0" w:line="105" w:lineRule="exact"/>
              <w:rPr>
                <w:sz w:val="20"/>
                <w:szCs w:val="20"/>
                <w:color w:val="auto"/>
              </w:rPr>
            </w:pPr>
            <w:r>
              <w:rPr>
                <w:rFonts w:ascii="Times New Roman" w:cs="Times New Roman" w:eastAsia="Times New Roman" w:hAnsi="Times New Roman"/>
                <w:sz w:val="11"/>
                <w:szCs w:val="11"/>
                <w:color w:val="auto"/>
              </w:rPr>
              <w:t>First-lien revolving loan (EUR</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4/9/2019</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E + 7.25%</w:t>
            </w:r>
          </w:p>
        </w:tc>
        <w:tc>
          <w:tcPr>
            <w:tcW w:w="1020" w:type="dxa"/>
            <w:vAlign w:val="bottom"/>
            <w:gridSpan w:val="2"/>
            <w:vMerge w:val="restart"/>
          </w:tcPr>
          <w:p>
            <w:pPr>
              <w:jc w:val="center"/>
              <w:ind w:left="425"/>
              <w:spacing w:after="0"/>
              <w:rPr>
                <w:sz w:val="20"/>
                <w:szCs w:val="20"/>
                <w:color w:val="auto"/>
              </w:rPr>
            </w:pPr>
            <w:r>
              <w:rPr>
                <w:rFonts w:ascii="Times New Roman" w:cs="Times New Roman" w:eastAsia="Times New Roman" w:hAnsi="Times New Roman"/>
                <w:sz w:val="11"/>
                <w:szCs w:val="11"/>
                <w:color w:val="auto"/>
              </w:rPr>
              <w:t>11.39%</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374</w:t>
            </w:r>
          </w:p>
        </w:tc>
        <w:tc>
          <w:tcPr>
            <w:tcW w:w="780" w:type="dxa"/>
            <w:vAlign w:val="bottom"/>
            <w:gridSpan w:val="2"/>
          </w:tcPr>
          <w:p>
            <w:pPr>
              <w:jc w:val="right"/>
              <w:ind w:right="160"/>
              <w:spacing w:after="0" w:line="105" w:lineRule="exact"/>
              <w:rPr>
                <w:sz w:val="20"/>
                <w:szCs w:val="20"/>
                <w:color w:val="auto"/>
              </w:rPr>
            </w:pPr>
            <w:r>
              <w:rPr>
                <w:rFonts w:ascii="Times New Roman" w:cs="Times New Roman" w:eastAsia="Times New Roman" w:hAnsi="Times New Roman"/>
                <w:sz w:val="11"/>
                <w:szCs w:val="11"/>
                <w:color w:val="auto"/>
              </w:rPr>
              <w:t>356</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336 par, due 4/2025)</w:t>
            </w:r>
          </w:p>
        </w:tc>
        <w:tc>
          <w:tcPr>
            <w:tcW w:w="6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(EUR 336)</w:t>
            </w:r>
          </w:p>
        </w:tc>
        <w:tc>
          <w:tcPr>
            <w:tcW w:w="7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50" w:right="1440" w:bottom="1440" w:gutter="0" w:footer="0" w:header="0"/>
        </w:sectPr>
      </w:pPr>
    </w:p>
    <w:bookmarkStart w:id="89" w:name="page90"/>
    <w:bookmarkEnd w:id="89"/>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1"/>
              </w:rPr>
              <w:t>Initial</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1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vMerge w:val="restart"/>
          </w:tcPr>
          <w:p>
            <w:pPr>
              <w:ind w:left="54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66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8"/>
              </w:rPr>
              <w:t>Acquisition</w:t>
            </w:r>
          </w:p>
        </w:tc>
        <w:tc>
          <w:tcPr>
            <w:tcW w:w="88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6"/>
              </w:rPr>
              <w:t>Amortized</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24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50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14"/>
        </w:trPr>
        <w:tc>
          <w:tcPr>
            <w:tcW w:w="600" w:type="dxa"/>
            <w:vAlign w:val="bottom"/>
            <w:tcBorders>
              <w:bottom w:val="single" w:sz="8" w:color="auto"/>
            </w:tcBorders>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66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880" w:type="dxa"/>
            <w:vAlign w:val="bottom"/>
            <w:gridSpan w:val="2"/>
          </w:tcPr>
          <w:p>
            <w:pPr>
              <w:jc w:val="center"/>
              <w:ind w:right="220"/>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1040" w:type="dxa"/>
            <w:vAlign w:val="bottom"/>
            <w:gridSpan w:val="2"/>
          </w:tcPr>
          <w:p>
            <w:pPr>
              <w:jc w:val="right"/>
              <w:ind w:right="340"/>
              <w:spacing w:after="0" w:line="110"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56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740" w:type="dxa"/>
            <w:vAlign w:val="bottom"/>
            <w:gridSpan w:val="2"/>
          </w:tcPr>
          <w:p>
            <w:pPr>
              <w:jc w:val="right"/>
              <w:ind w:right="180"/>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74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0"/>
                <w:szCs w:val="10"/>
                <w:b w:val="1"/>
                <w:bCs w:val="1"/>
                <w:color w:val="auto"/>
                <w:w w:val="94"/>
              </w:rPr>
              <w:t>of Net Assets</w:t>
            </w:r>
          </w:p>
        </w:tc>
        <w:tc>
          <w:tcPr>
            <w:tcW w:w="50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rPr>
              <w:t>Class Held</w:t>
            </w:r>
          </w:p>
        </w:tc>
        <w:tc>
          <w:tcPr>
            <w:tcW w:w="0" w:type="dxa"/>
            <w:vAlign w:val="bottom"/>
          </w:tcPr>
          <w:p>
            <w:pPr>
              <w:spacing w:after="0"/>
              <w:rPr>
                <w:sz w:val="1"/>
                <w:szCs w:val="1"/>
                <w:color w:val="auto"/>
              </w:rPr>
            </w:pPr>
          </w:p>
        </w:tc>
      </w:tr>
      <w:tr>
        <w:trPr>
          <w:trHeight w:val="20"/>
        </w:trPr>
        <w:tc>
          <w:tcPr>
            <w:tcW w:w="1700" w:type="dxa"/>
            <w:vAlign w:val="bottom"/>
            <w:gridSpan w:val="2"/>
            <w:vMerge w:val="restart"/>
            <w:shd w:val="clear" w:color="auto" w:fill="CCEEFF"/>
          </w:tcPr>
          <w:p>
            <w:pPr>
              <w:spacing w:after="0" w:line="89" w:lineRule="exact"/>
              <w:rPr>
                <w:sz w:val="20"/>
                <w:szCs w:val="20"/>
                <w:color w:val="auto"/>
              </w:rPr>
            </w:pPr>
            <w:r>
              <w:rPr>
                <w:rFonts w:ascii="Times New Roman" w:cs="Times New Roman" w:eastAsia="Times New Roman" w:hAnsi="Times New Roman"/>
                <w:sz w:val="10"/>
                <w:szCs w:val="10"/>
                <w:color w:val="auto"/>
              </w:rPr>
              <w:t>Passport Labs, Inc.</w:t>
            </w:r>
          </w:p>
        </w:tc>
        <w:tc>
          <w:tcPr>
            <w:tcW w:w="100" w:type="dxa"/>
            <w:vAlign w:val="bottom"/>
            <w:shd w:val="clear" w:color="auto" w:fill="CCEEFF"/>
          </w:tcPr>
          <w:p>
            <w:pPr>
              <w:spacing w:after="0" w:line="20" w:lineRule="exact"/>
              <w:rPr>
                <w:sz w:val="1"/>
                <w:szCs w:val="1"/>
                <w:color w:val="auto"/>
              </w:rPr>
            </w:pPr>
          </w:p>
        </w:tc>
        <w:tc>
          <w:tcPr>
            <w:tcW w:w="16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700" w:type="dxa"/>
            <w:vAlign w:val="bottom"/>
            <w:gridSpan w:val="2"/>
            <w:vMerge w:val="continue"/>
            <w:shd w:val="clear" w:color="auto" w:fill="CCEEFF"/>
          </w:tcPr>
          <w:p>
            <w:pPr>
              <w:spacing w:after="0"/>
              <w:rPr>
                <w:sz w:val="5"/>
                <w:szCs w:val="5"/>
                <w:color w:val="auto"/>
              </w:rPr>
            </w:pPr>
          </w:p>
        </w:tc>
        <w:tc>
          <w:tcPr>
            <w:tcW w:w="1720" w:type="dxa"/>
            <w:vAlign w:val="bottom"/>
            <w:tcBorders>
              <w:right w:val="single" w:sz="8" w:color="CCEEFF"/>
            </w:tcBorders>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First-lien loan ($24,349 par, due</w:t>
            </w: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00" w:type="dxa"/>
            <w:vAlign w:val="bottom"/>
            <w:tcBorders>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7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128 S Tryon St, Ste 1000</w:t>
            </w:r>
          </w:p>
        </w:tc>
        <w:tc>
          <w:tcPr>
            <w:tcW w:w="1720" w:type="dxa"/>
            <w:vAlign w:val="bottom"/>
            <w:tcBorders>
              <w:right w:val="single" w:sz="8" w:color="CCEEFF"/>
            </w:tcBorders>
            <w:gridSpan w:val="2"/>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4/28/2021</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+ 8.40%</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13.79%</w:t>
            </w: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24,174</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24,294</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1.6%</w:t>
            </w: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Charlotte, NC 28202</w:t>
            </w:r>
          </w:p>
        </w:tc>
        <w:tc>
          <w:tcPr>
            <w:tcW w:w="172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 xml:space="preserve">4/2026) </w:t>
            </w:r>
            <w:r>
              <w:rPr>
                <w:rFonts w:ascii="Times New Roman" w:cs="Times New Roman" w:eastAsia="Times New Roman" w:hAnsi="Times New Roman"/>
                <w:sz w:val="8"/>
                <w:szCs w:val="8"/>
                <w:color w:val="auto"/>
              </w:rPr>
              <w:t>(3)</w:t>
            </w:r>
          </w:p>
        </w:tc>
        <w:tc>
          <w:tcPr>
            <w:tcW w:w="66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720" w:type="dxa"/>
            <w:vAlign w:val="bottom"/>
            <w:gridSpan w:val="2"/>
          </w:tcPr>
          <w:p>
            <w:pPr>
              <w:ind w:left="100"/>
              <w:spacing w:after="0" w:line="98" w:lineRule="exact"/>
              <w:rPr>
                <w:sz w:val="20"/>
                <w:szCs w:val="20"/>
                <w:color w:val="auto"/>
              </w:rPr>
            </w:pPr>
            <w:r>
              <w:rPr>
                <w:rFonts w:ascii="Times New Roman" w:cs="Times New Roman" w:eastAsia="Times New Roman" w:hAnsi="Times New Roman"/>
                <w:sz w:val="11"/>
                <w:szCs w:val="11"/>
                <w:color w:val="auto"/>
              </w:rPr>
              <w:t>Convertible Promissory Note A</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3/2/2023</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8.00%</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8.00%</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694</w:t>
            </w:r>
          </w:p>
        </w:tc>
        <w:tc>
          <w:tcPr>
            <w:tcW w:w="100" w:type="dxa"/>
            <w:vAlign w:val="bottom"/>
          </w:tcPr>
          <w:p>
            <w:pPr>
              <w:spacing w:after="0"/>
              <w:rPr>
                <w:sz w:val="8"/>
                <w:szCs w:val="8"/>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943</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0.1%</w:t>
            </w: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($694 par, due 9/2024)</w:t>
            </w:r>
          </w:p>
        </w:tc>
        <w:tc>
          <w:tcPr>
            <w:tcW w:w="6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Ping Identity Holding Corp. </w:t>
            </w:r>
            <w:r>
              <w:rPr>
                <w:rFonts w:ascii="Times New Roman" w:cs="Times New Roman" w:eastAsia="Times New Roman" w:hAnsi="Times New Roman"/>
                <w:sz w:val="8"/>
                <w:szCs w:val="8"/>
                <w:color w:val="auto"/>
              </w:rPr>
              <w:t>(3)</w:t>
            </w:r>
          </w:p>
        </w:tc>
        <w:tc>
          <w:tcPr>
            <w:tcW w:w="1720" w:type="dxa"/>
            <w:vAlign w:val="bottom"/>
            <w:tcBorders>
              <w:right w:val="single" w:sz="8" w:color="CCEEFF"/>
            </w:tcBorders>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First-lien loan ($22,727 par, due</w:t>
            </w: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1001 17th Street, Suite 100</w:t>
            </w:r>
          </w:p>
        </w:tc>
        <w:tc>
          <w:tcPr>
            <w:tcW w:w="1720" w:type="dxa"/>
            <w:vAlign w:val="bottom"/>
            <w:tcBorders>
              <w:right w:val="single" w:sz="8" w:color="CCEEFF"/>
            </w:tcBorders>
            <w:gridSpan w:val="2"/>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10/17/2022</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+ 7.00%</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12.32%</w:t>
            </w: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22,165</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23,040</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1.6%</w:t>
            </w: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Denver, CO 80202</w:t>
            </w:r>
          </w:p>
        </w:tc>
        <w:tc>
          <w:tcPr>
            <w:tcW w:w="172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10/2029)</w:t>
            </w:r>
          </w:p>
        </w:tc>
        <w:tc>
          <w:tcPr>
            <w:tcW w:w="66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PrimeRevenue, Inc. </w:t>
            </w:r>
            <w:r>
              <w:rPr>
                <w:rFonts w:ascii="Times New Roman" w:cs="Times New Roman" w:eastAsia="Times New Roman" w:hAnsi="Times New Roman"/>
                <w:sz w:val="8"/>
                <w:szCs w:val="8"/>
                <w:color w:val="auto"/>
              </w:rPr>
              <w:t>(3)</w:t>
            </w:r>
          </w:p>
        </w:tc>
        <w:tc>
          <w:tcPr>
            <w:tcW w:w="1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First-lien loan ($15,007 par, due</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600 Peachtree St NE, Suite 4400</w:t>
            </w:r>
          </w:p>
        </w:tc>
        <w:tc>
          <w:tcPr>
            <w:tcW w:w="1720" w:type="dxa"/>
            <w:vAlign w:val="bottom"/>
            <w:gridSpan w:val="2"/>
            <w:vMerge w:val="continue"/>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12/31/2018</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SOFR + 7.15%</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12.55%</w:t>
            </w: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14,997</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15,113</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1.0%</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Atlanta, GA 30308</w:t>
            </w: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12/2024)</w:t>
            </w:r>
          </w:p>
        </w:tc>
        <w:tc>
          <w:tcPr>
            <w:tcW w:w="6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TradingScreen, Inc. </w:t>
            </w:r>
            <w:r>
              <w:rPr>
                <w:rFonts w:ascii="Times New Roman" w:cs="Times New Roman" w:eastAsia="Times New Roman" w:hAnsi="Times New Roman"/>
                <w:sz w:val="8"/>
                <w:szCs w:val="8"/>
                <w:color w:val="auto"/>
              </w:rPr>
              <w:t>(3)(5)</w:t>
            </w:r>
          </w:p>
        </w:tc>
        <w:tc>
          <w:tcPr>
            <w:tcW w:w="1720" w:type="dxa"/>
            <w:vAlign w:val="bottom"/>
            <w:tcBorders>
              <w:right w:val="single" w:sz="8" w:color="CCEEFF"/>
            </w:tcBorders>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First-lien loan ($47,318 par, due</w:t>
            </w: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 Penn Plaza, 49th Fl</w:t>
            </w:r>
          </w:p>
        </w:tc>
        <w:tc>
          <w:tcPr>
            <w:tcW w:w="1720" w:type="dxa"/>
            <w:vAlign w:val="bottom"/>
            <w:tcBorders>
              <w:right w:val="single" w:sz="8" w:color="CCEEFF"/>
            </w:tcBorders>
            <w:gridSpan w:val="2"/>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4/30/2021</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+ 6.35%</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11.72%</w:t>
            </w: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46,421</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47,081</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3.2%</w:t>
            </w: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New York, NY 10119</w:t>
            </w:r>
          </w:p>
        </w:tc>
        <w:tc>
          <w:tcPr>
            <w:tcW w:w="172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4/2027)</w:t>
            </w:r>
          </w:p>
        </w:tc>
        <w:tc>
          <w:tcPr>
            <w:tcW w:w="66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Volante Technologies, Inc.</w:t>
            </w:r>
          </w:p>
        </w:tc>
        <w:tc>
          <w:tcPr>
            <w:tcW w:w="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Harborside 5</w:t>
            </w:r>
          </w:p>
        </w:tc>
        <w:tc>
          <w:tcPr>
            <w:tcW w:w="1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First-lien loan ($2,500 par, due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16.50%</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700" w:type="dxa"/>
            <w:vAlign w:val="bottom"/>
            <w:gridSpan w:val="2"/>
          </w:tcPr>
          <w:p>
            <w:pPr>
              <w:ind w:left="100"/>
              <w:spacing w:after="0" w:line="112" w:lineRule="exact"/>
              <w:rPr>
                <w:sz w:val="20"/>
                <w:szCs w:val="20"/>
                <w:color w:val="auto"/>
              </w:rPr>
            </w:pPr>
            <w:r>
              <w:rPr>
                <w:rFonts w:ascii="Times New Roman" w:cs="Times New Roman" w:eastAsia="Times New Roman" w:hAnsi="Times New Roman"/>
                <w:sz w:val="11"/>
                <w:szCs w:val="11"/>
                <w:color w:val="auto"/>
              </w:rPr>
              <w:t>185 Hudson Street, #1605</w:t>
            </w:r>
          </w:p>
        </w:tc>
        <w:tc>
          <w:tcPr>
            <w:tcW w:w="1720" w:type="dxa"/>
            <w:vAlign w:val="bottom"/>
            <w:gridSpan w:val="2"/>
            <w:vMerge w:val="continue"/>
          </w:tcPr>
          <w:p>
            <w:pPr>
              <w:spacing w:after="0"/>
              <w:rPr>
                <w:sz w:val="9"/>
                <w:szCs w:val="9"/>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9/29/2023</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16.50%</w:t>
            </w:r>
          </w:p>
        </w:tc>
        <w:tc>
          <w:tcPr>
            <w:tcW w:w="1040" w:type="dxa"/>
            <w:vAlign w:val="bottom"/>
            <w:gridSpan w:val="2"/>
            <w:vMerge w:val="continue"/>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2,438</w:t>
            </w:r>
          </w:p>
        </w:tc>
        <w:tc>
          <w:tcPr>
            <w:tcW w:w="100" w:type="dxa"/>
            <w:vAlign w:val="bottom"/>
            <w:vMerge w:val="restart"/>
          </w:tcPr>
          <w:p>
            <w:pPr>
              <w:spacing w:after="0"/>
              <w:rPr>
                <w:sz w:val="9"/>
                <w:szCs w:val="9"/>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2,438</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0.2%</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Jersey City, NJ 07311</w:t>
            </w: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9/2028)</w:t>
            </w:r>
          </w:p>
        </w:tc>
        <w:tc>
          <w:tcPr>
            <w:tcW w:w="6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PIK</w:t>
            </w:r>
          </w:p>
        </w:tc>
        <w:tc>
          <w:tcPr>
            <w:tcW w:w="4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297,146</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301,290</w:t>
            </w:r>
          </w:p>
        </w:tc>
        <w:tc>
          <w:tcPr>
            <w:tcW w:w="740" w:type="dxa"/>
            <w:vAlign w:val="bottom"/>
            <w:gridSpan w:val="2"/>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7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Healthcare</w:t>
            </w: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BCTO Ace Purchaser, Inc. </w:t>
            </w:r>
            <w:r>
              <w:rPr>
                <w:rFonts w:ascii="Times New Roman" w:cs="Times New Roman" w:eastAsia="Times New Roman" w:hAnsi="Times New Roman"/>
                <w:sz w:val="8"/>
                <w:szCs w:val="8"/>
                <w:color w:val="auto"/>
              </w:rPr>
              <w:t>(3)</w:t>
            </w:r>
          </w:p>
        </w:tc>
        <w:tc>
          <w:tcPr>
            <w:tcW w:w="100" w:type="dxa"/>
            <w:vAlign w:val="bottom"/>
            <w:shd w:val="clear" w:color="auto" w:fill="CCEEFF"/>
          </w:tcPr>
          <w:p>
            <w:pPr>
              <w:spacing w:after="0"/>
              <w:rPr>
                <w:sz w:val="8"/>
                <w:szCs w:val="8"/>
                <w:color w:val="auto"/>
              </w:rPr>
            </w:pPr>
          </w:p>
        </w:tc>
        <w:tc>
          <w:tcPr>
            <w:tcW w:w="1620" w:type="dxa"/>
            <w:vAlign w:val="bottom"/>
            <w:tcBorders>
              <w:right w:val="single" w:sz="8" w:color="CCEEFF"/>
            </w:tcBorders>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3675 Mt. Diablo Boulevard, Suite</w:t>
            </w:r>
          </w:p>
        </w:tc>
        <w:tc>
          <w:tcPr>
            <w:tcW w:w="1720" w:type="dxa"/>
            <w:vAlign w:val="bottom"/>
            <w:tcBorders>
              <w:right w:val="single" w:sz="8" w:color="CCEEFF"/>
            </w:tcBorders>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First-lien loan ($69,231 par, due</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100B</w:t>
            </w:r>
          </w:p>
        </w:tc>
        <w:tc>
          <w:tcPr>
            <w:tcW w:w="1720" w:type="dxa"/>
            <w:vAlign w:val="bottom"/>
            <w:tcBorders>
              <w:right w:val="single" w:sz="8" w:color="CCEEFF"/>
            </w:tcBorders>
            <w:gridSpan w:val="2"/>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11/23/2020</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+ 8.45%</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13.87%</w:t>
            </w: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68,271</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69,577</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4.7%</w:t>
            </w: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Lafayette, CA 94549</w:t>
            </w:r>
          </w:p>
        </w:tc>
        <w:tc>
          <w:tcPr>
            <w:tcW w:w="172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 xml:space="preserve">11/2027) </w:t>
            </w:r>
            <w:r>
              <w:rPr>
                <w:rFonts w:ascii="Times New Roman" w:cs="Times New Roman" w:eastAsia="Times New Roman" w:hAnsi="Times New Roman"/>
                <w:sz w:val="8"/>
                <w:szCs w:val="8"/>
                <w:color w:val="auto"/>
              </w:rPr>
              <w:t>(5)</w:t>
            </w:r>
          </w:p>
        </w:tc>
        <w:tc>
          <w:tcPr>
            <w:tcW w:w="66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1"/>
                <w:szCs w:val="11"/>
                <w:color w:val="auto"/>
              </w:rPr>
              <w:t>Second-lien loan ($5,401 par, due</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1/23/2023</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SOFR + 10.70%</w:t>
            </w:r>
          </w:p>
        </w:tc>
        <w:tc>
          <w:tcPr>
            <w:tcW w:w="104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1"/>
                <w:szCs w:val="11"/>
                <w:color w:val="auto"/>
              </w:rPr>
              <w:t>16.05%</w:t>
            </w: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5,266</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5,374</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0.4%</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1/2030)</w:t>
            </w:r>
          </w:p>
        </w:tc>
        <w:tc>
          <w:tcPr>
            <w:tcW w:w="6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PIK</w:t>
            </w:r>
          </w:p>
        </w:tc>
        <w:tc>
          <w:tcPr>
            <w:tcW w:w="5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Edge Bidco B.V </w:t>
            </w:r>
            <w:r>
              <w:rPr>
                <w:rFonts w:ascii="Times New Roman" w:cs="Times New Roman" w:eastAsia="Times New Roman" w:hAnsi="Times New Roman"/>
                <w:sz w:val="8"/>
                <w:szCs w:val="8"/>
                <w:color w:val="auto"/>
              </w:rPr>
              <w:t>(3)(4)(5)</w:t>
            </w:r>
            <w:r>
              <w:rPr>
                <w:rFonts w:ascii="Times New Roman" w:cs="Times New Roman" w:eastAsia="Times New Roman" w:hAnsi="Times New Roman"/>
                <w:sz w:val="11"/>
                <w:szCs w:val="11"/>
                <w:color w:val="auto"/>
              </w:rPr>
              <w:t xml:space="preserve"> De</w:t>
            </w:r>
          </w:p>
        </w:tc>
        <w:tc>
          <w:tcPr>
            <w:tcW w:w="1720" w:type="dxa"/>
            <w:vAlign w:val="bottom"/>
            <w:tcBorders>
              <w:right w:val="single" w:sz="8" w:color="CCEEFF"/>
            </w:tcBorders>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First-lien loan (EUR 3,520 par,</w:t>
            </w: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10.97%</w:t>
            </w: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3,727</w:t>
            </w: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700" w:type="dxa"/>
            <w:vAlign w:val="bottom"/>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1"/>
                <w:szCs w:val="11"/>
                <w:color w:val="auto"/>
              </w:rPr>
              <w:t>Lairessestraat 145</w:t>
            </w:r>
          </w:p>
        </w:tc>
        <w:tc>
          <w:tcPr>
            <w:tcW w:w="1720" w:type="dxa"/>
            <w:vAlign w:val="bottom"/>
            <w:tcBorders>
              <w:right w:val="single" w:sz="8" w:color="CCEEFF"/>
            </w:tcBorders>
            <w:gridSpan w:val="2"/>
            <w:vMerge w:val="continue"/>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2/24/2023</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E + 7.00%</w:t>
            </w:r>
          </w:p>
        </w:tc>
        <w:tc>
          <w:tcPr>
            <w:tcW w:w="1040" w:type="dxa"/>
            <w:vAlign w:val="bottom"/>
            <w:gridSpan w:val="2"/>
            <w:vMerge w:val="continue"/>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3,590</w:t>
            </w:r>
          </w:p>
        </w:tc>
        <w:tc>
          <w:tcPr>
            <w:tcW w:w="740" w:type="dxa"/>
            <w:vAlign w:val="bottom"/>
            <w:gridSpan w:val="2"/>
            <w:vMerge w:val="continue"/>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0.3%</w:t>
            </w:r>
          </w:p>
        </w:tc>
        <w:tc>
          <w:tcPr>
            <w:tcW w:w="50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1075 HJ Amsterdam</w:t>
            </w:r>
          </w:p>
        </w:tc>
        <w:tc>
          <w:tcPr>
            <w:tcW w:w="100" w:type="dxa"/>
            <w:vAlign w:val="bottom"/>
            <w:shd w:val="clear" w:color="auto" w:fill="CCEEFF"/>
          </w:tcPr>
          <w:p>
            <w:pPr>
              <w:spacing w:after="0"/>
              <w:rPr>
                <w:sz w:val="11"/>
                <w:szCs w:val="11"/>
                <w:color w:val="auto"/>
              </w:rPr>
            </w:pPr>
          </w:p>
        </w:tc>
        <w:tc>
          <w:tcPr>
            <w:tcW w:w="16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due 2/2029)</w:t>
            </w:r>
          </w:p>
        </w:tc>
        <w:tc>
          <w:tcPr>
            <w:tcW w:w="66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(incl. 3.25% PIK)</w:t>
            </w:r>
          </w:p>
        </w:tc>
        <w:tc>
          <w:tcPr>
            <w:tcW w:w="560" w:type="dxa"/>
            <w:vAlign w:val="bottom"/>
            <w:gridSpan w:val="2"/>
            <w:vMerge w:val="continue"/>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(EUR 3,520)</w:t>
            </w: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0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color w:val="auto"/>
              </w:rPr>
              <w:t>Homecare Software Solutions, LLC</w:t>
            </w: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tcPr>
          <w:p>
            <w:pPr>
              <w:ind w:left="100"/>
              <w:spacing w:after="0" w:line="87" w:lineRule="exact"/>
              <w:rPr>
                <w:sz w:val="20"/>
                <w:szCs w:val="20"/>
                <w:color w:val="auto"/>
              </w:rPr>
            </w:pPr>
            <w:r>
              <w:rPr>
                <w:rFonts w:ascii="Times New Roman" w:cs="Times New Roman" w:eastAsia="Times New Roman" w:hAnsi="Times New Roman"/>
                <w:sz w:val="8"/>
                <w:szCs w:val="8"/>
                <w:color w:val="auto"/>
              </w:rPr>
              <w:t>(3)(5)</w:t>
            </w: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130 West 42nd Street</w:t>
            </w:r>
          </w:p>
        </w:tc>
        <w:tc>
          <w:tcPr>
            <w:tcW w:w="1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First-lien loan ($65,000 par, due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2nd Floor</w:t>
            </w:r>
          </w:p>
        </w:tc>
        <w:tc>
          <w:tcPr>
            <w:tcW w:w="1720" w:type="dxa"/>
            <w:vAlign w:val="bottom"/>
            <w:gridSpan w:val="2"/>
            <w:vMerge w:val="continue"/>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10/6/2021</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SOFR + 5.70%</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11.03%</w:t>
            </w: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63,942</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64,675</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4.4%</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New York, NY 10036</w:t>
            </w: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10/2026)</w:t>
            </w:r>
          </w:p>
        </w:tc>
        <w:tc>
          <w:tcPr>
            <w:tcW w:w="6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50" w:right="1440" w:bottom="1440" w:gutter="0" w:footer="0" w:header="0"/>
        </w:sectPr>
      </w:pPr>
    </w:p>
    <w:bookmarkStart w:id="90" w:name="page91"/>
    <w:bookmarkEnd w:id="90"/>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1"/>
              </w:rPr>
              <w:t>Initial</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120" w:type="dxa"/>
            <w:vAlign w:val="bottom"/>
            <w:vMerge w:val="restart"/>
          </w:tcPr>
          <w:p>
            <w:pPr>
              <w:spacing w:after="0"/>
              <w:rPr>
                <w:sz w:val="9"/>
                <w:szCs w:val="9"/>
                <w:color w:val="auto"/>
              </w:rPr>
            </w:pPr>
          </w:p>
        </w:tc>
        <w:tc>
          <w:tcPr>
            <w:tcW w:w="17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66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8"/>
              </w:rPr>
              <w:t>Acquisition</w:t>
            </w:r>
          </w:p>
        </w:tc>
        <w:tc>
          <w:tcPr>
            <w:tcW w:w="880" w:type="dxa"/>
            <w:vAlign w:val="bottom"/>
            <w:gridSpan w:val="2"/>
          </w:tcPr>
          <w:p>
            <w:pPr>
              <w:jc w:val="center"/>
              <w:ind w:right="260"/>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gridSpan w:val="2"/>
          </w:tcPr>
          <w:p>
            <w:pPr>
              <w:jc w:val="right"/>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tcPr>
          <w:p>
            <w:pPr>
              <w:jc w:val="right"/>
              <w:ind w:right="30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500" w:type="dxa"/>
            <w:vAlign w:val="bottom"/>
            <w:gridSpan w:val="2"/>
          </w:tcPr>
          <w:p>
            <w:pPr>
              <w:jc w:val="center"/>
              <w:ind w:right="20"/>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660" w:type="dxa"/>
            <w:vAlign w:val="bottom"/>
            <w:gridSpan w:val="2"/>
          </w:tcPr>
          <w:p>
            <w:pPr>
              <w:jc w:val="center"/>
              <w:ind w:right="180"/>
              <w:spacing w:after="0" w:line="110"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88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820" w:type="dxa"/>
            <w:vAlign w:val="bottom"/>
            <w:gridSpan w:val="2"/>
          </w:tcPr>
          <w:p>
            <w:pPr>
              <w:jc w:val="right"/>
              <w:ind w:right="280"/>
              <w:spacing w:after="0" w:line="110" w:lineRule="exact"/>
              <w:rPr>
                <w:sz w:val="20"/>
                <w:szCs w:val="20"/>
                <w:color w:val="auto"/>
              </w:rPr>
            </w:pPr>
            <w:r>
              <w:rPr>
                <w:rFonts w:ascii="Times New Roman" w:cs="Times New Roman" w:eastAsia="Times New Roman" w:hAnsi="Times New Roman"/>
                <w:sz w:val="10"/>
                <w:szCs w:val="10"/>
                <w:b w:val="1"/>
                <w:bCs w:val="1"/>
                <w:color w:val="auto"/>
                <w:w w:val="93"/>
              </w:rPr>
              <w:t>Interest Rate</w:t>
            </w:r>
          </w:p>
        </w:tc>
        <w:tc>
          <w:tcPr>
            <w:tcW w:w="60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86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8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4"/>
              </w:rPr>
              <w:t>of Net Assets</w:t>
            </w:r>
          </w:p>
        </w:tc>
        <w:tc>
          <w:tcPr>
            <w:tcW w:w="50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0"/>
                <w:szCs w:val="10"/>
                <w:b w:val="1"/>
                <w:bCs w:val="1"/>
                <w:color w:val="auto"/>
              </w:rPr>
              <w:t>Class Held</w:t>
            </w:r>
          </w:p>
        </w:tc>
        <w:tc>
          <w:tcPr>
            <w:tcW w:w="0" w:type="dxa"/>
            <w:vAlign w:val="bottom"/>
          </w:tcPr>
          <w:p>
            <w:pPr>
              <w:spacing w:after="0"/>
              <w:rPr>
                <w:sz w:val="1"/>
                <w:szCs w:val="1"/>
                <w:color w:val="auto"/>
              </w:rPr>
            </w:pPr>
          </w:p>
        </w:tc>
      </w:tr>
      <w:tr>
        <w:trPr>
          <w:trHeight w:val="68"/>
        </w:trPr>
        <w:tc>
          <w:tcPr>
            <w:tcW w:w="1720" w:type="dxa"/>
            <w:vAlign w:val="bottom"/>
            <w:tcBorders>
              <w:top w:val="single" w:sz="8" w:color="CCEEFF"/>
            </w:tcBorders>
            <w:gridSpan w:val="2"/>
            <w:shd w:val="clear" w:color="auto" w:fill="CCEEFF"/>
          </w:tcPr>
          <w:p>
            <w:pPr>
              <w:spacing w:after="0" w:line="69" w:lineRule="exact"/>
              <w:rPr>
                <w:sz w:val="20"/>
                <w:szCs w:val="20"/>
                <w:color w:val="auto"/>
              </w:rPr>
            </w:pPr>
            <w:r>
              <w:rPr>
                <w:rFonts w:ascii="Times New Roman" w:cs="Times New Roman" w:eastAsia="Times New Roman" w:hAnsi="Times New Roman"/>
                <w:sz w:val="7"/>
                <w:szCs w:val="7"/>
                <w:color w:val="auto"/>
              </w:rPr>
              <w:t xml:space="preserve">Merative L.P. </w:t>
            </w:r>
            <w:r>
              <w:rPr>
                <w:rFonts w:ascii="Times New Roman" w:cs="Times New Roman" w:eastAsia="Times New Roman" w:hAnsi="Times New Roman"/>
                <w:sz w:val="5"/>
                <w:szCs w:val="5"/>
                <w:color w:val="auto"/>
              </w:rPr>
              <w:t>(3)(5)</w:t>
            </w:r>
          </w:p>
        </w:tc>
        <w:tc>
          <w:tcPr>
            <w:tcW w:w="156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($70,103 par, due</w:t>
            </w:r>
          </w:p>
        </w:tc>
        <w:tc>
          <w:tcPr>
            <w:tcW w:w="140" w:type="dxa"/>
            <w:vAlign w:val="bottom"/>
            <w:tcBorders>
              <w:top w:val="single" w:sz="8" w:color="CCEEFF"/>
            </w:tcBorders>
            <w:vMerge w:val="restart"/>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7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100 Phoenix Drive</w:t>
            </w:r>
          </w:p>
        </w:tc>
        <w:tc>
          <w:tcPr>
            <w:tcW w:w="1560" w:type="dxa"/>
            <w:vAlign w:val="bottom"/>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6/30/2022</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SOFR + 7.25%</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12.65%</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68,127</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69,052</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4.6%</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Ann Arbor, MI 48108</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6/2028)</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2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8"/>
                <w:szCs w:val="8"/>
                <w:color w:val="auto"/>
              </w:rPr>
              <w:t>(3)</w:t>
            </w:r>
            <w:r>
              <w:rPr>
                <w:rFonts w:ascii="Times New Roman" w:cs="Times New Roman" w:eastAsia="Times New Roman" w:hAnsi="Times New Roman"/>
                <w:sz w:val="11"/>
                <w:szCs w:val="11"/>
                <w:color w:val="auto"/>
              </w:rPr>
              <w:t xml:space="preserve"> 205</w:t>
            </w: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($15,609 par, due</w:t>
            </w: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West Wacker Drive, Suite 1800</w:t>
            </w:r>
          </w:p>
        </w:tc>
        <w:tc>
          <w:tcPr>
            <w:tcW w:w="1700" w:type="dxa"/>
            <w:vAlign w:val="bottom"/>
            <w:gridSpan w:val="2"/>
            <w:vMerge w:val="continue"/>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3/24/2023</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SOFR + 6.75%</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12.14%</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15,083</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15,413</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1.0%</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Chicago, IL 60606</w:t>
            </w:r>
          </w:p>
        </w:tc>
        <w:tc>
          <w:tcPr>
            <w:tcW w:w="1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3/2029)</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SL Buyer Corp. </w:t>
            </w:r>
            <w:r>
              <w:rPr>
                <w:rFonts w:ascii="Times New Roman" w:cs="Times New Roman" w:eastAsia="Times New Roman" w:hAnsi="Times New Roman"/>
                <w:sz w:val="8"/>
                <w:szCs w:val="8"/>
                <w:color w:val="auto"/>
              </w:rPr>
              <w:t>(3)(5)</w:t>
            </w:r>
          </w:p>
        </w:tc>
        <w:tc>
          <w:tcPr>
            <w:tcW w:w="1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($31,475 par, due</w:t>
            </w: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111 South Wood Avenue Iselin,</w:t>
            </w:r>
          </w:p>
        </w:tc>
        <w:tc>
          <w:tcPr>
            <w:tcW w:w="1700" w:type="dxa"/>
            <w:vAlign w:val="bottom"/>
            <w:gridSpan w:val="2"/>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7/7/2023</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SOFR + 7.00%</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12.32%</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30,096</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30,520</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2.1%</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NJ 08830</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7/2029)</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254,375</w:t>
            </w:r>
          </w:p>
        </w:tc>
        <w:tc>
          <w:tcPr>
            <w:tcW w:w="160" w:type="dxa"/>
            <w:vAlign w:val="bottom"/>
            <w:vMerge w:val="continue"/>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258,338</w:t>
            </w:r>
          </w:p>
        </w:tc>
        <w:tc>
          <w:tcPr>
            <w:tcW w:w="200" w:type="dxa"/>
            <w:vAlign w:val="bottom"/>
            <w:vMerge w:val="continue"/>
          </w:tcPr>
          <w:p>
            <w:pPr>
              <w:spacing w:after="0"/>
              <w:rPr>
                <w:sz w:val="10"/>
                <w:szCs w:val="10"/>
                <w:color w:val="auto"/>
              </w:rPr>
            </w:pPr>
          </w:p>
        </w:tc>
        <w:tc>
          <w:tcPr>
            <w:tcW w:w="80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17.5%</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2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ASG II, LLC </w:t>
            </w:r>
            <w:r>
              <w:rPr>
                <w:rFonts w:ascii="Times New Roman" w:cs="Times New Roman" w:eastAsia="Times New Roman" w:hAnsi="Times New Roman"/>
                <w:sz w:val="8"/>
                <w:szCs w:val="8"/>
                <w:color w:val="auto"/>
              </w:rPr>
              <w:t>(3)(5)</w:t>
            </w:r>
          </w:p>
        </w:tc>
        <w:tc>
          <w:tcPr>
            <w:tcW w:w="17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First-lien loan ($60,693 par, due</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5/25/2022</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SOFR + 6.40%</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11.77%</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59,414</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60,693</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4.1%</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Walnut Creek, CA 94596 USA</w:t>
            </w:r>
          </w:p>
        </w:tc>
        <w:tc>
          <w:tcPr>
            <w:tcW w:w="1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5/2028)</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IRGSE Holding Corp. </w:t>
            </w:r>
            <w:r>
              <w:rPr>
                <w:rFonts w:ascii="Times New Roman" w:cs="Times New Roman" w:eastAsia="Times New Roman" w:hAnsi="Times New Roman"/>
                <w:sz w:val="8"/>
                <w:szCs w:val="8"/>
                <w:color w:val="auto"/>
              </w:rPr>
              <w:t>(3)(6)</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1555 Palm Beach Lake Blvd</w:t>
            </w:r>
          </w:p>
        </w:tc>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Unit 1105</w:t>
            </w:r>
          </w:p>
        </w:tc>
        <w:tc>
          <w:tcPr>
            <w:tcW w:w="1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($30,261 par, due</w:t>
            </w: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West Palm Beach, FL 33401</w:t>
            </w:r>
          </w:p>
        </w:tc>
        <w:tc>
          <w:tcPr>
            <w:tcW w:w="1700" w:type="dxa"/>
            <w:vAlign w:val="bottom"/>
            <w:gridSpan w:val="2"/>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9/29/2015</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SOFR + 9.65%</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15.04%</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28,594</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30,034</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2.0%</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6/2024)</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7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First-lien revolving loan ($24,752</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9/29/2015</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SOFR + 9.65%</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15.04%</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24,752</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24,564</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1.7%</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par, due 6/2024)</w:t>
            </w:r>
          </w:p>
        </w:tc>
        <w:tc>
          <w:tcPr>
            <w:tcW w:w="6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112,760</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115,291</w:t>
            </w:r>
          </w:p>
        </w:tc>
        <w:tc>
          <w:tcPr>
            <w:tcW w:w="2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7.8%</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720" w:type="dxa"/>
            <w:vAlign w:val="bottom"/>
            <w:gridSpan w:val="2"/>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Human Resource Support</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Services</w:t>
            </w: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Axonify, Inc. </w:t>
            </w:r>
            <w:r>
              <w:rPr>
                <w:rFonts w:ascii="Times New Roman" w:cs="Times New Roman" w:eastAsia="Times New Roman" w:hAnsi="Times New Roman"/>
                <w:sz w:val="8"/>
                <w:szCs w:val="8"/>
                <w:color w:val="auto"/>
              </w:rPr>
              <w:t>(3)(4)(5)</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450 Phillip St</w:t>
            </w:r>
          </w:p>
        </w:tc>
        <w:tc>
          <w:tcPr>
            <w:tcW w:w="1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($40,920 par, due</w:t>
            </w: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Waterloo, Ontario N2L 5J2</w:t>
            </w:r>
          </w:p>
        </w:tc>
        <w:tc>
          <w:tcPr>
            <w:tcW w:w="1700" w:type="dxa"/>
            <w:vAlign w:val="bottom"/>
            <w:gridSpan w:val="2"/>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5/5/2021</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SOFR + 7.65%</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13.02%</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40,312</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40,920</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2.7%</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Canada</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5/2027)</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2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8"/>
                <w:szCs w:val="8"/>
                <w:color w:val="auto"/>
              </w:rPr>
              <w:t>(3)(5)</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500 W. Monroe</w:t>
            </w: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3800</w:t>
            </w: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($44,470 par, due</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Chicago, IL 60661</w:t>
            </w:r>
          </w:p>
        </w:tc>
        <w:tc>
          <w:tcPr>
            <w:tcW w:w="1700" w:type="dxa"/>
            <w:vAlign w:val="bottom"/>
            <w:gridSpan w:val="2"/>
            <w:vMerge w:val="continue"/>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11/7/2022</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SOFR + 6.63%</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11.91%</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43,287</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44,582</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3.0%</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11/2028)</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Elysian Finco Ltd. </w:t>
            </w:r>
            <w:r>
              <w:rPr>
                <w:rFonts w:ascii="Times New Roman" w:cs="Times New Roman" w:eastAsia="Times New Roman" w:hAnsi="Times New Roman"/>
                <w:sz w:val="8"/>
                <w:szCs w:val="8"/>
                <w:color w:val="auto"/>
              </w:rPr>
              <w:t>(3)(4)(5)</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27-28 Clements Lane</w:t>
            </w:r>
          </w:p>
        </w:tc>
        <w:tc>
          <w:tcPr>
            <w:tcW w:w="1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($18,955 par, due</w:t>
            </w: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London EC4N 7AE</w:t>
            </w:r>
          </w:p>
        </w:tc>
        <w:tc>
          <w:tcPr>
            <w:tcW w:w="1700" w:type="dxa"/>
            <w:vAlign w:val="bottom"/>
            <w:gridSpan w:val="2"/>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1/31/2022</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SOFR + 6.65%</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11.95%</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18,528</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19,356</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1.3%</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United Kingdom</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1/2028)</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2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Employment Hero Holdings Pty</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Ltd.</w:t>
            </w:r>
            <w:r>
              <w:rPr>
                <w:rFonts w:ascii="Times New Roman" w:cs="Times New Roman" w:eastAsia="Times New Roman" w:hAnsi="Times New Roman"/>
                <w:sz w:val="7"/>
                <w:szCs w:val="7"/>
                <w:color w:val="auto"/>
              </w:rPr>
              <w:t xml:space="preserve"> (3)(4)</w:t>
            </w: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Level 2, 441 Kent Street</w:t>
            </w: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(AUD 32,270 par,</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32,067</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720" w:type="dxa"/>
            <w:vAlign w:val="bottom"/>
            <w:gridSpan w:val="2"/>
          </w:tcPr>
          <w:p>
            <w:pPr>
              <w:ind w:left="100"/>
              <w:spacing w:after="0" w:line="112" w:lineRule="exact"/>
              <w:rPr>
                <w:sz w:val="20"/>
                <w:szCs w:val="20"/>
                <w:color w:val="auto"/>
              </w:rPr>
            </w:pPr>
            <w:r>
              <w:rPr>
                <w:rFonts w:ascii="Times New Roman" w:cs="Times New Roman" w:eastAsia="Times New Roman" w:hAnsi="Times New Roman"/>
                <w:sz w:val="11"/>
                <w:szCs w:val="11"/>
                <w:color w:val="auto"/>
              </w:rPr>
              <w:t>Sydney, New South Wales 2000</w:t>
            </w:r>
          </w:p>
        </w:tc>
        <w:tc>
          <w:tcPr>
            <w:tcW w:w="1700" w:type="dxa"/>
            <w:vAlign w:val="bottom"/>
            <w:gridSpan w:val="2"/>
            <w:vMerge w:val="continue"/>
          </w:tcPr>
          <w:p>
            <w:pPr>
              <w:spacing w:after="0"/>
              <w:rPr>
                <w:sz w:val="9"/>
                <w:szCs w:val="9"/>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12/6/2021</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B + 6.50%</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10.72%</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34,791</w:t>
            </w:r>
          </w:p>
        </w:tc>
        <w:tc>
          <w:tcPr>
            <w:tcW w:w="860" w:type="dxa"/>
            <w:vAlign w:val="bottom"/>
            <w:gridSpan w:val="2"/>
            <w:vMerge w:val="continue"/>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2.2%</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Australia</w:t>
            </w: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due 12/2026)</w:t>
            </w:r>
          </w:p>
        </w:tc>
        <w:tc>
          <w:tcPr>
            <w:tcW w:w="6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(AUD 49,685)</w:t>
            </w: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HireVue, Inc.</w:t>
            </w:r>
            <w:r>
              <w:rPr>
                <w:rFonts w:ascii="Times New Roman" w:cs="Times New Roman" w:eastAsia="Times New Roman" w:hAnsi="Times New Roman"/>
                <w:sz w:val="8"/>
                <w:szCs w:val="8"/>
                <w:color w:val="auto"/>
              </w:rPr>
              <w:t>(3)</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10876 South River Front</w:t>
            </w:r>
          </w:p>
        </w:tc>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Parkway</w:t>
            </w:r>
          </w:p>
        </w:tc>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500</w:t>
            </w:r>
          </w:p>
        </w:tc>
        <w:tc>
          <w:tcPr>
            <w:tcW w:w="1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($54,113 par, due</w:t>
            </w: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South Jordan, UT 84095</w:t>
            </w:r>
          </w:p>
        </w:tc>
        <w:tc>
          <w:tcPr>
            <w:tcW w:w="1700" w:type="dxa"/>
            <w:vAlign w:val="bottom"/>
            <w:gridSpan w:val="2"/>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5/3/2023</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SOFR + 7.25%</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12.34%</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52,422</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53,350</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3.6%</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5/2029)</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50" w:right="1440" w:bottom="1440" w:gutter="0" w:footer="0" w:header="0"/>
        </w:sectPr>
      </w:pPr>
    </w:p>
    <w:bookmarkStart w:id="91" w:name="page92"/>
    <w:bookmarkEnd w:id="91"/>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160" w:type="dxa"/>
            <w:vAlign w:val="bottom"/>
            <w:vMerge w:val="restart"/>
          </w:tcPr>
          <w:p>
            <w:pPr>
              <w:spacing w:after="0"/>
              <w:rPr>
                <w:sz w:val="9"/>
                <w:szCs w:val="9"/>
                <w:color w:val="auto"/>
              </w:rPr>
            </w:pPr>
          </w:p>
        </w:tc>
        <w:tc>
          <w:tcPr>
            <w:tcW w:w="16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72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8"/>
              </w:rPr>
              <w:t>Acquisition</w:t>
            </w:r>
          </w:p>
        </w:tc>
        <w:tc>
          <w:tcPr>
            <w:tcW w:w="880" w:type="dxa"/>
            <w:vAlign w:val="bottom"/>
            <w:gridSpan w:val="2"/>
          </w:tcPr>
          <w:p>
            <w:pPr>
              <w:jc w:val="center"/>
              <w:ind w:right="260"/>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gridSpan w:val="2"/>
          </w:tcPr>
          <w:p>
            <w:pPr>
              <w:jc w:val="right"/>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tcPr>
          <w:p>
            <w:pPr>
              <w:jc w:val="right"/>
              <w:ind w:right="30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500" w:type="dxa"/>
            <w:vAlign w:val="bottom"/>
            <w:gridSpan w:val="2"/>
          </w:tcPr>
          <w:p>
            <w:pPr>
              <w:jc w:val="center"/>
              <w:ind w:right="20"/>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72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88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820" w:type="dxa"/>
            <w:vAlign w:val="bottom"/>
            <w:gridSpan w:val="2"/>
          </w:tcPr>
          <w:p>
            <w:pPr>
              <w:jc w:val="right"/>
              <w:ind w:right="280"/>
              <w:spacing w:after="0" w:line="110" w:lineRule="exact"/>
              <w:rPr>
                <w:sz w:val="20"/>
                <w:szCs w:val="20"/>
                <w:color w:val="auto"/>
              </w:rPr>
            </w:pPr>
            <w:r>
              <w:rPr>
                <w:rFonts w:ascii="Times New Roman" w:cs="Times New Roman" w:eastAsia="Times New Roman" w:hAnsi="Times New Roman"/>
                <w:sz w:val="10"/>
                <w:szCs w:val="10"/>
                <w:b w:val="1"/>
                <w:bCs w:val="1"/>
                <w:color w:val="auto"/>
                <w:w w:val="93"/>
              </w:rPr>
              <w:t>Interest Rate</w:t>
            </w:r>
          </w:p>
        </w:tc>
        <w:tc>
          <w:tcPr>
            <w:tcW w:w="60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86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8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4"/>
              </w:rPr>
              <w:t>of Net Assets</w:t>
            </w:r>
          </w:p>
        </w:tc>
        <w:tc>
          <w:tcPr>
            <w:tcW w:w="50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0"/>
                <w:szCs w:val="10"/>
                <w:b w:val="1"/>
                <w:bCs w:val="1"/>
                <w:color w:val="auto"/>
              </w:rPr>
              <w:t>Class Held</w:t>
            </w:r>
          </w:p>
        </w:tc>
        <w:tc>
          <w:tcPr>
            <w:tcW w:w="0" w:type="dxa"/>
            <w:vAlign w:val="bottom"/>
          </w:tcPr>
          <w:p>
            <w:pPr>
              <w:spacing w:after="0"/>
              <w:rPr>
                <w:sz w:val="1"/>
                <w:szCs w:val="1"/>
                <w:color w:val="auto"/>
              </w:rPr>
            </w:pPr>
          </w:p>
        </w:tc>
      </w:tr>
      <w:tr>
        <w:trPr>
          <w:trHeight w:val="68"/>
        </w:trPr>
        <w:tc>
          <w:tcPr>
            <w:tcW w:w="1760" w:type="dxa"/>
            <w:vAlign w:val="bottom"/>
            <w:tcBorders>
              <w:top w:val="single" w:sz="8" w:color="CCEEFF"/>
            </w:tcBorders>
            <w:gridSpan w:val="2"/>
            <w:shd w:val="clear" w:color="auto" w:fill="CCEEFF"/>
          </w:tcPr>
          <w:p>
            <w:pPr>
              <w:spacing w:after="0" w:line="69" w:lineRule="exact"/>
              <w:rPr>
                <w:sz w:val="20"/>
                <w:szCs w:val="20"/>
                <w:color w:val="auto"/>
              </w:rPr>
            </w:pPr>
            <w:r>
              <w:rPr>
                <w:rFonts w:ascii="Times New Roman" w:cs="Times New Roman" w:eastAsia="Times New Roman" w:hAnsi="Times New Roman"/>
                <w:sz w:val="7"/>
                <w:szCs w:val="7"/>
                <w:color w:val="auto"/>
              </w:rPr>
              <w:t xml:space="preserve">PageUp People, Ltd. </w:t>
            </w:r>
            <w:r>
              <w:rPr>
                <w:rFonts w:ascii="Times New Roman" w:cs="Times New Roman" w:eastAsia="Times New Roman" w:hAnsi="Times New Roman"/>
                <w:sz w:val="5"/>
                <w:szCs w:val="5"/>
                <w:color w:val="auto"/>
              </w:rPr>
              <w:t>(3)(4)(5)</w:t>
            </w:r>
          </w:p>
        </w:tc>
        <w:tc>
          <w:tcPr>
            <w:tcW w:w="14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S5051, Level 5, 447 Collins</w:t>
            </w:r>
          </w:p>
        </w:tc>
        <w:tc>
          <w:tcPr>
            <w:tcW w:w="1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Street</w:t>
            </w:r>
          </w:p>
        </w:tc>
        <w:tc>
          <w:tcPr>
            <w:tcW w:w="1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(AUD 13,916 par,</w:t>
            </w: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8,982</w:t>
            </w: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760" w:type="dxa"/>
            <w:vAlign w:val="bottom"/>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1"/>
                <w:szCs w:val="11"/>
                <w:color w:val="auto"/>
              </w:rPr>
              <w:t>Melbourne, Victoria 3000</w:t>
            </w:r>
          </w:p>
        </w:tc>
        <w:tc>
          <w:tcPr>
            <w:tcW w:w="1600" w:type="dxa"/>
            <w:vAlign w:val="bottom"/>
            <w:gridSpan w:val="2"/>
            <w:vMerge w:val="continue"/>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1/11/2018</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B + 5.25%</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9.36%</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10,500</w:t>
            </w:r>
          </w:p>
        </w:tc>
        <w:tc>
          <w:tcPr>
            <w:tcW w:w="860" w:type="dxa"/>
            <w:vAlign w:val="bottom"/>
            <w:gridSpan w:val="2"/>
            <w:vMerge w:val="continue"/>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0.6%</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Australia</w:t>
            </w:r>
          </w:p>
        </w:tc>
        <w:tc>
          <w:tcPr>
            <w:tcW w:w="1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due 12/2025)</w:t>
            </w:r>
          </w:p>
        </w:tc>
        <w:tc>
          <w:tcPr>
            <w:tcW w:w="72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(AUD 13,916)</w:t>
            </w: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0" w:type="dxa"/>
            <w:vAlign w:val="bottom"/>
            <w:gridSpan w:val="2"/>
          </w:tcPr>
          <w:p>
            <w:pPr>
              <w:spacing w:after="0" w:line="105" w:lineRule="exact"/>
              <w:rPr>
                <w:sz w:val="20"/>
                <w:szCs w:val="20"/>
                <w:color w:val="auto"/>
              </w:rPr>
            </w:pPr>
            <w:r>
              <w:rPr>
                <w:rFonts w:ascii="Times New Roman" w:cs="Times New Roman" w:eastAsia="Times New Roman" w:hAnsi="Times New Roman"/>
                <w:sz w:val="11"/>
                <w:szCs w:val="11"/>
                <w:color w:val="auto"/>
              </w:rPr>
              <w:t>First-lien loan (GBP 3,258 par,</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10/28/2021</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S + 5.28%</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10.47%</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4,487</w:t>
            </w:r>
          </w:p>
        </w:tc>
        <w:tc>
          <w:tcPr>
            <w:tcW w:w="860" w:type="dxa"/>
            <w:vAlign w:val="bottom"/>
            <w:gridSpan w:val="2"/>
          </w:tcPr>
          <w:p>
            <w:pPr>
              <w:jc w:val="right"/>
              <w:ind w:right="200"/>
              <w:spacing w:after="0" w:line="105" w:lineRule="exact"/>
              <w:rPr>
                <w:sz w:val="20"/>
                <w:szCs w:val="20"/>
                <w:color w:val="auto"/>
              </w:rPr>
            </w:pPr>
            <w:r>
              <w:rPr>
                <w:rFonts w:ascii="Times New Roman" w:cs="Times New Roman" w:eastAsia="Times New Roman" w:hAnsi="Times New Roman"/>
                <w:sz w:val="11"/>
                <w:szCs w:val="11"/>
                <w:color w:val="auto"/>
              </w:rPr>
              <w:t>3,976</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0.3%</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due 12/2025)</w:t>
            </w:r>
          </w:p>
        </w:tc>
        <w:tc>
          <w:tcPr>
            <w:tcW w:w="72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(GBP 3,258)</w:t>
            </w: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6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First-lien loan ($11,441 par, due</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10/28/2021</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SOFR + 5.35%</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10.67%</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11,431</w:t>
            </w:r>
          </w:p>
        </w:tc>
        <w:tc>
          <w:tcPr>
            <w:tcW w:w="16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11,441</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0.8%</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12/2025)</w:t>
            </w:r>
          </w:p>
        </w:tc>
        <w:tc>
          <w:tcPr>
            <w:tcW w:w="14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PayScale Holdings, Inc. </w:t>
            </w:r>
            <w:r>
              <w:rPr>
                <w:rFonts w:ascii="Times New Roman" w:cs="Times New Roman" w:eastAsia="Times New Roman" w:hAnsi="Times New Roman"/>
                <w:sz w:val="8"/>
                <w:szCs w:val="8"/>
                <w:color w:val="auto"/>
              </w:rPr>
              <w:t>(3)(5)</w:t>
            </w: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255 S King Street</w:t>
            </w: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Ste 800</w:t>
            </w: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($71,379 par, due</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Seattle, WA 98104</w:t>
            </w:r>
          </w:p>
        </w:tc>
        <w:tc>
          <w:tcPr>
            <w:tcW w:w="1600" w:type="dxa"/>
            <w:vAlign w:val="bottom"/>
            <w:gridSpan w:val="2"/>
            <w:vMerge w:val="continue"/>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5/3/2019</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SOFR + 6.35%</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11.74%</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70,985</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71,379</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4.8%</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5/2027)</w:t>
            </w: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PrimePay Intermediate, LLC </w:t>
            </w:r>
            <w:r>
              <w:rPr>
                <w:rFonts w:ascii="Times New Roman" w:cs="Times New Roman" w:eastAsia="Times New Roman" w:hAnsi="Times New Roman"/>
                <w:sz w:val="8"/>
                <w:szCs w:val="8"/>
                <w:color w:val="auto"/>
              </w:rPr>
              <w:t>(3)(5)</w:t>
            </w:r>
          </w:p>
        </w:tc>
        <w:tc>
          <w:tcPr>
            <w:tcW w:w="1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($34,462 par, due</w:t>
            </w: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1487 Dunwoody Drive West</w:t>
            </w:r>
          </w:p>
        </w:tc>
        <w:tc>
          <w:tcPr>
            <w:tcW w:w="1600" w:type="dxa"/>
            <w:vAlign w:val="bottom"/>
            <w:gridSpan w:val="2"/>
            <w:vMerge w:val="continue"/>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12/17/2021</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SOFR + 7.15%</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12.54%</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33,697</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34,290</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2.3%</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Chester, PA 19380 USA</w:t>
            </w:r>
          </w:p>
        </w:tc>
        <w:tc>
          <w:tcPr>
            <w:tcW w:w="1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12/2026)</w:t>
            </w:r>
          </w:p>
        </w:tc>
        <w:tc>
          <w:tcPr>
            <w:tcW w:w="14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320,440</w:t>
            </w:r>
          </w:p>
        </w:tc>
        <w:tc>
          <w:tcPr>
            <w:tcW w:w="160" w:type="dxa"/>
            <w:vAlign w:val="bottom"/>
            <w:vMerge w:val="continue"/>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320,343</w:t>
            </w:r>
          </w:p>
        </w:tc>
        <w:tc>
          <w:tcPr>
            <w:tcW w:w="200" w:type="dxa"/>
            <w:vAlign w:val="bottom"/>
            <w:vMerge w:val="continue"/>
          </w:tcPr>
          <w:p>
            <w:pPr>
              <w:spacing w:after="0"/>
              <w:rPr>
                <w:sz w:val="10"/>
                <w:szCs w:val="10"/>
                <w:color w:val="auto"/>
              </w:rPr>
            </w:pPr>
          </w:p>
        </w:tc>
        <w:tc>
          <w:tcPr>
            <w:tcW w:w="80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21.6%</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Insurance</w:t>
            </w:r>
          </w:p>
        </w:tc>
        <w:tc>
          <w:tcPr>
            <w:tcW w:w="1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Disco Parent, Inc. </w:t>
            </w:r>
            <w:r>
              <w:rPr>
                <w:rFonts w:ascii="Times New Roman" w:cs="Times New Roman" w:eastAsia="Times New Roman" w:hAnsi="Times New Roman"/>
                <w:sz w:val="8"/>
                <w:szCs w:val="8"/>
                <w:color w:val="auto"/>
              </w:rPr>
              <w:t>(3)</w:t>
            </w: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22 Boston Wharf Road Boston,</w:t>
            </w: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($4,545 par, due</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MA 02210</w:t>
            </w:r>
          </w:p>
        </w:tc>
        <w:tc>
          <w:tcPr>
            <w:tcW w:w="1600" w:type="dxa"/>
            <w:vAlign w:val="bottom"/>
            <w:gridSpan w:val="2"/>
            <w:vMerge w:val="continue"/>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3/30/2023</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SOFR + 7.50%</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12.92%</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4,431</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4,495</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0.3%</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3/2029)</w:t>
            </w: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Internet Services</w:t>
            </w:r>
          </w:p>
        </w:tc>
        <w:tc>
          <w:tcPr>
            <w:tcW w:w="1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Arrow Buyer, Inc. </w:t>
            </w:r>
            <w:r>
              <w:rPr>
                <w:rFonts w:ascii="Times New Roman" w:cs="Times New Roman" w:eastAsia="Times New Roman" w:hAnsi="Times New Roman"/>
                <w:sz w:val="8"/>
                <w:szCs w:val="8"/>
                <w:color w:val="auto"/>
              </w:rPr>
              <w:t>(3)</w:t>
            </w: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12 East 49th Street</w:t>
            </w: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Tower 49</w:t>
            </w: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($33,125 par, due</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New York, NY 10017</w:t>
            </w:r>
          </w:p>
        </w:tc>
        <w:tc>
          <w:tcPr>
            <w:tcW w:w="1600" w:type="dxa"/>
            <w:vAlign w:val="bottom"/>
            <w:gridSpan w:val="2"/>
            <w:vMerge w:val="continue"/>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6/30/2023</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SOFR + 6.50%</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11.89%</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32,225</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32,514</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2.2%</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7/2030)</w:t>
            </w: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Bayshore Intermediate #2, L.P. </w:t>
            </w:r>
            <w:r>
              <w:rPr>
                <w:rFonts w:ascii="Times New Roman" w:cs="Times New Roman" w:eastAsia="Times New Roman" w:hAnsi="Times New Roman"/>
                <w:sz w:val="8"/>
                <w:szCs w:val="8"/>
                <w:color w:val="auto"/>
              </w:rPr>
              <w:t>(3)</w:t>
            </w:r>
          </w:p>
        </w:tc>
        <w:tc>
          <w:tcPr>
            <w:tcW w:w="1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($35,464 par, due</w:t>
            </w: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13.00%</w:t>
            </w: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760" w:type="dxa"/>
            <w:vAlign w:val="bottom"/>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1"/>
                <w:szCs w:val="11"/>
                <w:color w:val="auto"/>
              </w:rPr>
              <w:t>1400 Liberty Ridge Drive</w:t>
            </w:r>
          </w:p>
        </w:tc>
        <w:tc>
          <w:tcPr>
            <w:tcW w:w="1600" w:type="dxa"/>
            <w:vAlign w:val="bottom"/>
            <w:gridSpan w:val="2"/>
            <w:vMerge w:val="continue"/>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10/1/2021</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SOFR + 7.60%</w:t>
            </w:r>
          </w:p>
        </w:tc>
        <w:tc>
          <w:tcPr>
            <w:tcW w:w="820" w:type="dxa"/>
            <w:vAlign w:val="bottom"/>
            <w:gridSpan w:val="2"/>
            <w:vMerge w:val="continue"/>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34,947</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35,198</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2.4%</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Chesterbrook, PA 19087 USA</w:t>
            </w:r>
          </w:p>
        </w:tc>
        <w:tc>
          <w:tcPr>
            <w:tcW w:w="1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10/2028)</w:t>
            </w:r>
          </w:p>
        </w:tc>
        <w:tc>
          <w:tcPr>
            <w:tcW w:w="14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PIK</w:t>
            </w:r>
          </w:p>
        </w:tc>
        <w:tc>
          <w:tcPr>
            <w:tcW w:w="60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First-lien revolving loan ($480</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10/1/2021</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SOFR + 6.60%</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11.87%</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16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200" w:type="dxa"/>
            <w:vAlign w:val="bottom"/>
          </w:tcPr>
          <w:p>
            <w:pPr>
              <w:spacing w:after="0"/>
              <w:rPr>
                <w:sz w:val="8"/>
                <w:szCs w:val="8"/>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par, due 10/2027)</w:t>
            </w:r>
          </w:p>
        </w:tc>
        <w:tc>
          <w:tcPr>
            <w:tcW w:w="72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Coupa Holdings, LLC </w:t>
            </w:r>
            <w:r>
              <w:rPr>
                <w:rFonts w:ascii="Times New Roman" w:cs="Times New Roman" w:eastAsia="Times New Roman" w:hAnsi="Times New Roman"/>
                <w:sz w:val="8"/>
                <w:szCs w:val="8"/>
                <w:color w:val="auto"/>
              </w:rPr>
              <w:t>(3)</w:t>
            </w:r>
          </w:p>
        </w:tc>
        <w:tc>
          <w:tcPr>
            <w:tcW w:w="1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1855 S. Grant Street</w:t>
            </w:r>
          </w:p>
        </w:tc>
        <w:tc>
          <w:tcPr>
            <w:tcW w:w="1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($43,191 par, due</w:t>
            </w: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San Mateo, CA 94402</w:t>
            </w:r>
          </w:p>
        </w:tc>
        <w:tc>
          <w:tcPr>
            <w:tcW w:w="1600" w:type="dxa"/>
            <w:vAlign w:val="bottom"/>
            <w:gridSpan w:val="2"/>
            <w:vMerge w:val="continue"/>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2/27/2023</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SOFR + 7.50%</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12.82%</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42,092</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43,066</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2.9%</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2/2030)</w:t>
            </w:r>
          </w:p>
        </w:tc>
        <w:tc>
          <w:tcPr>
            <w:tcW w:w="14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CrunchTime Information, Systems,</w:t>
            </w: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Inc.</w:t>
            </w:r>
            <w:r>
              <w:rPr>
                <w:rFonts w:ascii="Times New Roman" w:cs="Times New Roman" w:eastAsia="Times New Roman" w:hAnsi="Times New Roman"/>
                <w:sz w:val="7"/>
                <w:szCs w:val="7"/>
                <w:color w:val="auto"/>
              </w:rPr>
              <w:t xml:space="preserve"> (3)(5)</w:t>
            </w: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129 Portland Street</w:t>
            </w: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($59,651 par, due</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Boston, MA 02114</w:t>
            </w:r>
          </w:p>
        </w:tc>
        <w:tc>
          <w:tcPr>
            <w:tcW w:w="1600" w:type="dxa"/>
            <w:vAlign w:val="bottom"/>
            <w:gridSpan w:val="2"/>
            <w:vMerge w:val="continue"/>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6/17/2022</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SOFR + 6.00%</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11.32%</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58,579</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59,651</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4.0%</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6/2028)</w:t>
            </w: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EDB Parent, LLC </w:t>
            </w:r>
            <w:r>
              <w:rPr>
                <w:rFonts w:ascii="Times New Roman" w:cs="Times New Roman" w:eastAsia="Times New Roman" w:hAnsi="Times New Roman"/>
                <w:sz w:val="8"/>
                <w:szCs w:val="8"/>
                <w:color w:val="auto"/>
              </w:rPr>
              <w:t>(3)(5)</w:t>
            </w:r>
          </w:p>
        </w:tc>
        <w:tc>
          <w:tcPr>
            <w:tcW w:w="1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34 Crosby Drive</w:t>
            </w:r>
          </w:p>
        </w:tc>
        <w:tc>
          <w:tcPr>
            <w:tcW w:w="1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201, CORPORATION</w:t>
            </w:r>
          </w:p>
        </w:tc>
        <w:tc>
          <w:tcPr>
            <w:tcW w:w="1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TRUST CENTER 1209</w:t>
            </w:r>
          </w:p>
        </w:tc>
        <w:tc>
          <w:tcPr>
            <w:tcW w:w="1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ORANGE ST</w:t>
            </w:r>
          </w:p>
        </w:tc>
        <w:tc>
          <w:tcPr>
            <w:tcW w:w="1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($61,858 par, due</w:t>
            </w: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Bedford, MA 01730</w:t>
            </w:r>
          </w:p>
        </w:tc>
        <w:tc>
          <w:tcPr>
            <w:tcW w:w="1600" w:type="dxa"/>
            <w:vAlign w:val="bottom"/>
            <w:gridSpan w:val="2"/>
            <w:vMerge w:val="continue"/>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7/7/2022</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SOFR + 6.75%</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12.14%</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60,612</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61,394</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4.1%</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7/2028)</w:t>
            </w:r>
          </w:p>
        </w:tc>
        <w:tc>
          <w:tcPr>
            <w:tcW w:w="14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50" w:right="1440" w:bottom="1440" w:gutter="0" w:footer="0" w:header="0"/>
        </w:sectPr>
      </w:pPr>
    </w:p>
    <w:bookmarkStart w:id="92" w:name="page93"/>
    <w:bookmarkEnd w:id="92"/>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14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17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64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8"/>
              </w:rPr>
              <w:t>Acquisition</w:t>
            </w:r>
          </w:p>
        </w:tc>
        <w:tc>
          <w:tcPr>
            <w:tcW w:w="82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24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500" w:type="dxa"/>
            <w:vAlign w:val="bottom"/>
            <w:gridSpan w:val="2"/>
          </w:tcPr>
          <w:p>
            <w:pPr>
              <w:jc w:val="center"/>
              <w:ind w:right="20"/>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64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82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1040" w:type="dxa"/>
            <w:vAlign w:val="bottom"/>
            <w:gridSpan w:val="2"/>
          </w:tcPr>
          <w:p>
            <w:pPr>
              <w:jc w:val="right"/>
              <w:ind w:right="340"/>
              <w:spacing w:after="0" w:line="110"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540" w:type="dxa"/>
            <w:vAlign w:val="bottom"/>
            <w:gridSpan w:val="2"/>
          </w:tcPr>
          <w:p>
            <w:pPr>
              <w:jc w:val="right"/>
              <w:ind w:right="14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72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74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0"/>
                <w:szCs w:val="10"/>
                <w:b w:val="1"/>
                <w:bCs w:val="1"/>
                <w:color w:val="auto"/>
                <w:w w:val="94"/>
              </w:rPr>
              <w:t>of Net Assets</w:t>
            </w:r>
          </w:p>
        </w:tc>
        <w:tc>
          <w:tcPr>
            <w:tcW w:w="50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0"/>
                <w:szCs w:val="10"/>
                <w:b w:val="1"/>
                <w:bCs w:val="1"/>
                <w:color w:val="auto"/>
              </w:rPr>
              <w:t>Class Held</w:t>
            </w:r>
          </w:p>
        </w:tc>
        <w:tc>
          <w:tcPr>
            <w:tcW w:w="0" w:type="dxa"/>
            <w:vAlign w:val="bottom"/>
          </w:tcPr>
          <w:p>
            <w:pPr>
              <w:spacing w:after="0"/>
              <w:rPr>
                <w:sz w:val="1"/>
                <w:szCs w:val="1"/>
                <w:color w:val="auto"/>
              </w:rPr>
            </w:pPr>
          </w:p>
        </w:tc>
      </w:tr>
      <w:tr>
        <w:trPr>
          <w:trHeight w:val="68"/>
        </w:trPr>
        <w:tc>
          <w:tcPr>
            <w:tcW w:w="1740" w:type="dxa"/>
            <w:vAlign w:val="bottom"/>
            <w:tcBorders>
              <w:top w:val="single" w:sz="8" w:color="CCEEFF"/>
            </w:tcBorders>
            <w:gridSpan w:val="2"/>
            <w:shd w:val="clear" w:color="auto" w:fill="CCEEFF"/>
          </w:tcPr>
          <w:p>
            <w:pPr>
              <w:spacing w:after="0" w:line="69" w:lineRule="exact"/>
              <w:rPr>
                <w:sz w:val="20"/>
                <w:szCs w:val="20"/>
                <w:color w:val="auto"/>
              </w:rPr>
            </w:pPr>
            <w:r>
              <w:rPr>
                <w:rFonts w:ascii="Times New Roman" w:cs="Times New Roman" w:eastAsia="Times New Roman" w:hAnsi="Times New Roman"/>
                <w:sz w:val="7"/>
                <w:szCs w:val="7"/>
                <w:color w:val="auto"/>
              </w:rPr>
              <w:t xml:space="preserve">Higher Logic, LLC </w:t>
            </w:r>
            <w:r>
              <w:rPr>
                <w:rFonts w:ascii="Times New Roman" w:cs="Times New Roman" w:eastAsia="Times New Roman" w:hAnsi="Times New Roman"/>
                <w:sz w:val="5"/>
                <w:szCs w:val="5"/>
                <w:color w:val="auto"/>
              </w:rPr>
              <w:t>(3)(5)</w:t>
            </w:r>
          </w:p>
        </w:tc>
        <w:tc>
          <w:tcPr>
            <w:tcW w:w="40" w:type="dxa"/>
            <w:vAlign w:val="bottom"/>
            <w:tcBorders>
              <w:top w:val="single" w:sz="8" w:color="CCEEFF"/>
            </w:tcBorders>
            <w:shd w:val="clear" w:color="auto" w:fill="CCEEFF"/>
          </w:tcPr>
          <w:p>
            <w:pPr>
              <w:spacing w:after="0"/>
              <w:rPr>
                <w:sz w:val="5"/>
                <w:szCs w:val="5"/>
                <w:color w:val="auto"/>
              </w:rPr>
            </w:pPr>
          </w:p>
        </w:tc>
        <w:tc>
          <w:tcPr>
            <w:tcW w:w="16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7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1919 North Lynn Street</w:t>
            </w:r>
          </w:p>
        </w:tc>
        <w:tc>
          <w:tcPr>
            <w:tcW w:w="4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500</w:t>
            </w:r>
          </w:p>
        </w:tc>
        <w:tc>
          <w:tcPr>
            <w:tcW w:w="18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First-lien loan ($53,658 par, due</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Arlington, VA 22209</w:t>
            </w:r>
          </w:p>
        </w:tc>
        <w:tc>
          <w:tcPr>
            <w:tcW w:w="1800" w:type="dxa"/>
            <w:vAlign w:val="bottom"/>
            <w:gridSpan w:val="3"/>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6/18/2018</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SOFR + 6.75%</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12.14%</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53,464</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53,792</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3.6%</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1/2025)</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LeanTaaS Holdings, Inc. </w:t>
            </w:r>
            <w:r>
              <w:rPr>
                <w:rFonts w:ascii="Times New Roman" w:cs="Times New Roman" w:eastAsia="Times New Roman" w:hAnsi="Times New Roman"/>
                <w:sz w:val="8"/>
                <w:szCs w:val="8"/>
                <w:color w:val="auto"/>
              </w:rPr>
              <w:t>(3)(5)</w:t>
            </w:r>
          </w:p>
        </w:tc>
        <w:tc>
          <w:tcPr>
            <w:tcW w:w="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471 El Camino Real Suite 230</w:t>
            </w:r>
          </w:p>
        </w:tc>
        <w:tc>
          <w:tcPr>
            <w:tcW w:w="1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color w:val="auto"/>
              </w:rPr>
              <w:t>First-lien loan ($35,413 par, due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Santa Clara, CA 95050</w:t>
            </w:r>
          </w:p>
        </w:tc>
        <w:tc>
          <w:tcPr>
            <w:tcW w:w="1800" w:type="dxa"/>
            <w:vAlign w:val="bottom"/>
            <w:gridSpan w:val="3"/>
            <w:vMerge w:val="continue"/>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7/12/2022</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SOFR + 7.50%</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12.89%</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34,602</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35,556</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2.4%</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7/2028)</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Lithium Technologies, LLC </w:t>
            </w:r>
            <w:r>
              <w:rPr>
                <w:rFonts w:ascii="Times New Roman" w:cs="Times New Roman" w:eastAsia="Times New Roman" w:hAnsi="Times New Roman"/>
                <w:sz w:val="8"/>
                <w:szCs w:val="8"/>
                <w:color w:val="auto"/>
              </w:rPr>
              <w:t>(3)</w:t>
            </w:r>
          </w:p>
        </w:tc>
        <w:tc>
          <w:tcPr>
            <w:tcW w:w="4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One World Trade Center</w:t>
            </w:r>
          </w:p>
        </w:tc>
        <w:tc>
          <w:tcPr>
            <w:tcW w:w="4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46D</w:t>
            </w:r>
          </w:p>
        </w:tc>
        <w:tc>
          <w:tcPr>
            <w:tcW w:w="18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First-lien loan ($57,009 par, due</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14.37%</w:t>
            </w: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740" w:type="dxa"/>
            <w:vAlign w:val="bottom"/>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1"/>
                <w:szCs w:val="11"/>
                <w:color w:val="auto"/>
              </w:rPr>
              <w:t>New York, NY 10007</w:t>
            </w:r>
          </w:p>
        </w:tc>
        <w:tc>
          <w:tcPr>
            <w:tcW w:w="1800" w:type="dxa"/>
            <w:vAlign w:val="bottom"/>
            <w:gridSpan w:val="3"/>
            <w:vMerge w:val="continue"/>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10/3/2017</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SOFR + 9.00%</w:t>
            </w:r>
          </w:p>
        </w:tc>
        <w:tc>
          <w:tcPr>
            <w:tcW w:w="1040" w:type="dxa"/>
            <w:vAlign w:val="bottom"/>
            <w:gridSpan w:val="2"/>
            <w:vMerge w:val="continue"/>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56,996</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55,726</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3.8%</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1/2025)</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(incl. 4.50% PIK)</w:t>
            </w:r>
          </w:p>
        </w:tc>
        <w:tc>
          <w:tcPr>
            <w:tcW w:w="5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Lucidworks, Inc. </w:t>
            </w:r>
            <w:r>
              <w:rPr>
                <w:rFonts w:ascii="Times New Roman" w:cs="Times New Roman" w:eastAsia="Times New Roman" w:hAnsi="Times New Roman"/>
                <w:sz w:val="8"/>
                <w:szCs w:val="8"/>
                <w:color w:val="auto"/>
              </w:rPr>
              <w:t>(3)(5)</w:t>
            </w:r>
          </w:p>
        </w:tc>
        <w:tc>
          <w:tcPr>
            <w:tcW w:w="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235 Montgomery Street</w:t>
            </w:r>
          </w:p>
        </w:tc>
        <w:tc>
          <w:tcPr>
            <w:tcW w:w="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500</w:t>
            </w:r>
          </w:p>
        </w:tc>
        <w:tc>
          <w:tcPr>
            <w:tcW w:w="1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color w:val="auto"/>
              </w:rPr>
              <w:t>First-lien loan ($8,764 par, due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12.82%</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740" w:type="dxa"/>
            <w:vAlign w:val="bottom"/>
            <w:gridSpan w:val="2"/>
          </w:tcPr>
          <w:p>
            <w:pPr>
              <w:ind w:left="100"/>
              <w:spacing w:after="0" w:line="112" w:lineRule="exact"/>
              <w:rPr>
                <w:sz w:val="20"/>
                <w:szCs w:val="20"/>
                <w:color w:val="auto"/>
              </w:rPr>
            </w:pPr>
            <w:r>
              <w:rPr>
                <w:rFonts w:ascii="Times New Roman" w:cs="Times New Roman" w:eastAsia="Times New Roman" w:hAnsi="Times New Roman"/>
                <w:sz w:val="11"/>
                <w:szCs w:val="11"/>
                <w:color w:val="auto"/>
              </w:rPr>
              <w:t>San Francisco, CA 94104</w:t>
            </w:r>
          </w:p>
        </w:tc>
        <w:tc>
          <w:tcPr>
            <w:tcW w:w="1800" w:type="dxa"/>
            <w:vAlign w:val="bottom"/>
            <w:gridSpan w:val="3"/>
            <w:vMerge w:val="continue"/>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2/11/2022</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SOFR + 7.50%</w:t>
            </w:r>
          </w:p>
        </w:tc>
        <w:tc>
          <w:tcPr>
            <w:tcW w:w="1040" w:type="dxa"/>
            <w:vAlign w:val="bottom"/>
            <w:gridSpan w:val="2"/>
            <w:vMerge w:val="continue"/>
          </w:tcPr>
          <w:p>
            <w:pPr>
              <w:spacing w:after="0"/>
              <w:rPr>
                <w:sz w:val="9"/>
                <w:szCs w:val="9"/>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8,763</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8,717</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0.6%</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2/2027)</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(incl. 3.50% PIK)</w:t>
            </w:r>
          </w:p>
        </w:tc>
        <w:tc>
          <w:tcPr>
            <w:tcW w:w="5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8"/>
                <w:szCs w:val="8"/>
                <w:color w:val="auto"/>
              </w:rPr>
              <w:t>(3)(5)</w:t>
            </w:r>
          </w:p>
        </w:tc>
        <w:tc>
          <w:tcPr>
            <w:tcW w:w="4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One World Trade Center</w:t>
            </w:r>
          </w:p>
        </w:tc>
        <w:tc>
          <w:tcPr>
            <w:tcW w:w="4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46D</w:t>
            </w:r>
          </w:p>
        </w:tc>
        <w:tc>
          <w:tcPr>
            <w:tcW w:w="18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First-lien loan ($51,218 par, due</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New York, NY 10007</w:t>
            </w:r>
          </w:p>
        </w:tc>
        <w:tc>
          <w:tcPr>
            <w:tcW w:w="1800" w:type="dxa"/>
            <w:vAlign w:val="bottom"/>
            <w:gridSpan w:val="3"/>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2/25/2021</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SOFR + 7.10%</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12.42%</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50,545</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50,706</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3.3%</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2/2026)</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4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color w:val="auto"/>
              </w:rPr>
              <w:t>SMA Technologies Holdings, LLC</w:t>
            </w:r>
            <w:r>
              <w:rPr>
                <w:rFonts w:ascii="Times New Roman" w:cs="Times New Roman" w:eastAsia="Times New Roman" w:hAnsi="Times New Roman"/>
                <w:sz w:val="8"/>
                <w:szCs w:val="8"/>
                <w:color w:val="auto"/>
              </w:rPr>
              <w:t>(3)</w:t>
            </w:r>
          </w:p>
        </w:tc>
        <w:tc>
          <w:tcPr>
            <w:tcW w:w="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tcPr>
          <w:p>
            <w:pPr>
              <w:ind w:left="100"/>
              <w:spacing w:after="0" w:line="87" w:lineRule="exact"/>
              <w:rPr>
                <w:sz w:val="20"/>
                <w:szCs w:val="20"/>
                <w:color w:val="auto"/>
              </w:rPr>
            </w:pPr>
            <w:r>
              <w:rPr>
                <w:rFonts w:ascii="Times New Roman" w:cs="Times New Roman" w:eastAsia="Times New Roman" w:hAnsi="Times New Roman"/>
                <w:sz w:val="8"/>
                <w:szCs w:val="8"/>
                <w:color w:val="auto"/>
              </w:rPr>
              <w:t>(5)</w:t>
            </w: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14237 East Sam Houston Pawkway</w:t>
            </w:r>
          </w:p>
        </w:tc>
        <w:tc>
          <w:tcPr>
            <w:tcW w:w="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N.</w:t>
            </w:r>
          </w:p>
        </w:tc>
        <w:tc>
          <w:tcPr>
            <w:tcW w:w="1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color w:val="auto"/>
              </w:rPr>
              <w:t>First-lien loan ($36,833 par, due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200-314</w:t>
            </w:r>
          </w:p>
        </w:tc>
        <w:tc>
          <w:tcPr>
            <w:tcW w:w="1800" w:type="dxa"/>
            <w:vAlign w:val="bottom"/>
            <w:gridSpan w:val="3"/>
            <w:vMerge w:val="continue"/>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10/31/2022</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SOFR + 6.75%</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12.07%</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35,406</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36,649</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2.5%</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Houston, TX 77044 USA</w:t>
            </w: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10/2028)</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468,675</w:t>
            </w:r>
          </w:p>
        </w:tc>
        <w:tc>
          <w:tcPr>
            <w:tcW w:w="72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473,430</w:t>
            </w:r>
          </w:p>
        </w:tc>
        <w:tc>
          <w:tcPr>
            <w:tcW w:w="740" w:type="dxa"/>
            <w:vAlign w:val="bottom"/>
            <w:gridSpan w:val="2"/>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31.8%</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74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Manufacturing</w:t>
            </w:r>
          </w:p>
        </w:tc>
        <w:tc>
          <w:tcPr>
            <w:tcW w:w="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ASP Unifrax Holdings, Inc. </w:t>
            </w:r>
            <w:r>
              <w:rPr>
                <w:rFonts w:ascii="Times New Roman" w:cs="Times New Roman" w:eastAsia="Times New Roman" w:hAnsi="Times New Roman"/>
                <w:sz w:val="8"/>
                <w:szCs w:val="8"/>
                <w:color w:val="auto"/>
              </w:rPr>
              <w:t>(9)</w:t>
            </w:r>
          </w:p>
        </w:tc>
        <w:tc>
          <w:tcPr>
            <w:tcW w:w="4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600 Riverwalk Parkway</w:t>
            </w:r>
          </w:p>
        </w:tc>
        <w:tc>
          <w:tcPr>
            <w:tcW w:w="4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120</w:t>
            </w:r>
          </w:p>
        </w:tc>
        <w:tc>
          <w:tcPr>
            <w:tcW w:w="18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First-lien loan ($1,133 par, due</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Tonawanda, NY 14150</w:t>
            </w:r>
          </w:p>
        </w:tc>
        <w:tc>
          <w:tcPr>
            <w:tcW w:w="1800" w:type="dxa"/>
            <w:vAlign w:val="bottom"/>
            <w:gridSpan w:val="3"/>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8/25/2023</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SOFR + 3.90%</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9.29%</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1,051</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1,055</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 xml:space="preserve">12/2025) </w:t>
            </w:r>
            <w:r>
              <w:rPr>
                <w:rFonts w:ascii="Times New Roman" w:cs="Times New Roman" w:eastAsia="Times New Roman" w:hAnsi="Times New Roman"/>
                <w:sz w:val="8"/>
                <w:szCs w:val="8"/>
                <w:color w:val="auto"/>
              </w:rPr>
              <w:t>(3)</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0" w:type="dxa"/>
            <w:vAlign w:val="bottom"/>
            <w:gridSpan w:val="3"/>
          </w:tcPr>
          <w:p>
            <w:pPr>
              <w:ind w:left="40"/>
              <w:spacing w:after="0" w:line="105" w:lineRule="exact"/>
              <w:rPr>
                <w:sz w:val="20"/>
                <w:szCs w:val="20"/>
                <w:color w:val="auto"/>
              </w:rPr>
            </w:pPr>
            <w:r>
              <w:rPr>
                <w:rFonts w:ascii="Times New Roman" w:cs="Times New Roman" w:eastAsia="Times New Roman" w:hAnsi="Times New Roman"/>
                <w:sz w:val="11"/>
                <w:szCs w:val="11"/>
                <w:color w:val="auto"/>
              </w:rPr>
              <w:t>First-lien loan (EUR 364 par, due</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9/14/2023</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E + 3.75%</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7.72%</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05" w:lineRule="exact"/>
              <w:rPr>
                <w:sz w:val="20"/>
                <w:szCs w:val="20"/>
                <w:color w:val="auto"/>
              </w:rPr>
            </w:pPr>
            <w:r>
              <w:rPr>
                <w:rFonts w:ascii="Times New Roman" w:cs="Times New Roman" w:eastAsia="Times New Roman" w:hAnsi="Times New Roman"/>
                <w:sz w:val="11"/>
                <w:szCs w:val="11"/>
                <w:color w:val="auto"/>
              </w:rPr>
              <w:t>354</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 xml:space="preserve">12/2025) </w:t>
            </w:r>
            <w:r>
              <w:rPr>
                <w:rFonts w:ascii="Times New Roman" w:cs="Times New Roman" w:eastAsia="Times New Roman" w:hAnsi="Times New Roman"/>
                <w:sz w:val="8"/>
                <w:szCs w:val="8"/>
                <w:color w:val="auto"/>
              </w:rPr>
              <w:t>(3)</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(EUR 335)</w:t>
            </w:r>
          </w:p>
        </w:tc>
        <w:tc>
          <w:tcPr>
            <w:tcW w:w="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800" w:type="dxa"/>
            <w:vAlign w:val="bottom"/>
            <w:gridSpan w:val="3"/>
            <w:shd w:val="clear" w:color="auto" w:fill="CCEEFF"/>
          </w:tcPr>
          <w:p>
            <w:pPr>
              <w:ind w:left="40"/>
              <w:spacing w:after="0" w:line="98" w:lineRule="exact"/>
              <w:rPr>
                <w:sz w:val="20"/>
                <w:szCs w:val="20"/>
                <w:color w:val="auto"/>
              </w:rPr>
            </w:pPr>
            <w:r>
              <w:rPr>
                <w:rFonts w:ascii="Times New Roman" w:cs="Times New Roman" w:eastAsia="Times New Roman" w:hAnsi="Times New Roman"/>
                <w:sz w:val="11"/>
                <w:szCs w:val="11"/>
                <w:color w:val="auto"/>
              </w:rPr>
              <w:t>Unsecured Note ($227 par, due</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8/31/2023</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7.50%</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7.50%</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119</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123</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9/2029)</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50" w:right="1440" w:bottom="1440" w:gutter="0" w:footer="0" w:header="0"/>
        </w:sectPr>
      </w:pPr>
    </w:p>
    <w:bookmarkStart w:id="93" w:name="page94"/>
    <w:bookmarkEnd w:id="93"/>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10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vMerge w:val="restart"/>
          </w:tcPr>
          <w:p>
            <w:pPr>
              <w:ind w:left="52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66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8"/>
              </w:rPr>
              <w:t>Acquisition</w:t>
            </w:r>
          </w:p>
        </w:tc>
        <w:tc>
          <w:tcPr>
            <w:tcW w:w="84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24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50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14"/>
        </w:trPr>
        <w:tc>
          <w:tcPr>
            <w:tcW w:w="600" w:type="dxa"/>
            <w:vAlign w:val="bottom"/>
            <w:tcBorders>
              <w:bottom w:val="single" w:sz="8" w:color="auto"/>
            </w:tcBorders>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66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840" w:type="dxa"/>
            <w:vAlign w:val="bottom"/>
            <w:gridSpan w:val="2"/>
          </w:tcPr>
          <w:p>
            <w:pPr>
              <w:jc w:val="center"/>
              <w:ind w:right="220"/>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1080" w:type="dxa"/>
            <w:vAlign w:val="bottom"/>
            <w:gridSpan w:val="2"/>
          </w:tcPr>
          <w:p>
            <w:pPr>
              <w:jc w:val="right"/>
              <w:ind w:right="380"/>
              <w:spacing w:after="0" w:line="110"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560" w:type="dxa"/>
            <w:vAlign w:val="bottom"/>
            <w:gridSpan w:val="2"/>
          </w:tcPr>
          <w:p>
            <w:pPr>
              <w:jc w:val="right"/>
              <w:ind w:right="14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78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74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0"/>
                <w:szCs w:val="10"/>
                <w:b w:val="1"/>
                <w:bCs w:val="1"/>
                <w:color w:val="auto"/>
                <w:w w:val="94"/>
              </w:rPr>
              <w:t>of Net Assets</w:t>
            </w:r>
          </w:p>
        </w:tc>
        <w:tc>
          <w:tcPr>
            <w:tcW w:w="50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rPr>
              <w:t>Class Held</w:t>
            </w:r>
          </w:p>
        </w:tc>
        <w:tc>
          <w:tcPr>
            <w:tcW w:w="0" w:type="dxa"/>
            <w:vAlign w:val="bottom"/>
          </w:tcPr>
          <w:p>
            <w:pPr>
              <w:spacing w:after="0"/>
              <w:rPr>
                <w:sz w:val="1"/>
                <w:szCs w:val="1"/>
                <w:color w:val="auto"/>
              </w:rPr>
            </w:pPr>
          </w:p>
        </w:tc>
      </w:tr>
      <w:tr>
        <w:trPr>
          <w:trHeight w:val="20"/>
        </w:trPr>
        <w:tc>
          <w:tcPr>
            <w:tcW w:w="1700" w:type="dxa"/>
            <w:vAlign w:val="bottom"/>
            <w:gridSpan w:val="2"/>
            <w:vMerge w:val="restart"/>
            <w:shd w:val="clear" w:color="auto" w:fill="CCEEFF"/>
          </w:tcPr>
          <w:p>
            <w:pPr>
              <w:spacing w:after="0" w:line="89" w:lineRule="exact"/>
              <w:rPr>
                <w:sz w:val="20"/>
                <w:szCs w:val="20"/>
                <w:color w:val="auto"/>
              </w:rPr>
            </w:pPr>
            <w:r>
              <w:rPr>
                <w:rFonts w:ascii="Times New Roman" w:cs="Times New Roman" w:eastAsia="Times New Roman" w:hAnsi="Times New Roman"/>
                <w:sz w:val="10"/>
                <w:szCs w:val="10"/>
                <w:color w:val="auto"/>
              </w:rPr>
              <w:t xml:space="preserve">Avalara, Inc </w:t>
            </w:r>
            <w:r>
              <w:rPr>
                <w:rFonts w:ascii="Times New Roman" w:cs="Times New Roman" w:eastAsia="Times New Roman" w:hAnsi="Times New Roman"/>
                <w:sz w:val="7"/>
                <w:szCs w:val="7"/>
                <w:color w:val="auto"/>
              </w:rPr>
              <w:t>(3)</w:t>
            </w:r>
          </w:p>
        </w:tc>
        <w:tc>
          <w:tcPr>
            <w:tcW w:w="80" w:type="dxa"/>
            <w:vAlign w:val="bottom"/>
            <w:shd w:val="clear" w:color="auto" w:fill="CCEEFF"/>
          </w:tcPr>
          <w:p>
            <w:pPr>
              <w:spacing w:after="0" w:line="20" w:lineRule="exact"/>
              <w:rPr>
                <w:sz w:val="1"/>
                <w:szCs w:val="1"/>
                <w:color w:val="auto"/>
              </w:rPr>
            </w:pPr>
          </w:p>
        </w:tc>
        <w:tc>
          <w:tcPr>
            <w:tcW w:w="160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700" w:type="dxa"/>
            <w:vAlign w:val="bottom"/>
            <w:gridSpan w:val="2"/>
            <w:vMerge w:val="continue"/>
            <w:shd w:val="clear" w:color="auto" w:fill="CCEEFF"/>
          </w:tcPr>
          <w:p>
            <w:pPr>
              <w:spacing w:after="0"/>
              <w:rPr>
                <w:sz w:val="5"/>
                <w:szCs w:val="5"/>
                <w:color w:val="auto"/>
              </w:rPr>
            </w:pPr>
          </w:p>
        </w:tc>
        <w:tc>
          <w:tcPr>
            <w:tcW w:w="1680" w:type="dxa"/>
            <w:vAlign w:val="bottom"/>
            <w:tcBorders>
              <w:right w:val="single" w:sz="8" w:color="CCEEFF"/>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First-lien loan ($38,636 par, due</w:t>
            </w: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00" w:type="dxa"/>
            <w:vAlign w:val="bottom"/>
            <w:tcBorders>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7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255 South King Street #1200</w:t>
            </w:r>
          </w:p>
        </w:tc>
        <w:tc>
          <w:tcPr>
            <w:tcW w:w="1680" w:type="dxa"/>
            <w:vAlign w:val="bottom"/>
            <w:tcBorders>
              <w:right w:val="single" w:sz="8" w:color="CCEEFF"/>
            </w:tcBorders>
            <w:gridSpan w:val="2"/>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10/19/2022</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+ 7.25%</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12.64%</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37,701</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38,424</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2.6%</w:t>
            </w: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Seattle, WA 98104</w:t>
            </w:r>
          </w:p>
        </w:tc>
        <w:tc>
          <w:tcPr>
            <w:tcW w:w="16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10/2028)</w:t>
            </w:r>
          </w:p>
        </w:tc>
        <w:tc>
          <w:tcPr>
            <w:tcW w:w="66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Skylark UK DebtCo Limited </w:t>
            </w:r>
            <w:r>
              <w:rPr>
                <w:rFonts w:ascii="Times New Roman" w:cs="Times New Roman" w:eastAsia="Times New Roman" w:hAnsi="Times New Roman"/>
                <w:sz w:val="8"/>
                <w:szCs w:val="8"/>
                <w:color w:val="auto"/>
              </w:rPr>
              <w:t>(3)(4)</w:t>
            </w:r>
          </w:p>
        </w:tc>
        <w:tc>
          <w:tcPr>
            <w:tcW w:w="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4th Floor 100 Pall Mall</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auto"/>
              </w:rPr>
              <w:t>First-lien loan ($16,340 par, due</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London SW1Y 5NQ United</w:t>
            </w:r>
          </w:p>
        </w:tc>
        <w:tc>
          <w:tcPr>
            <w:tcW w:w="1680" w:type="dxa"/>
            <w:vAlign w:val="bottom"/>
            <w:gridSpan w:val="2"/>
            <w:vMerge w:val="continue"/>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9/7/2023</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SOFR + 6.25%</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11.65%</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15,705</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15,697</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1.1%</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Kingdom</w:t>
            </w: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9/2030)</w:t>
            </w:r>
          </w:p>
        </w:tc>
        <w:tc>
          <w:tcPr>
            <w:tcW w:w="6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680" w:type="dxa"/>
            <w:vAlign w:val="bottom"/>
            <w:tcBorders>
              <w:right w:val="single" w:sz="8" w:color="CCEEFF"/>
            </w:tcBorders>
            <w:gridSpan w:val="2"/>
            <w:shd w:val="clear" w:color="auto" w:fill="CCEEFF"/>
          </w:tcPr>
          <w:p>
            <w:pPr>
              <w:ind w:left="80"/>
              <w:spacing w:after="0" w:line="105" w:lineRule="exact"/>
              <w:rPr>
                <w:sz w:val="20"/>
                <w:szCs w:val="20"/>
                <w:color w:val="auto"/>
              </w:rPr>
            </w:pPr>
            <w:r>
              <w:rPr>
                <w:rFonts w:ascii="Times New Roman" w:cs="Times New Roman" w:eastAsia="Times New Roman" w:hAnsi="Times New Roman"/>
                <w:sz w:val="11"/>
                <w:szCs w:val="11"/>
                <w:color w:val="auto"/>
              </w:rPr>
              <w:t>First-lien loan (EUR 4,851 par,</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9/7/2023</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E + 6.25%</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10.08%</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5,051</w:t>
            </w:r>
          </w:p>
        </w:tc>
        <w:tc>
          <w:tcPr>
            <w:tcW w:w="780" w:type="dxa"/>
            <w:vAlign w:val="bottom"/>
            <w:gridSpan w:val="2"/>
            <w:shd w:val="clear" w:color="auto" w:fill="CCEEFF"/>
          </w:tcPr>
          <w:p>
            <w:pPr>
              <w:jc w:val="right"/>
              <w:ind w:right="160"/>
              <w:spacing w:after="0" w:line="105" w:lineRule="exact"/>
              <w:rPr>
                <w:sz w:val="20"/>
                <w:szCs w:val="20"/>
                <w:color w:val="auto"/>
              </w:rPr>
            </w:pPr>
            <w:r>
              <w:rPr>
                <w:rFonts w:ascii="Times New Roman" w:cs="Times New Roman" w:eastAsia="Times New Roman" w:hAnsi="Times New Roman"/>
                <w:sz w:val="11"/>
                <w:szCs w:val="11"/>
                <w:color w:val="auto"/>
              </w:rPr>
              <w:t>5,021</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0.3%</w:t>
            </w:r>
          </w:p>
        </w:tc>
        <w:tc>
          <w:tcPr>
            <w:tcW w:w="50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due 9/2030)</w:t>
            </w:r>
          </w:p>
        </w:tc>
        <w:tc>
          <w:tcPr>
            <w:tcW w:w="66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(EUR 4,742)</w:t>
            </w: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80" w:type="dxa"/>
            <w:vAlign w:val="bottom"/>
            <w:gridSpan w:val="2"/>
          </w:tcPr>
          <w:p>
            <w:pPr>
              <w:ind w:left="80"/>
              <w:spacing w:after="0" w:line="105" w:lineRule="exact"/>
              <w:rPr>
                <w:sz w:val="20"/>
                <w:szCs w:val="20"/>
                <w:color w:val="auto"/>
              </w:rPr>
            </w:pPr>
            <w:r>
              <w:rPr>
                <w:rFonts w:ascii="Times New Roman" w:cs="Times New Roman" w:eastAsia="Times New Roman" w:hAnsi="Times New Roman"/>
                <w:sz w:val="11"/>
                <w:szCs w:val="11"/>
                <w:color w:val="auto"/>
              </w:rPr>
              <w:t>First-lien loan (GBP 16,640 par,</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9/7/2023</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S + 6.25%</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11.44%</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20,194</w:t>
            </w:r>
          </w:p>
        </w:tc>
        <w:tc>
          <w:tcPr>
            <w:tcW w:w="780" w:type="dxa"/>
            <w:vAlign w:val="bottom"/>
            <w:gridSpan w:val="2"/>
          </w:tcPr>
          <w:p>
            <w:pPr>
              <w:jc w:val="right"/>
              <w:ind w:right="160"/>
              <w:spacing w:after="0" w:line="105" w:lineRule="exact"/>
              <w:rPr>
                <w:sz w:val="20"/>
                <w:szCs w:val="20"/>
                <w:color w:val="auto"/>
              </w:rPr>
            </w:pPr>
            <w:r>
              <w:rPr>
                <w:rFonts w:ascii="Times New Roman" w:cs="Times New Roman" w:eastAsia="Times New Roman" w:hAnsi="Times New Roman"/>
                <w:sz w:val="11"/>
                <w:szCs w:val="11"/>
                <w:color w:val="auto"/>
              </w:rPr>
              <w:t>19,852</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1.3%</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due 9/2030)</w:t>
            </w:r>
          </w:p>
        </w:tc>
        <w:tc>
          <w:tcPr>
            <w:tcW w:w="6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(GBP 16,265)</w:t>
            </w: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80,178</w:t>
            </w:r>
          </w:p>
        </w:tc>
        <w:tc>
          <w:tcPr>
            <w:tcW w:w="78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80,526</w:t>
            </w:r>
          </w:p>
        </w:tc>
        <w:tc>
          <w:tcPr>
            <w:tcW w:w="740" w:type="dxa"/>
            <w:vAlign w:val="bottom"/>
            <w:gridSpan w:val="2"/>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5.4%</w:t>
            </w: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7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Office Products</w:t>
            </w: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USR Parent, Inc. </w:t>
            </w:r>
            <w:r>
              <w:rPr>
                <w:rFonts w:ascii="Times New Roman" w:cs="Times New Roman" w:eastAsia="Times New Roman" w:hAnsi="Times New Roman"/>
                <w:sz w:val="8"/>
                <w:szCs w:val="8"/>
                <w:color w:val="auto"/>
              </w:rPr>
              <w:t>(3)(5)</w:t>
            </w:r>
          </w:p>
        </w:tc>
        <w:tc>
          <w:tcPr>
            <w:tcW w:w="1680" w:type="dxa"/>
            <w:vAlign w:val="bottom"/>
            <w:tcBorders>
              <w:right w:val="single" w:sz="8" w:color="CCEEFF"/>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ABL FILO term loan ($17,500</w:t>
            </w: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500 Staples Drive MS: E5A</w:t>
            </w:r>
          </w:p>
        </w:tc>
        <w:tc>
          <w:tcPr>
            <w:tcW w:w="1680" w:type="dxa"/>
            <w:vAlign w:val="bottom"/>
            <w:tcBorders>
              <w:right w:val="single" w:sz="8" w:color="CCEEFF"/>
            </w:tcBorders>
            <w:gridSpan w:val="2"/>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4/25/2022</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+ 6.50%</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11.83%</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17,185</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17,369</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1.2%</w:t>
            </w: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Framingham, MA 01702</w:t>
            </w:r>
          </w:p>
        </w:tc>
        <w:tc>
          <w:tcPr>
            <w:tcW w:w="8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par, due 4/2027)</w:t>
            </w:r>
          </w:p>
        </w:tc>
        <w:tc>
          <w:tcPr>
            <w:tcW w:w="66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0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Oil, Gas and Consumable Fuels</w:t>
            </w: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Laramie Energy, LLC </w:t>
            </w:r>
            <w:r>
              <w:rPr>
                <w:rFonts w:ascii="Times New Roman" w:cs="Times New Roman" w:eastAsia="Times New Roman" w:hAnsi="Times New Roman"/>
                <w:sz w:val="8"/>
                <w:szCs w:val="8"/>
                <w:color w:val="auto"/>
              </w:rPr>
              <w:t>(3)</w:t>
            </w:r>
          </w:p>
        </w:tc>
        <w:tc>
          <w:tcPr>
            <w:tcW w:w="1680" w:type="dxa"/>
            <w:vAlign w:val="bottom"/>
            <w:tcBorders>
              <w:right w:val="single" w:sz="8" w:color="CCEEFF"/>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First-lien loan ($27,317 par, due</w:t>
            </w: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730 17th Street</w:t>
            </w:r>
          </w:p>
        </w:tc>
        <w:tc>
          <w:tcPr>
            <w:tcW w:w="1680" w:type="dxa"/>
            <w:vAlign w:val="bottom"/>
            <w:tcBorders>
              <w:right w:val="single" w:sz="8" w:color="CCEEFF"/>
            </w:tcBorders>
            <w:gridSpan w:val="2"/>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2/21/2023</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+ 7.10%</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12.42%</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26,724</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27,055</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1.8%</w:t>
            </w: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Denver, CO 80202</w:t>
            </w:r>
          </w:p>
        </w:tc>
        <w:tc>
          <w:tcPr>
            <w:tcW w:w="16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2/2027)</w:t>
            </w:r>
          </w:p>
        </w:tc>
        <w:tc>
          <w:tcPr>
            <w:tcW w:w="66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Murchison Oil and Gas, LLC </w:t>
            </w:r>
            <w:r>
              <w:rPr>
                <w:rFonts w:ascii="Times New Roman" w:cs="Times New Roman" w:eastAsia="Times New Roman" w:hAnsi="Times New Roman"/>
                <w:sz w:val="8"/>
                <w:szCs w:val="8"/>
                <w:color w:val="auto"/>
              </w:rPr>
              <w:t>(3)</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auto"/>
              </w:rPr>
              <w:t>First-lien loan ($29,478 par, due</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1100 Mira Vista</w:t>
            </w:r>
          </w:p>
        </w:tc>
        <w:tc>
          <w:tcPr>
            <w:tcW w:w="1680" w:type="dxa"/>
            <w:vAlign w:val="bottom"/>
            <w:gridSpan w:val="2"/>
            <w:vMerge w:val="continue"/>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6/30/2022</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SOFR + 8.65%</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14.04%</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28,986</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29,887</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2.0%</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Plano, TX 79093</w:t>
            </w: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6/2026)</w:t>
            </w:r>
          </w:p>
        </w:tc>
        <w:tc>
          <w:tcPr>
            <w:tcW w:w="6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TRP Assets, LLC </w:t>
            </w:r>
            <w:r>
              <w:rPr>
                <w:rFonts w:ascii="Times New Roman" w:cs="Times New Roman" w:eastAsia="Times New Roman" w:hAnsi="Times New Roman"/>
                <w:sz w:val="8"/>
                <w:szCs w:val="8"/>
                <w:color w:val="auto"/>
              </w:rPr>
              <w:t>(3)</w:t>
            </w:r>
          </w:p>
        </w:tc>
        <w:tc>
          <w:tcPr>
            <w:tcW w:w="1680" w:type="dxa"/>
            <w:vAlign w:val="bottom"/>
            <w:tcBorders>
              <w:right w:val="single" w:sz="8" w:color="CCEEFF"/>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First-lien loan ($65,000 par, due</w:t>
            </w: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1111 Louisiana Street Suite 4550</w:t>
            </w:r>
          </w:p>
        </w:tc>
        <w:tc>
          <w:tcPr>
            <w:tcW w:w="1680" w:type="dxa"/>
            <w:vAlign w:val="bottom"/>
            <w:tcBorders>
              <w:right w:val="single" w:sz="8" w:color="CCEEFF"/>
            </w:tcBorders>
            <w:gridSpan w:val="2"/>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12/3/2021</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+ 7.76%</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13.15%</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64,299</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67,310</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4.5%</w:t>
            </w: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Houston, TX</w:t>
            </w:r>
          </w:p>
        </w:tc>
        <w:tc>
          <w:tcPr>
            <w:tcW w:w="16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12/2025)</w:t>
            </w:r>
          </w:p>
        </w:tc>
        <w:tc>
          <w:tcPr>
            <w:tcW w:w="66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120,009</w:t>
            </w:r>
          </w:p>
        </w:tc>
        <w:tc>
          <w:tcPr>
            <w:tcW w:w="120" w:type="dxa"/>
            <w:vAlign w:val="bottom"/>
            <w:vMerge w:val="continue"/>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124,252</w:t>
            </w:r>
          </w:p>
        </w:tc>
        <w:tc>
          <w:tcPr>
            <w:tcW w:w="160" w:type="dxa"/>
            <w:vAlign w:val="bottom"/>
            <w:vMerge w:val="continue"/>
          </w:tcPr>
          <w:p>
            <w:pPr>
              <w:spacing w:after="0"/>
              <w:rPr>
                <w:sz w:val="10"/>
                <w:szCs w:val="10"/>
                <w:color w:val="auto"/>
              </w:rPr>
            </w:pPr>
          </w:p>
        </w:tc>
        <w:tc>
          <w:tcPr>
            <w:tcW w:w="7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8.3%</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0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shd w:val="clear" w:color="auto" w:fill="CCEEFF"/>
          </w:tcPr>
          <w:p>
            <w:pPr>
              <w:spacing w:after="0"/>
              <w:rPr>
                <w:sz w:val="10"/>
                <w:szCs w:val="10"/>
                <w:color w:val="auto"/>
              </w:rPr>
            </w:pPr>
          </w:p>
        </w:tc>
        <w:tc>
          <w:tcPr>
            <w:tcW w:w="160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Omnigo Software, LLC </w:t>
            </w:r>
            <w:r>
              <w:rPr>
                <w:rFonts w:ascii="Times New Roman" w:cs="Times New Roman" w:eastAsia="Times New Roman" w:hAnsi="Times New Roman"/>
                <w:sz w:val="8"/>
                <w:szCs w:val="8"/>
                <w:color w:val="auto"/>
              </w:rPr>
              <w:t>(3)(5)</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auto"/>
              </w:rPr>
              <w:t>First-lien loan ($40,045 par, due</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10430 Baur Boulevard</w:t>
            </w:r>
          </w:p>
        </w:tc>
        <w:tc>
          <w:tcPr>
            <w:tcW w:w="1680" w:type="dxa"/>
            <w:vAlign w:val="bottom"/>
            <w:gridSpan w:val="2"/>
            <w:vMerge w:val="continue"/>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3/31/2021</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SOFR + 6.60%</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11.92%</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39,492</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39,745</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2.7%</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Saint Louis, MO 63132</w:t>
            </w: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3/2026)</w:t>
            </w:r>
          </w:p>
        </w:tc>
        <w:tc>
          <w:tcPr>
            <w:tcW w:w="6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0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Retail and Consumer Products</w:t>
            </w:r>
          </w:p>
        </w:tc>
        <w:tc>
          <w:tcPr>
            <w:tcW w:w="80" w:type="dxa"/>
            <w:vAlign w:val="bottom"/>
            <w:shd w:val="clear" w:color="auto" w:fill="CCEEFF"/>
          </w:tcPr>
          <w:p>
            <w:pPr>
              <w:spacing w:after="0"/>
              <w:rPr>
                <w:sz w:val="10"/>
                <w:szCs w:val="10"/>
                <w:color w:val="auto"/>
              </w:rPr>
            </w:pPr>
          </w:p>
        </w:tc>
        <w:tc>
          <w:tcPr>
            <w:tcW w:w="160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99 Cents Only Stores LLC </w:t>
            </w:r>
            <w:r>
              <w:rPr>
                <w:rFonts w:ascii="Times New Roman" w:cs="Times New Roman" w:eastAsia="Times New Roman" w:hAnsi="Times New Roman"/>
                <w:sz w:val="8"/>
                <w:szCs w:val="8"/>
                <w:color w:val="auto"/>
              </w:rPr>
              <w:t>(3)</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auto"/>
              </w:rPr>
              <w:t>ABL FILO term loan ($25,000</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4000 Union Pacific Avenue</w:t>
            </w:r>
          </w:p>
        </w:tc>
        <w:tc>
          <w:tcPr>
            <w:tcW w:w="1680" w:type="dxa"/>
            <w:vAlign w:val="bottom"/>
            <w:gridSpan w:val="2"/>
            <w:vMerge w:val="continue"/>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9/6/2017</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SOFR + 8.65%</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14.05%</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24,845</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25,000</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1.7%</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Commerce, CA 90023</w:t>
            </w:r>
          </w:p>
        </w:tc>
        <w:tc>
          <w:tcPr>
            <w:tcW w:w="80" w:type="dxa"/>
            <w:vAlign w:val="bottom"/>
          </w:tcPr>
          <w:p>
            <w:pPr>
              <w:spacing w:after="0"/>
              <w:rPr>
                <w:sz w:val="11"/>
                <w:szCs w:val="11"/>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par, due 5/2025)</w:t>
            </w:r>
          </w:p>
        </w:tc>
        <w:tc>
          <w:tcPr>
            <w:tcW w:w="6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American Achievement, Corp. </w:t>
            </w:r>
            <w:r>
              <w:rPr>
                <w:rFonts w:ascii="Times New Roman" w:cs="Times New Roman" w:eastAsia="Times New Roman" w:hAnsi="Times New Roman"/>
                <w:sz w:val="8"/>
                <w:szCs w:val="8"/>
                <w:color w:val="auto"/>
              </w:rPr>
              <w:t>(3)(14)</w:t>
            </w:r>
          </w:p>
        </w:tc>
        <w:tc>
          <w:tcPr>
            <w:tcW w:w="1680" w:type="dxa"/>
            <w:vAlign w:val="bottom"/>
            <w:tcBorders>
              <w:right w:val="single" w:sz="8" w:color="CCEEFF"/>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First-lien loan ($27,089 par, due</w:t>
            </w: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11.68%</w:t>
            </w: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700" w:type="dxa"/>
            <w:vAlign w:val="bottom"/>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1"/>
                <w:szCs w:val="11"/>
                <w:color w:val="auto"/>
              </w:rPr>
              <w:t>1550 W Mockingbird Lane</w:t>
            </w:r>
          </w:p>
        </w:tc>
        <w:tc>
          <w:tcPr>
            <w:tcW w:w="1680" w:type="dxa"/>
            <w:vAlign w:val="bottom"/>
            <w:tcBorders>
              <w:right w:val="single" w:sz="8" w:color="CCEEFF"/>
            </w:tcBorders>
            <w:gridSpan w:val="2"/>
            <w:vMerge w:val="continue"/>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9/30/2015</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SOFR + 6.35%</w:t>
            </w:r>
          </w:p>
        </w:tc>
        <w:tc>
          <w:tcPr>
            <w:tcW w:w="1080" w:type="dxa"/>
            <w:vAlign w:val="bottom"/>
            <w:gridSpan w:val="2"/>
            <w:vMerge w:val="continue"/>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26,260</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20,452</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1.4%</w:t>
            </w:r>
          </w:p>
        </w:tc>
        <w:tc>
          <w:tcPr>
            <w:tcW w:w="50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Dallas, TX 75235</w:t>
            </w:r>
          </w:p>
        </w:tc>
        <w:tc>
          <w:tcPr>
            <w:tcW w:w="16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9/2026)</w:t>
            </w:r>
          </w:p>
        </w:tc>
        <w:tc>
          <w:tcPr>
            <w:tcW w:w="66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(incl. 11.19% PIK)</w:t>
            </w:r>
          </w:p>
        </w:tc>
        <w:tc>
          <w:tcPr>
            <w:tcW w:w="56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50" w:right="1440" w:bottom="1440" w:gutter="0" w:footer="0" w:header="0"/>
        </w:sectPr>
      </w:pPr>
    </w:p>
    <w:bookmarkStart w:id="94" w:name="page95"/>
    <w:bookmarkEnd w:id="94"/>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160" w:type="dxa"/>
            <w:vAlign w:val="bottom"/>
            <w:vMerge w:val="restart"/>
          </w:tcPr>
          <w:p>
            <w:pPr>
              <w:spacing w:after="0"/>
              <w:rPr>
                <w:sz w:val="9"/>
                <w:szCs w:val="9"/>
                <w:color w:val="auto"/>
              </w:rPr>
            </w:pPr>
          </w:p>
        </w:tc>
        <w:tc>
          <w:tcPr>
            <w:tcW w:w="1540" w:type="dxa"/>
            <w:vAlign w:val="bottom"/>
            <w:vMerge w:val="restart"/>
          </w:tcPr>
          <w:p>
            <w:pPr>
              <w:ind w:left="54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80" w:type="dxa"/>
            <w:vAlign w:val="bottom"/>
            <w:vMerge w:val="restart"/>
          </w:tcPr>
          <w:p>
            <w:pPr>
              <w:spacing w:after="0"/>
              <w:rPr>
                <w:sz w:val="9"/>
                <w:szCs w:val="9"/>
                <w:color w:val="auto"/>
              </w:rPr>
            </w:pPr>
          </w:p>
        </w:tc>
        <w:tc>
          <w:tcPr>
            <w:tcW w:w="64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8"/>
              </w:rPr>
              <w:t>Acquisition</w:t>
            </w:r>
          </w:p>
        </w:tc>
        <w:tc>
          <w:tcPr>
            <w:tcW w:w="8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2"/>
          </w:tcPr>
          <w:p>
            <w:pPr>
              <w:jc w:val="right"/>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right"/>
              <w:ind w:right="24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50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09"/>
        </w:trPr>
        <w:tc>
          <w:tcPr>
            <w:tcW w:w="6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100" w:type="dxa"/>
            <w:vAlign w:val="bottom"/>
          </w:tcPr>
          <w:p>
            <w:pPr>
              <w:spacing w:after="0"/>
              <w:rPr>
                <w:sz w:val="9"/>
                <w:szCs w:val="9"/>
                <w:color w:val="auto"/>
              </w:rPr>
            </w:pPr>
          </w:p>
        </w:tc>
        <w:tc>
          <w:tcPr>
            <w:tcW w:w="6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200" w:type="dxa"/>
            <w:vAlign w:val="bottom"/>
          </w:tcPr>
          <w:p>
            <w:pPr>
              <w:spacing w:after="0"/>
              <w:rPr>
                <w:sz w:val="9"/>
                <w:szCs w:val="9"/>
                <w:color w:val="auto"/>
              </w:rPr>
            </w:pPr>
          </w:p>
        </w:tc>
        <w:tc>
          <w:tcPr>
            <w:tcW w:w="900" w:type="dxa"/>
            <w:vAlign w:val="bottom"/>
          </w:tcPr>
          <w:p>
            <w:pPr>
              <w:jc w:val="right"/>
              <w:ind w:right="125"/>
              <w:spacing w:after="0" w:line="110"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200" w:type="dxa"/>
            <w:vAlign w:val="bottom"/>
          </w:tcPr>
          <w:p>
            <w:pPr>
              <w:spacing w:after="0"/>
              <w:rPr>
                <w:sz w:val="9"/>
                <w:szCs w:val="9"/>
                <w:color w:val="auto"/>
              </w:rPr>
            </w:pPr>
          </w:p>
        </w:tc>
        <w:tc>
          <w:tcPr>
            <w:tcW w:w="4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14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0"/>
                <w:szCs w:val="10"/>
                <w:b w:val="1"/>
                <w:bCs w:val="1"/>
                <w:color w:val="auto"/>
                <w:w w:val="94"/>
              </w:rPr>
              <w:t>of Net Assets</w:t>
            </w:r>
          </w:p>
        </w:tc>
        <w:tc>
          <w:tcPr>
            <w:tcW w:w="50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rPr>
              <w:t>Class Held</w:t>
            </w:r>
          </w:p>
        </w:tc>
        <w:tc>
          <w:tcPr>
            <w:tcW w:w="0" w:type="dxa"/>
            <w:vAlign w:val="bottom"/>
          </w:tcPr>
          <w:p>
            <w:pPr>
              <w:spacing w:after="0"/>
              <w:rPr>
                <w:sz w:val="1"/>
                <w:szCs w:val="1"/>
                <w:color w:val="auto"/>
              </w:rPr>
            </w:pPr>
          </w:p>
        </w:tc>
      </w:tr>
      <w:tr>
        <w:trPr>
          <w:trHeight w:val="21"/>
        </w:trPr>
        <w:tc>
          <w:tcPr>
            <w:tcW w:w="60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00" w:type="dxa"/>
            <w:vAlign w:val="bottom"/>
            <w:shd w:val="clear" w:color="auto" w:fill="CCEEFF"/>
          </w:tcPr>
          <w:p>
            <w:pPr>
              <w:spacing w:after="0"/>
              <w:rPr>
                <w:sz w:val="9"/>
                <w:szCs w:val="9"/>
                <w:color w:val="auto"/>
              </w:rPr>
            </w:pPr>
          </w:p>
        </w:tc>
        <w:tc>
          <w:tcPr>
            <w:tcW w:w="1160" w:type="dxa"/>
            <w:vAlign w:val="bottom"/>
            <w:tcBorders>
              <w:right w:val="single" w:sz="8" w:color="CCEEFF"/>
            </w:tcBorders>
            <w:shd w:val="clear" w:color="auto" w:fill="CCEEFF"/>
          </w:tcPr>
          <w:p>
            <w:pPr>
              <w:spacing w:after="0"/>
              <w:rPr>
                <w:sz w:val="9"/>
                <w:szCs w:val="9"/>
                <w:color w:val="auto"/>
              </w:rPr>
            </w:pPr>
          </w:p>
        </w:tc>
        <w:tc>
          <w:tcPr>
            <w:tcW w:w="154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First-lien loan ($1,355 par, due</w:t>
            </w:r>
          </w:p>
        </w:tc>
        <w:tc>
          <w:tcPr>
            <w:tcW w:w="80" w:type="dxa"/>
            <w:vAlign w:val="bottom"/>
            <w:vMerge w:val="continue"/>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6/10/2021</w:t>
            </w:r>
          </w:p>
        </w:tc>
        <w:tc>
          <w:tcPr>
            <w:tcW w:w="100" w:type="dxa"/>
            <w:vAlign w:val="bottom"/>
            <w:vMerge w:val="restart"/>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SOFR + 14.10%</w:t>
            </w:r>
          </w:p>
        </w:tc>
        <w:tc>
          <w:tcPr>
            <w:tcW w:w="1100" w:type="dxa"/>
            <w:vAlign w:val="bottom"/>
            <w:gridSpan w:val="2"/>
            <w:shd w:val="clear" w:color="auto" w:fill="CCEEFF"/>
          </w:tcPr>
          <w:p>
            <w:pPr>
              <w:jc w:val="right"/>
              <w:ind w:right="120"/>
              <w:spacing w:after="0" w:line="105" w:lineRule="exact"/>
              <w:rPr>
                <w:sz w:val="20"/>
                <w:szCs w:val="20"/>
                <w:color w:val="auto"/>
              </w:rPr>
            </w:pPr>
            <w:r>
              <w:rPr>
                <w:rFonts w:ascii="Times New Roman" w:cs="Times New Roman" w:eastAsia="Times New Roman" w:hAnsi="Times New Roman"/>
                <w:sz w:val="11"/>
                <w:szCs w:val="11"/>
                <w:color w:val="auto"/>
              </w:rPr>
              <w:t>19.43%</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1,355</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4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0.0%</w:t>
            </w:r>
          </w:p>
        </w:tc>
        <w:tc>
          <w:tcPr>
            <w:tcW w:w="50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0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1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9/2026)</w:t>
            </w:r>
          </w:p>
        </w:tc>
        <w:tc>
          <w:tcPr>
            <w:tcW w:w="8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(incl. 18.93% PIK)</w:t>
            </w:r>
          </w:p>
        </w:tc>
        <w:tc>
          <w:tcPr>
            <w:tcW w:w="580" w:type="dxa"/>
            <w:vAlign w:val="bottom"/>
            <w:gridSpan w:val="2"/>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20" w:type="dxa"/>
            <w:vAlign w:val="bottom"/>
            <w:gridSpan w:val="2"/>
          </w:tcPr>
          <w:p>
            <w:pPr>
              <w:spacing w:after="0" w:line="105" w:lineRule="exact"/>
              <w:rPr>
                <w:sz w:val="20"/>
                <w:szCs w:val="20"/>
                <w:color w:val="auto"/>
              </w:rPr>
            </w:pPr>
            <w:r>
              <w:rPr>
                <w:rFonts w:ascii="Times New Roman" w:cs="Times New Roman" w:eastAsia="Times New Roman" w:hAnsi="Times New Roman"/>
                <w:sz w:val="11"/>
                <w:szCs w:val="11"/>
                <w:color w:val="auto"/>
              </w:rPr>
              <w:t>Subordinated note ($4,740 par,</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3/16/2021</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SOFR + 1.15%</w:t>
            </w:r>
          </w:p>
        </w:tc>
        <w:tc>
          <w:tcPr>
            <w:tcW w:w="110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1"/>
                <w:szCs w:val="11"/>
                <w:color w:val="auto"/>
              </w:rPr>
              <w:t>6.40%</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545</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40" w:type="dxa"/>
            <w:vAlign w:val="bottom"/>
          </w:tcPr>
          <w:p>
            <w:pPr>
              <w:spacing w:after="0"/>
              <w:rPr>
                <w:sz w:val="9"/>
                <w:szCs w:val="9"/>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0.0%</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due 9/2026)</w:t>
            </w:r>
          </w:p>
        </w:tc>
        <w:tc>
          <w:tcPr>
            <w:tcW w:w="64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PIK</w:t>
            </w:r>
          </w:p>
        </w:tc>
        <w:tc>
          <w:tcPr>
            <w:tcW w:w="5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Borders>
              <w:right w:val="single" w:sz="8" w:color="CCEEFF"/>
            </w:tcBorders>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Bed Bath and Beyond Inc. </w:t>
            </w:r>
            <w:r>
              <w:rPr>
                <w:rFonts w:ascii="Times New Roman" w:cs="Times New Roman" w:eastAsia="Times New Roman" w:hAnsi="Times New Roman"/>
                <w:sz w:val="8"/>
                <w:szCs w:val="8"/>
                <w:color w:val="auto"/>
              </w:rPr>
              <w:t>(3)(15)</w:t>
            </w:r>
          </w:p>
        </w:tc>
        <w:tc>
          <w:tcPr>
            <w:tcW w:w="1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ABL FILO term loan ($15,375</w:t>
            </w: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tcBorders>
              <w:right w:val="single" w:sz="8" w:color="CCEEFF"/>
            </w:tcBorders>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650 Liberty Avenue</w:t>
            </w:r>
          </w:p>
        </w:tc>
        <w:tc>
          <w:tcPr>
            <w:tcW w:w="1620" w:type="dxa"/>
            <w:vAlign w:val="bottom"/>
            <w:gridSpan w:val="2"/>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9/2/2022</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SOFR + 9.90%</w:t>
            </w:r>
          </w:p>
        </w:tc>
        <w:tc>
          <w:tcPr>
            <w:tcW w:w="11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15.22%</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15,055</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15,029</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1.0%</w:t>
            </w: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Union, NJ 07083</w:t>
            </w:r>
          </w:p>
        </w:tc>
        <w:tc>
          <w:tcPr>
            <w:tcW w:w="1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par, due 8/2027)</w:t>
            </w:r>
          </w:p>
        </w:tc>
        <w:tc>
          <w:tcPr>
            <w:tcW w:w="64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20" w:type="dxa"/>
            <w:vAlign w:val="bottom"/>
            <w:gridSpan w:val="2"/>
          </w:tcPr>
          <w:p>
            <w:pPr>
              <w:spacing w:after="0" w:line="105" w:lineRule="exact"/>
              <w:rPr>
                <w:sz w:val="20"/>
                <w:szCs w:val="20"/>
                <w:color w:val="auto"/>
              </w:rPr>
            </w:pPr>
            <w:r>
              <w:rPr>
                <w:rFonts w:ascii="Times New Roman" w:cs="Times New Roman" w:eastAsia="Times New Roman" w:hAnsi="Times New Roman"/>
                <w:sz w:val="11"/>
                <w:szCs w:val="11"/>
                <w:color w:val="auto"/>
              </w:rPr>
              <w:t>Roll Up DIP term loan ($25,914</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4/24/2023</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SOFR + 7.90%</w:t>
            </w:r>
          </w:p>
        </w:tc>
        <w:tc>
          <w:tcPr>
            <w:tcW w:w="110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1"/>
                <w:szCs w:val="11"/>
                <w:color w:val="auto"/>
              </w:rPr>
              <w:t>13.22%</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25,914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25,331</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1.7%</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par, due 9/2024)</w:t>
            </w:r>
          </w:p>
        </w:tc>
        <w:tc>
          <w:tcPr>
            <w:tcW w:w="64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(incl. 13.22% PIK)</w:t>
            </w:r>
          </w:p>
        </w:tc>
        <w:tc>
          <w:tcPr>
            <w:tcW w:w="5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00" w:type="dxa"/>
            <w:vAlign w:val="bottom"/>
            <w:shd w:val="clear" w:color="auto" w:fill="CCEEFF"/>
          </w:tcPr>
          <w:p>
            <w:pPr>
              <w:spacing w:after="0"/>
              <w:rPr>
                <w:sz w:val="8"/>
                <w:szCs w:val="8"/>
                <w:color w:val="auto"/>
              </w:rPr>
            </w:pPr>
          </w:p>
        </w:tc>
        <w:tc>
          <w:tcPr>
            <w:tcW w:w="1160" w:type="dxa"/>
            <w:vAlign w:val="bottom"/>
            <w:tcBorders>
              <w:right w:val="single" w:sz="8" w:color="CCEEFF"/>
            </w:tcBorders>
            <w:shd w:val="clear" w:color="auto" w:fill="CCEEFF"/>
          </w:tcPr>
          <w:p>
            <w:pPr>
              <w:spacing w:after="0"/>
              <w:rPr>
                <w:sz w:val="8"/>
                <w:szCs w:val="8"/>
                <w:color w:val="auto"/>
              </w:rPr>
            </w:pPr>
          </w:p>
        </w:tc>
        <w:tc>
          <w:tcPr>
            <w:tcW w:w="16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Super-Priority DIP term loan</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4/24/2023</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SOFR + 7.90%</w:t>
            </w:r>
          </w:p>
        </w:tc>
        <w:tc>
          <w:tcPr>
            <w:tcW w:w="11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13.22%</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4,946</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4,835</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0.3%</w:t>
            </w:r>
          </w:p>
        </w:tc>
        <w:tc>
          <w:tcPr>
            <w:tcW w:w="50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1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($4,946 par, due 9/2024)</w:t>
            </w:r>
          </w:p>
        </w:tc>
        <w:tc>
          <w:tcPr>
            <w:tcW w:w="64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Cordance Operations, LLC </w:t>
            </w:r>
            <w:r>
              <w:rPr>
                <w:rFonts w:ascii="Times New Roman" w:cs="Times New Roman" w:eastAsia="Times New Roman" w:hAnsi="Times New Roman"/>
                <w:sz w:val="8"/>
                <w:szCs w:val="8"/>
                <w:color w:val="auto"/>
              </w:rPr>
              <w:t>(3)</w:t>
            </w: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($47,006 par, due</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16 W. Martin Street</w:t>
            </w:r>
          </w:p>
        </w:tc>
        <w:tc>
          <w:tcPr>
            <w:tcW w:w="1620" w:type="dxa"/>
            <w:vAlign w:val="bottom"/>
            <w:gridSpan w:val="2"/>
            <w:vMerge w:val="continue"/>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7/25/2022</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SOFR + 9.25%</w:t>
            </w: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14.62%</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46,095</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47,006</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3.1%</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Raleigh, NC 27601</w:t>
            </w:r>
          </w:p>
        </w:tc>
        <w:tc>
          <w:tcPr>
            <w:tcW w:w="1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7/2028)</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Borders>
              <w:right w:val="single" w:sz="8" w:color="CCEEFF"/>
            </w:tcBorders>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Neuintel, LLC </w:t>
            </w:r>
            <w:r>
              <w:rPr>
                <w:rFonts w:ascii="Times New Roman" w:cs="Times New Roman" w:eastAsia="Times New Roman" w:hAnsi="Times New Roman"/>
                <w:sz w:val="8"/>
                <w:szCs w:val="8"/>
                <w:color w:val="auto"/>
              </w:rPr>
              <w:t>(3)(5)</w:t>
            </w:r>
          </w:p>
        </w:tc>
        <w:tc>
          <w:tcPr>
            <w:tcW w:w="1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($57,701 par, due</w:t>
            </w: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tcBorders>
              <w:right w:val="single" w:sz="8" w:color="CCEEFF"/>
            </w:tcBorders>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20 Pacifica Suite 1000</w:t>
            </w:r>
          </w:p>
        </w:tc>
        <w:tc>
          <w:tcPr>
            <w:tcW w:w="1620" w:type="dxa"/>
            <w:vAlign w:val="bottom"/>
            <w:gridSpan w:val="2"/>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12/20/2021</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SOFR + 7.65%</w:t>
            </w:r>
          </w:p>
        </w:tc>
        <w:tc>
          <w:tcPr>
            <w:tcW w:w="11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13.02%</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56,869</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57,990</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3.9%</w:t>
            </w: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Irvine, CA 92618</w:t>
            </w:r>
          </w:p>
        </w:tc>
        <w:tc>
          <w:tcPr>
            <w:tcW w:w="1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12/2026)</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Project P Intermediate 2, LLC </w:t>
            </w:r>
            <w:r>
              <w:rPr>
                <w:rFonts w:ascii="Times New Roman" w:cs="Times New Roman" w:eastAsia="Times New Roman" w:hAnsi="Times New Roman"/>
                <w:sz w:val="8"/>
                <w:szCs w:val="8"/>
                <w:color w:val="auto"/>
              </w:rPr>
              <w:t>(3)</w:t>
            </w: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ABL FILO term loan ($71,250</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461 Nott Street</w:t>
            </w:r>
          </w:p>
        </w:tc>
        <w:tc>
          <w:tcPr>
            <w:tcW w:w="1620" w:type="dxa"/>
            <w:vAlign w:val="bottom"/>
            <w:gridSpan w:val="2"/>
            <w:vMerge w:val="continue"/>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11/8/2021</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SOFR + 8.10%</w:t>
            </w: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13.42%</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70,344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72,141</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4.9%</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Schenectady, NY 12308</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par, due 5/2026)</w:t>
            </w:r>
          </w:p>
        </w:tc>
        <w:tc>
          <w:tcPr>
            <w:tcW w:w="64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Borders>
              <w:right w:val="single" w:sz="8" w:color="CCEEFF"/>
            </w:tcBorders>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Rapid Data GmbH</w:t>
            </w: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tcBorders>
              <w:right w:val="single" w:sz="8" w:color="CCEEFF"/>
            </w:tcBorders>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 xml:space="preserve">Unternehmensberatung </w:t>
            </w:r>
            <w:r>
              <w:rPr>
                <w:rFonts w:ascii="Times New Roman" w:cs="Times New Roman" w:eastAsia="Times New Roman" w:hAnsi="Times New Roman"/>
                <w:sz w:val="8"/>
                <w:szCs w:val="8"/>
                <w:color w:val="auto"/>
              </w:rPr>
              <w:t>(3)(4)</w:t>
            </w:r>
          </w:p>
        </w:tc>
        <w:tc>
          <w:tcPr>
            <w:tcW w:w="1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(EUR 4,495 par,</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4,625</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760" w:type="dxa"/>
            <w:vAlign w:val="bottom"/>
            <w:tcBorders>
              <w:right w:val="single" w:sz="8" w:color="CCEEFF"/>
            </w:tcBorders>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1"/>
                <w:szCs w:val="11"/>
                <w:color w:val="auto"/>
              </w:rPr>
              <w:t>Agricolastr. 54 30952</w:t>
            </w:r>
          </w:p>
        </w:tc>
        <w:tc>
          <w:tcPr>
            <w:tcW w:w="1620" w:type="dxa"/>
            <w:vAlign w:val="bottom"/>
            <w:gridSpan w:val="2"/>
            <w:vMerge w:val="continue"/>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7/11/2023</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E + 6.50%</w:t>
            </w:r>
          </w:p>
        </w:tc>
        <w:tc>
          <w:tcPr>
            <w:tcW w:w="11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10.15%</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4,666</w:t>
            </w:r>
          </w:p>
        </w:tc>
        <w:tc>
          <w:tcPr>
            <w:tcW w:w="720" w:type="dxa"/>
            <w:vAlign w:val="bottom"/>
            <w:gridSpan w:val="2"/>
            <w:vMerge w:val="continue"/>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0.3%</w:t>
            </w:r>
          </w:p>
        </w:tc>
        <w:tc>
          <w:tcPr>
            <w:tcW w:w="50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7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Ronnenberg, Germany</w:t>
            </w:r>
          </w:p>
        </w:tc>
        <w:tc>
          <w:tcPr>
            <w:tcW w:w="1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due 7/2029)</w:t>
            </w:r>
          </w:p>
        </w:tc>
        <w:tc>
          <w:tcPr>
            <w:tcW w:w="64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(EUR 4,368)</w:t>
            </w: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6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color w:val="auto"/>
              </w:rPr>
              <w:t>Tango Management Consulting, LLC</w:t>
            </w: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(3)(5)</w:t>
            </w: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760" w:type="dxa"/>
            <w:vAlign w:val="bottom"/>
            <w:gridSpan w:val="2"/>
          </w:tcPr>
          <w:p>
            <w:pPr>
              <w:ind w:left="100"/>
              <w:spacing w:after="0" w:line="116" w:lineRule="exact"/>
              <w:rPr>
                <w:sz w:val="20"/>
                <w:szCs w:val="20"/>
                <w:color w:val="auto"/>
              </w:rPr>
            </w:pPr>
            <w:r>
              <w:rPr>
                <w:rFonts w:ascii="Times New Roman" w:cs="Times New Roman" w:eastAsia="Times New Roman" w:hAnsi="Times New Roman"/>
                <w:sz w:val="11"/>
                <w:szCs w:val="11"/>
                <w:color w:val="auto"/>
              </w:rPr>
              <w:t>9797 Rombauer Road Suite #450</w:t>
            </w:r>
          </w:p>
        </w:tc>
        <w:tc>
          <w:tcPr>
            <w:tcW w:w="162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color w:val="auto"/>
              </w:rPr>
              <w:t>First-lien loan ($54,052 par, due</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12/1/2021</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SOFR + 6.85%</w:t>
            </w: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12.18%</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53,318</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53,512</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3.6%</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Dallas, TX 75019</w:t>
            </w:r>
          </w:p>
        </w:tc>
        <w:tc>
          <w:tcPr>
            <w:tcW w:w="1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12/2027)</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00" w:type="dxa"/>
            <w:vAlign w:val="bottom"/>
            <w:shd w:val="clear" w:color="auto" w:fill="CCEEFF"/>
          </w:tcPr>
          <w:p>
            <w:pPr>
              <w:spacing w:after="0"/>
              <w:rPr>
                <w:sz w:val="8"/>
                <w:szCs w:val="8"/>
                <w:color w:val="auto"/>
              </w:rPr>
            </w:pPr>
          </w:p>
        </w:tc>
        <w:tc>
          <w:tcPr>
            <w:tcW w:w="1160" w:type="dxa"/>
            <w:vAlign w:val="bottom"/>
            <w:tcBorders>
              <w:right w:val="single" w:sz="8" w:color="CCEEFF"/>
            </w:tcBorders>
            <w:shd w:val="clear" w:color="auto" w:fill="CCEEFF"/>
          </w:tcPr>
          <w:p>
            <w:pPr>
              <w:spacing w:after="0"/>
              <w:rPr>
                <w:sz w:val="8"/>
                <w:szCs w:val="8"/>
                <w:color w:val="auto"/>
              </w:rPr>
            </w:pPr>
          </w:p>
        </w:tc>
        <w:tc>
          <w:tcPr>
            <w:tcW w:w="162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First-lien revolving loan ($9 par,</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12/1/2021</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P + 6.85%</w:t>
            </w:r>
          </w:p>
        </w:tc>
        <w:tc>
          <w:tcPr>
            <w:tcW w:w="11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15.25%</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(56)</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(29)</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0.0%</w:t>
            </w:r>
          </w:p>
        </w:tc>
        <w:tc>
          <w:tcPr>
            <w:tcW w:w="50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1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due 12/2027)</w:t>
            </w:r>
          </w:p>
        </w:tc>
        <w:tc>
          <w:tcPr>
            <w:tcW w:w="64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330,156</w:t>
            </w:r>
          </w:p>
        </w:tc>
        <w:tc>
          <w:tcPr>
            <w:tcW w:w="140" w:type="dxa"/>
            <w:vAlign w:val="bottom"/>
            <w:vMerge w:val="continue"/>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326,065</w:t>
            </w:r>
          </w:p>
        </w:tc>
        <w:tc>
          <w:tcPr>
            <w:tcW w:w="140" w:type="dxa"/>
            <w:vAlign w:val="bottom"/>
            <w:vMerge w:val="continue"/>
          </w:tcPr>
          <w:p>
            <w:pPr>
              <w:spacing w:after="0"/>
              <w:rPr>
                <w:sz w:val="10"/>
                <w:szCs w:val="10"/>
                <w:color w:val="auto"/>
              </w:rPr>
            </w:pPr>
          </w:p>
        </w:tc>
        <w:tc>
          <w:tcPr>
            <w:tcW w:w="74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21.9%</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tcBorders>
              <w:right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Transportation</w:t>
            </w:r>
          </w:p>
        </w:tc>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Project44, Inc. </w:t>
            </w:r>
            <w:r>
              <w:rPr>
                <w:rFonts w:ascii="Times New Roman" w:cs="Times New Roman" w:eastAsia="Times New Roman" w:hAnsi="Times New Roman"/>
                <w:sz w:val="8"/>
                <w:szCs w:val="8"/>
                <w:color w:val="auto"/>
              </w:rPr>
              <w:t>(3)(5)</w:t>
            </w: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222 W Merchandise Mart Plaza</w:t>
            </w: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First-lien loan ($35,139 par, due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1744</w:t>
            </w:r>
          </w:p>
        </w:tc>
        <w:tc>
          <w:tcPr>
            <w:tcW w:w="1620" w:type="dxa"/>
            <w:vAlign w:val="bottom"/>
            <w:gridSpan w:val="2"/>
            <w:vMerge w:val="continue"/>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11/12/2021</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SOFR + 6.40%</w:t>
            </w: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11.76%</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34,210</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34,864</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2.3%</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Chicago, IL 60654</w:t>
            </w:r>
          </w:p>
        </w:tc>
        <w:tc>
          <w:tcPr>
            <w:tcW w:w="1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11/2027)</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Borders>
              <w:right w:val="single" w:sz="8" w:color="CCEEFF"/>
            </w:tcBorders>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Marcura Equities LTD </w:t>
            </w:r>
            <w:r>
              <w:rPr>
                <w:rFonts w:ascii="Times New Roman" w:cs="Times New Roman" w:eastAsia="Times New Roman" w:hAnsi="Times New Roman"/>
                <w:sz w:val="8"/>
                <w:szCs w:val="8"/>
                <w:color w:val="auto"/>
              </w:rPr>
              <w:t>(3)(4)</w:t>
            </w: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tcBorders>
              <w:right w:val="single" w:sz="8" w:color="CCEEFF"/>
            </w:tcBorders>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Highdown House Yeoman Way</w:t>
            </w:r>
          </w:p>
        </w:tc>
        <w:tc>
          <w:tcPr>
            <w:tcW w:w="1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First-lien loan ($31,667 par, due</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13.14%</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760" w:type="dxa"/>
            <w:vAlign w:val="bottom"/>
            <w:tcBorders>
              <w:right w:val="single" w:sz="8" w:color="CCEEFF"/>
            </w:tcBorders>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1"/>
                <w:szCs w:val="11"/>
                <w:color w:val="auto"/>
              </w:rPr>
              <w:t>Worthing, West Sussex</w:t>
            </w:r>
          </w:p>
        </w:tc>
        <w:tc>
          <w:tcPr>
            <w:tcW w:w="1620" w:type="dxa"/>
            <w:vAlign w:val="bottom"/>
            <w:gridSpan w:val="2"/>
            <w:vMerge w:val="continue"/>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8/11/2023</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SOFR + 7.75%</w:t>
            </w:r>
          </w:p>
        </w:tc>
        <w:tc>
          <w:tcPr>
            <w:tcW w:w="1100" w:type="dxa"/>
            <w:vAlign w:val="bottom"/>
            <w:gridSpan w:val="2"/>
            <w:vMerge w:val="continue"/>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30,641</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31,146</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2.1%</w:t>
            </w:r>
          </w:p>
        </w:tc>
        <w:tc>
          <w:tcPr>
            <w:tcW w:w="50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7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BN99 3HH United Kingdom</w:t>
            </w:r>
          </w:p>
        </w:tc>
        <w:tc>
          <w:tcPr>
            <w:tcW w:w="1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8/2029)</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(incl. 4.25% PIK)</w:t>
            </w:r>
          </w:p>
        </w:tc>
        <w:tc>
          <w:tcPr>
            <w:tcW w:w="58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50" w:right="1440" w:bottom="1440" w:gutter="0" w:footer="0" w:header="0"/>
        </w:sectPr>
      </w:pPr>
    </w:p>
    <w:bookmarkStart w:id="95" w:name="page96"/>
    <w:bookmarkEnd w:id="95"/>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3"/>
              </w:rPr>
              <w:t>Reference</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240" w:type="dxa"/>
            <w:vAlign w:val="bottom"/>
            <w:vMerge w:val="restart"/>
          </w:tcPr>
          <w:p>
            <w:pPr>
              <w:spacing w:after="0"/>
              <w:rPr>
                <w:sz w:val="9"/>
                <w:szCs w:val="9"/>
                <w:color w:val="auto"/>
              </w:rPr>
            </w:pPr>
          </w:p>
        </w:tc>
        <w:tc>
          <w:tcPr>
            <w:tcW w:w="1760" w:type="dxa"/>
            <w:vAlign w:val="bottom"/>
            <w:vMerge w:val="restart"/>
          </w:tcPr>
          <w:p>
            <w:pPr>
              <w:ind w:left="66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80" w:type="dxa"/>
            <w:vAlign w:val="bottom"/>
            <w:vMerge w:val="restart"/>
          </w:tcPr>
          <w:p>
            <w:pPr>
              <w:spacing w:after="0"/>
              <w:rPr>
                <w:sz w:val="9"/>
                <w:szCs w:val="9"/>
                <w:color w:val="auto"/>
              </w:rPr>
            </w:pPr>
          </w:p>
        </w:tc>
        <w:tc>
          <w:tcPr>
            <w:tcW w:w="64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3"/>
              </w:rPr>
              <w:t>Acquisition</w:t>
            </w:r>
          </w:p>
        </w:tc>
        <w:tc>
          <w:tcPr>
            <w:tcW w:w="84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auto"/>
                <w:w w:val="93"/>
              </w:rPr>
              <w:t>Rate and</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tcPr>
          <w:p>
            <w:pPr>
              <w:jc w:val="right"/>
              <w:ind w:right="22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60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09"/>
        </w:trPr>
        <w:tc>
          <w:tcPr>
            <w:tcW w:w="6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9"/>
              </w:rPr>
              <w:t>Date</w:t>
            </w:r>
          </w:p>
        </w:tc>
        <w:tc>
          <w:tcPr>
            <w:tcW w:w="100" w:type="dxa"/>
            <w:vAlign w:val="bottom"/>
          </w:tcPr>
          <w:p>
            <w:pPr>
              <w:spacing w:after="0"/>
              <w:rPr>
                <w:sz w:val="9"/>
                <w:szCs w:val="9"/>
                <w:color w:val="auto"/>
              </w:rPr>
            </w:pPr>
          </w:p>
        </w:tc>
        <w:tc>
          <w:tcPr>
            <w:tcW w:w="6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Spread</w:t>
            </w:r>
          </w:p>
        </w:tc>
        <w:tc>
          <w:tcPr>
            <w:tcW w:w="200" w:type="dxa"/>
            <w:vAlign w:val="bottom"/>
          </w:tcPr>
          <w:p>
            <w:pPr>
              <w:spacing w:after="0"/>
              <w:rPr>
                <w:sz w:val="9"/>
                <w:szCs w:val="9"/>
                <w:color w:val="auto"/>
              </w:rPr>
            </w:pPr>
          </w:p>
        </w:tc>
        <w:tc>
          <w:tcPr>
            <w:tcW w:w="540" w:type="dxa"/>
            <w:vAlign w:val="bottom"/>
          </w:tcPr>
          <w:p>
            <w:pPr>
              <w:spacing w:after="0" w:line="110" w:lineRule="exact"/>
              <w:rPr>
                <w:sz w:val="20"/>
                <w:szCs w:val="20"/>
                <w:color w:val="auto"/>
              </w:rPr>
            </w:pPr>
            <w:r>
              <w:rPr>
                <w:rFonts w:ascii="Times New Roman" w:cs="Times New Roman" w:eastAsia="Times New Roman" w:hAnsi="Times New Roman"/>
                <w:sz w:val="10"/>
                <w:szCs w:val="10"/>
                <w:b w:val="1"/>
                <w:bCs w:val="1"/>
                <w:color w:val="auto"/>
                <w:w w:val="93"/>
              </w:rPr>
              <w:t>Interest Rate</w:t>
            </w:r>
          </w:p>
        </w:tc>
        <w:tc>
          <w:tcPr>
            <w:tcW w:w="200" w:type="dxa"/>
            <w:vAlign w:val="bottom"/>
          </w:tcPr>
          <w:p>
            <w:pPr>
              <w:spacing w:after="0"/>
              <w:rPr>
                <w:sz w:val="9"/>
                <w:szCs w:val="9"/>
                <w:color w:val="auto"/>
              </w:rPr>
            </w:pPr>
          </w:p>
        </w:tc>
        <w:tc>
          <w:tcPr>
            <w:tcW w:w="480" w:type="dxa"/>
            <w:vAlign w:val="bottom"/>
          </w:tcPr>
          <w:p>
            <w:pPr>
              <w:jc w:val="right"/>
              <w:ind w:right="6"/>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10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160" w:type="dxa"/>
            <w:vAlign w:val="bottom"/>
          </w:tcPr>
          <w:p>
            <w:pPr>
              <w:spacing w:after="0"/>
              <w:rPr>
                <w:sz w:val="9"/>
                <w:szCs w:val="9"/>
                <w:color w:val="auto"/>
              </w:rPr>
            </w:pPr>
          </w:p>
        </w:tc>
        <w:tc>
          <w:tcPr>
            <w:tcW w:w="72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0"/>
                <w:szCs w:val="10"/>
                <w:b w:val="1"/>
                <w:bCs w:val="1"/>
                <w:color w:val="auto"/>
                <w:w w:val="90"/>
              </w:rPr>
              <w:t>of Net Assets</w:t>
            </w:r>
          </w:p>
        </w:tc>
        <w:tc>
          <w:tcPr>
            <w:tcW w:w="60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w w:val="95"/>
              </w:rPr>
              <w:t>Class Held</w:t>
            </w:r>
          </w:p>
        </w:tc>
        <w:tc>
          <w:tcPr>
            <w:tcW w:w="0" w:type="dxa"/>
            <w:vAlign w:val="bottom"/>
          </w:tcPr>
          <w:p>
            <w:pPr>
              <w:spacing w:after="0"/>
              <w:rPr>
                <w:sz w:val="1"/>
                <w:szCs w:val="1"/>
                <w:color w:val="auto"/>
              </w:rPr>
            </w:pPr>
          </w:p>
        </w:tc>
      </w:tr>
      <w:tr>
        <w:trPr>
          <w:trHeight w:val="21"/>
        </w:trPr>
        <w:tc>
          <w:tcPr>
            <w:tcW w:w="600" w:type="dxa"/>
            <w:vAlign w:val="bottom"/>
            <w:shd w:val="clear" w:color="auto" w:fill="000000"/>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6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76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First-lien revolving loan ($1,667 par,</w:t>
            </w:r>
          </w:p>
        </w:tc>
        <w:tc>
          <w:tcPr>
            <w:tcW w:w="80" w:type="dxa"/>
            <w:vAlign w:val="bottom"/>
            <w:vMerge w:val="continue"/>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8/11/2023</w:t>
            </w:r>
          </w:p>
        </w:tc>
        <w:tc>
          <w:tcPr>
            <w:tcW w:w="8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+ 7.00%</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12.39%</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1,585</w:t>
            </w:r>
          </w:p>
        </w:tc>
        <w:tc>
          <w:tcPr>
            <w:tcW w:w="100" w:type="dxa"/>
            <w:vAlign w:val="bottom"/>
            <w:vMerge w:val="restart"/>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1,625</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due 8/2029)</w:t>
            </w:r>
          </w:p>
        </w:tc>
        <w:tc>
          <w:tcPr>
            <w:tcW w:w="64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66,436</w:t>
            </w:r>
          </w:p>
        </w:tc>
        <w:tc>
          <w:tcPr>
            <w:tcW w:w="100" w:type="dxa"/>
            <w:vAlign w:val="bottom"/>
            <w:vMerge w:val="continue"/>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67,635</w:t>
            </w:r>
          </w:p>
        </w:tc>
        <w:tc>
          <w:tcPr>
            <w:tcW w:w="160" w:type="dxa"/>
            <w:vAlign w:val="bottom"/>
            <w:vMerge w:val="continue"/>
          </w:tcPr>
          <w:p>
            <w:pPr>
              <w:spacing w:after="0"/>
              <w:rPr>
                <w:sz w:val="10"/>
                <w:szCs w:val="10"/>
                <w:color w:val="auto"/>
              </w:rPr>
            </w:pPr>
          </w:p>
        </w:tc>
        <w:tc>
          <w:tcPr>
            <w:tcW w:w="72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4.5%</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4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Debt Investments</w:t>
            </w:r>
          </w:p>
        </w:tc>
        <w:tc>
          <w:tcPr>
            <w:tcW w:w="1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2,890,369</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2,909,102</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195.8%</w:t>
            </w: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4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Equity and Other Investments</w:t>
            </w: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Business Services</w:t>
            </w:r>
          </w:p>
        </w:tc>
        <w:tc>
          <w:tcPr>
            <w:tcW w:w="1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4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Dye &amp; Durham, Ltd. (4)(10) 25 York</w:t>
            </w: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Street</w:t>
            </w: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1100</w:t>
            </w: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1,248</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840" w:type="dxa"/>
            <w:vAlign w:val="bottom"/>
            <w:gridSpan w:val="2"/>
          </w:tcPr>
          <w:p>
            <w:pPr>
              <w:ind w:left="100"/>
              <w:spacing w:after="0" w:line="112" w:lineRule="exact"/>
              <w:rPr>
                <w:sz w:val="20"/>
                <w:szCs w:val="20"/>
                <w:color w:val="auto"/>
              </w:rPr>
            </w:pPr>
            <w:r>
              <w:rPr>
                <w:rFonts w:ascii="Times New Roman" w:cs="Times New Roman" w:eastAsia="Times New Roman" w:hAnsi="Times New Roman"/>
                <w:sz w:val="11"/>
                <w:szCs w:val="11"/>
                <w:color w:val="auto"/>
              </w:rPr>
              <w:t>Toronto, Ontario M5J 2V5</w:t>
            </w: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Common Shares (126,968 shares)</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12/3/2021</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3,909</w:t>
            </w:r>
          </w:p>
        </w:tc>
        <w:tc>
          <w:tcPr>
            <w:tcW w:w="740" w:type="dxa"/>
            <w:vAlign w:val="bottom"/>
            <w:gridSpan w:val="2"/>
            <w:vMerge w:val="continue"/>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0.1%</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6"/>
        </w:trPr>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Canada</w:t>
            </w:r>
          </w:p>
        </w:tc>
        <w:tc>
          <w:tcPr>
            <w:tcW w:w="18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(CAD 1,688)</w:t>
            </w:r>
          </w:p>
        </w:tc>
        <w:tc>
          <w:tcPr>
            <w:tcW w:w="7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4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Mitnick TA Aggregator, LP </w:t>
            </w:r>
            <w:r>
              <w:rPr>
                <w:rFonts w:ascii="Times New Roman" w:cs="Times New Roman" w:eastAsia="Times New Roman" w:hAnsi="Times New Roman"/>
                <w:sz w:val="8"/>
                <w:szCs w:val="8"/>
                <w:color w:val="auto"/>
              </w:rPr>
              <w:t>(11)(13)</w:t>
            </w:r>
          </w:p>
        </w:tc>
        <w:tc>
          <w:tcPr>
            <w:tcW w:w="1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197 East University Drive</w:t>
            </w:r>
          </w:p>
        </w:tc>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Membership Interest (0.43%</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Auburn, AL 36832</w:t>
            </w:r>
          </w:p>
        </w:tc>
        <w:tc>
          <w:tcPr>
            <w:tcW w:w="1840" w:type="dxa"/>
            <w:vAlign w:val="bottom"/>
            <w:gridSpan w:val="2"/>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5/2/2022</w:t>
            </w: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5,243</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5,243</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0.4%</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1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ownership)</w:t>
            </w:r>
          </w:p>
        </w:tc>
        <w:tc>
          <w:tcPr>
            <w:tcW w:w="640" w:type="dxa"/>
            <w:vAlign w:val="bottom"/>
            <w:gridSpan w:val="2"/>
            <w:vMerge w:val="continue"/>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4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ReliaQuest, LLC </w:t>
            </w:r>
            <w:r>
              <w:rPr>
                <w:rFonts w:ascii="Times New Roman" w:cs="Times New Roman" w:eastAsia="Times New Roman" w:hAnsi="Times New Roman"/>
                <w:sz w:val="8"/>
                <w:szCs w:val="8"/>
                <w:color w:val="auto"/>
              </w:rPr>
              <w:t>(11)(13)</w:t>
            </w: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777 South Harbour Island Boulevard</w:t>
            </w: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500</w:t>
            </w: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Tampa, FL 33602</w:t>
            </w: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Class A-1 Units (567,683 units)</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11/23/2021</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1,120</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1,324</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0.1%</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32"/>
        </w:trPr>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8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Class A-2 Units (2,580 units)</w:t>
            </w:r>
          </w:p>
        </w:tc>
        <w:tc>
          <w:tcPr>
            <w:tcW w:w="640" w:type="dxa"/>
            <w:vAlign w:val="bottom"/>
            <w:gridSpan w:val="2"/>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6/21/2022</w:t>
            </w: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6</w:t>
            </w:r>
          </w:p>
        </w:tc>
        <w:tc>
          <w:tcPr>
            <w:tcW w:w="5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98"/>
        </w:trPr>
        <w:tc>
          <w:tcPr>
            <w:tcW w:w="184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Sprinklr, Inc. </w:t>
            </w:r>
            <w:r>
              <w:rPr>
                <w:rFonts w:ascii="Times New Roman" w:cs="Times New Roman" w:eastAsia="Times New Roman" w:hAnsi="Times New Roman"/>
                <w:sz w:val="8"/>
                <w:szCs w:val="8"/>
                <w:color w:val="auto"/>
              </w:rPr>
              <w:t>(10)(11)</w:t>
            </w: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29 West 35th Street</w:t>
            </w: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7th Floor</w:t>
            </w: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Common Shares (315,005 shares)</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6/24/2021</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2,716</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4,360</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0.3%</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New York, NY 10001</w:t>
            </w:r>
          </w:p>
        </w:tc>
        <w:tc>
          <w:tcPr>
            <w:tcW w:w="18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4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Warrior TopCo LP </w:t>
            </w:r>
            <w:r>
              <w:rPr>
                <w:rFonts w:ascii="Times New Roman" w:cs="Times New Roman" w:eastAsia="Times New Roman" w:hAnsi="Times New Roman"/>
                <w:sz w:val="8"/>
                <w:szCs w:val="8"/>
                <w:color w:val="auto"/>
              </w:rPr>
              <w:t>(11)(12)</w:t>
            </w:r>
          </w:p>
        </w:tc>
        <w:tc>
          <w:tcPr>
            <w:tcW w:w="1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9171 Towne Center Drive Suite 200</w:t>
            </w:r>
          </w:p>
        </w:tc>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A Units (423,728 units)</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7/7/2023</w:t>
            </w: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w:t>
            </w:r>
          </w:p>
        </w:tc>
        <w:tc>
          <w:tcPr>
            <w:tcW w:w="100" w:type="dxa"/>
            <w:vAlign w:val="bottom"/>
            <w:vMerge w:val="restart"/>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32"/>
        </w:trPr>
        <w:tc>
          <w:tcPr>
            <w:tcW w:w="1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San Diego, CA 92122</w:t>
            </w:r>
          </w:p>
        </w:tc>
        <w:tc>
          <w:tcPr>
            <w:tcW w:w="184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13,418</w:t>
            </w:r>
          </w:p>
        </w:tc>
        <w:tc>
          <w:tcPr>
            <w:tcW w:w="100" w:type="dxa"/>
            <w:vAlign w:val="bottom"/>
            <w:vMerge w:val="continue"/>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12,607</w:t>
            </w:r>
          </w:p>
        </w:tc>
        <w:tc>
          <w:tcPr>
            <w:tcW w:w="160" w:type="dxa"/>
            <w:vAlign w:val="bottom"/>
            <w:vMerge w:val="continue"/>
          </w:tcPr>
          <w:p>
            <w:pPr>
              <w:spacing w:after="0"/>
              <w:rPr>
                <w:sz w:val="10"/>
                <w:szCs w:val="10"/>
                <w:color w:val="auto"/>
              </w:rPr>
            </w:pPr>
          </w:p>
        </w:tc>
        <w:tc>
          <w:tcPr>
            <w:tcW w:w="72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0.9%</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Communications</w:t>
            </w:r>
          </w:p>
        </w:tc>
        <w:tc>
          <w:tcPr>
            <w:tcW w:w="1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4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Celtra Technologies, Inc. </w:t>
            </w:r>
            <w:r>
              <w:rPr>
                <w:rFonts w:ascii="Times New Roman" w:cs="Times New Roman" w:eastAsia="Times New Roman" w:hAnsi="Times New Roman"/>
                <w:sz w:val="8"/>
                <w:szCs w:val="8"/>
                <w:color w:val="auto"/>
              </w:rPr>
              <w:t>(11)</w:t>
            </w:r>
            <w:r>
              <w:rPr>
                <w:rFonts w:ascii="Times New Roman" w:cs="Times New Roman" w:eastAsia="Times New Roman" w:hAnsi="Times New Roman"/>
                <w:sz w:val="11"/>
                <w:szCs w:val="11"/>
                <w:color w:val="auto"/>
              </w:rPr>
              <w:t xml:space="preserve"> 545</w:t>
            </w: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Boylston Street</w:t>
            </w: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11th Floor</w:t>
            </w: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Boston, MA 02116</w:t>
            </w: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Class A Units (1,250,000 units)</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11/19/2021</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1,250</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1,250</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0.1%</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32"/>
        </w:trPr>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8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4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IntelePeer Holdings, Inc. </w:t>
            </w:r>
            <w:r>
              <w:rPr>
                <w:rFonts w:ascii="Times New Roman" w:cs="Times New Roman" w:eastAsia="Times New Roman" w:hAnsi="Times New Roman"/>
                <w:sz w:val="8"/>
                <w:szCs w:val="8"/>
                <w:color w:val="auto"/>
              </w:rPr>
              <w:t>(11)</w:t>
            </w:r>
          </w:p>
        </w:tc>
        <w:tc>
          <w:tcPr>
            <w:tcW w:w="1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155 Bovet Rd.</w:t>
            </w:r>
          </w:p>
        </w:tc>
        <w:tc>
          <w:tcPr>
            <w:tcW w:w="1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405</w:t>
            </w:r>
          </w:p>
        </w:tc>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Series C Preferred Shares (1,816,295</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San Mateo, CA 94402</w:t>
            </w:r>
          </w:p>
        </w:tc>
        <w:tc>
          <w:tcPr>
            <w:tcW w:w="1840" w:type="dxa"/>
            <w:vAlign w:val="bottom"/>
            <w:gridSpan w:val="2"/>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4/8/2021</w:t>
            </w: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1,816</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1,866</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0.1%</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8.2%</w:t>
            </w:r>
          </w:p>
        </w:tc>
        <w:tc>
          <w:tcPr>
            <w:tcW w:w="0" w:type="dxa"/>
            <w:vAlign w:val="bottom"/>
          </w:tcPr>
          <w:p>
            <w:pPr>
              <w:spacing w:after="0"/>
              <w:rPr>
                <w:sz w:val="1"/>
                <w:szCs w:val="1"/>
                <w:color w:val="auto"/>
              </w:rPr>
            </w:pPr>
          </w:p>
        </w:tc>
      </w:tr>
      <w:tr>
        <w:trPr>
          <w:trHeight w:val="132"/>
        </w:trPr>
        <w:tc>
          <w:tcPr>
            <w:tcW w:w="1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shares)</w:t>
            </w:r>
          </w:p>
        </w:tc>
        <w:tc>
          <w:tcPr>
            <w:tcW w:w="640" w:type="dxa"/>
            <w:vAlign w:val="bottom"/>
            <w:gridSpan w:val="2"/>
            <w:vMerge w:val="continue"/>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4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Series D Preferred Shares (1,598,874</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4/8/2021</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2,925</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2,004</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0.1%</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132"/>
        </w:trPr>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shares)</w:t>
            </w:r>
          </w:p>
        </w:tc>
        <w:tc>
          <w:tcPr>
            <w:tcW w:w="64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280,000 Warrants</w:t>
            </w:r>
          </w:p>
        </w:tc>
        <w:tc>
          <w:tcPr>
            <w:tcW w:w="640" w:type="dxa"/>
            <w:vAlign w:val="bottom"/>
            <w:gridSpan w:val="2"/>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2/28/2020</w:t>
            </w: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183</w:t>
            </w:r>
          </w:p>
        </w:tc>
        <w:tc>
          <w:tcPr>
            <w:tcW w:w="740" w:type="dxa"/>
            <w:vAlign w:val="bottom"/>
            <w:gridSpan w:val="2"/>
            <w:shd w:val="clear" w:color="auto" w:fill="CCEEFF"/>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— </w:t>
            </w:r>
          </w:p>
        </w:tc>
        <w:tc>
          <w:tcPr>
            <w:tcW w:w="720" w:type="dxa"/>
            <w:vAlign w:val="bottom"/>
            <w:gridSpan w:val="2"/>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11.7%</w:t>
            </w:r>
          </w:p>
        </w:tc>
        <w:tc>
          <w:tcPr>
            <w:tcW w:w="0" w:type="dxa"/>
            <w:vAlign w:val="bottom"/>
          </w:tcPr>
          <w:p>
            <w:pPr>
              <w:spacing w:after="0"/>
              <w:rPr>
                <w:sz w:val="1"/>
                <w:szCs w:val="1"/>
                <w:color w:val="auto"/>
              </w:rPr>
            </w:pPr>
          </w:p>
        </w:tc>
      </w:tr>
      <w:tr>
        <w:trPr>
          <w:trHeight w:val="115"/>
        </w:trPr>
        <w:tc>
          <w:tcPr>
            <w:tcW w:w="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106,592 Warrants</w:t>
            </w:r>
          </w:p>
        </w:tc>
        <w:tc>
          <w:tcPr>
            <w:tcW w:w="64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4/8/2021</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— </w:t>
            </w:r>
          </w:p>
        </w:tc>
        <w:tc>
          <w:tcPr>
            <w:tcW w:w="160" w:type="dxa"/>
            <w:vAlign w:val="bottom"/>
          </w:tcPr>
          <w:p>
            <w:pPr>
              <w:spacing w:after="0"/>
              <w:rPr>
                <w:sz w:val="10"/>
                <w:szCs w:val="10"/>
                <w:color w:val="auto"/>
              </w:rPr>
            </w:pPr>
          </w:p>
        </w:tc>
        <w:tc>
          <w:tcPr>
            <w:tcW w:w="72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6,174</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5,120</w:t>
            </w:r>
          </w:p>
        </w:tc>
        <w:tc>
          <w:tcPr>
            <w:tcW w:w="720" w:type="dxa"/>
            <w:vAlign w:val="bottom"/>
            <w:gridSpan w:val="2"/>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0.3%</w:t>
            </w: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4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Education</w:t>
            </w: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4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Astra 2L Holdings II LLC </w:t>
            </w:r>
            <w:r>
              <w:rPr>
                <w:rFonts w:ascii="Times New Roman" w:cs="Times New Roman" w:eastAsia="Times New Roman" w:hAnsi="Times New Roman"/>
                <w:sz w:val="8"/>
                <w:szCs w:val="8"/>
                <w:color w:val="auto"/>
              </w:rPr>
              <w:t>(11)</w:t>
            </w:r>
          </w:p>
        </w:tc>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Membership Interest (10.17%</w:t>
            </w: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4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5201 Congress Ave.</w:t>
            </w:r>
          </w:p>
        </w:tc>
        <w:tc>
          <w:tcPr>
            <w:tcW w:w="1840" w:type="dxa"/>
            <w:vAlign w:val="bottom"/>
            <w:gridSpan w:val="2"/>
            <w:vMerge w:val="continue"/>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1/13/2022</w:t>
            </w: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3,255</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10.2%</w:t>
            </w:r>
          </w:p>
        </w:tc>
        <w:tc>
          <w:tcPr>
            <w:tcW w:w="0" w:type="dxa"/>
            <w:vAlign w:val="bottom"/>
          </w:tcPr>
          <w:p>
            <w:pPr>
              <w:spacing w:after="0"/>
              <w:rPr>
                <w:sz w:val="1"/>
                <w:szCs w:val="1"/>
                <w:color w:val="auto"/>
              </w:rPr>
            </w:pPr>
          </w:p>
        </w:tc>
      </w:tr>
      <w:tr>
        <w:trPr>
          <w:trHeight w:val="132"/>
        </w:trPr>
        <w:tc>
          <w:tcPr>
            <w:tcW w:w="1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Boca Raton, FL 33487</w:t>
            </w:r>
          </w:p>
        </w:tc>
        <w:tc>
          <w:tcPr>
            <w:tcW w:w="1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ownership)</w:t>
            </w:r>
          </w:p>
        </w:tc>
        <w:tc>
          <w:tcPr>
            <w:tcW w:w="640" w:type="dxa"/>
            <w:vAlign w:val="bottom"/>
            <w:gridSpan w:val="2"/>
            <w:vMerge w:val="continue"/>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50" w:right="1440" w:bottom="1440" w:gutter="0" w:footer="0" w:header="0"/>
        </w:sectPr>
      </w:pPr>
    </w:p>
    <w:bookmarkStart w:id="96" w:name="page97"/>
    <w:bookmarkEnd w:id="96"/>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400" w:type="dxa"/>
            <w:vAlign w:val="bottom"/>
            <w:vMerge w:val="restart"/>
          </w:tcPr>
          <w:p>
            <w:pPr>
              <w:spacing w:after="0"/>
              <w:rPr>
                <w:sz w:val="9"/>
                <w:szCs w:val="9"/>
                <w:color w:val="auto"/>
              </w:rPr>
            </w:pPr>
          </w:p>
        </w:tc>
        <w:tc>
          <w:tcPr>
            <w:tcW w:w="1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70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8"/>
              </w:rPr>
              <w:t>Acquisition</w:t>
            </w:r>
          </w:p>
        </w:tc>
        <w:tc>
          <w:tcPr>
            <w:tcW w:w="58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tcPr>
          <w:p>
            <w:pPr>
              <w:jc w:val="right"/>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jc w:val="right"/>
              <w:ind w:right="300"/>
              <w:spacing w:after="0" w:line="105" w:lineRule="exact"/>
              <w:rPr>
                <w:sz w:val="20"/>
                <w:szCs w:val="20"/>
                <w:color w:val="auto"/>
              </w:rPr>
            </w:pPr>
            <w:r>
              <w:rPr>
                <w:rFonts w:ascii="Times New Roman" w:cs="Times New Roman" w:eastAsia="Times New Roman" w:hAnsi="Times New Roman"/>
                <w:sz w:val="10"/>
                <w:szCs w:val="10"/>
                <w:b w:val="1"/>
                <w:bCs w:val="1"/>
                <w:color w:val="auto"/>
                <w:w w:val="97"/>
              </w:rPr>
              <w:t>Percentage</w:t>
            </w:r>
          </w:p>
        </w:tc>
        <w:tc>
          <w:tcPr>
            <w:tcW w:w="60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70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89"/>
              </w:rPr>
              <w:t>Date</w:t>
            </w:r>
          </w:p>
        </w:tc>
        <w:tc>
          <w:tcPr>
            <w:tcW w:w="58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700" w:type="dxa"/>
            <w:vAlign w:val="bottom"/>
            <w:gridSpan w:val="2"/>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60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720" w:type="dxa"/>
            <w:vAlign w:val="bottom"/>
            <w:gridSpan w:val="2"/>
          </w:tcPr>
          <w:p>
            <w:pPr>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78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0"/>
              </w:rPr>
              <w:t>of Net Assets</w:t>
            </w:r>
          </w:p>
        </w:tc>
        <w:tc>
          <w:tcPr>
            <w:tcW w:w="60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w w:val="95"/>
              </w:rPr>
              <w:t>Class Held</w:t>
            </w:r>
          </w:p>
        </w:tc>
        <w:tc>
          <w:tcPr>
            <w:tcW w:w="0" w:type="dxa"/>
            <w:vAlign w:val="bottom"/>
          </w:tcPr>
          <w:p>
            <w:pPr>
              <w:spacing w:after="0"/>
              <w:rPr>
                <w:sz w:val="1"/>
                <w:szCs w:val="1"/>
                <w:color w:val="auto"/>
              </w:rPr>
            </w:pPr>
          </w:p>
        </w:tc>
      </w:tr>
      <w:tr>
        <w:trPr>
          <w:trHeight w:val="68"/>
        </w:trPr>
        <w:tc>
          <w:tcPr>
            <w:tcW w:w="2000" w:type="dxa"/>
            <w:vAlign w:val="bottom"/>
            <w:tcBorders>
              <w:top w:val="single" w:sz="8" w:color="CCEEFF"/>
            </w:tcBorders>
            <w:gridSpan w:val="2"/>
            <w:shd w:val="clear" w:color="auto" w:fill="CCEEFF"/>
          </w:tcPr>
          <w:p>
            <w:pPr>
              <w:spacing w:after="0" w:line="69" w:lineRule="exact"/>
              <w:rPr>
                <w:sz w:val="20"/>
                <w:szCs w:val="20"/>
                <w:color w:val="auto"/>
              </w:rPr>
            </w:pPr>
            <w:r>
              <w:rPr>
                <w:rFonts w:ascii="Times New Roman" w:cs="Times New Roman" w:eastAsia="Times New Roman" w:hAnsi="Times New Roman"/>
                <w:sz w:val="7"/>
                <w:szCs w:val="7"/>
                <w:color w:val="auto"/>
              </w:rPr>
              <w:t xml:space="preserve">EMS Linq, Inc. </w:t>
            </w:r>
            <w:r>
              <w:rPr>
                <w:rFonts w:ascii="Times New Roman" w:cs="Times New Roman" w:eastAsia="Times New Roman" w:hAnsi="Times New Roman"/>
                <w:sz w:val="5"/>
                <w:szCs w:val="5"/>
                <w:color w:val="auto"/>
              </w:rPr>
              <w:t>(11)</w:t>
            </w:r>
          </w:p>
        </w:tc>
        <w:tc>
          <w:tcPr>
            <w:tcW w:w="17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2528 INDEPENDENCE BLVD STE</w:t>
            </w:r>
          </w:p>
        </w:tc>
        <w:tc>
          <w:tcPr>
            <w:tcW w:w="1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200</w:t>
            </w:r>
          </w:p>
        </w:tc>
        <w:tc>
          <w:tcPr>
            <w:tcW w:w="1400" w:type="dxa"/>
            <w:vAlign w:val="bottom"/>
            <w:shd w:val="clear" w:color="auto" w:fill="CCEEFF"/>
          </w:tcPr>
          <w:p>
            <w:pPr>
              <w:spacing w:after="0"/>
              <w:rPr>
                <w:sz w:val="10"/>
                <w:szCs w:val="10"/>
                <w:color w:val="auto"/>
              </w:rPr>
            </w:pPr>
          </w:p>
        </w:tc>
        <w:tc>
          <w:tcPr>
            <w:tcW w:w="1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B Units (5,522,526 units)</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12/22/2021</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5,523</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4,763</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0.4%</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15.9%</w:t>
            </w:r>
          </w:p>
        </w:tc>
        <w:tc>
          <w:tcPr>
            <w:tcW w:w="0" w:type="dxa"/>
            <w:vAlign w:val="bottom"/>
          </w:tcPr>
          <w:p>
            <w:pPr>
              <w:spacing w:after="0"/>
              <w:rPr>
                <w:sz w:val="1"/>
                <w:szCs w:val="1"/>
                <w:color w:val="auto"/>
              </w:rPr>
            </w:pPr>
          </w:p>
        </w:tc>
      </w:tr>
      <w:tr>
        <w:trPr>
          <w:trHeight w:val="132"/>
        </w:trPr>
        <w:tc>
          <w:tcPr>
            <w:tcW w:w="2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WILMINGTON NC 28412-2591</w:t>
            </w:r>
          </w:p>
        </w:tc>
        <w:tc>
          <w:tcPr>
            <w:tcW w:w="186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RMCF IV CIV XXXV, LP. </w:t>
            </w:r>
            <w:r>
              <w:rPr>
                <w:rFonts w:ascii="Times New Roman" w:cs="Times New Roman" w:eastAsia="Times New Roman" w:hAnsi="Times New Roman"/>
                <w:sz w:val="8"/>
                <w:szCs w:val="8"/>
                <w:color w:val="auto"/>
              </w:rPr>
              <w:t>(11)</w:t>
            </w:r>
          </w:p>
        </w:tc>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Partnership Interest (11.94%</w:t>
            </w: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1320 Flynn Road, Suite 100 Camarillo,</w:t>
            </w:r>
          </w:p>
        </w:tc>
        <w:tc>
          <w:tcPr>
            <w:tcW w:w="1860" w:type="dxa"/>
            <w:vAlign w:val="bottom"/>
            <w:gridSpan w:val="2"/>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6/8/2021</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1,000</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1,410</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0.1%</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11.9%</w:t>
            </w:r>
          </w:p>
        </w:tc>
        <w:tc>
          <w:tcPr>
            <w:tcW w:w="0" w:type="dxa"/>
            <w:vAlign w:val="bottom"/>
          </w:tcPr>
          <w:p>
            <w:pPr>
              <w:spacing w:after="0"/>
              <w:rPr>
                <w:sz w:val="1"/>
                <w:szCs w:val="1"/>
                <w:color w:val="auto"/>
              </w:rPr>
            </w:pPr>
          </w:p>
        </w:tc>
      </w:tr>
      <w:tr>
        <w:trPr>
          <w:trHeight w:val="132"/>
        </w:trPr>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CA 93012</w:t>
            </w: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ownership)</w:t>
            </w:r>
          </w:p>
        </w:tc>
        <w:tc>
          <w:tcPr>
            <w:tcW w:w="7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9,778</w:t>
            </w:r>
          </w:p>
        </w:tc>
        <w:tc>
          <w:tcPr>
            <w:tcW w:w="72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6,767</w:t>
            </w:r>
          </w:p>
        </w:tc>
        <w:tc>
          <w:tcPr>
            <w:tcW w:w="78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0.5%</w:t>
            </w: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0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Financial Services</w:t>
            </w: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AvidXchange, Inc. </w:t>
            </w:r>
            <w:r>
              <w:rPr>
                <w:rFonts w:ascii="Times New Roman" w:cs="Times New Roman" w:eastAsia="Times New Roman" w:hAnsi="Times New Roman"/>
                <w:sz w:val="8"/>
                <w:szCs w:val="8"/>
                <w:color w:val="auto"/>
              </w:rPr>
              <w:t>(10)(11)</w:t>
            </w:r>
          </w:p>
        </w:tc>
        <w:tc>
          <w:tcPr>
            <w:tcW w:w="1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1210 AvidXchange Lane</w:t>
            </w:r>
          </w:p>
        </w:tc>
        <w:tc>
          <w:tcPr>
            <w:tcW w:w="1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Shares (50,179 shares)</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10/15/2021</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476</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Charlotte, NC 28206</w:t>
            </w:r>
          </w:p>
        </w:tc>
        <w:tc>
          <w:tcPr>
            <w:tcW w:w="186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Newport Parent Holdings, LP </w:t>
            </w:r>
            <w:r>
              <w:rPr>
                <w:rFonts w:ascii="Times New Roman" w:cs="Times New Roman" w:eastAsia="Times New Roman" w:hAnsi="Times New Roman"/>
                <w:sz w:val="8"/>
                <w:szCs w:val="8"/>
                <w:color w:val="auto"/>
              </w:rPr>
              <w:t>(11)</w:t>
            </w:r>
            <w:r>
              <w:rPr>
                <w:rFonts w:ascii="Times New Roman" w:cs="Times New Roman" w:eastAsia="Times New Roman" w:hAnsi="Times New Roman"/>
                <w:sz w:val="11"/>
                <w:szCs w:val="11"/>
                <w:color w:val="auto"/>
              </w:rPr>
              <w:t xml:space="preserve"> 58</w:t>
            </w: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Durham Road</w:t>
            </w:r>
          </w:p>
        </w:tc>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Class A-2 Units (131,569 units)</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12/10/2020</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4,177</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9,607</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0.6%</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32"/>
        </w:trPr>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DH3 2QJ</w:t>
            </w:r>
          </w:p>
        </w:tc>
        <w:tc>
          <w:tcPr>
            <w:tcW w:w="18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Oxford Square Capital Corp. </w:t>
            </w:r>
            <w:r>
              <w:rPr>
                <w:rFonts w:ascii="Times New Roman" w:cs="Times New Roman" w:eastAsia="Times New Roman" w:hAnsi="Times New Roman"/>
                <w:sz w:val="8"/>
                <w:szCs w:val="8"/>
                <w:color w:val="auto"/>
              </w:rPr>
              <w:t>(4)(10)</w:t>
            </w:r>
          </w:p>
        </w:tc>
        <w:tc>
          <w:tcPr>
            <w:tcW w:w="1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8 Sound Shore Drive Suite 255</w:t>
            </w:r>
          </w:p>
        </w:tc>
        <w:tc>
          <w:tcPr>
            <w:tcW w:w="1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255</w:t>
            </w:r>
          </w:p>
        </w:tc>
        <w:tc>
          <w:tcPr>
            <w:tcW w:w="1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Shares (1,620 shares)</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8/5/2015</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Greenwich, CT 06830</w:t>
            </w:r>
          </w:p>
        </w:tc>
        <w:tc>
          <w:tcPr>
            <w:tcW w:w="186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Passport Labs, Inc. </w:t>
            </w:r>
            <w:r>
              <w:rPr>
                <w:rFonts w:ascii="Times New Roman" w:cs="Times New Roman" w:eastAsia="Times New Roman" w:hAnsi="Times New Roman"/>
                <w:sz w:val="8"/>
                <w:szCs w:val="8"/>
                <w:color w:val="auto"/>
              </w:rPr>
              <w:t>(11)</w:t>
            </w: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128 S Tryon St, Ste 1000</w:t>
            </w:r>
          </w:p>
        </w:tc>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17,534 Warrants</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4/28/2021</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6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16.4%</w:t>
            </w:r>
          </w:p>
        </w:tc>
        <w:tc>
          <w:tcPr>
            <w:tcW w:w="0" w:type="dxa"/>
            <w:vAlign w:val="bottom"/>
          </w:tcPr>
          <w:p>
            <w:pPr>
              <w:spacing w:after="0"/>
              <w:rPr>
                <w:sz w:val="1"/>
                <w:szCs w:val="1"/>
                <w:color w:val="auto"/>
              </w:rPr>
            </w:pPr>
          </w:p>
        </w:tc>
      </w:tr>
      <w:tr>
        <w:trPr>
          <w:trHeight w:val="132"/>
        </w:trPr>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Charlotte, NC 28202</w:t>
            </w:r>
          </w:p>
        </w:tc>
        <w:tc>
          <w:tcPr>
            <w:tcW w:w="18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TradingScreen, Inc. </w:t>
            </w:r>
            <w:r>
              <w:rPr>
                <w:rFonts w:ascii="Times New Roman" w:cs="Times New Roman" w:eastAsia="Times New Roman" w:hAnsi="Times New Roman"/>
                <w:sz w:val="8"/>
                <w:szCs w:val="8"/>
                <w:color w:val="auto"/>
              </w:rPr>
              <w:t>(11)(13)</w:t>
            </w:r>
          </w:p>
        </w:tc>
        <w:tc>
          <w:tcPr>
            <w:tcW w:w="1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 Penn Plaza, 49th Fl</w:t>
            </w:r>
          </w:p>
        </w:tc>
        <w:tc>
          <w:tcPr>
            <w:tcW w:w="1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A Units (600,000 units)</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5/14/2021</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160" w:type="dxa"/>
            <w:vAlign w:val="bottom"/>
            <w:vMerge w:val="restart"/>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0.1%</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32"/>
        </w:trPr>
        <w:tc>
          <w:tcPr>
            <w:tcW w:w="2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New York, NY 10119</w:t>
            </w:r>
          </w:p>
        </w:tc>
        <w:tc>
          <w:tcPr>
            <w:tcW w:w="186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5,231</w:t>
            </w:r>
          </w:p>
        </w:tc>
        <w:tc>
          <w:tcPr>
            <w:tcW w:w="160" w:type="dxa"/>
            <w:vAlign w:val="bottom"/>
            <w:vMerge w:val="continue"/>
          </w:tcPr>
          <w:p>
            <w:pPr>
              <w:spacing w:after="0"/>
              <w:rPr>
                <w:sz w:val="10"/>
                <w:szCs w:val="10"/>
                <w:color w:val="auto"/>
              </w:rPr>
            </w:pPr>
          </w:p>
        </w:tc>
        <w:tc>
          <w:tcPr>
            <w:tcW w:w="5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10,690</w:t>
            </w:r>
          </w:p>
        </w:tc>
        <w:tc>
          <w:tcPr>
            <w:tcW w:w="160" w:type="dxa"/>
            <w:vAlign w:val="bottom"/>
            <w:vMerge w:val="continue"/>
          </w:tcPr>
          <w:p>
            <w:pPr>
              <w:spacing w:after="0"/>
              <w:rPr>
                <w:sz w:val="10"/>
                <w:szCs w:val="10"/>
                <w:color w:val="auto"/>
              </w:rPr>
            </w:pPr>
          </w:p>
        </w:tc>
        <w:tc>
          <w:tcPr>
            <w:tcW w:w="7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0.7%</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0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Healthcare</w:t>
            </w:r>
          </w:p>
        </w:tc>
        <w:tc>
          <w:tcPr>
            <w:tcW w:w="1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Caris Life Sciences, Inc. </w:t>
            </w:r>
            <w:r>
              <w:rPr>
                <w:rFonts w:ascii="Times New Roman" w:cs="Times New Roman" w:eastAsia="Times New Roman" w:hAnsi="Times New Roman"/>
                <w:sz w:val="8"/>
                <w:szCs w:val="8"/>
                <w:color w:val="auto"/>
              </w:rPr>
              <w:t>(11)</w:t>
            </w: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750 W John Carpenter Fwy</w:t>
            </w:r>
          </w:p>
        </w:tc>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Series C Preferred Shares (1,915,114</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800</w:t>
            </w:r>
          </w:p>
        </w:tc>
        <w:tc>
          <w:tcPr>
            <w:tcW w:w="1860" w:type="dxa"/>
            <w:vAlign w:val="bottom"/>
            <w:gridSpan w:val="2"/>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10/13/2020</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3,500</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6,703</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0.5%</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32"/>
        </w:trPr>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Irving, TX 75039</w:t>
            </w: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shares)</w:t>
            </w:r>
          </w:p>
        </w:tc>
        <w:tc>
          <w:tcPr>
            <w:tcW w:w="7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8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Series D Preferred Shares (1,240,740</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5/11/2021</w:t>
            </w: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10,050</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9,573</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0.6%</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shares)</w:t>
            </w:r>
          </w:p>
        </w:tc>
        <w:tc>
          <w:tcPr>
            <w:tcW w:w="70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633,376 Warrants</w:t>
            </w:r>
          </w:p>
        </w:tc>
        <w:tc>
          <w:tcPr>
            <w:tcW w:w="70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9/21/2018</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192</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1,196</w:t>
            </w:r>
          </w:p>
        </w:tc>
        <w:tc>
          <w:tcPr>
            <w:tcW w:w="78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0.1%</w:t>
            </w:r>
          </w:p>
        </w:tc>
        <w:tc>
          <w:tcPr>
            <w:tcW w:w="60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569,991 Warrants</w:t>
            </w:r>
          </w:p>
        </w:tc>
        <w:tc>
          <w:tcPr>
            <w:tcW w:w="70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4/2/2020</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250</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893</w:t>
            </w:r>
          </w:p>
        </w:tc>
        <w:tc>
          <w:tcPr>
            <w:tcW w:w="78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0.1%</w:t>
            </w:r>
          </w:p>
        </w:tc>
        <w:tc>
          <w:tcPr>
            <w:tcW w:w="60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98"/>
        </w:trPr>
        <w:tc>
          <w:tcPr>
            <w:tcW w:w="20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Merative L.P. </w:t>
            </w:r>
            <w:r>
              <w:rPr>
                <w:rFonts w:ascii="Times New Roman" w:cs="Times New Roman" w:eastAsia="Times New Roman" w:hAnsi="Times New Roman"/>
                <w:sz w:val="8"/>
                <w:szCs w:val="8"/>
                <w:color w:val="auto"/>
              </w:rPr>
              <w:t>(11)(13)</w:t>
            </w: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100 Phoenix Drive</w:t>
            </w:r>
          </w:p>
        </w:tc>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989,691 Class A-1 Units</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6/30/2022</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9,897</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9,897</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0.7%</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16.5%</w:t>
            </w:r>
          </w:p>
        </w:tc>
        <w:tc>
          <w:tcPr>
            <w:tcW w:w="0" w:type="dxa"/>
            <w:vAlign w:val="bottom"/>
          </w:tcPr>
          <w:p>
            <w:pPr>
              <w:spacing w:after="0"/>
              <w:rPr>
                <w:sz w:val="1"/>
                <w:szCs w:val="1"/>
                <w:color w:val="auto"/>
              </w:rPr>
            </w:pPr>
          </w:p>
        </w:tc>
      </w:tr>
      <w:tr>
        <w:trPr>
          <w:trHeight w:val="132"/>
        </w:trPr>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Ann Arbor, MI 48108</w:t>
            </w:r>
          </w:p>
        </w:tc>
        <w:tc>
          <w:tcPr>
            <w:tcW w:w="18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8"/>
                <w:szCs w:val="8"/>
                <w:color w:val="auto"/>
              </w:rPr>
              <w:t>(11)(12)</w:t>
            </w:r>
          </w:p>
        </w:tc>
        <w:tc>
          <w:tcPr>
            <w:tcW w:w="1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205 West Wacker Drive, Suite 1800</w:t>
            </w:r>
          </w:p>
        </w:tc>
        <w:tc>
          <w:tcPr>
            <w:tcW w:w="1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2,027 Ordinary Shares</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3/24/2023</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203</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32"/>
        </w:trPr>
        <w:tc>
          <w:tcPr>
            <w:tcW w:w="2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Chicago, IL 60606</w:t>
            </w:r>
          </w:p>
        </w:tc>
        <w:tc>
          <w:tcPr>
            <w:tcW w:w="186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2,027 Class A</w:t>
            </w:r>
          </w:p>
        </w:tc>
        <w:tc>
          <w:tcPr>
            <w:tcW w:w="70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3/24/2023</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78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2,027 Class B</w:t>
            </w:r>
          </w:p>
        </w:tc>
        <w:tc>
          <w:tcPr>
            <w:tcW w:w="70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3/24/2023</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78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15"/>
        </w:trPr>
        <w:tc>
          <w:tcPr>
            <w:tcW w:w="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2,027 Class C</w:t>
            </w:r>
          </w:p>
        </w:tc>
        <w:tc>
          <w:tcPr>
            <w:tcW w:w="70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3/24/2023</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78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2,027 Class D</w:t>
            </w:r>
          </w:p>
        </w:tc>
        <w:tc>
          <w:tcPr>
            <w:tcW w:w="70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3/24/2023</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78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15"/>
        </w:trPr>
        <w:tc>
          <w:tcPr>
            <w:tcW w:w="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2,027 Class E</w:t>
            </w:r>
          </w:p>
        </w:tc>
        <w:tc>
          <w:tcPr>
            <w:tcW w:w="70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3/24/2023</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78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2,027 Class F</w:t>
            </w:r>
          </w:p>
        </w:tc>
        <w:tc>
          <w:tcPr>
            <w:tcW w:w="70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3/24/2023</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78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15"/>
        </w:trPr>
        <w:tc>
          <w:tcPr>
            <w:tcW w:w="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2,027 Class G</w:t>
            </w:r>
          </w:p>
        </w:tc>
        <w:tc>
          <w:tcPr>
            <w:tcW w:w="70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3/24/2023</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78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2,027 Class H</w:t>
            </w:r>
          </w:p>
        </w:tc>
        <w:tc>
          <w:tcPr>
            <w:tcW w:w="70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3/24/2023</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78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15"/>
        </w:trPr>
        <w:tc>
          <w:tcPr>
            <w:tcW w:w="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2,027 Class I</w:t>
            </w:r>
          </w:p>
        </w:tc>
        <w:tc>
          <w:tcPr>
            <w:tcW w:w="70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3/24/2023</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16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203</w:t>
            </w:r>
          </w:p>
        </w:tc>
        <w:tc>
          <w:tcPr>
            <w:tcW w:w="160" w:type="dxa"/>
            <w:vAlign w:val="bottom"/>
          </w:tcPr>
          <w:p>
            <w:pPr>
              <w:spacing w:after="0"/>
              <w:rPr>
                <w:sz w:val="10"/>
                <w:szCs w:val="10"/>
                <w:color w:val="auto"/>
              </w:rPr>
            </w:pPr>
          </w:p>
        </w:tc>
        <w:tc>
          <w:tcPr>
            <w:tcW w:w="78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34.5%</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25,919</w:t>
            </w:r>
          </w:p>
        </w:tc>
        <w:tc>
          <w:tcPr>
            <w:tcW w:w="72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30,292</w:t>
            </w:r>
          </w:p>
        </w:tc>
        <w:tc>
          <w:tcPr>
            <w:tcW w:w="78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2.0%</w:t>
            </w: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50" w:right="1440" w:bottom="1440" w:gutter="0" w:footer="0" w:header="0"/>
        </w:sectPr>
      </w:pPr>
    </w:p>
    <w:bookmarkStart w:id="97" w:name="page98"/>
    <w:bookmarkEnd w:id="97"/>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1"/>
              </w:rPr>
              <w:t>Initial</w:t>
            </w: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2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70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8"/>
              </w:rPr>
              <w:t>Acquisition</w:t>
            </w:r>
          </w:p>
        </w:tc>
        <w:tc>
          <w:tcPr>
            <w:tcW w:w="58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right"/>
              <w:ind w:right="300"/>
              <w:spacing w:after="0" w:line="105" w:lineRule="exact"/>
              <w:rPr>
                <w:sz w:val="20"/>
                <w:szCs w:val="20"/>
                <w:color w:val="auto"/>
              </w:rPr>
            </w:pPr>
            <w:r>
              <w:rPr>
                <w:rFonts w:ascii="Times New Roman" w:cs="Times New Roman" w:eastAsia="Times New Roman" w:hAnsi="Times New Roman"/>
                <w:sz w:val="10"/>
                <w:szCs w:val="10"/>
                <w:b w:val="1"/>
                <w:bCs w:val="1"/>
                <w:color w:val="auto"/>
                <w:w w:val="97"/>
              </w:rPr>
              <w:t>Percentage</w:t>
            </w:r>
          </w:p>
        </w:tc>
        <w:tc>
          <w:tcPr>
            <w:tcW w:w="60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700" w:type="dxa"/>
            <w:vAlign w:val="bottom"/>
            <w:gridSpan w:val="2"/>
          </w:tcPr>
          <w:p>
            <w:pPr>
              <w:jc w:val="center"/>
              <w:ind w:right="180"/>
              <w:spacing w:after="0" w:line="110"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58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720" w:type="dxa"/>
            <w:vAlign w:val="bottom"/>
            <w:gridSpan w:val="2"/>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62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800" w:type="dxa"/>
            <w:vAlign w:val="bottom"/>
            <w:gridSpan w:val="2"/>
          </w:tcPr>
          <w:p>
            <w:pPr>
              <w:jc w:val="right"/>
              <w:ind w:right="220"/>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78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0"/>
              </w:rPr>
              <w:t>of Net Assets</w:t>
            </w:r>
          </w:p>
        </w:tc>
        <w:tc>
          <w:tcPr>
            <w:tcW w:w="60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w w:val="95"/>
              </w:rPr>
              <w:t>Class Held</w:t>
            </w:r>
          </w:p>
        </w:tc>
        <w:tc>
          <w:tcPr>
            <w:tcW w:w="0" w:type="dxa"/>
            <w:vAlign w:val="bottom"/>
          </w:tcPr>
          <w:p>
            <w:pPr>
              <w:spacing w:after="0"/>
              <w:rPr>
                <w:sz w:val="1"/>
                <w:szCs w:val="1"/>
                <w:color w:val="auto"/>
              </w:rPr>
            </w:pPr>
          </w:p>
        </w:tc>
      </w:tr>
      <w:tr>
        <w:trPr>
          <w:trHeight w:val="86"/>
        </w:trPr>
        <w:tc>
          <w:tcPr>
            <w:tcW w:w="1800" w:type="dxa"/>
            <w:vAlign w:val="bottom"/>
            <w:tcBorders>
              <w:top w:val="single" w:sz="8" w:color="CCEEFF"/>
            </w:tcBorders>
            <w:gridSpan w:val="2"/>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Hotel, Gaming and Leisure</w:t>
            </w:r>
          </w:p>
        </w:tc>
        <w:tc>
          <w:tcPr>
            <w:tcW w:w="100" w:type="dxa"/>
            <w:vAlign w:val="bottom"/>
            <w:tcBorders>
              <w:top w:val="single" w:sz="8" w:color="CCEEFF"/>
            </w:tcBorders>
            <w:shd w:val="clear" w:color="auto" w:fill="CCEEFF"/>
          </w:tcPr>
          <w:p>
            <w:pPr>
              <w:spacing w:after="0"/>
              <w:rPr>
                <w:sz w:val="7"/>
                <w:szCs w:val="7"/>
                <w:color w:val="auto"/>
              </w:rPr>
            </w:pPr>
          </w:p>
        </w:tc>
        <w:tc>
          <w:tcPr>
            <w:tcW w:w="17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8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IRGSE Holding Corp. </w:t>
            </w:r>
            <w:r>
              <w:rPr>
                <w:rFonts w:ascii="Times New Roman" w:cs="Times New Roman" w:eastAsia="Times New Roman" w:hAnsi="Times New Roman"/>
                <w:sz w:val="8"/>
                <w:szCs w:val="8"/>
                <w:color w:val="auto"/>
              </w:rPr>
              <w:t>(7)(11)</w:t>
            </w: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1555 Palm Beach Lake Blvd</w:t>
            </w: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Unit 1105</w:t>
            </w: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West Palm Beach, FL 33401</w:t>
            </w:r>
          </w:p>
        </w:tc>
        <w:tc>
          <w:tcPr>
            <w:tcW w:w="1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color w:val="auto"/>
              </w:rPr>
              <w:t>Class A Units (33,790,171 units)</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12/21/2018</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21,842</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6,336</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0.4%</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100.0%</w:t>
            </w:r>
          </w:p>
        </w:tc>
        <w:tc>
          <w:tcPr>
            <w:tcW w:w="0" w:type="dxa"/>
            <w:vAlign w:val="bottom"/>
          </w:tcPr>
          <w:p>
            <w:pPr>
              <w:spacing w:after="0"/>
              <w:rPr>
                <w:sz w:val="1"/>
                <w:szCs w:val="1"/>
                <w:color w:val="auto"/>
              </w:rPr>
            </w:pPr>
          </w:p>
        </w:tc>
      </w:tr>
      <w:tr>
        <w:trPr>
          <w:trHeight w:val="132"/>
        </w:trPr>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94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940" w:type="dxa"/>
            <w:vAlign w:val="bottom"/>
            <w:gridSpan w:val="3"/>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Class C-1 Units (8,800,000 units)</w:t>
            </w:r>
          </w:p>
        </w:tc>
        <w:tc>
          <w:tcPr>
            <w:tcW w:w="70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12/21/2018</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100</w:t>
            </w: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43</w:t>
            </w:r>
          </w:p>
        </w:tc>
        <w:tc>
          <w:tcPr>
            <w:tcW w:w="78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86.1%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21,942</w:t>
            </w:r>
          </w:p>
        </w:tc>
        <w:tc>
          <w:tcPr>
            <w:tcW w:w="180" w:type="dxa"/>
            <w:vAlign w:val="bottom"/>
            <w:vMerge w:val="continue"/>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6,379</w:t>
            </w:r>
          </w:p>
        </w:tc>
        <w:tc>
          <w:tcPr>
            <w:tcW w:w="180" w:type="dxa"/>
            <w:vAlign w:val="bottom"/>
            <w:vMerge w:val="continue"/>
          </w:tcPr>
          <w:p>
            <w:pPr>
              <w:spacing w:after="0"/>
              <w:rPr>
                <w:sz w:val="10"/>
                <w:szCs w:val="10"/>
                <w:color w:val="auto"/>
              </w:rPr>
            </w:pPr>
          </w:p>
        </w:tc>
        <w:tc>
          <w:tcPr>
            <w:tcW w:w="7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0.4%</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1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Axonify, Inc. </w:t>
            </w:r>
            <w:r>
              <w:rPr>
                <w:rFonts w:ascii="Times New Roman" w:cs="Times New Roman" w:eastAsia="Times New Roman" w:hAnsi="Times New Roman"/>
                <w:sz w:val="8"/>
                <w:szCs w:val="8"/>
                <w:color w:val="auto"/>
              </w:rPr>
              <w:t>(4)(11)(13)</w:t>
            </w: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450 Phillip St</w:t>
            </w: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Waterloo, Ontario N2L 5J2</w:t>
            </w:r>
          </w:p>
        </w:tc>
        <w:tc>
          <w:tcPr>
            <w:tcW w:w="1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color w:val="auto"/>
              </w:rPr>
              <w:t>Class A-1 Units (3,780,000 units)</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5/5/2021</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3,780</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3,837</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0.3%</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32"/>
        </w:trPr>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Canada</w:t>
            </w:r>
          </w:p>
        </w:tc>
        <w:tc>
          <w:tcPr>
            <w:tcW w:w="194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8"/>
                <w:szCs w:val="8"/>
                <w:color w:val="auto"/>
              </w:rPr>
              <w:t>(11)(12)</w:t>
            </w:r>
          </w:p>
        </w:tc>
        <w:tc>
          <w:tcPr>
            <w:tcW w:w="10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500 W. Monroe</w:t>
            </w:r>
          </w:p>
        </w:tc>
        <w:tc>
          <w:tcPr>
            <w:tcW w:w="1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3800</w:t>
            </w:r>
          </w:p>
        </w:tc>
        <w:tc>
          <w:tcPr>
            <w:tcW w:w="1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Chicago, IL 60661</w:t>
            </w:r>
          </w:p>
        </w:tc>
        <w:tc>
          <w:tcPr>
            <w:tcW w:w="194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Class A-1 Units (2,393,509 units)</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11/7/2022</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2,394</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2,394</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0.2%</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32"/>
        </w:trPr>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940" w:type="dxa"/>
            <w:vAlign w:val="bottom"/>
            <w:gridSpan w:val="3"/>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DaySmart Holdings, LLC </w:t>
            </w:r>
            <w:r>
              <w:rPr>
                <w:rFonts w:ascii="Times New Roman" w:cs="Times New Roman" w:eastAsia="Times New Roman" w:hAnsi="Times New Roman"/>
                <w:sz w:val="8"/>
                <w:szCs w:val="8"/>
                <w:color w:val="auto"/>
              </w:rPr>
              <w:t>(11)(13)</w:t>
            </w: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312 Soutg State Street Fl 2</w:t>
            </w:r>
          </w:p>
        </w:tc>
        <w:tc>
          <w:tcPr>
            <w:tcW w:w="1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color w:val="auto"/>
              </w:rPr>
              <w:t>Class A Units (166,811 units)</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10/1/2019</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1,347</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2,030</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0.1%</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32"/>
        </w:trPr>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Ann Arbor, MI 48104</w:t>
            </w:r>
          </w:p>
        </w:tc>
        <w:tc>
          <w:tcPr>
            <w:tcW w:w="194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80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Employment Hero Holdings Pty Ltd.</w:t>
            </w:r>
          </w:p>
        </w:tc>
        <w:tc>
          <w:tcPr>
            <w:tcW w:w="10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shd w:val="clear" w:color="auto" w:fill="CCEEFF"/>
          </w:tcPr>
          <w:p>
            <w:pPr>
              <w:ind w:left="100"/>
              <w:spacing w:after="0" w:line="87" w:lineRule="exact"/>
              <w:rPr>
                <w:sz w:val="20"/>
                <w:szCs w:val="20"/>
                <w:color w:val="auto"/>
              </w:rPr>
            </w:pPr>
            <w:r>
              <w:rPr>
                <w:rFonts w:ascii="Times New Roman" w:cs="Times New Roman" w:eastAsia="Times New Roman" w:hAnsi="Times New Roman"/>
                <w:sz w:val="8"/>
                <w:szCs w:val="8"/>
                <w:color w:val="auto"/>
              </w:rPr>
              <w:t>(4)(11)</w:t>
            </w: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8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Level 2, 441 Kent Street</w:t>
            </w:r>
          </w:p>
        </w:tc>
        <w:tc>
          <w:tcPr>
            <w:tcW w:w="194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Series E Preferred Shares (113,250</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2,493</w:t>
            </w: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Sydney, New South Wales 2000</w:t>
            </w:r>
          </w:p>
        </w:tc>
        <w:tc>
          <w:tcPr>
            <w:tcW w:w="1940" w:type="dxa"/>
            <w:vAlign w:val="bottom"/>
            <w:gridSpan w:val="3"/>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3/1/2022</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2,134</w:t>
            </w:r>
          </w:p>
        </w:tc>
        <w:tc>
          <w:tcPr>
            <w:tcW w:w="800" w:type="dxa"/>
            <w:vAlign w:val="bottom"/>
            <w:gridSpan w:val="2"/>
            <w:vMerge w:val="continue"/>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0.2%</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Australia</w:t>
            </w:r>
          </w:p>
        </w:tc>
        <w:tc>
          <w:tcPr>
            <w:tcW w:w="10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shares)</w:t>
            </w:r>
          </w:p>
        </w:tc>
        <w:tc>
          <w:tcPr>
            <w:tcW w:w="70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(AUD 3,862)</w:t>
            </w: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9,655</w:t>
            </w:r>
          </w:p>
        </w:tc>
        <w:tc>
          <w:tcPr>
            <w:tcW w:w="180" w:type="dxa"/>
            <w:vAlign w:val="bottom"/>
            <w:vMerge w:val="continue"/>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10,754</w:t>
            </w:r>
          </w:p>
        </w:tc>
        <w:tc>
          <w:tcPr>
            <w:tcW w:w="180" w:type="dxa"/>
            <w:vAlign w:val="bottom"/>
            <w:vMerge w:val="continue"/>
          </w:tcPr>
          <w:p>
            <w:pPr>
              <w:spacing w:after="0"/>
              <w:rPr>
                <w:sz w:val="10"/>
                <w:szCs w:val="10"/>
                <w:color w:val="auto"/>
              </w:rPr>
            </w:pPr>
          </w:p>
        </w:tc>
        <w:tc>
          <w:tcPr>
            <w:tcW w:w="7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0.8%</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Internet Services</w:t>
            </w:r>
          </w:p>
        </w:tc>
        <w:tc>
          <w:tcPr>
            <w:tcW w:w="1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Bayshore Intermediate #2, L.P. </w:t>
            </w:r>
            <w:r>
              <w:rPr>
                <w:rFonts w:ascii="Times New Roman" w:cs="Times New Roman" w:eastAsia="Times New Roman" w:hAnsi="Times New Roman"/>
                <w:sz w:val="8"/>
                <w:szCs w:val="8"/>
                <w:color w:val="auto"/>
              </w:rPr>
              <w:t>(11)(13)</w:t>
            </w:r>
          </w:p>
        </w:tc>
        <w:tc>
          <w:tcPr>
            <w:tcW w:w="1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color w:val="auto"/>
              </w:rPr>
              <w:t>Co-Invest Common Units (8,837,008</w:t>
            </w: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1400 Liberty Ridge Drive</w:t>
            </w:r>
          </w:p>
        </w:tc>
        <w:tc>
          <w:tcPr>
            <w:tcW w:w="1940" w:type="dxa"/>
            <w:vAlign w:val="bottom"/>
            <w:gridSpan w:val="3"/>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10/1/2021</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8,837</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8,152</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0.5%</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Chesterbrook, PA 19087 USA</w:t>
            </w:r>
          </w:p>
        </w:tc>
        <w:tc>
          <w:tcPr>
            <w:tcW w:w="100" w:type="dxa"/>
            <w:vAlign w:val="bottom"/>
          </w:tcPr>
          <w:p>
            <w:pPr>
              <w:spacing w:after="0"/>
              <w:rPr>
                <w:sz w:val="11"/>
                <w:szCs w:val="11"/>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units)</w:t>
            </w:r>
          </w:p>
        </w:tc>
        <w:tc>
          <w:tcPr>
            <w:tcW w:w="7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940" w:type="dxa"/>
            <w:vAlign w:val="bottom"/>
            <w:gridSpan w:val="3"/>
            <w:shd w:val="clear" w:color="auto" w:fill="CCEEFF"/>
          </w:tcPr>
          <w:p>
            <w:pPr>
              <w:ind w:left="100"/>
              <w:spacing w:after="0" w:line="98" w:lineRule="exact"/>
              <w:rPr>
                <w:sz w:val="20"/>
                <w:szCs w:val="20"/>
                <w:color w:val="auto"/>
              </w:rPr>
            </w:pPr>
            <w:r>
              <w:rPr>
                <w:rFonts w:ascii="Times New Roman" w:cs="Times New Roman" w:eastAsia="Times New Roman" w:hAnsi="Times New Roman"/>
                <w:sz w:val="11"/>
                <w:szCs w:val="11"/>
                <w:color w:val="auto"/>
              </w:rPr>
              <w:t>Co-Invest 2 Common Units</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10/1/2021</w:t>
            </w: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3,494</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3,223</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0.2%</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(3,493,701 units)</w:t>
            </w:r>
          </w:p>
        </w:tc>
        <w:tc>
          <w:tcPr>
            <w:tcW w:w="70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0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Lucidworks, Inc. </w:t>
            </w:r>
            <w:r>
              <w:rPr>
                <w:rFonts w:ascii="Times New Roman" w:cs="Times New Roman" w:eastAsia="Times New Roman" w:hAnsi="Times New Roman"/>
                <w:sz w:val="8"/>
                <w:szCs w:val="8"/>
                <w:color w:val="auto"/>
              </w:rPr>
              <w:t>(11)</w:t>
            </w: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235 Montgomery Street Suite 500</w:t>
            </w:r>
          </w:p>
        </w:tc>
        <w:tc>
          <w:tcPr>
            <w:tcW w:w="1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color w:val="auto"/>
              </w:rPr>
              <w:t>Series F Preferred Shares (199,054</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San Francisco, CA 94104</w:t>
            </w:r>
          </w:p>
        </w:tc>
        <w:tc>
          <w:tcPr>
            <w:tcW w:w="1940" w:type="dxa"/>
            <w:vAlign w:val="bottom"/>
            <w:gridSpan w:val="3"/>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8/2/2019</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0.1%</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32"/>
        </w:trPr>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00" w:type="dxa"/>
            <w:vAlign w:val="bottom"/>
          </w:tcPr>
          <w:p>
            <w:pPr>
              <w:spacing w:after="0"/>
              <w:rPr>
                <w:sz w:val="11"/>
                <w:szCs w:val="11"/>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shares)</w:t>
            </w:r>
          </w:p>
        </w:tc>
        <w:tc>
          <w:tcPr>
            <w:tcW w:w="7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8"/>
                <w:szCs w:val="8"/>
                <w:color w:val="auto"/>
              </w:rPr>
              <w:t>(11)</w:t>
            </w:r>
          </w:p>
        </w:tc>
        <w:tc>
          <w:tcPr>
            <w:tcW w:w="10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One World Trade Center Suite 46D</w:t>
            </w:r>
          </w:p>
        </w:tc>
        <w:tc>
          <w:tcPr>
            <w:tcW w:w="194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Series C-1 Preferred Shares (418,527</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New York, NY 10007</w:t>
            </w:r>
          </w:p>
        </w:tc>
        <w:tc>
          <w:tcPr>
            <w:tcW w:w="1940" w:type="dxa"/>
            <w:vAlign w:val="bottom"/>
            <w:gridSpan w:val="3"/>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12/22/2021</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3,000</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3,000</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0.2%</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24.9%</w:t>
            </w:r>
          </w:p>
        </w:tc>
        <w:tc>
          <w:tcPr>
            <w:tcW w:w="0" w:type="dxa"/>
            <w:vAlign w:val="bottom"/>
          </w:tcPr>
          <w:p>
            <w:pPr>
              <w:spacing w:after="0"/>
              <w:rPr>
                <w:sz w:val="1"/>
                <w:szCs w:val="1"/>
                <w:color w:val="auto"/>
              </w:rPr>
            </w:pPr>
          </w:p>
        </w:tc>
      </w:tr>
      <w:tr>
        <w:trPr>
          <w:trHeight w:val="132"/>
        </w:trPr>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0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shares)</w:t>
            </w:r>
          </w:p>
        </w:tc>
        <w:tc>
          <w:tcPr>
            <w:tcW w:w="70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50" w:right="1440" w:bottom="1440" w:gutter="0" w:footer="0" w:header="0"/>
        </w:sectPr>
      </w:pPr>
    </w:p>
    <w:bookmarkStart w:id="98" w:name="page99"/>
    <w:bookmarkEnd w:id="98"/>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80" w:type="dxa"/>
            <w:vAlign w:val="bottom"/>
          </w:tcPr>
          <w:p>
            <w:pPr>
              <w:jc w:val="center"/>
              <w:ind w:left="171"/>
              <w:spacing w:after="0"/>
              <w:rPr>
                <w:sz w:val="20"/>
                <w:szCs w:val="20"/>
                <w:color w:val="auto"/>
              </w:rPr>
            </w:pPr>
            <w:r>
              <w:rPr>
                <w:rFonts w:ascii="Times New Roman" w:cs="Times New Roman" w:eastAsia="Times New Roman" w:hAnsi="Times New Roman"/>
                <w:sz w:val="10"/>
                <w:szCs w:val="10"/>
                <w:b w:val="1"/>
                <w:bCs w:val="1"/>
                <w:color w:val="auto"/>
                <w:w w:val="91"/>
              </w:rPr>
              <w:t>Initial</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jc w:val="center"/>
              <w:ind w:left="71"/>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2540" w:type="dxa"/>
            <w:vAlign w:val="bottom"/>
            <w:vMerge w:val="restart"/>
          </w:tcPr>
          <w:p>
            <w:pPr>
              <w:ind w:left="172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980" w:type="dxa"/>
            <w:vAlign w:val="bottom"/>
          </w:tcPr>
          <w:p>
            <w:pPr>
              <w:jc w:val="center"/>
              <w:ind w:left="171"/>
              <w:spacing w:after="0" w:line="105" w:lineRule="exact"/>
              <w:rPr>
                <w:sz w:val="20"/>
                <w:szCs w:val="20"/>
                <w:color w:val="auto"/>
              </w:rPr>
            </w:pPr>
            <w:r>
              <w:rPr>
                <w:rFonts w:ascii="Times New Roman" w:cs="Times New Roman" w:eastAsia="Times New Roman" w:hAnsi="Times New Roman"/>
                <w:sz w:val="10"/>
                <w:szCs w:val="10"/>
                <w:b w:val="1"/>
                <w:bCs w:val="1"/>
                <w:color w:val="auto"/>
                <w:w w:val="98"/>
              </w:rPr>
              <w:t>Acquisition</w:t>
            </w:r>
          </w:p>
        </w:tc>
        <w:tc>
          <w:tcPr>
            <w:tcW w:w="76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840" w:type="dxa"/>
            <w:vAlign w:val="bottom"/>
          </w:tcPr>
          <w:p>
            <w:pPr>
              <w:spacing w:after="0"/>
              <w:rPr>
                <w:sz w:val="9"/>
                <w:szCs w:val="9"/>
                <w:color w:val="auto"/>
              </w:rPr>
            </w:pPr>
          </w:p>
        </w:tc>
        <w:tc>
          <w:tcPr>
            <w:tcW w:w="660" w:type="dxa"/>
            <w:vAlign w:val="bottom"/>
          </w:tcPr>
          <w:p>
            <w:pPr>
              <w:jc w:val="center"/>
              <w:ind w:left="1"/>
              <w:spacing w:after="0" w:line="105"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700" w:type="dxa"/>
            <w:vAlign w:val="bottom"/>
          </w:tcPr>
          <w:p>
            <w:pPr>
              <w:spacing w:after="0"/>
              <w:rPr>
                <w:sz w:val="9"/>
                <w:szCs w:val="9"/>
                <w:color w:val="auto"/>
              </w:rPr>
            </w:pPr>
          </w:p>
        </w:tc>
        <w:tc>
          <w:tcPr>
            <w:tcW w:w="74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7"/>
              </w:rPr>
              <w:t>Percentage</w:t>
            </w:r>
          </w:p>
        </w:tc>
        <w:tc>
          <w:tcPr>
            <w:tcW w:w="580" w:type="dxa"/>
            <w:vAlign w:val="bottom"/>
          </w:tcPr>
          <w:p>
            <w:pPr>
              <w:jc w:val="center"/>
              <w:ind w:left="91"/>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14"/>
        </w:trPr>
        <w:tc>
          <w:tcPr>
            <w:tcW w:w="600" w:type="dxa"/>
            <w:vAlign w:val="bottom"/>
            <w:tcBorders>
              <w:bottom w:val="single" w:sz="8" w:color="auto"/>
            </w:tcBorders>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980" w:type="dxa"/>
            <w:vAlign w:val="bottom"/>
          </w:tcPr>
          <w:p>
            <w:pPr>
              <w:jc w:val="center"/>
              <w:ind w:left="171"/>
              <w:spacing w:after="0" w:line="110"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7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840" w:type="dxa"/>
            <w:vAlign w:val="bottom"/>
          </w:tcPr>
          <w:p>
            <w:pPr>
              <w:ind w:left="160"/>
              <w:spacing w:after="0" w:line="110" w:lineRule="exact"/>
              <w:rPr>
                <w:sz w:val="20"/>
                <w:szCs w:val="20"/>
                <w:color w:val="auto"/>
              </w:rPr>
            </w:pPr>
            <w:r>
              <w:rPr>
                <w:rFonts w:ascii="Times New Roman" w:cs="Times New Roman" w:eastAsia="Times New Roman" w:hAnsi="Times New Roman"/>
                <w:sz w:val="10"/>
                <w:szCs w:val="10"/>
                <w:b w:val="1"/>
                <w:bCs w:val="1"/>
                <w:color w:val="auto"/>
              </w:rPr>
              <w:t>Interest Rate</w:t>
            </w:r>
          </w:p>
        </w:tc>
        <w:tc>
          <w:tcPr>
            <w:tcW w:w="660" w:type="dxa"/>
            <w:vAlign w:val="bottom"/>
          </w:tcPr>
          <w:p>
            <w:pPr>
              <w:jc w:val="center"/>
              <w:ind w:left="1"/>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700" w:type="dxa"/>
            <w:vAlign w:val="bottom"/>
          </w:tcPr>
          <w:p>
            <w:pPr>
              <w:ind w:left="80"/>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7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8"/>
              </w:rPr>
              <w:t>of Net Assets</w:t>
            </w:r>
          </w:p>
        </w:tc>
        <w:tc>
          <w:tcPr>
            <w:tcW w:w="580" w:type="dxa"/>
            <w:vAlign w:val="bottom"/>
          </w:tcPr>
          <w:p>
            <w:pPr>
              <w:jc w:val="center"/>
              <w:ind w:left="91"/>
              <w:spacing w:after="0" w:line="110" w:lineRule="exact"/>
              <w:rPr>
                <w:sz w:val="20"/>
                <w:szCs w:val="20"/>
                <w:color w:val="auto"/>
              </w:rPr>
            </w:pPr>
            <w:r>
              <w:rPr>
                <w:rFonts w:ascii="Times New Roman" w:cs="Times New Roman" w:eastAsia="Times New Roman" w:hAnsi="Times New Roman"/>
                <w:sz w:val="10"/>
                <w:szCs w:val="10"/>
                <w:b w:val="1"/>
                <w:bCs w:val="1"/>
                <w:color w:val="auto"/>
                <w:w w:val="95"/>
              </w:rPr>
              <w:t>Class Held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20"/>
        </w:trPr>
        <w:tc>
          <w:tcPr>
            <w:tcW w:w="16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68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560" w:type="dxa"/>
            <w:vAlign w:val="bottom"/>
            <w:shd w:val="clear" w:color="auto" w:fill="CCEEFF"/>
          </w:tcPr>
          <w:p>
            <w:pPr>
              <w:spacing w:after="0" w:line="69" w:lineRule="exact"/>
              <w:rPr>
                <w:sz w:val="20"/>
                <w:szCs w:val="20"/>
                <w:color w:val="auto"/>
              </w:rPr>
            </w:pPr>
            <w:r>
              <w:rPr>
                <w:rFonts w:ascii="Times New Roman" w:cs="Times New Roman" w:eastAsia="Times New Roman" w:hAnsi="Times New Roman"/>
                <w:sz w:val="7"/>
                <w:szCs w:val="7"/>
                <w:color w:val="auto"/>
              </w:rPr>
              <w:t>Series C-2 Preferred Shares</w:t>
            </w:r>
          </w:p>
        </w:tc>
        <w:tc>
          <w:tcPr>
            <w:tcW w:w="120" w:type="dxa"/>
            <w:vAlign w:val="bottom"/>
            <w:vMerge w:val="continue"/>
            <w:shd w:val="clear" w:color="auto" w:fill="CCEEFF"/>
          </w:tcPr>
          <w:p>
            <w:pPr>
              <w:spacing w:after="0"/>
              <w:rPr>
                <w:sz w:val="5"/>
                <w:szCs w:val="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11/18/2022</w:t>
            </w:r>
          </w:p>
        </w:tc>
        <w:tc>
          <w:tcPr>
            <w:tcW w:w="140" w:type="dxa"/>
            <w:vAlign w:val="bottom"/>
            <w:vMerge w:val="restart"/>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160" w:type="dxa"/>
            <w:vAlign w:val="bottom"/>
            <w:vMerge w:val="restart"/>
            <w:shd w:val="clear" w:color="auto" w:fill="CCEEFF"/>
          </w:tcPr>
          <w:p>
            <w:pPr>
              <w:spacing w:after="0"/>
              <w:rPr>
                <w:sz w:val="5"/>
                <w:szCs w:val="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160" w:type="dxa"/>
            <w:vAlign w:val="bottom"/>
            <w:shd w:val="clear" w:color="auto" w:fill="CCEEFF"/>
          </w:tcPr>
          <w:p>
            <w:pPr>
              <w:spacing w:after="0"/>
              <w:rPr>
                <w:sz w:val="5"/>
                <w:szCs w:val="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32"/>
        </w:trPr>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(27,588 shares)</w:t>
            </w:r>
            <w:r>
              <w:rPr>
                <w:rFonts w:ascii="Times New Roman" w:cs="Times New Roman" w:eastAsia="Times New Roman" w:hAnsi="Times New Roman"/>
                <w:sz w:val="8"/>
                <w:szCs w:val="8"/>
                <w:color w:val="auto"/>
              </w:rPr>
              <w:t>(12)</w:t>
            </w:r>
          </w:p>
        </w:tc>
        <w:tc>
          <w:tcPr>
            <w:tcW w:w="560" w:type="dxa"/>
            <w:vAlign w:val="bottom"/>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68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SMA Technologies Holdings, LLC</w:t>
            </w: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680" w:type="dxa"/>
            <w:vAlign w:val="bottom"/>
          </w:tcPr>
          <w:p>
            <w:pPr>
              <w:ind w:left="100"/>
              <w:spacing w:after="0" w:line="87" w:lineRule="exact"/>
              <w:rPr>
                <w:sz w:val="20"/>
                <w:szCs w:val="20"/>
                <w:color w:val="auto"/>
              </w:rPr>
            </w:pPr>
            <w:r>
              <w:rPr>
                <w:rFonts w:ascii="Times New Roman" w:cs="Times New Roman" w:eastAsia="Times New Roman" w:hAnsi="Times New Roman"/>
                <w:sz w:val="8"/>
                <w:szCs w:val="8"/>
                <w:color w:val="auto"/>
              </w:rPr>
              <w:t>(11)(12)</w:t>
            </w: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68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14237 East Sam Houston</w:t>
            </w: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8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Pawkway N.</w:t>
            </w: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8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200-314</w:t>
            </w: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8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Houston, TX 77044</w:t>
            </w:r>
          </w:p>
        </w:tc>
        <w:tc>
          <w:tcPr>
            <w:tcW w:w="1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color w:val="auto"/>
              </w:rPr>
              <w:t>Class A Units (1,300 shares)</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11/21/2022</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1,300</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1,300</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0.1%</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32"/>
        </w:trPr>
        <w:tc>
          <w:tcPr>
            <w:tcW w:w="1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USA</w:t>
            </w:r>
          </w:p>
        </w:tc>
        <w:tc>
          <w:tcPr>
            <w:tcW w:w="178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80" w:type="dxa"/>
            <w:vAlign w:val="bottom"/>
            <w:shd w:val="clear" w:color="auto" w:fill="CCEEFF"/>
          </w:tcPr>
          <w:p>
            <w:pPr>
              <w:spacing w:after="0"/>
              <w:rPr>
                <w:sz w:val="10"/>
                <w:szCs w:val="10"/>
                <w:color w:val="auto"/>
              </w:rPr>
            </w:pPr>
          </w:p>
        </w:tc>
        <w:tc>
          <w:tcPr>
            <w:tcW w:w="1780" w:type="dxa"/>
            <w:vAlign w:val="bottom"/>
            <w:gridSpan w:val="3"/>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Class B Units (923,250 shares)</w:t>
            </w:r>
          </w:p>
        </w:tc>
        <w:tc>
          <w:tcPr>
            <w:tcW w:w="700" w:type="dxa"/>
            <w:vAlign w:val="bottom"/>
            <w:gridSpan w:val="2"/>
            <w:shd w:val="clear" w:color="auto" w:fill="CCEEFF"/>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11/21/2022</w:t>
            </w: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— </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— </w:t>
            </w:r>
          </w:p>
        </w:tc>
        <w:tc>
          <w:tcPr>
            <w:tcW w:w="1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17,629</w:t>
            </w:r>
          </w:p>
        </w:tc>
        <w:tc>
          <w:tcPr>
            <w:tcW w:w="160" w:type="dxa"/>
            <w:vAlign w:val="bottom"/>
            <w:vMerge w:val="continue"/>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16,673</w:t>
            </w:r>
          </w:p>
        </w:tc>
        <w:tc>
          <w:tcPr>
            <w:tcW w:w="160" w:type="dxa"/>
            <w:vAlign w:val="bottom"/>
            <w:vMerge w:val="continue"/>
          </w:tcPr>
          <w:p>
            <w:pPr>
              <w:spacing w:after="0"/>
              <w:rPr>
                <w:sz w:val="10"/>
                <w:szCs w:val="10"/>
                <w:color w:val="auto"/>
              </w:rPr>
            </w:pPr>
          </w:p>
        </w:tc>
        <w:tc>
          <w:tcPr>
            <w:tcW w:w="7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1.1%</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Marketing Services</w:t>
            </w: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tcPr>
          <w:p>
            <w:pPr>
              <w:spacing w:after="0" w:line="98" w:lineRule="exact"/>
              <w:rPr>
                <w:sz w:val="20"/>
                <w:szCs w:val="20"/>
                <w:color w:val="auto"/>
              </w:rPr>
            </w:pPr>
            <w:r>
              <w:rPr>
                <w:rFonts w:ascii="Times New Roman" w:cs="Times New Roman" w:eastAsia="Times New Roman" w:hAnsi="Times New Roman"/>
                <w:sz w:val="11"/>
                <w:szCs w:val="11"/>
                <w:color w:val="auto"/>
              </w:rPr>
              <w:t xml:space="preserve">Validity, Inc. </w:t>
            </w:r>
            <w:r>
              <w:rPr>
                <w:rFonts w:ascii="Times New Roman" w:cs="Times New Roman" w:eastAsia="Times New Roman" w:hAnsi="Times New Roman"/>
                <w:sz w:val="8"/>
                <w:szCs w:val="8"/>
                <w:color w:val="auto"/>
              </w:rPr>
              <w:t>(11)</w:t>
            </w: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8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100 Summer St</w:t>
            </w:r>
          </w:p>
        </w:tc>
        <w:tc>
          <w:tcPr>
            <w:tcW w:w="1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color w:val="auto"/>
              </w:rPr>
              <w:t>Series A Preferred Shares</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8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2900</w:t>
            </w:r>
          </w:p>
        </w:tc>
        <w:tc>
          <w:tcPr>
            <w:tcW w:w="1780" w:type="dxa"/>
            <w:vAlign w:val="bottom"/>
            <w:gridSpan w:val="3"/>
            <w:vMerge w:val="continue"/>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5/31/2018</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3,840</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10,944</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0.7%</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32"/>
        </w:trPr>
        <w:tc>
          <w:tcPr>
            <w:tcW w:w="1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Boston, MA 02110</w:t>
            </w:r>
          </w:p>
        </w:tc>
        <w:tc>
          <w:tcPr>
            <w:tcW w:w="100" w:type="dxa"/>
            <w:vAlign w:val="bottom"/>
          </w:tcPr>
          <w:p>
            <w:pPr>
              <w:spacing w:after="0"/>
              <w:rPr>
                <w:sz w:val="11"/>
                <w:szCs w:val="11"/>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(3,840,000 shares)</w:t>
            </w:r>
          </w:p>
        </w:tc>
        <w:tc>
          <w:tcPr>
            <w:tcW w:w="7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Oil, Gas and Consumable Fuels</w:t>
            </w: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tcPr>
          <w:p>
            <w:pPr>
              <w:spacing w:after="0" w:line="98" w:lineRule="exact"/>
              <w:rPr>
                <w:sz w:val="20"/>
                <w:szCs w:val="20"/>
                <w:color w:val="auto"/>
              </w:rPr>
            </w:pPr>
            <w:r>
              <w:rPr>
                <w:rFonts w:ascii="Times New Roman" w:cs="Times New Roman" w:eastAsia="Times New Roman" w:hAnsi="Times New Roman"/>
                <w:sz w:val="11"/>
                <w:szCs w:val="11"/>
                <w:color w:val="auto"/>
              </w:rPr>
              <w:t xml:space="preserve">Murchison Oil and Gas, LLC </w:t>
            </w:r>
            <w:r>
              <w:rPr>
                <w:rFonts w:ascii="Times New Roman" w:cs="Times New Roman" w:eastAsia="Times New Roman" w:hAnsi="Times New Roman"/>
                <w:sz w:val="8"/>
                <w:szCs w:val="8"/>
                <w:color w:val="auto"/>
              </w:rPr>
              <w:t>(13)</w:t>
            </w: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8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1100 Mira Vista</w:t>
            </w:r>
          </w:p>
        </w:tc>
        <w:tc>
          <w:tcPr>
            <w:tcW w:w="1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color w:val="auto"/>
              </w:rPr>
              <w:t>13,355 Preferred Units</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6/30/2022</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13,355</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14,891</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1.0%</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16.3%</w:t>
            </w:r>
          </w:p>
        </w:tc>
        <w:tc>
          <w:tcPr>
            <w:tcW w:w="0" w:type="dxa"/>
            <w:vAlign w:val="bottom"/>
          </w:tcPr>
          <w:p>
            <w:pPr>
              <w:spacing w:after="0"/>
              <w:rPr>
                <w:sz w:val="1"/>
                <w:szCs w:val="1"/>
                <w:color w:val="auto"/>
              </w:rPr>
            </w:pPr>
          </w:p>
        </w:tc>
      </w:tr>
      <w:tr>
        <w:trPr>
          <w:trHeight w:val="132"/>
        </w:trPr>
        <w:tc>
          <w:tcPr>
            <w:tcW w:w="1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Plano, TX 79093</w:t>
            </w:r>
          </w:p>
        </w:tc>
        <w:tc>
          <w:tcPr>
            <w:tcW w:w="178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8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TRP Assets, LLC </w:t>
            </w:r>
            <w:r>
              <w:rPr>
                <w:rFonts w:ascii="Times New Roman" w:cs="Times New Roman" w:eastAsia="Times New Roman" w:hAnsi="Times New Roman"/>
                <w:sz w:val="8"/>
                <w:szCs w:val="8"/>
                <w:color w:val="auto"/>
              </w:rPr>
              <w:t>(11)(13)</w:t>
            </w:r>
          </w:p>
        </w:tc>
        <w:tc>
          <w:tcPr>
            <w:tcW w:w="178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Partnership Interest (1.89%</w:t>
            </w: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8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1111 Louisiana Street Suite 4550</w:t>
            </w:r>
          </w:p>
        </w:tc>
        <w:tc>
          <w:tcPr>
            <w:tcW w:w="1780" w:type="dxa"/>
            <w:vAlign w:val="bottom"/>
            <w:gridSpan w:val="3"/>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8/25/2022</w:t>
            </w: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8,732</w:t>
            </w:r>
          </w:p>
        </w:tc>
        <w:tc>
          <w:tcPr>
            <w:tcW w:w="160" w:type="dxa"/>
            <w:vAlign w:val="bottom"/>
            <w:vMerge w:val="restart"/>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11,811</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0.8%</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32"/>
        </w:trPr>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Houston, TX</w:t>
            </w:r>
          </w:p>
        </w:tc>
        <w:tc>
          <w:tcPr>
            <w:tcW w:w="10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ownership)</w:t>
            </w:r>
          </w:p>
        </w:tc>
        <w:tc>
          <w:tcPr>
            <w:tcW w:w="700" w:type="dxa"/>
            <w:vAlign w:val="bottom"/>
            <w:gridSpan w:val="2"/>
            <w:vMerge w:val="continue"/>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22,087</w:t>
            </w:r>
          </w:p>
        </w:tc>
        <w:tc>
          <w:tcPr>
            <w:tcW w:w="160" w:type="dxa"/>
            <w:vAlign w:val="bottom"/>
            <w:vMerge w:val="continue"/>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26,702</w:t>
            </w:r>
          </w:p>
        </w:tc>
        <w:tc>
          <w:tcPr>
            <w:tcW w:w="160" w:type="dxa"/>
            <w:vAlign w:val="bottom"/>
            <w:vMerge w:val="continue"/>
          </w:tcPr>
          <w:p>
            <w:pPr>
              <w:spacing w:after="0"/>
              <w:rPr>
                <w:sz w:val="10"/>
                <w:szCs w:val="10"/>
                <w:color w:val="auto"/>
              </w:rPr>
            </w:pPr>
          </w:p>
        </w:tc>
        <w:tc>
          <w:tcPr>
            <w:tcW w:w="7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1.8%</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Pharmaceuticals</w:t>
            </w: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tcPr>
          <w:p>
            <w:pPr>
              <w:spacing w:after="0" w:line="98" w:lineRule="exact"/>
              <w:rPr>
                <w:sz w:val="20"/>
                <w:szCs w:val="20"/>
                <w:color w:val="auto"/>
              </w:rPr>
            </w:pPr>
            <w:r>
              <w:rPr>
                <w:rFonts w:ascii="Times New Roman" w:cs="Times New Roman" w:eastAsia="Times New Roman" w:hAnsi="Times New Roman"/>
                <w:sz w:val="11"/>
                <w:szCs w:val="11"/>
                <w:color w:val="auto"/>
              </w:rPr>
              <w:t xml:space="preserve">TherapeuticsMD, Inc. </w:t>
            </w:r>
            <w:r>
              <w:rPr>
                <w:rFonts w:ascii="Times New Roman" w:cs="Times New Roman" w:eastAsia="Times New Roman" w:hAnsi="Times New Roman"/>
                <w:sz w:val="8"/>
                <w:szCs w:val="8"/>
                <w:color w:val="auto"/>
              </w:rPr>
              <w:t>(4)(11)</w:t>
            </w: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8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3 Second Street, Suite 206</w:t>
            </w:r>
          </w:p>
        </w:tc>
        <w:tc>
          <w:tcPr>
            <w:tcW w:w="1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color w:val="auto"/>
              </w:rPr>
              <w:t>14,256 Warrants</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8/5/2020</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1,029</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Jersey City, NJ</w:t>
            </w:r>
          </w:p>
        </w:tc>
        <w:tc>
          <w:tcPr>
            <w:tcW w:w="178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Retail and Consumer Products</w:t>
            </w: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tcPr>
          <w:p>
            <w:pPr>
              <w:spacing w:after="0" w:line="98" w:lineRule="exact"/>
              <w:rPr>
                <w:sz w:val="20"/>
                <w:szCs w:val="20"/>
                <w:color w:val="auto"/>
              </w:rPr>
            </w:pPr>
            <w:r>
              <w:rPr>
                <w:rFonts w:ascii="Times New Roman" w:cs="Times New Roman" w:eastAsia="Times New Roman" w:hAnsi="Times New Roman"/>
                <w:sz w:val="11"/>
                <w:szCs w:val="11"/>
                <w:color w:val="auto"/>
              </w:rPr>
              <w:t xml:space="preserve">American Achievement, Corp. </w:t>
            </w:r>
            <w:r>
              <w:rPr>
                <w:rFonts w:ascii="Times New Roman" w:cs="Times New Roman" w:eastAsia="Times New Roman" w:hAnsi="Times New Roman"/>
                <w:sz w:val="8"/>
                <w:szCs w:val="8"/>
                <w:color w:val="auto"/>
              </w:rPr>
              <w:t>(11)</w:t>
            </w: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8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1550 W Mockingbird Lane</w:t>
            </w:r>
          </w:p>
        </w:tc>
        <w:tc>
          <w:tcPr>
            <w:tcW w:w="1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color w:val="auto"/>
              </w:rPr>
              <w:t>Class A Units (687 units)</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3/16/2021</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— </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6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3.8%</w:t>
            </w:r>
          </w:p>
        </w:tc>
        <w:tc>
          <w:tcPr>
            <w:tcW w:w="0" w:type="dxa"/>
            <w:vAlign w:val="bottom"/>
          </w:tcPr>
          <w:p>
            <w:pPr>
              <w:spacing w:after="0"/>
              <w:rPr>
                <w:sz w:val="1"/>
                <w:szCs w:val="1"/>
                <w:color w:val="auto"/>
              </w:rPr>
            </w:pPr>
          </w:p>
        </w:tc>
      </w:tr>
      <w:tr>
        <w:trPr>
          <w:trHeight w:val="132"/>
        </w:trPr>
        <w:tc>
          <w:tcPr>
            <w:tcW w:w="1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Dallas, TX 75235</w:t>
            </w:r>
          </w:p>
        </w:tc>
        <w:tc>
          <w:tcPr>
            <w:tcW w:w="178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8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Copper Bidco, LLC</w:t>
            </w:r>
          </w:p>
        </w:tc>
        <w:tc>
          <w:tcPr>
            <w:tcW w:w="10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8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951 Yamato Road</w:t>
            </w:r>
          </w:p>
        </w:tc>
        <w:tc>
          <w:tcPr>
            <w:tcW w:w="178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Trust Certificates (132,928</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8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Suite 220</w:t>
            </w:r>
          </w:p>
        </w:tc>
        <w:tc>
          <w:tcPr>
            <w:tcW w:w="1780" w:type="dxa"/>
            <w:vAlign w:val="bottom"/>
            <w:gridSpan w:val="3"/>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12/7/2020</w:t>
            </w: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— </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0.0%</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32"/>
        </w:trPr>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Boca Raton, FL 33431</w:t>
            </w:r>
          </w:p>
        </w:tc>
        <w:tc>
          <w:tcPr>
            <w:tcW w:w="10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Certificates)</w:t>
            </w:r>
          </w:p>
        </w:tc>
        <w:tc>
          <w:tcPr>
            <w:tcW w:w="700" w:type="dxa"/>
            <w:vAlign w:val="bottom"/>
            <w:gridSpan w:val="2"/>
            <w:vMerge w:val="continue"/>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80" w:type="dxa"/>
            <w:vAlign w:val="bottom"/>
          </w:tcPr>
          <w:p>
            <w:pPr>
              <w:spacing w:after="0"/>
              <w:rPr>
                <w:sz w:val="8"/>
                <w:szCs w:val="8"/>
                <w:color w:val="auto"/>
              </w:rPr>
            </w:pPr>
          </w:p>
        </w:tc>
        <w:tc>
          <w:tcPr>
            <w:tcW w:w="1780" w:type="dxa"/>
            <w:vAlign w:val="bottom"/>
            <w:gridSpan w:val="3"/>
          </w:tcPr>
          <w:p>
            <w:pPr>
              <w:ind w:left="100"/>
              <w:spacing w:after="0" w:line="98" w:lineRule="exact"/>
              <w:rPr>
                <w:sz w:val="20"/>
                <w:szCs w:val="20"/>
                <w:color w:val="auto"/>
              </w:rPr>
            </w:pPr>
            <w:r>
              <w:rPr>
                <w:rFonts w:ascii="Times New Roman" w:cs="Times New Roman" w:eastAsia="Times New Roman" w:hAnsi="Times New Roman"/>
                <w:sz w:val="11"/>
                <w:szCs w:val="11"/>
                <w:color w:val="auto"/>
              </w:rPr>
              <w:t>Trust Certificates (996,958</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1/30/2021</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2,589</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10,727</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0.7%</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32"/>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 xml:space="preserve">Certificates) </w:t>
            </w:r>
            <w:r>
              <w:rPr>
                <w:rFonts w:ascii="Times New Roman" w:cs="Times New Roman" w:eastAsia="Times New Roman" w:hAnsi="Times New Roman"/>
                <w:sz w:val="8"/>
                <w:szCs w:val="8"/>
                <w:color w:val="auto"/>
              </w:rPr>
              <w:t>(9)</w:t>
            </w:r>
          </w:p>
        </w:tc>
        <w:tc>
          <w:tcPr>
            <w:tcW w:w="7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8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 xml:space="preserve">Neuintel, LLC </w:t>
            </w:r>
            <w:r>
              <w:rPr>
                <w:rFonts w:ascii="Times New Roman" w:cs="Times New Roman" w:eastAsia="Times New Roman" w:hAnsi="Times New Roman"/>
                <w:sz w:val="8"/>
                <w:szCs w:val="8"/>
                <w:color w:val="auto"/>
              </w:rPr>
              <w:t>(11)(13)</w:t>
            </w:r>
          </w:p>
        </w:tc>
        <w:tc>
          <w:tcPr>
            <w:tcW w:w="10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8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20 Pacifica Suite 1000</w:t>
            </w:r>
          </w:p>
        </w:tc>
        <w:tc>
          <w:tcPr>
            <w:tcW w:w="178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Class A Units (1,176,494 units)</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12/21/2021</w:t>
            </w: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60" w:type="dxa"/>
            <w:vAlign w:val="bottom"/>
            <w:vMerge w:val="restart"/>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2,468</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0.2%</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32"/>
        </w:trPr>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Irvine, CA 92618</w:t>
            </w:r>
          </w:p>
        </w:tc>
        <w:tc>
          <w:tcPr>
            <w:tcW w:w="1780" w:type="dxa"/>
            <w:vAlign w:val="bottom"/>
            <w:gridSpan w:val="3"/>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5,589</w:t>
            </w:r>
          </w:p>
        </w:tc>
        <w:tc>
          <w:tcPr>
            <w:tcW w:w="160" w:type="dxa"/>
            <w:vAlign w:val="bottom"/>
            <w:vMerge w:val="continue"/>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13,252</w:t>
            </w:r>
          </w:p>
        </w:tc>
        <w:tc>
          <w:tcPr>
            <w:tcW w:w="160" w:type="dxa"/>
            <w:vAlign w:val="bottom"/>
            <w:vMerge w:val="continue"/>
          </w:tcPr>
          <w:p>
            <w:pPr>
              <w:spacing w:after="0"/>
              <w:rPr>
                <w:sz w:val="10"/>
                <w:szCs w:val="10"/>
                <w:color w:val="auto"/>
              </w:rPr>
            </w:pPr>
          </w:p>
        </w:tc>
        <w:tc>
          <w:tcPr>
            <w:tcW w:w="7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0.9%</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Structured Credit</w:t>
            </w: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8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Allegro CLO Ltd, Series 2018-1A,</w:t>
            </w: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680" w:type="dxa"/>
            <w:vAlign w:val="bottom"/>
          </w:tcPr>
          <w:p>
            <w:pPr>
              <w:ind w:left="100"/>
              <w:spacing w:after="0" w:line="87" w:lineRule="exact"/>
              <w:rPr>
                <w:sz w:val="20"/>
                <w:szCs w:val="20"/>
                <w:color w:val="auto"/>
              </w:rPr>
            </w:pPr>
            <w:r>
              <w:rPr>
                <w:rFonts w:ascii="Times New Roman" w:cs="Times New Roman" w:eastAsia="Times New Roman" w:hAnsi="Times New Roman"/>
                <w:sz w:val="8"/>
                <w:szCs w:val="8"/>
                <w:color w:val="auto"/>
              </w:rPr>
              <w:t>(3)(4)(9)</w:t>
            </w:r>
          </w:p>
        </w:tc>
        <w:tc>
          <w:tcPr>
            <w:tcW w:w="1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68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100 West Putnam Ave, Third</w:t>
            </w:r>
          </w:p>
        </w:tc>
        <w:tc>
          <w:tcPr>
            <w:tcW w:w="1780" w:type="dxa"/>
            <w:vAlign w:val="bottom"/>
            <w:gridSpan w:val="3"/>
            <w:vMerge w:val="continue"/>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5/26/2022</w:t>
            </w: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+ 3.11%</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8.42%</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973</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953</w:t>
            </w:r>
          </w:p>
        </w:tc>
        <w:tc>
          <w:tcPr>
            <w:tcW w:w="16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Floor, Greenwich, CT 06830</w:t>
            </w: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6/2031)</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50" w:right="1440" w:bottom="1440" w:gutter="0" w:footer="0" w:header="0"/>
        </w:sectPr>
      </w:pPr>
    </w:p>
    <w:bookmarkStart w:id="99" w:name="page100"/>
    <w:bookmarkEnd w:id="99"/>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16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70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8"/>
              </w:rPr>
              <w:t>Acquisition</w:t>
            </w:r>
          </w:p>
        </w:tc>
        <w:tc>
          <w:tcPr>
            <w:tcW w:w="900" w:type="dxa"/>
            <w:vAlign w:val="bottom"/>
            <w:gridSpan w:val="2"/>
          </w:tcPr>
          <w:p>
            <w:pPr>
              <w:jc w:val="center"/>
              <w:ind w:right="280"/>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tcPr>
          <w:p>
            <w:pPr>
              <w:jc w:val="right"/>
              <w:ind w:right="30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46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700" w:type="dxa"/>
            <w:vAlign w:val="bottom"/>
            <w:gridSpan w:val="2"/>
          </w:tcPr>
          <w:p>
            <w:pPr>
              <w:jc w:val="center"/>
              <w:ind w:right="180"/>
              <w:spacing w:after="0" w:line="110"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900" w:type="dxa"/>
            <w:vAlign w:val="bottom"/>
            <w:gridSpan w:val="2"/>
          </w:tcPr>
          <w:p>
            <w:pPr>
              <w:jc w:val="center"/>
              <w:ind w:right="280"/>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8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3"/>
              </w:rPr>
              <w:t>Interest Rate</w:t>
            </w:r>
          </w:p>
        </w:tc>
        <w:tc>
          <w:tcPr>
            <w:tcW w:w="62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720" w:type="dxa"/>
            <w:vAlign w:val="bottom"/>
            <w:gridSpan w:val="2"/>
          </w:tcPr>
          <w:p>
            <w:pPr>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8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4"/>
              </w:rPr>
              <w:t>of Net Assets</w:t>
            </w: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Class Held</w:t>
            </w:r>
          </w:p>
        </w:tc>
        <w:tc>
          <w:tcPr>
            <w:tcW w:w="0" w:type="dxa"/>
            <w:vAlign w:val="bottom"/>
          </w:tcPr>
          <w:p>
            <w:pPr>
              <w:spacing w:after="0"/>
              <w:rPr>
                <w:sz w:val="1"/>
                <w:szCs w:val="1"/>
                <w:color w:val="auto"/>
              </w:rPr>
            </w:pPr>
          </w:p>
        </w:tc>
      </w:tr>
      <w:tr>
        <w:trPr>
          <w:trHeight w:val="68"/>
        </w:trPr>
        <w:tc>
          <w:tcPr>
            <w:tcW w:w="1760" w:type="dxa"/>
            <w:vAlign w:val="bottom"/>
            <w:tcBorders>
              <w:top w:val="single" w:sz="8" w:color="CCEEFF"/>
            </w:tcBorders>
            <w:gridSpan w:val="2"/>
            <w:shd w:val="clear" w:color="auto" w:fill="CCEEFF"/>
          </w:tcPr>
          <w:p>
            <w:pPr>
              <w:spacing w:after="0" w:line="69" w:lineRule="exact"/>
              <w:rPr>
                <w:sz w:val="20"/>
                <w:szCs w:val="20"/>
                <w:color w:val="auto"/>
              </w:rPr>
            </w:pPr>
            <w:r>
              <w:rPr>
                <w:rFonts w:ascii="Times New Roman" w:cs="Times New Roman" w:eastAsia="Times New Roman" w:hAnsi="Times New Roman"/>
                <w:sz w:val="7"/>
                <w:szCs w:val="7"/>
                <w:color w:val="auto"/>
              </w:rPr>
              <w:t>American Money Management Corp</w:t>
            </w:r>
          </w:p>
        </w:tc>
        <w:tc>
          <w:tcPr>
            <w:tcW w:w="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 xml:space="preserve">CLO Ltd, Series 2016-18A </w:t>
            </w:r>
            <w:r>
              <w:rPr>
                <w:rFonts w:ascii="Times New Roman" w:cs="Times New Roman" w:eastAsia="Times New Roman" w:hAnsi="Times New Roman"/>
                <w:sz w:val="8"/>
                <w:szCs w:val="8"/>
                <w:color w:val="auto"/>
              </w:rPr>
              <w:t>(3)(4)(9)</w:t>
            </w:r>
          </w:p>
        </w:tc>
        <w:tc>
          <w:tcPr>
            <w:tcW w:w="17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Structured Credit ($1,500 par, due</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301 East Fourth Street, 38 Th</w:t>
            </w:r>
          </w:p>
        </w:tc>
        <w:tc>
          <w:tcPr>
            <w:tcW w:w="1780" w:type="dxa"/>
            <w:vAlign w:val="bottom"/>
            <w:gridSpan w:val="3"/>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6/22/2022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+ 3.31%</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8.70%</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1,356</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1,455</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Floor, Cincinnati, OH 45202</w:t>
            </w:r>
          </w:p>
        </w:tc>
        <w:tc>
          <w:tcPr>
            <w:tcW w:w="1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5/2031)</w:t>
            </w: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6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color w:val="auto"/>
              </w:rPr>
              <w:t xml:space="preserve">Ares CLO Ltd, Series 2021-59A </w:t>
            </w:r>
            <w:r>
              <w:rPr>
                <w:rFonts w:ascii="Times New Roman" w:cs="Times New Roman" w:eastAsia="Times New Roman" w:hAnsi="Times New Roman"/>
                <w:sz w:val="8"/>
                <w:szCs w:val="8"/>
                <w:color w:val="auto"/>
              </w:rPr>
              <w:t>(3)(4)</w:t>
            </w:r>
          </w:p>
        </w:tc>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tcPr>
          <w:p>
            <w:pPr>
              <w:ind w:left="100"/>
              <w:spacing w:after="0" w:line="87" w:lineRule="exact"/>
              <w:rPr>
                <w:sz w:val="20"/>
                <w:szCs w:val="20"/>
                <w:color w:val="auto"/>
              </w:rPr>
            </w:pPr>
            <w:r>
              <w:rPr>
                <w:rFonts w:ascii="Times New Roman" w:cs="Times New Roman" w:eastAsia="Times New Roman" w:hAnsi="Times New Roman"/>
                <w:sz w:val="8"/>
                <w:szCs w:val="8"/>
                <w:color w:val="auto"/>
              </w:rPr>
              <w:t>(9)</w:t>
            </w:r>
          </w:p>
        </w:tc>
        <w:tc>
          <w:tcPr>
            <w:tcW w:w="1160" w:type="dxa"/>
            <w:vAlign w:val="bottom"/>
          </w:tcPr>
          <w:p>
            <w:pPr>
              <w:spacing w:after="0"/>
              <w:rPr>
                <w:sz w:val="7"/>
                <w:szCs w:val="7"/>
                <w:color w:val="auto"/>
              </w:rPr>
            </w:pPr>
          </w:p>
        </w:tc>
        <w:tc>
          <w:tcPr>
            <w:tcW w:w="1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245 Park Ave 44th floor, New</w:t>
            </w:r>
          </w:p>
        </w:tc>
        <w:tc>
          <w:tcPr>
            <w:tcW w:w="1780" w:type="dxa"/>
            <w:vAlign w:val="bottom"/>
            <w:gridSpan w:val="3"/>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6/23/2022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+ 6.51%</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11.86%</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906</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York, NY 10167</w:t>
            </w: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4/2034)</w:t>
            </w: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Ares Loan Funding I Ltd, Series</w:t>
            </w:r>
          </w:p>
        </w:tc>
        <w:tc>
          <w:tcPr>
            <w:tcW w:w="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 xml:space="preserve">2021-ALFA, Class E </w:t>
            </w:r>
            <w:r>
              <w:rPr>
                <w:rFonts w:ascii="Times New Roman" w:cs="Times New Roman" w:eastAsia="Times New Roman" w:hAnsi="Times New Roman"/>
                <w:sz w:val="8"/>
                <w:szCs w:val="8"/>
                <w:color w:val="auto"/>
              </w:rPr>
              <w:t>(3)(4)(9)</w:t>
            </w:r>
          </w:p>
        </w:tc>
        <w:tc>
          <w:tcPr>
            <w:tcW w:w="17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245 Park Ave 44th floor, New</w:t>
            </w:r>
          </w:p>
        </w:tc>
        <w:tc>
          <w:tcPr>
            <w:tcW w:w="1780" w:type="dxa"/>
            <w:vAlign w:val="bottom"/>
            <w:gridSpan w:val="3"/>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6/24/2022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+ 6.96%</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12.27%</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925</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York, NY 10167</w:t>
            </w:r>
          </w:p>
        </w:tc>
        <w:tc>
          <w:tcPr>
            <w:tcW w:w="1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10/2034)</w:t>
            </w: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Bain Capital Credit CLO Ltd, Series</w:t>
            </w:r>
          </w:p>
        </w:tc>
        <w:tc>
          <w:tcPr>
            <w:tcW w:w="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2018-1A</w:t>
            </w:r>
            <w:r>
              <w:rPr>
                <w:rFonts w:ascii="Times New Roman" w:cs="Times New Roman" w:eastAsia="Times New Roman" w:hAnsi="Times New Roman"/>
                <w:sz w:val="7"/>
                <w:szCs w:val="7"/>
                <w:color w:val="auto"/>
              </w:rPr>
              <w:t xml:space="preserve"> (3)(4)(9)</w:t>
            </w:r>
          </w:p>
        </w:tc>
        <w:tc>
          <w:tcPr>
            <w:tcW w:w="1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color w:val="auto"/>
              </w:rPr>
              <w:t>Structured Credit ($500 par, due</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200 Clarendon St, Boston, MA</w:t>
            </w:r>
          </w:p>
        </w:tc>
        <w:tc>
          <w:tcPr>
            <w:tcW w:w="1780" w:type="dxa"/>
            <w:vAlign w:val="bottom"/>
            <w:gridSpan w:val="3"/>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10/15/2020</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+ 5.61%</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10.96%</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428</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421</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02116</w:t>
            </w:r>
          </w:p>
        </w:tc>
        <w:tc>
          <w:tcPr>
            <w:tcW w:w="1160" w:type="dxa"/>
            <w:vAlign w:val="bottom"/>
          </w:tcPr>
          <w:p>
            <w:pPr>
              <w:spacing w:after="0"/>
              <w:rPr>
                <w:sz w:val="11"/>
                <w:szCs w:val="11"/>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4/2031)</w:t>
            </w: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6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Battalion CLO Ltd, Series 2021-21A</w:t>
            </w:r>
          </w:p>
        </w:tc>
        <w:tc>
          <w:tcPr>
            <w:tcW w:w="8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shd w:val="clear" w:color="auto" w:fill="CCEEFF"/>
          </w:tcPr>
          <w:p>
            <w:pPr>
              <w:ind w:left="100"/>
              <w:spacing w:after="0" w:line="87" w:lineRule="exact"/>
              <w:rPr>
                <w:sz w:val="20"/>
                <w:szCs w:val="20"/>
                <w:color w:val="auto"/>
              </w:rPr>
            </w:pPr>
            <w:r>
              <w:rPr>
                <w:rFonts w:ascii="Times New Roman" w:cs="Times New Roman" w:eastAsia="Times New Roman" w:hAnsi="Times New Roman"/>
                <w:sz w:val="8"/>
                <w:szCs w:val="8"/>
                <w:color w:val="auto"/>
              </w:rPr>
              <w:t>(3)(4)(9)</w:t>
            </w:r>
          </w:p>
        </w:tc>
        <w:tc>
          <w:tcPr>
            <w:tcW w:w="1160" w:type="dxa"/>
            <w:vAlign w:val="bottom"/>
            <w:shd w:val="clear" w:color="auto" w:fill="CCEEFF"/>
          </w:tcPr>
          <w:p>
            <w:pPr>
              <w:spacing w:after="0"/>
              <w:rPr>
                <w:sz w:val="7"/>
                <w:szCs w:val="7"/>
                <w:color w:val="auto"/>
              </w:rPr>
            </w:pPr>
          </w:p>
        </w:tc>
        <w:tc>
          <w:tcPr>
            <w:tcW w:w="17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Structured Credit ($1,300 par, due</w:t>
            </w: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399 Park Avenue, 16th Floor, New</w:t>
            </w:r>
          </w:p>
        </w:tc>
        <w:tc>
          <w:tcPr>
            <w:tcW w:w="1780" w:type="dxa"/>
            <w:vAlign w:val="bottom"/>
            <w:gridSpan w:val="3"/>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7/13/2022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+ 3.56%</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8.87%</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1,167</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1,222</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York, NY 10022</w:t>
            </w:r>
          </w:p>
        </w:tc>
        <w:tc>
          <w:tcPr>
            <w:tcW w:w="1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7/2034)</w:t>
            </w: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Benefit Street Partners CLO Ltd,</w:t>
            </w:r>
          </w:p>
        </w:tc>
        <w:tc>
          <w:tcPr>
            <w:tcW w:w="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 xml:space="preserve">Series 2015-BR </w:t>
            </w:r>
            <w:r>
              <w:rPr>
                <w:rFonts w:ascii="Times New Roman" w:cs="Times New Roman" w:eastAsia="Times New Roman" w:hAnsi="Times New Roman"/>
                <w:sz w:val="8"/>
                <w:szCs w:val="8"/>
                <w:color w:val="auto"/>
              </w:rPr>
              <w:t>(3)(4)(9)</w:t>
            </w:r>
          </w:p>
        </w:tc>
        <w:tc>
          <w:tcPr>
            <w:tcW w:w="1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color w:val="auto"/>
              </w:rPr>
              <w:t>Structured Credit ($2,500 par, due</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9 W 57th St #4920, New York, NY</w:t>
            </w:r>
          </w:p>
        </w:tc>
        <w:tc>
          <w:tcPr>
            <w:tcW w:w="1780" w:type="dxa"/>
            <w:vAlign w:val="bottom"/>
            <w:gridSpan w:val="3"/>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7/13/2022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+ 4.11%</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9.44%</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2,190</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2,500</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0.2%</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10019</w:t>
            </w:r>
          </w:p>
        </w:tc>
        <w:tc>
          <w:tcPr>
            <w:tcW w:w="1160" w:type="dxa"/>
            <w:vAlign w:val="bottom"/>
          </w:tcPr>
          <w:p>
            <w:pPr>
              <w:spacing w:after="0"/>
              <w:rPr>
                <w:sz w:val="11"/>
                <w:szCs w:val="11"/>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7/2034)</w:t>
            </w: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Benefit Street Partners CLO Ltd,</w:t>
            </w:r>
          </w:p>
        </w:tc>
        <w:tc>
          <w:tcPr>
            <w:tcW w:w="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 xml:space="preserve">Series 2015-8A </w:t>
            </w:r>
            <w:r>
              <w:rPr>
                <w:rFonts w:ascii="Times New Roman" w:cs="Times New Roman" w:eastAsia="Times New Roman" w:hAnsi="Times New Roman"/>
                <w:sz w:val="8"/>
                <w:szCs w:val="8"/>
                <w:color w:val="auto"/>
              </w:rPr>
              <w:t>(3)(4)(9)</w:t>
            </w:r>
          </w:p>
        </w:tc>
        <w:tc>
          <w:tcPr>
            <w:tcW w:w="17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Structured Credit ($1,425 par, due</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9 W 57th St #4920, New York, NY</w:t>
            </w:r>
          </w:p>
        </w:tc>
        <w:tc>
          <w:tcPr>
            <w:tcW w:w="1780" w:type="dxa"/>
            <w:vAlign w:val="bottom"/>
            <w:gridSpan w:val="3"/>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9/13/2022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+ 3.01%</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8.34%</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1,282</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1,334</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10019</w:t>
            </w:r>
          </w:p>
        </w:tc>
        <w:tc>
          <w:tcPr>
            <w:tcW w:w="1160" w:type="dxa"/>
            <w:vAlign w:val="bottom"/>
            <w:shd w:val="clear" w:color="auto" w:fill="CCEEFF"/>
          </w:tcPr>
          <w:p>
            <w:pPr>
              <w:spacing w:after="0"/>
              <w:rPr>
                <w:sz w:val="11"/>
                <w:szCs w:val="11"/>
                <w:color w:val="auto"/>
              </w:rPr>
            </w:pPr>
          </w:p>
        </w:tc>
        <w:tc>
          <w:tcPr>
            <w:tcW w:w="1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1/2031)</w:t>
            </w: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Carlyle Global Market Strategies</w:t>
            </w:r>
          </w:p>
        </w:tc>
        <w:tc>
          <w:tcPr>
            <w:tcW w:w="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 xml:space="preserve">CLO Ltd, Series 2014-4RA </w:t>
            </w:r>
            <w:r>
              <w:rPr>
                <w:rFonts w:ascii="Times New Roman" w:cs="Times New Roman" w:eastAsia="Times New Roman" w:hAnsi="Times New Roman"/>
                <w:sz w:val="8"/>
                <w:szCs w:val="8"/>
                <w:color w:val="auto"/>
              </w:rPr>
              <w:t>(3)(4)(9)</w:t>
            </w:r>
          </w:p>
        </w:tc>
        <w:tc>
          <w:tcPr>
            <w:tcW w:w="1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1001 Pennsylvania Avenue NW</w:t>
            </w:r>
          </w:p>
        </w:tc>
        <w:tc>
          <w:tcPr>
            <w:tcW w:w="1780" w:type="dxa"/>
            <w:vAlign w:val="bottom"/>
            <w:gridSpan w:val="3"/>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5/26/2022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+ 3.16%</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8.47%</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917</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928</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Washington, DC</w:t>
            </w: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7/2030)</w:t>
            </w: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Carlyle Global Market Strategies</w:t>
            </w:r>
          </w:p>
        </w:tc>
        <w:tc>
          <w:tcPr>
            <w:tcW w:w="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760" w:type="dxa"/>
            <w:vAlign w:val="bottom"/>
            <w:gridSpan w:val="2"/>
            <w:shd w:val="clear" w:color="auto" w:fill="CCEEFF"/>
          </w:tcPr>
          <w:p>
            <w:pPr>
              <w:ind w:left="100"/>
              <w:spacing w:after="0" w:line="123" w:lineRule="exact"/>
              <w:rPr>
                <w:sz w:val="20"/>
                <w:szCs w:val="20"/>
                <w:color w:val="auto"/>
              </w:rPr>
            </w:pPr>
            <w:r>
              <w:rPr>
                <w:rFonts w:ascii="Times New Roman" w:cs="Times New Roman" w:eastAsia="Times New Roman" w:hAnsi="Times New Roman"/>
                <w:sz w:val="11"/>
                <w:szCs w:val="11"/>
                <w:color w:val="auto"/>
              </w:rPr>
              <w:t xml:space="preserve">CLO Ltd, Series 2016-1, Ltd </w:t>
            </w:r>
            <w:r>
              <w:rPr>
                <w:rFonts w:ascii="Times New Roman" w:cs="Times New Roman" w:eastAsia="Times New Roman" w:hAnsi="Times New Roman"/>
                <w:sz w:val="8"/>
                <w:szCs w:val="8"/>
                <w:color w:val="auto"/>
              </w:rPr>
              <w:t>(3)(4)</w:t>
            </w:r>
          </w:p>
        </w:tc>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600" w:type="dxa"/>
            <w:vAlign w:val="bottom"/>
            <w:shd w:val="clear" w:color="auto" w:fill="CCEEFF"/>
          </w:tcPr>
          <w:p>
            <w:pPr>
              <w:ind w:left="100"/>
              <w:spacing w:after="0" w:line="87" w:lineRule="exact"/>
              <w:rPr>
                <w:sz w:val="20"/>
                <w:szCs w:val="20"/>
                <w:color w:val="auto"/>
              </w:rPr>
            </w:pPr>
            <w:r>
              <w:rPr>
                <w:rFonts w:ascii="Times New Roman" w:cs="Times New Roman" w:eastAsia="Times New Roman" w:hAnsi="Times New Roman"/>
                <w:sz w:val="8"/>
                <w:szCs w:val="8"/>
                <w:color w:val="auto"/>
              </w:rPr>
              <w:t>(9)</w:t>
            </w:r>
          </w:p>
        </w:tc>
        <w:tc>
          <w:tcPr>
            <w:tcW w:w="1160" w:type="dxa"/>
            <w:vAlign w:val="bottom"/>
            <w:shd w:val="clear" w:color="auto" w:fill="CCEEFF"/>
          </w:tcPr>
          <w:p>
            <w:pPr>
              <w:spacing w:after="0"/>
              <w:rPr>
                <w:sz w:val="7"/>
                <w:szCs w:val="7"/>
                <w:color w:val="auto"/>
              </w:rPr>
            </w:pPr>
          </w:p>
        </w:tc>
        <w:tc>
          <w:tcPr>
            <w:tcW w:w="17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Structured Credit ($1,600 par, due</w:t>
            </w: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1001 Pennsylvania Avenue NW</w:t>
            </w:r>
          </w:p>
        </w:tc>
        <w:tc>
          <w:tcPr>
            <w:tcW w:w="1780" w:type="dxa"/>
            <w:vAlign w:val="bottom"/>
            <w:gridSpan w:val="3"/>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2/15/2023</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+ 6.86%</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12.19%</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1,427</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1,467</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Washington, DC</w:t>
            </w:r>
          </w:p>
        </w:tc>
        <w:tc>
          <w:tcPr>
            <w:tcW w:w="1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4/2034)</w:t>
            </w: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Carlyle Global Market Strategies</w:t>
            </w:r>
          </w:p>
        </w:tc>
        <w:tc>
          <w:tcPr>
            <w:tcW w:w="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 xml:space="preserve">CLO Ltd, Series 2018-1A </w:t>
            </w:r>
            <w:r>
              <w:rPr>
                <w:rFonts w:ascii="Times New Roman" w:cs="Times New Roman" w:eastAsia="Times New Roman" w:hAnsi="Times New Roman"/>
                <w:sz w:val="8"/>
                <w:szCs w:val="8"/>
                <w:color w:val="auto"/>
              </w:rPr>
              <w:t>(3)(4)(9)</w:t>
            </w:r>
          </w:p>
        </w:tc>
        <w:tc>
          <w:tcPr>
            <w:tcW w:w="1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color w:val="auto"/>
              </w:rPr>
              <w:t>Structured Credit ($1,550 par, due</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1001 Pennsylvania Avenue NW</w:t>
            </w:r>
          </w:p>
        </w:tc>
        <w:tc>
          <w:tcPr>
            <w:tcW w:w="1780" w:type="dxa"/>
            <w:vAlign w:val="bottom"/>
            <w:gridSpan w:val="3"/>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8/11/2020</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+ 6.01%</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11.34%</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1,259</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1,386</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Washington, DC</w:t>
            </w: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4/2031)</w:t>
            </w: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50" w:right="1440" w:bottom="1440" w:gutter="0" w:footer="0" w:header="0"/>
        </w:sectPr>
      </w:pPr>
    </w:p>
    <w:bookmarkStart w:id="100" w:name="page101"/>
    <w:bookmarkEnd w:id="100"/>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16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66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3"/>
              </w:rPr>
              <w:t>Acquisition</w:t>
            </w:r>
          </w:p>
        </w:tc>
        <w:tc>
          <w:tcPr>
            <w:tcW w:w="900" w:type="dxa"/>
            <w:vAlign w:val="bottom"/>
            <w:gridSpan w:val="2"/>
          </w:tcPr>
          <w:p>
            <w:pPr>
              <w:jc w:val="center"/>
              <w:ind w:right="280"/>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tcPr>
          <w:p>
            <w:pPr>
              <w:jc w:val="right"/>
              <w:ind w:right="30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46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66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89"/>
              </w:rPr>
              <w:t>Date</w:t>
            </w:r>
          </w:p>
        </w:tc>
        <w:tc>
          <w:tcPr>
            <w:tcW w:w="900" w:type="dxa"/>
            <w:vAlign w:val="bottom"/>
            <w:gridSpan w:val="2"/>
          </w:tcPr>
          <w:p>
            <w:pPr>
              <w:jc w:val="center"/>
              <w:ind w:right="280"/>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8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3"/>
              </w:rPr>
              <w:t>Interest Rate</w:t>
            </w:r>
          </w:p>
        </w:tc>
        <w:tc>
          <w:tcPr>
            <w:tcW w:w="62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720" w:type="dxa"/>
            <w:vAlign w:val="bottom"/>
            <w:gridSpan w:val="2"/>
          </w:tcPr>
          <w:p>
            <w:pPr>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8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4"/>
              </w:rPr>
              <w:t>of Net Assets</w:t>
            </w: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Class Held</w:t>
            </w:r>
          </w:p>
        </w:tc>
        <w:tc>
          <w:tcPr>
            <w:tcW w:w="0" w:type="dxa"/>
            <w:vAlign w:val="bottom"/>
          </w:tcPr>
          <w:p>
            <w:pPr>
              <w:spacing w:after="0"/>
              <w:rPr>
                <w:sz w:val="1"/>
                <w:szCs w:val="1"/>
                <w:color w:val="auto"/>
              </w:rPr>
            </w:pPr>
          </w:p>
        </w:tc>
      </w:tr>
      <w:tr>
        <w:trPr>
          <w:trHeight w:val="76"/>
        </w:trPr>
        <w:tc>
          <w:tcPr>
            <w:tcW w:w="1760" w:type="dxa"/>
            <w:vAlign w:val="bottom"/>
            <w:tcBorders>
              <w:top w:val="single" w:sz="8" w:color="CCEEFF"/>
            </w:tcBorders>
            <w:gridSpan w:val="2"/>
            <w:shd w:val="clear" w:color="auto" w:fill="CCEEFF"/>
          </w:tcPr>
          <w:p>
            <w:pPr>
              <w:spacing w:after="0" w:line="76" w:lineRule="exact"/>
              <w:rPr>
                <w:sz w:val="20"/>
                <w:szCs w:val="20"/>
                <w:color w:val="auto"/>
              </w:rPr>
            </w:pPr>
            <w:r>
              <w:rPr>
                <w:rFonts w:ascii="Times New Roman" w:cs="Times New Roman" w:eastAsia="Times New Roman" w:hAnsi="Times New Roman"/>
                <w:sz w:val="8"/>
                <w:szCs w:val="8"/>
                <w:color w:val="auto"/>
              </w:rPr>
              <w:t>CarVal CLO III Ltd, Series 2019-2A</w:t>
            </w:r>
          </w:p>
        </w:tc>
        <w:tc>
          <w:tcPr>
            <w:tcW w:w="6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00" w:type="dxa"/>
            <w:vAlign w:val="bottom"/>
            <w:shd w:val="clear" w:color="auto" w:fill="CCEEFF"/>
          </w:tcPr>
          <w:p>
            <w:pPr>
              <w:ind w:left="100"/>
              <w:spacing w:after="0" w:line="87" w:lineRule="exact"/>
              <w:rPr>
                <w:sz w:val="20"/>
                <w:szCs w:val="20"/>
                <w:color w:val="auto"/>
              </w:rPr>
            </w:pPr>
            <w:r>
              <w:rPr>
                <w:rFonts w:ascii="Times New Roman" w:cs="Times New Roman" w:eastAsia="Times New Roman" w:hAnsi="Times New Roman"/>
                <w:sz w:val="8"/>
                <w:szCs w:val="8"/>
                <w:color w:val="auto"/>
              </w:rPr>
              <w:t>(3)(4)(9)</w:t>
            </w:r>
          </w:p>
        </w:tc>
        <w:tc>
          <w:tcPr>
            <w:tcW w:w="1160" w:type="dxa"/>
            <w:vAlign w:val="bottom"/>
            <w:shd w:val="clear" w:color="auto" w:fill="CCEEFF"/>
          </w:tcPr>
          <w:p>
            <w:pPr>
              <w:spacing w:after="0"/>
              <w:rPr>
                <w:sz w:val="7"/>
                <w:szCs w:val="7"/>
                <w:color w:val="auto"/>
              </w:rPr>
            </w:pPr>
          </w:p>
        </w:tc>
        <w:tc>
          <w:tcPr>
            <w:tcW w:w="18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1601 Utica Avenue South, Suite</w:t>
            </w:r>
          </w:p>
        </w:tc>
        <w:tc>
          <w:tcPr>
            <w:tcW w:w="1820" w:type="dxa"/>
            <w:vAlign w:val="bottom"/>
            <w:gridSpan w:val="3"/>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6/30/2022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+ 6.70%</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12.03%</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957</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1000. Minneapolis, MN 55416</w:t>
            </w:r>
          </w:p>
        </w:tc>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7/2032)</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Cedar Funding CLO Ltd, Series</w:t>
            </w:r>
          </w:p>
        </w:tc>
        <w:tc>
          <w:tcPr>
            <w:tcW w:w="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2018-7A</w:t>
            </w:r>
            <w:r>
              <w:rPr>
                <w:rFonts w:ascii="Times New Roman" w:cs="Times New Roman" w:eastAsia="Times New Roman" w:hAnsi="Times New Roman"/>
                <w:sz w:val="7"/>
                <w:szCs w:val="7"/>
                <w:color w:val="auto"/>
              </w:rPr>
              <w:t xml:space="preserve"> (3)(4)(9)</w:t>
            </w:r>
          </w:p>
        </w:tc>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1201 Wills Street, Suite 800.</w:t>
            </w:r>
          </w:p>
        </w:tc>
        <w:tc>
          <w:tcPr>
            <w:tcW w:w="1820" w:type="dxa"/>
            <w:vAlign w:val="bottom"/>
            <w:gridSpan w:val="3"/>
            <w:vMerge w:val="continue"/>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7/21/2022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+ 4.81%</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10.14%</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867</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Baltimore, MD 21231</w:t>
            </w: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1/2031)</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6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 xml:space="preserve">CIFC CLO Ltd, Series 2018-3A </w:t>
            </w:r>
            <w:r>
              <w:rPr>
                <w:rFonts w:ascii="Times New Roman" w:cs="Times New Roman" w:eastAsia="Times New Roman" w:hAnsi="Times New Roman"/>
                <w:sz w:val="8"/>
                <w:szCs w:val="8"/>
                <w:color w:val="auto"/>
              </w:rPr>
              <w:t>(3)(4)</w:t>
            </w:r>
          </w:p>
        </w:tc>
        <w:tc>
          <w:tcPr>
            <w:tcW w:w="6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shd w:val="clear" w:color="auto" w:fill="CCEEFF"/>
          </w:tcPr>
          <w:p>
            <w:pPr>
              <w:ind w:left="100"/>
              <w:spacing w:after="0" w:line="87" w:lineRule="exact"/>
              <w:rPr>
                <w:sz w:val="20"/>
                <w:szCs w:val="20"/>
                <w:color w:val="auto"/>
              </w:rPr>
            </w:pPr>
            <w:r>
              <w:rPr>
                <w:rFonts w:ascii="Times New Roman" w:cs="Times New Roman" w:eastAsia="Times New Roman" w:hAnsi="Times New Roman"/>
                <w:sz w:val="8"/>
                <w:szCs w:val="8"/>
                <w:color w:val="auto"/>
              </w:rPr>
              <w:t>(9)</w:t>
            </w:r>
          </w:p>
        </w:tc>
        <w:tc>
          <w:tcPr>
            <w:tcW w:w="1160" w:type="dxa"/>
            <w:vAlign w:val="bottom"/>
            <w:shd w:val="clear" w:color="auto" w:fill="CCEEFF"/>
          </w:tcPr>
          <w:p>
            <w:pPr>
              <w:spacing w:after="0"/>
              <w:rPr>
                <w:sz w:val="7"/>
                <w:szCs w:val="7"/>
                <w:color w:val="auto"/>
              </w:rPr>
            </w:pPr>
          </w:p>
        </w:tc>
        <w:tc>
          <w:tcPr>
            <w:tcW w:w="18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 SE 3rd Avenue, Suite 1660,</w:t>
            </w:r>
          </w:p>
        </w:tc>
        <w:tc>
          <w:tcPr>
            <w:tcW w:w="1820" w:type="dxa"/>
            <w:vAlign w:val="bottom"/>
            <w:gridSpan w:val="3"/>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6/16/2022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+ 5.76%</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11.07%</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902</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928</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Miami, FL 33131</w:t>
            </w:r>
          </w:p>
        </w:tc>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7/2031)</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6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color w:val="auto"/>
              </w:rPr>
              <w:t xml:space="preserve">CIFC CLO Ltd, Series 2021-4A </w:t>
            </w:r>
            <w:r>
              <w:rPr>
                <w:rFonts w:ascii="Times New Roman" w:cs="Times New Roman" w:eastAsia="Times New Roman" w:hAnsi="Times New Roman"/>
                <w:sz w:val="8"/>
                <w:szCs w:val="8"/>
                <w:color w:val="auto"/>
              </w:rPr>
              <w:t>(3)(4)</w:t>
            </w:r>
          </w:p>
        </w:tc>
        <w:tc>
          <w:tcPr>
            <w:tcW w:w="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tcPr>
          <w:p>
            <w:pPr>
              <w:ind w:left="100"/>
              <w:spacing w:after="0" w:line="87" w:lineRule="exact"/>
              <w:rPr>
                <w:sz w:val="20"/>
                <w:szCs w:val="20"/>
                <w:color w:val="auto"/>
              </w:rPr>
            </w:pPr>
            <w:r>
              <w:rPr>
                <w:rFonts w:ascii="Times New Roman" w:cs="Times New Roman" w:eastAsia="Times New Roman" w:hAnsi="Times New Roman"/>
                <w:sz w:val="8"/>
                <w:szCs w:val="8"/>
                <w:color w:val="auto"/>
              </w:rPr>
              <w:t>(9)</w:t>
            </w:r>
          </w:p>
        </w:tc>
        <w:tc>
          <w:tcPr>
            <w:tcW w:w="1160" w:type="dxa"/>
            <w:vAlign w:val="bottom"/>
          </w:tcPr>
          <w:p>
            <w:pPr>
              <w:spacing w:after="0"/>
              <w:rPr>
                <w:sz w:val="7"/>
                <w:szCs w:val="7"/>
                <w:color w:val="auto"/>
              </w:rPr>
            </w:pPr>
          </w:p>
        </w:tc>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 SE 3rd Avenue, Suite 1660,</w:t>
            </w:r>
          </w:p>
        </w:tc>
        <w:tc>
          <w:tcPr>
            <w:tcW w:w="1820" w:type="dxa"/>
            <w:vAlign w:val="bottom"/>
            <w:gridSpan w:val="3"/>
            <w:vMerge w:val="continue"/>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7/14/2022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+ 6.26%</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11.57%</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899</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950</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Miami, FL 33131</w:t>
            </w: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7/2033)</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Crown Point CLO Ltd, Series</w:t>
            </w:r>
          </w:p>
        </w:tc>
        <w:tc>
          <w:tcPr>
            <w:tcW w:w="18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2021-10A</w:t>
            </w:r>
            <w:r>
              <w:rPr>
                <w:rFonts w:ascii="Times New Roman" w:cs="Times New Roman" w:eastAsia="Times New Roman" w:hAnsi="Times New Roman"/>
                <w:sz w:val="7"/>
                <w:szCs w:val="7"/>
                <w:color w:val="auto"/>
              </w:rPr>
              <w:t xml:space="preserve"> (3)(4)(9)</w:t>
            </w:r>
          </w:p>
        </w:tc>
        <w:tc>
          <w:tcPr>
            <w:tcW w:w="1820" w:type="dxa"/>
            <w:vAlign w:val="bottom"/>
            <w:gridSpan w:val="3"/>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6/14/2022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+ 7.11%</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12.44%</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925</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810 7th Ave, New York, NY 10019</w:t>
            </w:r>
          </w:p>
        </w:tc>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7/2034)</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Dryden Senior Loan Fund, Series</w:t>
            </w:r>
          </w:p>
        </w:tc>
        <w:tc>
          <w:tcPr>
            <w:tcW w:w="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2018-55A</w:t>
            </w:r>
            <w:r>
              <w:rPr>
                <w:rFonts w:ascii="Times New Roman" w:cs="Times New Roman" w:eastAsia="Times New Roman" w:hAnsi="Times New Roman"/>
                <w:sz w:val="7"/>
                <w:szCs w:val="7"/>
                <w:color w:val="auto"/>
              </w:rPr>
              <w:t xml:space="preserve"> (3)(4)(9)</w:t>
            </w:r>
          </w:p>
        </w:tc>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655 Broad Street Newark, NJ</w:t>
            </w:r>
          </w:p>
        </w:tc>
        <w:tc>
          <w:tcPr>
            <w:tcW w:w="1820" w:type="dxa"/>
            <w:vAlign w:val="bottom"/>
            <w:gridSpan w:val="3"/>
            <w:vMerge w:val="continue"/>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7/25/2022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+ 3.11%</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8.42%</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925</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928</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07102</w:t>
            </w:r>
          </w:p>
        </w:tc>
        <w:tc>
          <w:tcPr>
            <w:tcW w:w="1160" w:type="dxa"/>
            <w:vAlign w:val="bottom"/>
          </w:tcPr>
          <w:p>
            <w:pPr>
              <w:spacing w:after="0"/>
              <w:rPr>
                <w:sz w:val="11"/>
                <w:szCs w:val="11"/>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4/2031)</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Dryden Senior Loan Fund, Series</w:t>
            </w:r>
          </w:p>
        </w:tc>
        <w:tc>
          <w:tcPr>
            <w:tcW w:w="6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2020-86A</w:t>
            </w:r>
            <w:r>
              <w:rPr>
                <w:rFonts w:ascii="Times New Roman" w:cs="Times New Roman" w:eastAsia="Times New Roman" w:hAnsi="Times New Roman"/>
                <w:sz w:val="7"/>
                <w:szCs w:val="7"/>
                <w:color w:val="auto"/>
              </w:rPr>
              <w:t xml:space="preserve"> (3)(4)(9)</w:t>
            </w:r>
          </w:p>
        </w:tc>
        <w:tc>
          <w:tcPr>
            <w:tcW w:w="18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Structured Credit ($1,500 par, due</w:t>
            </w: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655 Broad Street Newark, NJ</w:t>
            </w:r>
          </w:p>
        </w:tc>
        <w:tc>
          <w:tcPr>
            <w:tcW w:w="1820" w:type="dxa"/>
            <w:vAlign w:val="bottom"/>
            <w:gridSpan w:val="3"/>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8/17/2022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+ 6.76%</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12.07%</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1,451</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1,358</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07102</w:t>
            </w:r>
          </w:p>
        </w:tc>
        <w:tc>
          <w:tcPr>
            <w:tcW w:w="11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7/2034)</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6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color w:val="auto"/>
              </w:rPr>
              <w:t xml:space="preserve">Eaton CLO Ltd, Series 2015-1A </w:t>
            </w:r>
            <w:r>
              <w:rPr>
                <w:rFonts w:ascii="Times New Roman" w:cs="Times New Roman" w:eastAsia="Times New Roman" w:hAnsi="Times New Roman"/>
                <w:sz w:val="8"/>
                <w:szCs w:val="8"/>
                <w:color w:val="auto"/>
              </w:rPr>
              <w:t>(3)(4)</w:t>
            </w:r>
          </w:p>
        </w:tc>
        <w:tc>
          <w:tcPr>
            <w:tcW w:w="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tcPr>
          <w:p>
            <w:pPr>
              <w:ind w:left="100"/>
              <w:spacing w:after="0" w:line="87" w:lineRule="exact"/>
              <w:rPr>
                <w:sz w:val="20"/>
                <w:szCs w:val="20"/>
                <w:color w:val="auto"/>
              </w:rPr>
            </w:pPr>
            <w:r>
              <w:rPr>
                <w:rFonts w:ascii="Times New Roman" w:cs="Times New Roman" w:eastAsia="Times New Roman" w:hAnsi="Times New Roman"/>
                <w:sz w:val="8"/>
                <w:szCs w:val="8"/>
                <w:color w:val="auto"/>
              </w:rPr>
              <w:t>(9)</w:t>
            </w:r>
          </w:p>
        </w:tc>
        <w:tc>
          <w:tcPr>
            <w:tcW w:w="1160" w:type="dxa"/>
            <w:vAlign w:val="bottom"/>
          </w:tcPr>
          <w:p>
            <w:pPr>
              <w:spacing w:after="0"/>
              <w:rPr>
                <w:sz w:val="7"/>
                <w:szCs w:val="7"/>
                <w:color w:val="auto"/>
              </w:rPr>
            </w:pPr>
          </w:p>
        </w:tc>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Structured Credit ($2,500 par, due</w:t>
            </w: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wo International Place, Suite 1400</w:t>
            </w:r>
          </w:p>
        </w:tc>
        <w:tc>
          <w:tcPr>
            <w:tcW w:w="1820" w:type="dxa"/>
            <w:vAlign w:val="bottom"/>
            <w:gridSpan w:val="3"/>
            <w:vMerge w:val="continue"/>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6/23/2022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+ 2.76%</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8.09%</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2,252</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2,394</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0.2%</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Boston, MA 02110</w:t>
            </w: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1/2030)</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6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 xml:space="preserve">Eaton CLO Ltd, Series 2020-1A </w:t>
            </w:r>
            <w:r>
              <w:rPr>
                <w:rFonts w:ascii="Times New Roman" w:cs="Times New Roman" w:eastAsia="Times New Roman" w:hAnsi="Times New Roman"/>
                <w:sz w:val="8"/>
                <w:szCs w:val="8"/>
                <w:color w:val="auto"/>
              </w:rPr>
              <w:t>(3)(4)</w:t>
            </w:r>
          </w:p>
        </w:tc>
        <w:tc>
          <w:tcPr>
            <w:tcW w:w="6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shd w:val="clear" w:color="auto" w:fill="CCEEFF"/>
          </w:tcPr>
          <w:p>
            <w:pPr>
              <w:ind w:left="100"/>
              <w:spacing w:after="0" w:line="87" w:lineRule="exact"/>
              <w:rPr>
                <w:sz w:val="20"/>
                <w:szCs w:val="20"/>
                <w:color w:val="auto"/>
              </w:rPr>
            </w:pPr>
            <w:r>
              <w:rPr>
                <w:rFonts w:ascii="Times New Roman" w:cs="Times New Roman" w:eastAsia="Times New Roman" w:hAnsi="Times New Roman"/>
                <w:sz w:val="8"/>
                <w:szCs w:val="8"/>
                <w:color w:val="auto"/>
              </w:rPr>
              <w:t>(9)</w:t>
            </w:r>
          </w:p>
        </w:tc>
        <w:tc>
          <w:tcPr>
            <w:tcW w:w="1160" w:type="dxa"/>
            <w:vAlign w:val="bottom"/>
            <w:shd w:val="clear" w:color="auto" w:fill="CCEEFF"/>
          </w:tcPr>
          <w:p>
            <w:pPr>
              <w:spacing w:after="0"/>
              <w:rPr>
                <w:sz w:val="7"/>
                <w:szCs w:val="7"/>
                <w:color w:val="auto"/>
              </w:rPr>
            </w:pPr>
          </w:p>
        </w:tc>
        <w:tc>
          <w:tcPr>
            <w:tcW w:w="18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wo International Place, Suite 1400</w:t>
            </w:r>
          </w:p>
        </w:tc>
        <w:tc>
          <w:tcPr>
            <w:tcW w:w="1820" w:type="dxa"/>
            <w:vAlign w:val="bottom"/>
            <w:gridSpan w:val="3"/>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8/11/2022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+ 6.51%</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11.82%</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934</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962</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Boston, MA 02110</w:t>
            </w:r>
          </w:p>
        </w:tc>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10/2034)</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GoldenTree CLO Ltd, Series</w:t>
            </w:r>
          </w:p>
        </w:tc>
        <w:tc>
          <w:tcPr>
            <w:tcW w:w="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2020-7A</w:t>
            </w:r>
            <w:r>
              <w:rPr>
                <w:rFonts w:ascii="Times New Roman" w:cs="Times New Roman" w:eastAsia="Times New Roman" w:hAnsi="Times New Roman"/>
                <w:sz w:val="7"/>
                <w:szCs w:val="7"/>
                <w:color w:val="auto"/>
              </w:rPr>
              <w:t xml:space="preserve"> (3)(4)(9)</w:t>
            </w:r>
          </w:p>
        </w:tc>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300 Park Avenue New York, NY</w:t>
            </w:r>
          </w:p>
        </w:tc>
        <w:tc>
          <w:tcPr>
            <w:tcW w:w="1820" w:type="dxa"/>
            <w:vAlign w:val="bottom"/>
            <w:gridSpan w:val="3"/>
            <w:vMerge w:val="continue"/>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6/17/2022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+ 6.76%</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12.09%</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921</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984</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10022</w:t>
            </w:r>
          </w:p>
        </w:tc>
        <w:tc>
          <w:tcPr>
            <w:tcW w:w="1160" w:type="dxa"/>
            <w:vAlign w:val="bottom"/>
          </w:tcPr>
          <w:p>
            <w:pPr>
              <w:spacing w:after="0"/>
              <w:rPr>
                <w:sz w:val="11"/>
                <w:szCs w:val="11"/>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4/2034)</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Gulf Stream Meridian, Series</w:t>
            </w:r>
          </w:p>
        </w:tc>
        <w:tc>
          <w:tcPr>
            <w:tcW w:w="6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2021-4A</w:t>
            </w:r>
            <w:r>
              <w:rPr>
                <w:rFonts w:ascii="Times New Roman" w:cs="Times New Roman" w:eastAsia="Times New Roman" w:hAnsi="Times New Roman"/>
                <w:sz w:val="7"/>
                <w:szCs w:val="7"/>
                <w:color w:val="auto"/>
              </w:rPr>
              <w:t xml:space="preserve"> (3)(4)(9)</w:t>
            </w:r>
          </w:p>
        </w:tc>
        <w:tc>
          <w:tcPr>
            <w:tcW w:w="18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Structured Credit ($1,015 par, due</w:t>
            </w: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4201 Congress Street, Charlotte</w:t>
            </w:r>
          </w:p>
        </w:tc>
        <w:tc>
          <w:tcPr>
            <w:tcW w:w="1820" w:type="dxa"/>
            <w:vAlign w:val="bottom"/>
            <w:gridSpan w:val="3"/>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6/3/2022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+ 6.61%</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11.98%</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941</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920</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NC 28209</w:t>
            </w:r>
          </w:p>
        </w:tc>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7/2034)</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Gulf Stream Meridian, Series</w:t>
            </w:r>
          </w:p>
        </w:tc>
        <w:tc>
          <w:tcPr>
            <w:tcW w:w="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2021-6A</w:t>
            </w:r>
            <w:r>
              <w:rPr>
                <w:rFonts w:ascii="Times New Roman" w:cs="Times New Roman" w:eastAsia="Times New Roman" w:hAnsi="Times New Roman"/>
                <w:sz w:val="7"/>
                <w:szCs w:val="7"/>
                <w:color w:val="auto"/>
              </w:rPr>
              <w:t xml:space="preserve"> (3)(4)(9)</w:t>
            </w:r>
          </w:p>
        </w:tc>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Structured Credit ($2,000 par, due</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4201 Congress Street, Charlotte</w:t>
            </w:r>
          </w:p>
        </w:tc>
        <w:tc>
          <w:tcPr>
            <w:tcW w:w="1820" w:type="dxa"/>
            <w:vAlign w:val="bottom"/>
            <w:gridSpan w:val="3"/>
            <w:vMerge w:val="continue"/>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9/12/2022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+ 6.62%</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11.93%</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1,849</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1,785</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NC 28209</w:t>
            </w: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1/2037)</w:t>
            </w: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50" w:right="1440" w:bottom="1440" w:gutter="0" w:footer="0" w:header="0"/>
        </w:sectPr>
      </w:pPr>
    </w:p>
    <w:bookmarkStart w:id="101" w:name="page102"/>
    <w:bookmarkEnd w:id="101"/>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16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66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3"/>
              </w:rPr>
              <w:t>Acquisition</w:t>
            </w:r>
          </w:p>
        </w:tc>
        <w:tc>
          <w:tcPr>
            <w:tcW w:w="900" w:type="dxa"/>
            <w:vAlign w:val="bottom"/>
            <w:gridSpan w:val="2"/>
          </w:tcPr>
          <w:p>
            <w:pPr>
              <w:jc w:val="center"/>
              <w:ind w:right="280"/>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tcPr>
          <w:p>
            <w:pPr>
              <w:jc w:val="right"/>
              <w:ind w:right="30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46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66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89"/>
              </w:rPr>
              <w:t>Date</w:t>
            </w:r>
          </w:p>
        </w:tc>
        <w:tc>
          <w:tcPr>
            <w:tcW w:w="900" w:type="dxa"/>
            <w:vAlign w:val="bottom"/>
            <w:gridSpan w:val="2"/>
          </w:tcPr>
          <w:p>
            <w:pPr>
              <w:jc w:val="center"/>
              <w:ind w:right="280"/>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8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3"/>
              </w:rPr>
              <w:t>Interest Rate</w:t>
            </w:r>
          </w:p>
        </w:tc>
        <w:tc>
          <w:tcPr>
            <w:tcW w:w="620" w:type="dxa"/>
            <w:vAlign w:val="bottom"/>
            <w:gridSpan w:val="2"/>
          </w:tcPr>
          <w:p>
            <w:pPr>
              <w:ind w:left="4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720" w:type="dxa"/>
            <w:vAlign w:val="bottom"/>
            <w:gridSpan w:val="2"/>
          </w:tcPr>
          <w:p>
            <w:pPr>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8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4"/>
              </w:rPr>
              <w:t>of Net Assets</w:t>
            </w: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Class Held</w:t>
            </w:r>
          </w:p>
        </w:tc>
        <w:tc>
          <w:tcPr>
            <w:tcW w:w="0" w:type="dxa"/>
            <w:vAlign w:val="bottom"/>
          </w:tcPr>
          <w:p>
            <w:pPr>
              <w:spacing w:after="0"/>
              <w:rPr>
                <w:sz w:val="1"/>
                <w:szCs w:val="1"/>
                <w:color w:val="auto"/>
              </w:rPr>
            </w:pPr>
          </w:p>
        </w:tc>
      </w:tr>
      <w:tr>
        <w:trPr>
          <w:trHeight w:val="68"/>
        </w:trPr>
        <w:tc>
          <w:tcPr>
            <w:tcW w:w="1760" w:type="dxa"/>
            <w:vAlign w:val="bottom"/>
            <w:tcBorders>
              <w:top w:val="single" w:sz="8" w:color="CCEEFF"/>
            </w:tcBorders>
            <w:gridSpan w:val="2"/>
            <w:shd w:val="clear" w:color="auto" w:fill="CCEEFF"/>
          </w:tcPr>
          <w:p>
            <w:pPr>
              <w:spacing w:after="0" w:line="69" w:lineRule="exact"/>
              <w:rPr>
                <w:sz w:val="20"/>
                <w:szCs w:val="20"/>
                <w:color w:val="auto"/>
              </w:rPr>
            </w:pPr>
            <w:r>
              <w:rPr>
                <w:rFonts w:ascii="Times New Roman" w:cs="Times New Roman" w:eastAsia="Times New Roman" w:hAnsi="Times New Roman"/>
                <w:sz w:val="7"/>
                <w:szCs w:val="7"/>
                <w:color w:val="auto"/>
              </w:rPr>
              <w:t>Jefferson Mill CLO Ltd, Series</w:t>
            </w:r>
          </w:p>
        </w:tc>
        <w:tc>
          <w:tcPr>
            <w:tcW w:w="60" w:type="dxa"/>
            <w:vAlign w:val="bottom"/>
            <w:tcBorders>
              <w:top w:val="single" w:sz="8" w:color="CCEEFF"/>
            </w:tcBorders>
            <w:shd w:val="clear" w:color="auto" w:fill="CCEEFF"/>
          </w:tcPr>
          <w:p>
            <w:pPr>
              <w:spacing w:after="0"/>
              <w:rPr>
                <w:sz w:val="5"/>
                <w:szCs w:val="5"/>
                <w:color w:val="auto"/>
              </w:rPr>
            </w:pPr>
          </w:p>
        </w:tc>
        <w:tc>
          <w:tcPr>
            <w:tcW w:w="16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2015-1A</w:t>
            </w:r>
            <w:r>
              <w:rPr>
                <w:rFonts w:ascii="Times New Roman" w:cs="Times New Roman" w:eastAsia="Times New Roman" w:hAnsi="Times New Roman"/>
                <w:sz w:val="7"/>
                <w:szCs w:val="7"/>
                <w:color w:val="auto"/>
              </w:rPr>
              <w:t xml:space="preserve"> (3)(4)(9)</w:t>
            </w:r>
          </w:p>
        </w:tc>
        <w:tc>
          <w:tcPr>
            <w:tcW w:w="18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151 W 42nd St 29th Floor, New</w:t>
            </w:r>
          </w:p>
        </w:tc>
        <w:tc>
          <w:tcPr>
            <w:tcW w:w="1820" w:type="dxa"/>
            <w:vAlign w:val="bottom"/>
            <w:gridSpan w:val="3"/>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5/23/2022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+ 3.81%</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9.14%</w:t>
            </w:r>
          </w:p>
        </w:tc>
        <w:tc>
          <w:tcPr>
            <w:tcW w:w="44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84"/>
              </w:rPr>
              <w:t>906</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937</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York, NY 10036</w:t>
            </w:r>
          </w:p>
        </w:tc>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10/2031)</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KKR CLO Ltd, 49A </w:t>
            </w:r>
            <w:r>
              <w:rPr>
                <w:rFonts w:ascii="Times New Roman" w:cs="Times New Roman" w:eastAsia="Times New Roman" w:hAnsi="Times New Roman"/>
                <w:sz w:val="8"/>
                <w:szCs w:val="8"/>
                <w:color w:val="auto"/>
              </w:rPr>
              <w:t>(3)(4)(9)</w:t>
            </w:r>
          </w:p>
        </w:tc>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30 Hudson Yards, New York, NY</w:t>
            </w:r>
          </w:p>
        </w:tc>
        <w:tc>
          <w:tcPr>
            <w:tcW w:w="1820" w:type="dxa"/>
            <w:vAlign w:val="bottom"/>
            <w:gridSpan w:val="3"/>
            <w:vMerge w:val="continue"/>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6/2/2022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+ 8.26%</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13.33%</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auto"/>
                <w:w w:val="84"/>
              </w:rPr>
              <w:t>977</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959</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10001</w:t>
            </w:r>
          </w:p>
        </w:tc>
        <w:tc>
          <w:tcPr>
            <w:tcW w:w="1160" w:type="dxa"/>
            <w:vAlign w:val="bottom"/>
          </w:tcPr>
          <w:p>
            <w:pPr>
              <w:spacing w:after="0"/>
              <w:rPr>
                <w:sz w:val="11"/>
                <w:szCs w:val="11"/>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7/2035)</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6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Madison Park CLO, Series 2018-28A</w:t>
            </w:r>
          </w:p>
        </w:tc>
        <w:tc>
          <w:tcPr>
            <w:tcW w:w="6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shd w:val="clear" w:color="auto" w:fill="CCEEFF"/>
          </w:tcPr>
          <w:p>
            <w:pPr>
              <w:ind w:left="100"/>
              <w:spacing w:after="0" w:line="87" w:lineRule="exact"/>
              <w:rPr>
                <w:sz w:val="20"/>
                <w:szCs w:val="20"/>
                <w:color w:val="auto"/>
              </w:rPr>
            </w:pPr>
            <w:r>
              <w:rPr>
                <w:rFonts w:ascii="Times New Roman" w:cs="Times New Roman" w:eastAsia="Times New Roman" w:hAnsi="Times New Roman"/>
                <w:sz w:val="8"/>
                <w:szCs w:val="8"/>
                <w:color w:val="auto"/>
              </w:rPr>
              <w:t>(3)(4)(9)</w:t>
            </w:r>
          </w:p>
        </w:tc>
        <w:tc>
          <w:tcPr>
            <w:tcW w:w="1160" w:type="dxa"/>
            <w:vAlign w:val="bottom"/>
            <w:shd w:val="clear" w:color="auto" w:fill="CCEEFF"/>
          </w:tcPr>
          <w:p>
            <w:pPr>
              <w:spacing w:after="0"/>
              <w:rPr>
                <w:sz w:val="7"/>
                <w:szCs w:val="7"/>
                <w:color w:val="auto"/>
              </w:rPr>
            </w:pPr>
          </w:p>
        </w:tc>
        <w:tc>
          <w:tcPr>
            <w:tcW w:w="18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11 Madison Ave, New York, NY</w:t>
            </w:r>
          </w:p>
        </w:tc>
        <w:tc>
          <w:tcPr>
            <w:tcW w:w="1820" w:type="dxa"/>
            <w:vAlign w:val="bottom"/>
            <w:gridSpan w:val="3"/>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6/28/2022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+ 5.51%</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10.82%</w:t>
            </w:r>
          </w:p>
        </w:tc>
        <w:tc>
          <w:tcPr>
            <w:tcW w:w="44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84"/>
              </w:rPr>
              <w:t>908</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948</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10010</w:t>
            </w:r>
          </w:p>
        </w:tc>
        <w:tc>
          <w:tcPr>
            <w:tcW w:w="11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7/2030)</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6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color w:val="auto"/>
              </w:rPr>
              <w:t>Magnetite CLO Ltd, Series 2021-30A</w:t>
            </w:r>
          </w:p>
        </w:tc>
        <w:tc>
          <w:tcPr>
            <w:tcW w:w="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tcPr>
          <w:p>
            <w:pPr>
              <w:ind w:left="100"/>
              <w:spacing w:after="0" w:line="87" w:lineRule="exact"/>
              <w:rPr>
                <w:sz w:val="20"/>
                <w:szCs w:val="20"/>
                <w:color w:val="auto"/>
              </w:rPr>
            </w:pPr>
            <w:r>
              <w:rPr>
                <w:rFonts w:ascii="Times New Roman" w:cs="Times New Roman" w:eastAsia="Times New Roman" w:hAnsi="Times New Roman"/>
                <w:sz w:val="8"/>
                <w:szCs w:val="8"/>
                <w:color w:val="auto"/>
              </w:rPr>
              <w:t>(3)(4)(9)</w:t>
            </w:r>
          </w:p>
        </w:tc>
        <w:tc>
          <w:tcPr>
            <w:tcW w:w="1160" w:type="dxa"/>
            <w:vAlign w:val="bottom"/>
          </w:tcPr>
          <w:p>
            <w:pPr>
              <w:spacing w:after="0"/>
              <w:rPr>
                <w:sz w:val="7"/>
                <w:szCs w:val="7"/>
                <w:color w:val="auto"/>
              </w:rPr>
            </w:pPr>
          </w:p>
        </w:tc>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50 Hudson Yards, New York, NY</w:t>
            </w:r>
          </w:p>
        </w:tc>
        <w:tc>
          <w:tcPr>
            <w:tcW w:w="1820" w:type="dxa"/>
            <w:vAlign w:val="bottom"/>
            <w:gridSpan w:val="3"/>
            <w:vMerge w:val="continue"/>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6/13/2022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+ 6.46%</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11.81%</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auto"/>
                <w:w w:val="84"/>
              </w:rPr>
              <w:t>919</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956</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10001</w:t>
            </w:r>
          </w:p>
        </w:tc>
        <w:tc>
          <w:tcPr>
            <w:tcW w:w="1160" w:type="dxa"/>
            <w:vAlign w:val="bottom"/>
          </w:tcPr>
          <w:p>
            <w:pPr>
              <w:spacing w:after="0"/>
              <w:rPr>
                <w:sz w:val="11"/>
                <w:szCs w:val="11"/>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10/2034)</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MidOcean Credit CLO Ltd, Series</w:t>
            </w:r>
          </w:p>
        </w:tc>
        <w:tc>
          <w:tcPr>
            <w:tcW w:w="6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2016-6A</w:t>
            </w:r>
            <w:r>
              <w:rPr>
                <w:rFonts w:ascii="Times New Roman" w:cs="Times New Roman" w:eastAsia="Times New Roman" w:hAnsi="Times New Roman"/>
                <w:sz w:val="7"/>
                <w:szCs w:val="7"/>
                <w:color w:val="auto"/>
              </w:rPr>
              <w:t xml:space="preserve"> (3)(4)(9)</w:t>
            </w:r>
          </w:p>
        </w:tc>
        <w:tc>
          <w:tcPr>
            <w:tcW w:w="18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Structured Credit ($3,500 par, due</w:t>
            </w: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320 Park Avenue Suite 1600 New</w:t>
            </w:r>
          </w:p>
        </w:tc>
        <w:tc>
          <w:tcPr>
            <w:tcW w:w="1820" w:type="dxa"/>
            <w:vAlign w:val="bottom"/>
            <w:gridSpan w:val="3"/>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5/23/2022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+ 3.78%</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9.11%</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3,165</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3,231</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0.2%</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York, NY 10022 USA</w:t>
            </w:r>
          </w:p>
        </w:tc>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4/2033)</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MidOcean Credit CLO Ltd, Series</w:t>
            </w:r>
          </w:p>
        </w:tc>
        <w:tc>
          <w:tcPr>
            <w:tcW w:w="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2018-9A</w:t>
            </w:r>
            <w:r>
              <w:rPr>
                <w:rFonts w:ascii="Times New Roman" w:cs="Times New Roman" w:eastAsia="Times New Roman" w:hAnsi="Times New Roman"/>
                <w:sz w:val="7"/>
                <w:szCs w:val="7"/>
                <w:color w:val="auto"/>
              </w:rPr>
              <w:t xml:space="preserve"> (3)(4)(9)</w:t>
            </w:r>
          </w:p>
        </w:tc>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Structured Credit ($1,100 par, due</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320 Park Avenue Suite 1600 New</w:t>
            </w:r>
          </w:p>
        </w:tc>
        <w:tc>
          <w:tcPr>
            <w:tcW w:w="1820" w:type="dxa"/>
            <w:vAlign w:val="bottom"/>
            <w:gridSpan w:val="3"/>
            <w:vMerge w:val="continue"/>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6/1/2022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+ 6.31%</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11.64%</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auto"/>
                <w:w w:val="84"/>
              </w:rPr>
              <w:t>964</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952</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York, NY 10022 USA</w:t>
            </w: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7/2031)</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6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 xml:space="preserve">Octagon 57 LLC, Series 2021-1A </w:t>
            </w:r>
            <w:r>
              <w:rPr>
                <w:rFonts w:ascii="Times New Roman" w:cs="Times New Roman" w:eastAsia="Times New Roman" w:hAnsi="Times New Roman"/>
                <w:sz w:val="8"/>
                <w:szCs w:val="8"/>
                <w:color w:val="auto"/>
              </w:rPr>
              <w:t>(3)</w:t>
            </w:r>
          </w:p>
        </w:tc>
        <w:tc>
          <w:tcPr>
            <w:tcW w:w="6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shd w:val="clear" w:color="auto" w:fill="CCEEFF"/>
          </w:tcPr>
          <w:p>
            <w:pPr>
              <w:ind w:left="100"/>
              <w:spacing w:after="0" w:line="87" w:lineRule="exact"/>
              <w:rPr>
                <w:sz w:val="20"/>
                <w:szCs w:val="20"/>
                <w:color w:val="auto"/>
              </w:rPr>
            </w:pPr>
            <w:r>
              <w:rPr>
                <w:rFonts w:ascii="Times New Roman" w:cs="Times New Roman" w:eastAsia="Times New Roman" w:hAnsi="Times New Roman"/>
                <w:sz w:val="8"/>
                <w:szCs w:val="8"/>
                <w:color w:val="auto"/>
              </w:rPr>
              <w:t>(4)(9)</w:t>
            </w:r>
          </w:p>
        </w:tc>
        <w:tc>
          <w:tcPr>
            <w:tcW w:w="1160" w:type="dxa"/>
            <w:vAlign w:val="bottom"/>
            <w:shd w:val="clear" w:color="auto" w:fill="CCEEFF"/>
          </w:tcPr>
          <w:p>
            <w:pPr>
              <w:spacing w:after="0"/>
              <w:rPr>
                <w:sz w:val="7"/>
                <w:szCs w:val="7"/>
                <w:color w:val="auto"/>
              </w:rPr>
            </w:pPr>
          </w:p>
        </w:tc>
        <w:tc>
          <w:tcPr>
            <w:tcW w:w="18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250 Park Ave, New York, NY</w:t>
            </w:r>
          </w:p>
        </w:tc>
        <w:tc>
          <w:tcPr>
            <w:tcW w:w="1820" w:type="dxa"/>
            <w:vAlign w:val="bottom"/>
            <w:gridSpan w:val="3"/>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5/24/2022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+ 6.86%</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12.17%</w:t>
            </w:r>
          </w:p>
        </w:tc>
        <w:tc>
          <w:tcPr>
            <w:tcW w:w="44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84"/>
              </w:rPr>
              <w:t>949</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916</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10177</w:t>
            </w:r>
          </w:p>
        </w:tc>
        <w:tc>
          <w:tcPr>
            <w:tcW w:w="11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10/2034)</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Octagon Investment Partners 18 Ltd,</w:t>
            </w:r>
          </w:p>
        </w:tc>
        <w:tc>
          <w:tcPr>
            <w:tcW w:w="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 xml:space="preserve">Series 2018-18A </w:t>
            </w:r>
            <w:r>
              <w:rPr>
                <w:rFonts w:ascii="Times New Roman" w:cs="Times New Roman" w:eastAsia="Times New Roman" w:hAnsi="Times New Roman"/>
                <w:sz w:val="8"/>
                <w:szCs w:val="8"/>
                <w:color w:val="auto"/>
              </w:rPr>
              <w:t>(3)(4)(9)</w:t>
            </w:r>
          </w:p>
        </w:tc>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250 Park Ave, New York, NY</w:t>
            </w:r>
          </w:p>
        </w:tc>
        <w:tc>
          <w:tcPr>
            <w:tcW w:w="1820" w:type="dxa"/>
            <w:vAlign w:val="bottom"/>
            <w:gridSpan w:val="3"/>
            <w:vMerge w:val="continue"/>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7/26/2022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+ 2.96%</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8.27%</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auto"/>
              </w:rPr>
              <w:t>911</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925</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10177</w:t>
            </w:r>
          </w:p>
        </w:tc>
        <w:tc>
          <w:tcPr>
            <w:tcW w:w="1160" w:type="dxa"/>
            <w:vAlign w:val="bottom"/>
          </w:tcPr>
          <w:p>
            <w:pPr>
              <w:spacing w:after="0"/>
              <w:rPr>
                <w:sz w:val="11"/>
                <w:szCs w:val="11"/>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4/2031)</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Octagon Investment Partners 38 Ltd,</w:t>
            </w:r>
          </w:p>
        </w:tc>
        <w:tc>
          <w:tcPr>
            <w:tcW w:w="6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 xml:space="preserve">Series 2018-1A </w:t>
            </w:r>
            <w:r>
              <w:rPr>
                <w:rFonts w:ascii="Times New Roman" w:cs="Times New Roman" w:eastAsia="Times New Roman" w:hAnsi="Times New Roman"/>
                <w:sz w:val="8"/>
                <w:szCs w:val="8"/>
                <w:color w:val="auto"/>
              </w:rPr>
              <w:t>(3)(4)(9)</w:t>
            </w:r>
          </w:p>
        </w:tc>
        <w:tc>
          <w:tcPr>
            <w:tcW w:w="18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Structured Credit ($2,800 par, due</w:t>
            </w: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250 Park Ave, New York, NY</w:t>
            </w:r>
          </w:p>
        </w:tc>
        <w:tc>
          <w:tcPr>
            <w:tcW w:w="1820" w:type="dxa"/>
            <w:vAlign w:val="bottom"/>
            <w:gridSpan w:val="3"/>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9/20/2022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+ 3.21%</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8.54%</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2,489</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2,620</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0.2%</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10177</w:t>
            </w:r>
          </w:p>
        </w:tc>
        <w:tc>
          <w:tcPr>
            <w:tcW w:w="11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7/2030)</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Park Avenue Institutional Advisers</w:t>
            </w:r>
          </w:p>
        </w:tc>
        <w:tc>
          <w:tcPr>
            <w:tcW w:w="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 xml:space="preserve">CLO Ltd, Series 2018-1A </w:t>
            </w:r>
            <w:r>
              <w:rPr>
                <w:rFonts w:ascii="Times New Roman" w:cs="Times New Roman" w:eastAsia="Times New Roman" w:hAnsi="Times New Roman"/>
                <w:sz w:val="8"/>
                <w:szCs w:val="8"/>
                <w:color w:val="auto"/>
              </w:rPr>
              <w:t>(3)(4)(9)</w:t>
            </w:r>
          </w:p>
        </w:tc>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7 Hanover Square, New York, NY</w:t>
            </w:r>
          </w:p>
        </w:tc>
        <w:tc>
          <w:tcPr>
            <w:tcW w:w="1820" w:type="dxa"/>
            <w:vAlign w:val="bottom"/>
            <w:gridSpan w:val="3"/>
            <w:vMerge w:val="continue"/>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9/23/2022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+ 3.59%</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8.92%</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auto"/>
                <w:w w:val="84"/>
              </w:rPr>
              <w:t>868</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922</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10004</w:t>
            </w:r>
          </w:p>
        </w:tc>
        <w:tc>
          <w:tcPr>
            <w:tcW w:w="1160" w:type="dxa"/>
            <w:vAlign w:val="bottom"/>
          </w:tcPr>
          <w:p>
            <w:pPr>
              <w:spacing w:after="0"/>
              <w:rPr>
                <w:sz w:val="11"/>
                <w:szCs w:val="11"/>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10/2031)</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6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 xml:space="preserve">Pikes Peak CLO, Series 2021-9A </w:t>
            </w:r>
            <w:r>
              <w:rPr>
                <w:rFonts w:ascii="Times New Roman" w:cs="Times New Roman" w:eastAsia="Times New Roman" w:hAnsi="Times New Roman"/>
                <w:sz w:val="8"/>
                <w:szCs w:val="8"/>
                <w:color w:val="auto"/>
              </w:rPr>
              <w:t>(3)</w:t>
            </w:r>
          </w:p>
        </w:tc>
        <w:tc>
          <w:tcPr>
            <w:tcW w:w="6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shd w:val="clear" w:color="auto" w:fill="CCEEFF"/>
          </w:tcPr>
          <w:p>
            <w:pPr>
              <w:ind w:left="100"/>
              <w:spacing w:after="0" w:line="87" w:lineRule="exact"/>
              <w:rPr>
                <w:sz w:val="20"/>
                <w:szCs w:val="20"/>
                <w:color w:val="auto"/>
              </w:rPr>
            </w:pPr>
            <w:r>
              <w:rPr>
                <w:rFonts w:ascii="Times New Roman" w:cs="Times New Roman" w:eastAsia="Times New Roman" w:hAnsi="Times New Roman"/>
                <w:sz w:val="8"/>
                <w:szCs w:val="8"/>
                <w:color w:val="auto"/>
              </w:rPr>
              <w:t>(4)(9)</w:t>
            </w:r>
          </w:p>
        </w:tc>
        <w:tc>
          <w:tcPr>
            <w:tcW w:w="1160" w:type="dxa"/>
            <w:vAlign w:val="bottom"/>
            <w:shd w:val="clear" w:color="auto" w:fill="CCEEFF"/>
          </w:tcPr>
          <w:p>
            <w:pPr>
              <w:spacing w:after="0"/>
              <w:rPr>
                <w:sz w:val="7"/>
                <w:szCs w:val="7"/>
                <w:color w:val="auto"/>
              </w:rPr>
            </w:pPr>
          </w:p>
        </w:tc>
        <w:tc>
          <w:tcPr>
            <w:tcW w:w="18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Structured Credit ($2,000 par, due</w:t>
            </w: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1114 6th Ave, New York, NY</w:t>
            </w:r>
          </w:p>
        </w:tc>
        <w:tc>
          <w:tcPr>
            <w:tcW w:w="1820" w:type="dxa"/>
            <w:vAlign w:val="bottom"/>
            <w:gridSpan w:val="3"/>
            <w:vMerge w:val="continue"/>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8/31/2022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+ 6.84%</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12.20%</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1,782</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1,894</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10036</w:t>
            </w:r>
          </w:p>
        </w:tc>
        <w:tc>
          <w:tcPr>
            <w:tcW w:w="116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10/2034)</w:t>
            </w:r>
          </w:p>
        </w:tc>
        <w:tc>
          <w:tcPr>
            <w:tcW w:w="14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 xml:space="preserve">RR Ltd, Series 2020-8A </w:t>
            </w:r>
            <w:r>
              <w:rPr>
                <w:rFonts w:ascii="Times New Roman" w:cs="Times New Roman" w:eastAsia="Times New Roman" w:hAnsi="Times New Roman"/>
                <w:sz w:val="8"/>
                <w:szCs w:val="8"/>
                <w:color w:val="auto"/>
              </w:rPr>
              <w:t>(3)(4)(9)</w:t>
            </w:r>
          </w:p>
        </w:tc>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126 East 56th Street, New York,</w:t>
            </w:r>
          </w:p>
        </w:tc>
        <w:tc>
          <w:tcPr>
            <w:tcW w:w="1820" w:type="dxa"/>
            <w:vAlign w:val="bottom"/>
            <w:gridSpan w:val="3"/>
            <w:vMerge w:val="continue"/>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8/22/2022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+ 6.66%</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11.97%</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auto"/>
                <w:w w:val="84"/>
              </w:rPr>
              <w:t>954</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980</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New York 10022</w:t>
            </w: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4/2033)</w:t>
            </w: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50" w:right="1440" w:bottom="1440" w:gutter="0" w:footer="0" w:header="0"/>
        </w:sectPr>
      </w:pPr>
    </w:p>
    <w:bookmarkStart w:id="102" w:name="page103"/>
    <w:bookmarkEnd w:id="102"/>
    <w:tbl>
      <w:tblPr>
        <w:tblLayout w:type="fixed"/>
        <w:tblInd w:w="2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Percentage</w:t>
            </w:r>
          </w:p>
        </w:tc>
        <w:tc>
          <w:tcPr>
            <w:tcW w:w="0" w:type="dxa"/>
            <w:vAlign w:val="bottom"/>
          </w:tcPr>
          <w:p>
            <w:pPr>
              <w:spacing w:after="0"/>
              <w:rPr>
                <w:sz w:val="1"/>
                <w:szCs w:val="1"/>
                <w:color w:val="auto"/>
              </w:rPr>
            </w:pPr>
          </w:p>
        </w:tc>
      </w:tr>
      <w:tr>
        <w:trPr>
          <w:trHeight w:val="10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 xml:space="preserve">Company </w:t>
            </w:r>
            <w:r>
              <w:rPr>
                <w:rFonts w:ascii="Times New Roman" w:cs="Times New Roman" w:eastAsia="Times New Roman" w:hAnsi="Times New Roman"/>
                <w:sz w:val="14"/>
                <w:szCs w:val="14"/>
                <w:b w:val="1"/>
                <w:bCs w:val="1"/>
                <w:color w:val="auto"/>
                <w:w w:val="87"/>
                <w:vertAlign w:val="superscript"/>
              </w:rPr>
              <w:t>(1)(6)</w:t>
            </w:r>
          </w:p>
        </w:tc>
        <w:tc>
          <w:tcPr>
            <w:tcW w:w="1160" w:type="dxa"/>
            <w:vAlign w:val="bottom"/>
            <w:vMerge w:val="restart"/>
          </w:tcPr>
          <w:p>
            <w:pPr>
              <w:spacing w:after="0"/>
              <w:rPr>
                <w:sz w:val="9"/>
                <w:szCs w:val="9"/>
                <w:color w:val="auto"/>
              </w:rPr>
            </w:pPr>
          </w:p>
        </w:tc>
        <w:tc>
          <w:tcPr>
            <w:tcW w:w="16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70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3"/>
              </w:rPr>
              <w:t>Acquisition</w:t>
            </w:r>
          </w:p>
        </w:tc>
        <w:tc>
          <w:tcPr>
            <w:tcW w:w="90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w w:val="96"/>
              </w:rPr>
              <w:t>Amortized</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tcPr>
          <w:p>
            <w:pPr>
              <w:jc w:val="right"/>
              <w:ind w:right="300"/>
              <w:spacing w:after="0" w:line="105"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500" w:type="dxa"/>
            <w:vAlign w:val="bottom"/>
            <w:gridSpan w:val="2"/>
          </w:tcPr>
          <w:p>
            <w:pPr>
              <w:jc w:val="center"/>
              <w:ind w:right="20"/>
              <w:spacing w:after="0" w:line="105"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70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89"/>
              </w:rPr>
              <w:t>Date</w:t>
            </w:r>
          </w:p>
        </w:tc>
        <w:tc>
          <w:tcPr>
            <w:tcW w:w="900" w:type="dxa"/>
            <w:vAlign w:val="bottom"/>
            <w:gridSpan w:val="2"/>
          </w:tcPr>
          <w:p>
            <w:pPr>
              <w:jc w:val="center"/>
              <w:ind w:right="240"/>
              <w:spacing w:after="0" w:line="110"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8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3"/>
              </w:rPr>
              <w:t>Interest Rate</w:t>
            </w:r>
          </w:p>
        </w:tc>
        <w:tc>
          <w:tcPr>
            <w:tcW w:w="600" w:type="dxa"/>
            <w:vAlign w:val="bottom"/>
            <w:gridSpan w:val="2"/>
          </w:tcPr>
          <w:p>
            <w:pPr>
              <w:jc w:val="center"/>
              <w:ind w:right="6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Cost</w:t>
            </w:r>
            <w:r>
              <w:rPr>
                <w:rFonts w:ascii="Times New Roman" w:cs="Times New Roman" w:eastAsia="Times New Roman" w:hAnsi="Times New Roman"/>
                <w:sz w:val="6"/>
                <w:szCs w:val="6"/>
                <w:b w:val="1"/>
                <w:bCs w:val="1"/>
                <w:color w:val="auto"/>
              </w:rPr>
              <w:t xml:space="preserve"> (2)(8)</w:t>
            </w:r>
          </w:p>
        </w:tc>
        <w:tc>
          <w:tcPr>
            <w:tcW w:w="80" w:type="dxa"/>
            <w:vAlign w:val="bottom"/>
          </w:tcPr>
          <w:p>
            <w:pPr>
              <w:spacing w:after="0"/>
              <w:rPr>
                <w:sz w:val="11"/>
                <w:szCs w:val="11"/>
                <w:color w:val="auto"/>
              </w:rPr>
            </w:pPr>
          </w:p>
        </w:tc>
        <w:tc>
          <w:tcPr>
            <w:tcW w:w="720" w:type="dxa"/>
            <w:vAlign w:val="bottom"/>
            <w:gridSpan w:val="3"/>
          </w:tcPr>
          <w:p>
            <w:pPr>
              <w:spacing w:after="0" w:line="110"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2"/>
                <w:szCs w:val="12"/>
                <w:b w:val="1"/>
                <w:bCs w:val="1"/>
                <w:color w:val="auto"/>
                <w:vertAlign w:val="superscript"/>
              </w:rPr>
              <w:t>(9)</w:t>
            </w:r>
          </w:p>
        </w:tc>
        <w:tc>
          <w:tcPr>
            <w:tcW w:w="8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4"/>
              </w:rPr>
              <w:t>of Net Assets</w:t>
            </w:r>
          </w:p>
        </w:tc>
        <w:tc>
          <w:tcPr>
            <w:tcW w:w="50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0"/>
                <w:szCs w:val="10"/>
                <w:b w:val="1"/>
                <w:bCs w:val="1"/>
                <w:color w:val="auto"/>
              </w:rPr>
              <w:t>Class Held</w:t>
            </w:r>
          </w:p>
        </w:tc>
        <w:tc>
          <w:tcPr>
            <w:tcW w:w="0" w:type="dxa"/>
            <w:vAlign w:val="bottom"/>
          </w:tcPr>
          <w:p>
            <w:pPr>
              <w:spacing w:after="0"/>
              <w:rPr>
                <w:sz w:val="1"/>
                <w:szCs w:val="1"/>
                <w:color w:val="auto"/>
              </w:rPr>
            </w:pPr>
          </w:p>
        </w:tc>
      </w:tr>
      <w:tr>
        <w:trPr>
          <w:trHeight w:val="68"/>
        </w:trPr>
        <w:tc>
          <w:tcPr>
            <w:tcW w:w="1760" w:type="dxa"/>
            <w:vAlign w:val="bottom"/>
            <w:tcBorders>
              <w:top w:val="single" w:sz="8" w:color="CCEEFF"/>
            </w:tcBorders>
            <w:gridSpan w:val="2"/>
            <w:shd w:val="clear" w:color="auto" w:fill="CCEEFF"/>
          </w:tcPr>
          <w:p>
            <w:pPr>
              <w:spacing w:after="0" w:line="69" w:lineRule="exact"/>
              <w:rPr>
                <w:sz w:val="20"/>
                <w:szCs w:val="20"/>
                <w:color w:val="auto"/>
              </w:rPr>
            </w:pPr>
            <w:r>
              <w:rPr>
                <w:rFonts w:ascii="Times New Roman" w:cs="Times New Roman" w:eastAsia="Times New Roman" w:hAnsi="Times New Roman"/>
                <w:sz w:val="7"/>
                <w:szCs w:val="7"/>
                <w:color w:val="auto"/>
              </w:rPr>
              <w:t>Signal Peak CLO LLC, Series</w:t>
            </w:r>
          </w:p>
        </w:tc>
        <w:tc>
          <w:tcPr>
            <w:tcW w:w="154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2018-5A</w:t>
            </w:r>
            <w:r>
              <w:rPr>
                <w:rFonts w:ascii="Times New Roman" w:cs="Times New Roman" w:eastAsia="Times New Roman" w:hAnsi="Times New Roman"/>
                <w:sz w:val="7"/>
                <w:szCs w:val="7"/>
                <w:color w:val="auto"/>
              </w:rPr>
              <w:t xml:space="preserve"> (3)(4)(9)</w:t>
            </w:r>
          </w:p>
        </w:tc>
        <w:tc>
          <w:tcPr>
            <w:tcW w:w="1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Structured Credit ($333 par, due</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280 Park Avenue, 40 West</w:t>
            </w:r>
          </w:p>
        </w:tc>
        <w:tc>
          <w:tcPr>
            <w:tcW w:w="1680" w:type="dxa"/>
            <w:vAlign w:val="bottom"/>
            <w:gridSpan w:val="2"/>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8/9/2022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+ 5.91%</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11.26%</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297</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New York, NY 10017</w:t>
            </w:r>
          </w:p>
        </w:tc>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4/2031)</w:t>
            </w: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Southwick Park CLO Ltd, Series</w:t>
            </w:r>
          </w:p>
        </w:tc>
        <w:tc>
          <w:tcPr>
            <w:tcW w:w="1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2019-4A</w:t>
            </w:r>
            <w:r>
              <w:rPr>
                <w:rFonts w:ascii="Times New Roman" w:cs="Times New Roman" w:eastAsia="Times New Roman" w:hAnsi="Times New Roman"/>
                <w:sz w:val="7"/>
                <w:szCs w:val="7"/>
                <w:color w:val="auto"/>
              </w:rPr>
              <w:t xml:space="preserve"> (3)(4)(9)</w:t>
            </w: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345 PARK AVENUE NEW</w:t>
            </w:r>
          </w:p>
        </w:tc>
        <w:tc>
          <w:tcPr>
            <w:tcW w:w="1680" w:type="dxa"/>
            <w:vAlign w:val="bottom"/>
            <w:gridSpan w:val="2"/>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5/25/2022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+ 6.51%</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11.84%</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925</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YORK, NY 10154</w:t>
            </w:r>
          </w:p>
        </w:tc>
        <w:tc>
          <w:tcPr>
            <w:tcW w:w="1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7/2032)</w:t>
            </w: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Stewart Park CLO Ltd, Series</w:t>
            </w:r>
          </w:p>
        </w:tc>
        <w:tc>
          <w:tcPr>
            <w:tcW w:w="1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2015-1A</w:t>
            </w:r>
            <w:r>
              <w:rPr>
                <w:rFonts w:ascii="Times New Roman" w:cs="Times New Roman" w:eastAsia="Times New Roman" w:hAnsi="Times New Roman"/>
                <w:sz w:val="7"/>
                <w:szCs w:val="7"/>
                <w:color w:val="auto"/>
              </w:rPr>
              <w:t xml:space="preserve"> (3)(4)(9)</w:t>
            </w:r>
          </w:p>
        </w:tc>
        <w:tc>
          <w:tcPr>
            <w:tcW w:w="1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Structured Credit ($1,000 par, due</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345 PARK AVENUE</w:t>
            </w:r>
          </w:p>
        </w:tc>
        <w:tc>
          <w:tcPr>
            <w:tcW w:w="1680" w:type="dxa"/>
            <w:vAlign w:val="bottom"/>
            <w:gridSpan w:val="2"/>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7/25/2022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+ 2.86%</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8.17%</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922</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NEW YORK NY 10154</w:t>
            </w:r>
          </w:p>
        </w:tc>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1/2030)</w:t>
            </w: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6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color w:val="auto"/>
              </w:rPr>
              <w:t xml:space="preserve">Voya CLO Ltd, Series 2018-3A </w:t>
            </w:r>
            <w:r>
              <w:rPr>
                <w:rFonts w:ascii="Times New Roman" w:cs="Times New Roman" w:eastAsia="Times New Roman" w:hAnsi="Times New Roman"/>
                <w:sz w:val="8"/>
                <w:szCs w:val="8"/>
                <w:color w:val="auto"/>
              </w:rPr>
              <w:t>(3)</w:t>
            </w: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Structured Credit ($2,750 par, due</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0" w:type="dxa"/>
            <w:vAlign w:val="bottom"/>
          </w:tcPr>
          <w:p>
            <w:pPr>
              <w:ind w:left="100"/>
              <w:spacing w:after="0" w:line="87" w:lineRule="exact"/>
              <w:rPr>
                <w:sz w:val="20"/>
                <w:szCs w:val="20"/>
                <w:color w:val="auto"/>
              </w:rPr>
            </w:pPr>
            <w:r>
              <w:rPr>
                <w:rFonts w:ascii="Times New Roman" w:cs="Times New Roman" w:eastAsia="Times New Roman" w:hAnsi="Times New Roman"/>
                <w:sz w:val="8"/>
                <w:szCs w:val="8"/>
                <w:color w:val="auto"/>
              </w:rPr>
              <w:t>(4)(9)</w:t>
            </w:r>
          </w:p>
        </w:tc>
        <w:tc>
          <w:tcPr>
            <w:tcW w:w="116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6/22/2022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+ 6.01%</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11.32%</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2,435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2,391</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0.2%</w:t>
            </w: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230 Park Ave, United States</w:t>
            </w:r>
          </w:p>
        </w:tc>
        <w:tc>
          <w:tcPr>
            <w:tcW w:w="1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10/2031)</w:t>
            </w: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Wind River CLO Ltd, Series</w:t>
            </w:r>
          </w:p>
        </w:tc>
        <w:tc>
          <w:tcPr>
            <w:tcW w:w="1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2014-2A</w:t>
            </w:r>
            <w:r>
              <w:rPr>
                <w:rFonts w:ascii="Times New Roman" w:cs="Times New Roman" w:eastAsia="Times New Roman" w:hAnsi="Times New Roman"/>
                <w:sz w:val="7"/>
                <w:szCs w:val="7"/>
                <w:color w:val="auto"/>
              </w:rPr>
              <w:t xml:space="preserve"> (3)(4)(9)</w:t>
            </w:r>
          </w:p>
        </w:tc>
        <w:tc>
          <w:tcPr>
            <w:tcW w:w="1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Structured Credit ($1,500 par, due</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1345 Avenue of the Americas.</w:t>
            </w:r>
          </w:p>
        </w:tc>
        <w:tc>
          <w:tcPr>
            <w:tcW w:w="1680" w:type="dxa"/>
            <w:vAlign w:val="bottom"/>
            <w:gridSpan w:val="2"/>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6/23/2022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+ 3.16%</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8.47%</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1,405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1,339</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New York, NY 10105.</w:t>
            </w:r>
          </w:p>
        </w:tc>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1/2031)</w:t>
            </w: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tcPr>
          <w:p>
            <w:pPr>
              <w:spacing w:after="0" w:line="98" w:lineRule="exact"/>
              <w:rPr>
                <w:sz w:val="20"/>
                <w:szCs w:val="20"/>
                <w:color w:val="auto"/>
              </w:rPr>
            </w:pPr>
            <w:r>
              <w:rPr>
                <w:rFonts w:ascii="Times New Roman" w:cs="Times New Roman" w:eastAsia="Times New Roman" w:hAnsi="Times New Roman"/>
                <w:sz w:val="11"/>
                <w:szCs w:val="11"/>
                <w:color w:val="auto"/>
              </w:rPr>
              <w:t>Wind River CLO Ltd, Series</w:t>
            </w:r>
          </w:p>
        </w:tc>
        <w:tc>
          <w:tcPr>
            <w:tcW w:w="1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2017-1A</w:t>
            </w:r>
            <w:r>
              <w:rPr>
                <w:rFonts w:ascii="Times New Roman" w:cs="Times New Roman" w:eastAsia="Times New Roman" w:hAnsi="Times New Roman"/>
                <w:sz w:val="7"/>
                <w:szCs w:val="7"/>
                <w:color w:val="auto"/>
              </w:rPr>
              <w:t xml:space="preserve"> (3)(4)(9)</w:t>
            </w: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Structured Credit ($3,000 par, due</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1345 Avenue of the Americas.</w:t>
            </w:r>
          </w:p>
        </w:tc>
        <w:tc>
          <w:tcPr>
            <w:tcW w:w="1680" w:type="dxa"/>
            <w:vAlign w:val="bottom"/>
            <w:gridSpan w:val="2"/>
            <w:vMerge w:val="continue"/>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7/14/2022</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SOFR + 3.98%</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9.29%</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2,630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2,721</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0.2%</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New York, NY 10105.</w:t>
            </w:r>
          </w:p>
        </w:tc>
        <w:tc>
          <w:tcPr>
            <w:tcW w:w="1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4/2036)</w:t>
            </w: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Wind River CLO Ltd, Series</w:t>
            </w:r>
          </w:p>
        </w:tc>
        <w:tc>
          <w:tcPr>
            <w:tcW w:w="1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vertAlign w:val="subscript"/>
              </w:rPr>
              <w:t>2018-3A</w:t>
            </w:r>
            <w:r>
              <w:rPr>
                <w:rFonts w:ascii="Times New Roman" w:cs="Times New Roman" w:eastAsia="Times New Roman" w:hAnsi="Times New Roman"/>
                <w:sz w:val="7"/>
                <w:szCs w:val="7"/>
                <w:color w:val="auto"/>
              </w:rPr>
              <w:t xml:space="preserve"> (3)(4)(9)</w:t>
            </w:r>
          </w:p>
        </w:tc>
        <w:tc>
          <w:tcPr>
            <w:tcW w:w="1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Structured Credit ($2,000 par, due</w:t>
            </w: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gridSpan w:val="2"/>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1345 Avenue of the Americas.</w:t>
            </w:r>
          </w:p>
        </w:tc>
        <w:tc>
          <w:tcPr>
            <w:tcW w:w="1680" w:type="dxa"/>
            <w:vAlign w:val="bottom"/>
            <w:gridSpan w:val="2"/>
            <w:vMerge w:val="continue"/>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12/12/2022</w:t>
            </w:r>
          </w:p>
        </w:tc>
        <w:tc>
          <w:tcPr>
            <w:tcW w:w="9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SOFR + 5.91%</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11.24%</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1,710</w:t>
            </w:r>
          </w:p>
        </w:tc>
        <w:tc>
          <w:tcPr>
            <w:tcW w:w="8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1,705</w:t>
            </w:r>
          </w:p>
        </w:tc>
        <w:tc>
          <w:tcPr>
            <w:tcW w:w="160" w:type="dxa"/>
            <w:vAlign w:val="bottom"/>
            <w:vMerge w:val="restart"/>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New York, NY 10105.</w:t>
            </w:r>
          </w:p>
        </w:tc>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1/2031)</w:t>
            </w: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52,718</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53,995</w:t>
            </w:r>
          </w:p>
        </w:tc>
        <w:tc>
          <w:tcPr>
            <w:tcW w:w="160" w:type="dxa"/>
            <w:vAlign w:val="bottom"/>
            <w:vMerge w:val="continue"/>
          </w:tcPr>
          <w:p>
            <w:pPr>
              <w:spacing w:after="0"/>
              <w:rPr>
                <w:sz w:val="10"/>
                <w:szCs w:val="10"/>
                <w:color w:val="auto"/>
              </w:rPr>
            </w:pPr>
          </w:p>
        </w:tc>
        <w:tc>
          <w:tcPr>
            <w:tcW w:w="80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3.6%</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760" w:type="dxa"/>
            <w:vAlign w:val="bottom"/>
            <w:gridSpan w:val="2"/>
            <w:shd w:val="clear" w:color="auto" w:fill="CCEEFF"/>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Total Equity and Other</w:t>
            </w:r>
          </w:p>
        </w:tc>
        <w:tc>
          <w:tcPr>
            <w:tcW w:w="1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195,009</w:t>
            </w:r>
          </w:p>
        </w:tc>
        <w:tc>
          <w:tcPr>
            <w:tcW w:w="8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204,175</w:t>
            </w:r>
          </w:p>
        </w:tc>
        <w:tc>
          <w:tcPr>
            <w:tcW w:w="160" w:type="dxa"/>
            <w:vAlign w:val="bottom"/>
            <w:vMerge w:val="restart"/>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13.7%</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1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gridSpan w:val="2"/>
            <w:vMerge w:val="continue"/>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3,085,378</w:t>
            </w:r>
          </w:p>
        </w:tc>
        <w:tc>
          <w:tcPr>
            <w:tcW w:w="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3,113,277</w:t>
            </w:r>
          </w:p>
        </w:tc>
        <w:tc>
          <w:tcPr>
            <w:tcW w:w="160" w:type="dxa"/>
            <w:vAlign w:val="bottom"/>
            <w:vMerge w:val="continue"/>
          </w:tcPr>
          <w:p>
            <w:pPr>
              <w:spacing w:after="0"/>
              <w:rPr>
                <w:sz w:val="10"/>
                <w:szCs w:val="10"/>
                <w:color w:val="auto"/>
              </w:rPr>
            </w:pPr>
          </w:p>
        </w:tc>
        <w:tc>
          <w:tcPr>
            <w:tcW w:w="80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209.5%</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201535" cy="45720"/>
                    </a:xfrm>
                    <a:prstGeom prst="rect">
                      <a:avLst/>
                    </a:prstGeom>
                    <a:noFill/>
                  </pic:spPr>
                </pic:pic>
              </a:graphicData>
            </a:graphic>
          </wp:anchor>
        </w:drawing>
      </w:r>
    </w:p>
    <w:p>
      <w:pPr>
        <w:ind w:left="560" w:hanging="325"/>
        <w:spacing w:after="0"/>
        <w:tabs>
          <w:tab w:leader="none" w:pos="5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portfolio company investments are subject to contractual restrictions on sales.</w:t>
      </w:r>
    </w:p>
    <w:p>
      <w:pPr>
        <w:spacing w:after="0" w:line="100" w:lineRule="exact"/>
        <w:rPr>
          <w:rFonts w:ascii="Times New Roman" w:cs="Times New Roman" w:eastAsia="Times New Roman" w:hAnsi="Times New Roman"/>
          <w:sz w:val="14"/>
          <w:szCs w:val="14"/>
          <w:color w:val="auto"/>
        </w:rPr>
      </w:pPr>
    </w:p>
    <w:p>
      <w:pPr>
        <w:ind w:left="560" w:right="339" w:hanging="325"/>
        <w:spacing w:after="0" w:line="281" w:lineRule="auto"/>
        <w:tabs>
          <w:tab w:leader="none" w:pos="5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amortized cost represents the original cost adjusted for the amortization of discounts and premiums, as applicable, on debt investments using the effective interest method.</w:t>
      </w:r>
    </w:p>
    <w:p>
      <w:pPr>
        <w:spacing w:after="0" w:line="52" w:lineRule="exact"/>
        <w:rPr>
          <w:rFonts w:ascii="Times New Roman" w:cs="Times New Roman" w:eastAsia="Times New Roman" w:hAnsi="Times New Roman"/>
          <w:sz w:val="14"/>
          <w:szCs w:val="14"/>
          <w:color w:val="auto"/>
        </w:rPr>
      </w:pPr>
    </w:p>
    <w:p>
      <w:pPr>
        <w:ind w:left="560" w:right="279" w:hanging="325"/>
        <w:spacing w:after="0" w:line="254" w:lineRule="auto"/>
        <w:tabs>
          <w:tab w:leader="none" w:pos="5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contains a variable rate structure, subject to an interest rate floor. Variable rate investments bear interest at a rate that may be determined by reference to either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2023.</w:t>
      </w:r>
    </w:p>
    <w:p>
      <w:pPr>
        <w:spacing w:after="0" w:line="73" w:lineRule="exact"/>
        <w:rPr>
          <w:rFonts w:ascii="Times New Roman" w:cs="Times New Roman" w:eastAsia="Times New Roman" w:hAnsi="Times New Roman"/>
          <w:sz w:val="14"/>
          <w:szCs w:val="14"/>
          <w:color w:val="auto"/>
        </w:rPr>
      </w:pPr>
    </w:p>
    <w:p>
      <w:pPr>
        <w:ind w:left="560" w:right="619" w:hanging="325"/>
        <w:spacing w:after="0" w:line="281" w:lineRule="auto"/>
        <w:tabs>
          <w:tab w:leader="none" w:pos="5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portfolio company is not a qualifying asset under Section 55(a) of the Investment Company Act of 1940, as amended (the “1940 Act”). Under the 1940 Act, the Company may not acquire any non-qualifying</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50" w:right="1440" w:bottom="1440" w:gutter="0" w:footer="0" w:header="0"/>
        </w:sectPr>
      </w:pPr>
    </w:p>
    <w:bookmarkStart w:id="103" w:name="page104"/>
    <w:bookmarkEnd w:id="103"/>
    <w:p>
      <w:pPr>
        <w:ind w:left="560" w:right="31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asset unless, at the time such acquisition is made, qualifying assets represent at least 70% of total assets. Non-qualifying assets represented 11.0% of total assets as of September 30, 2023.</w:t>
      </w:r>
    </w:p>
    <w:p>
      <w:pPr>
        <w:spacing w:after="0" w:line="52" w:lineRule="exact"/>
        <w:rPr>
          <w:sz w:val="20"/>
          <w:szCs w:val="20"/>
          <w:color w:val="auto"/>
        </w:rPr>
      </w:pPr>
    </w:p>
    <w:p>
      <w:pPr>
        <w:ind w:left="560" w:right="379" w:hanging="325"/>
        <w:spacing w:after="0" w:line="260" w:lineRule="auto"/>
        <w:tabs>
          <w:tab w:leader="none" w:pos="5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66" w:lineRule="exact"/>
        <w:rPr>
          <w:rFonts w:ascii="Times New Roman" w:cs="Times New Roman" w:eastAsia="Times New Roman" w:hAnsi="Times New Roman"/>
          <w:sz w:val="14"/>
          <w:szCs w:val="14"/>
          <w:color w:val="auto"/>
        </w:rPr>
      </w:pPr>
    </w:p>
    <w:p>
      <w:pPr>
        <w:ind w:left="560" w:right="439" w:hanging="325"/>
        <w:spacing w:after="0" w:line="257" w:lineRule="auto"/>
        <w:tabs>
          <w:tab w:leader="none" w:pos="5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2023 in which the Company was an Affiliated Person of and was deemed to Control a portfolio company are as follows:</w:t>
      </w:r>
    </w:p>
    <w:p>
      <w:pPr>
        <w:spacing w:after="0" w:line="148"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2180" w:type="dxa"/>
            <w:vAlign w:val="bottom"/>
          </w:tcPr>
          <w:p>
            <w:pPr>
              <w:spacing w:after="0"/>
              <w:rPr>
                <w:sz w:val="11"/>
                <w:szCs w:val="1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Fair Value at</w:t>
            </w:r>
          </w:p>
        </w:tc>
        <w:tc>
          <w:tcPr>
            <w:tcW w:w="140" w:type="dxa"/>
            <w:vAlign w:val="bottom"/>
          </w:tcPr>
          <w:p>
            <w:pPr>
              <w:spacing w:after="0"/>
              <w:rPr>
                <w:sz w:val="11"/>
                <w:szCs w:val="11"/>
                <w:color w:val="auto"/>
              </w:rPr>
            </w:pPr>
          </w:p>
        </w:tc>
        <w:tc>
          <w:tcPr>
            <w:tcW w:w="500" w:type="dxa"/>
            <w:vAlign w:val="bottom"/>
            <w:vMerge w:val="restart"/>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80" w:type="dxa"/>
            <w:vAlign w:val="bottom"/>
          </w:tcPr>
          <w:p>
            <w:pPr>
              <w:spacing w:after="0"/>
              <w:rPr>
                <w:sz w:val="11"/>
                <w:szCs w:val="11"/>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Net Change</w:t>
            </w:r>
          </w:p>
        </w:tc>
        <w:tc>
          <w:tcPr>
            <w:tcW w:w="4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9"/>
              </w:rPr>
              <w:t>Realized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at</w:t>
            </w:r>
          </w:p>
        </w:tc>
        <w:tc>
          <w:tcPr>
            <w:tcW w:w="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Pr>
          <w:p>
            <w:pPr>
              <w:spacing w:after="0"/>
              <w:rPr>
                <w:sz w:val="11"/>
                <w:szCs w:val="11"/>
                <w:color w:val="auto"/>
              </w:rPr>
            </w:pPr>
          </w:p>
        </w:tc>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0" w:type="dxa"/>
            <w:vAlign w:val="bottom"/>
          </w:tcPr>
          <w:p>
            <w:pPr>
              <w:spacing w:after="0"/>
              <w:rPr>
                <w:sz w:val="1"/>
                <w:szCs w:val="1"/>
                <w:color w:val="auto"/>
              </w:rPr>
            </w:pPr>
          </w:p>
        </w:tc>
      </w:tr>
      <w:tr>
        <w:trPr>
          <w:trHeight w:val="115"/>
        </w:trPr>
        <w:tc>
          <w:tcPr>
            <w:tcW w:w="2180" w:type="dxa"/>
            <w:vAlign w:val="bottom"/>
            <w:vMerge w:val="restart"/>
          </w:tcPr>
          <w:p>
            <w:pPr>
              <w:ind w:left="78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80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In Unrealized</w:t>
            </w:r>
          </w:p>
        </w:tc>
        <w:tc>
          <w:tcPr>
            <w:tcW w:w="80" w:type="dxa"/>
            <w:vAlign w:val="bottom"/>
          </w:tcPr>
          <w:p>
            <w:pPr>
              <w:spacing w:after="0"/>
              <w:rPr>
                <w:sz w:val="10"/>
                <w:szCs w:val="10"/>
                <w:color w:val="auto"/>
              </w:rPr>
            </w:pPr>
          </w:p>
        </w:tc>
        <w:tc>
          <w:tcPr>
            <w:tcW w:w="3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Gain/</w:t>
            </w:r>
          </w:p>
        </w:tc>
        <w:tc>
          <w:tcPr>
            <w:tcW w:w="160" w:type="dxa"/>
            <w:vAlign w:val="bottom"/>
          </w:tcPr>
          <w:p>
            <w:pPr>
              <w:spacing w:after="0"/>
              <w:rPr>
                <w:sz w:val="10"/>
                <w:szCs w:val="10"/>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Transfers</w:t>
            </w:r>
          </w:p>
        </w:tc>
        <w:tc>
          <w:tcPr>
            <w:tcW w:w="180" w:type="dxa"/>
            <w:vAlign w:val="bottom"/>
          </w:tcPr>
          <w:p>
            <w:pPr>
              <w:spacing w:after="0"/>
              <w:rPr>
                <w:sz w:val="10"/>
                <w:szCs w:val="10"/>
                <w:color w:val="auto"/>
              </w:rPr>
            </w:pPr>
          </w:p>
        </w:tc>
        <w:tc>
          <w:tcPr>
            <w:tcW w:w="84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4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Additions (a)</w:t>
            </w:r>
          </w:p>
        </w:tc>
        <w:tc>
          <w:tcPr>
            <w:tcW w:w="1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Reductions (b)</w:t>
            </w:r>
          </w:p>
        </w:tc>
        <w:tc>
          <w:tcPr>
            <w:tcW w:w="180" w:type="dxa"/>
            <w:vAlign w:val="bottom"/>
          </w:tcPr>
          <w:p>
            <w:pPr>
              <w:spacing w:after="0"/>
              <w:rPr>
                <w:sz w:val="11"/>
                <w:szCs w:val="11"/>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Gain/(Loss)</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80" w:type="dxa"/>
            <w:vAlign w:val="bottom"/>
          </w:tcPr>
          <w:p>
            <w:pPr>
              <w:spacing w:after="0"/>
              <w:rPr>
                <w:sz w:val="11"/>
                <w:szCs w:val="11"/>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0" w:type="dxa"/>
            <w:vAlign w:val="bottom"/>
          </w:tcPr>
          <w:p>
            <w:pPr>
              <w:spacing w:after="0"/>
              <w:rPr>
                <w:sz w:val="1"/>
                <w:szCs w:val="1"/>
                <w:color w:val="auto"/>
              </w:rPr>
            </w:pPr>
          </w:p>
        </w:tc>
      </w:tr>
      <w:tr>
        <w:trPr>
          <w:trHeight w:val="158"/>
        </w:trPr>
        <w:tc>
          <w:tcPr>
            <w:tcW w:w="218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IRGSE Holding Corp.</w:t>
            </w:r>
          </w:p>
        </w:tc>
        <w:tc>
          <w:tcPr>
            <w:tcW w:w="14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70,755</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8,005</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ind w:left="360"/>
              <w:spacing w:after="0" w:line="158"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(17,783</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 xml:space="preserve">— </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shd w:val="clear" w:color="auto" w:fill="CCEEFF"/>
          </w:tcPr>
          <w:p>
            <w:pPr>
              <w:ind w:left="100"/>
              <w:spacing w:after="0" w:line="158" w:lineRule="exact"/>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60,977</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5,599</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70,755</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8,005</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(17,783</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60,977</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5,599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60" w:right="599" w:hanging="325"/>
        <w:spacing w:after="0" w:line="281" w:lineRule="auto"/>
        <w:tabs>
          <w:tab w:leader="none" w:pos="5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52" w:lineRule="exact"/>
        <w:rPr>
          <w:rFonts w:ascii="Times New Roman" w:cs="Times New Roman" w:eastAsia="Times New Roman" w:hAnsi="Times New Roman"/>
          <w:sz w:val="14"/>
          <w:szCs w:val="14"/>
          <w:color w:val="auto"/>
        </w:rPr>
      </w:pPr>
    </w:p>
    <w:p>
      <w:pPr>
        <w:ind w:left="560" w:right="339" w:hanging="325"/>
        <w:spacing w:after="0" w:line="265" w:lineRule="auto"/>
        <w:tabs>
          <w:tab w:leader="none" w:pos="5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63" w:lineRule="exact"/>
        <w:rPr>
          <w:sz w:val="20"/>
          <w:szCs w:val="20"/>
          <w:color w:val="auto"/>
        </w:rPr>
      </w:pPr>
    </w:p>
    <w:p>
      <w:pPr>
        <w:ind w:left="560" w:right="599" w:hanging="325"/>
        <w:spacing w:after="0" w:line="281" w:lineRule="auto"/>
        <w:tabs>
          <w:tab w:leader="none" w:pos="5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2023, the estimated cost basis of investments for U.S. federal tax purposes was $3,096,469, resulting in estimated gross unrealized gains and losses of $147,820 and $125,469, respectively.</w:t>
      </w:r>
    </w:p>
    <w:p>
      <w:pPr>
        <w:spacing w:after="0" w:line="50" w:lineRule="exact"/>
        <w:rPr>
          <w:rFonts w:ascii="Times New Roman" w:cs="Times New Roman" w:eastAsia="Times New Roman" w:hAnsi="Times New Roman"/>
          <w:sz w:val="14"/>
          <w:szCs w:val="14"/>
          <w:color w:val="auto"/>
        </w:rPr>
      </w:pPr>
    </w:p>
    <w:p>
      <w:pPr>
        <w:ind w:left="560" w:right="319" w:hanging="325"/>
        <w:spacing w:after="0" w:line="266" w:lineRule="auto"/>
        <w:tabs>
          <w:tab w:leader="none" w:pos="5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accordance with Financial Accounting Standards Board Accounting Standards Codification Topic 820,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63" w:lineRule="exact"/>
        <w:rPr>
          <w:rFonts w:ascii="Times New Roman" w:cs="Times New Roman" w:eastAsia="Times New Roman" w:hAnsi="Times New Roman"/>
          <w:sz w:val="14"/>
          <w:szCs w:val="14"/>
          <w:color w:val="auto"/>
        </w:rPr>
      </w:pPr>
    </w:p>
    <w:p>
      <w:pPr>
        <w:ind w:left="560" w:right="919" w:hanging="325"/>
        <w:spacing w:after="0" w:line="281" w:lineRule="auto"/>
        <w:tabs>
          <w:tab w:leader="none" w:pos="5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2 investment. See Note 6 for further information related to investments at fair value.</w:t>
      </w:r>
    </w:p>
    <w:p>
      <w:pPr>
        <w:spacing w:after="0" w:line="52" w:lineRule="exact"/>
        <w:rPr>
          <w:rFonts w:ascii="Times New Roman" w:cs="Times New Roman" w:eastAsia="Times New Roman" w:hAnsi="Times New Roman"/>
          <w:sz w:val="14"/>
          <w:szCs w:val="14"/>
          <w:color w:val="auto"/>
        </w:rPr>
      </w:pPr>
    </w:p>
    <w:p>
      <w:pPr>
        <w:ind w:left="560" w:right="919" w:hanging="325"/>
        <w:spacing w:after="0" w:line="281" w:lineRule="auto"/>
        <w:tabs>
          <w:tab w:leader="none" w:pos="5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1 investment. See Note 6 for further information related to investments at fair value.</w:t>
      </w:r>
    </w:p>
    <w:p>
      <w:pPr>
        <w:spacing w:after="0" w:line="52" w:lineRule="exact"/>
        <w:rPr>
          <w:rFonts w:ascii="Times New Roman" w:cs="Times New Roman" w:eastAsia="Times New Roman" w:hAnsi="Times New Roman"/>
          <w:sz w:val="14"/>
          <w:szCs w:val="14"/>
          <w:color w:val="auto"/>
        </w:rPr>
      </w:pPr>
    </w:p>
    <w:p>
      <w:pPr>
        <w:ind w:left="560" w:hanging="325"/>
        <w:spacing w:after="0"/>
        <w:tabs>
          <w:tab w:leader="none" w:pos="5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non-income producing.</w:t>
      </w:r>
    </w:p>
    <w:p>
      <w:pPr>
        <w:spacing w:after="0" w:line="100" w:lineRule="exact"/>
        <w:rPr>
          <w:rFonts w:ascii="Times New Roman" w:cs="Times New Roman" w:eastAsia="Times New Roman" w:hAnsi="Times New Roman"/>
          <w:sz w:val="14"/>
          <w:szCs w:val="14"/>
          <w:color w:val="auto"/>
        </w:rPr>
      </w:pPr>
    </w:p>
    <w:p>
      <w:pPr>
        <w:ind w:left="560" w:right="319" w:hanging="325"/>
        <w:spacing w:after="0" w:line="265" w:lineRule="auto"/>
        <w:tabs>
          <w:tab w:leader="none" w:pos="5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this security was acquired in a transaction exempt from registration under the Securities Act of 1933, and may be deemed to be “restricted securities” under the Securities Act. As of September 30, 2023, the aggregate fair value of these securities is $6,346, or 0.4% of the Company’s net assets.</w:t>
      </w:r>
    </w:p>
    <w:p>
      <w:pPr>
        <w:spacing w:after="0" w:line="63" w:lineRule="exact"/>
        <w:rPr>
          <w:rFonts w:ascii="Times New Roman" w:cs="Times New Roman" w:eastAsia="Times New Roman" w:hAnsi="Times New Roman"/>
          <w:sz w:val="14"/>
          <w:szCs w:val="14"/>
          <w:color w:val="auto"/>
        </w:rPr>
      </w:pPr>
    </w:p>
    <w:p>
      <w:pPr>
        <w:ind w:left="560" w:hanging="325"/>
        <w:spacing w:after="0"/>
        <w:tabs>
          <w:tab w:leader="none" w:pos="5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equity investments may occur through a holding company or partnership.</w:t>
      </w:r>
    </w:p>
    <w:p>
      <w:pPr>
        <w:spacing w:after="0" w:line="100" w:lineRule="exact"/>
        <w:rPr>
          <w:rFonts w:ascii="Times New Roman" w:cs="Times New Roman" w:eastAsia="Times New Roman" w:hAnsi="Times New Roman"/>
          <w:sz w:val="14"/>
          <w:szCs w:val="14"/>
          <w:color w:val="auto"/>
        </w:rPr>
      </w:pPr>
    </w:p>
    <w:p>
      <w:pPr>
        <w:ind w:left="560" w:hanging="325"/>
        <w:spacing w:after="0"/>
        <w:tabs>
          <w:tab w:leader="none" w:pos="5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is on non-accrual status as of September 30, 2023.</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61" w:right="1440" w:bottom="1440" w:gutter="0" w:footer="0" w:header="0"/>
        </w:sectPr>
      </w:pPr>
    </w:p>
    <w:bookmarkStart w:id="104" w:name="page105"/>
    <w:bookmarkEnd w:id="104"/>
    <w:p>
      <w:pPr>
        <w:ind w:left="560" w:right="259" w:hanging="325"/>
        <w:spacing w:after="0" w:line="257" w:lineRule="auto"/>
        <w:tabs>
          <w:tab w:leader="none" w:pos="5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In addition to the principal amount outstanding and accrued interest owed on this investment, the Company is entitled to a separate Make-Whole Amount (the “Make-Whole”) of $11.4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61" w:right="14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MANAGEMENT</w:t>
      </w:r>
    </w:p>
    <w:p>
      <w:pPr>
        <w:spacing w:after="0" w:line="176" w:lineRule="exact"/>
        <w:rPr>
          <w:sz w:val="20"/>
          <w:szCs w:val="20"/>
          <w:color w:val="auto"/>
        </w:rPr>
      </w:pPr>
    </w:p>
    <w:p>
      <w:pPr>
        <w:ind w:left="240" w:right="419" w:firstLine="341"/>
        <w:spacing w:after="0" w:line="281" w:lineRule="auto"/>
        <w:rPr>
          <w:sz w:val="20"/>
          <w:szCs w:val="20"/>
          <w:color w:val="auto"/>
        </w:rPr>
      </w:pPr>
      <w:r>
        <w:rPr>
          <w:rFonts w:ascii="Times New Roman" w:cs="Times New Roman" w:eastAsia="Times New Roman" w:hAnsi="Times New Roman"/>
          <w:sz w:val="14"/>
          <w:szCs w:val="14"/>
          <w:color w:val="auto"/>
        </w:rPr>
        <w:t>Please refer to our most recent definitive proxy statement and in our 2022 Annual Report, as well as subsequent filings with the SEC, which are incorporated by reference herein, for information relating to the management of the Company and for information relating to the Adviser.</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Portfolio Management</w:t>
      </w:r>
    </w:p>
    <w:p>
      <w:pPr>
        <w:spacing w:after="0" w:line="92" w:lineRule="exact"/>
        <w:rPr>
          <w:sz w:val="20"/>
          <w:szCs w:val="20"/>
          <w:color w:val="auto"/>
        </w:rPr>
      </w:pPr>
    </w:p>
    <w:p>
      <w:pPr>
        <w:ind w:left="240" w:right="359" w:firstLine="341"/>
        <w:spacing w:after="0" w:line="260" w:lineRule="auto"/>
        <w:rPr>
          <w:sz w:val="20"/>
          <w:szCs w:val="20"/>
          <w:color w:val="auto"/>
        </w:rPr>
      </w:pPr>
      <w:r>
        <w:rPr>
          <w:rFonts w:ascii="Times New Roman" w:cs="Times New Roman" w:eastAsia="Times New Roman" w:hAnsi="Times New Roman"/>
          <w:sz w:val="14"/>
          <w:szCs w:val="14"/>
          <w:color w:val="auto"/>
        </w:rPr>
        <w:t>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most recent definitive proxy statement, which is incorporated by reference herein, for the biographical information of the Company’s portfolio manager.</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Company’s portfolio manager does not receive any direct compensation from us for serving is such capacity.</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table below shows the dollar range of shares of common stock beneficially owned by our portfolio manager as of December 20, 2023:</w:t>
      </w:r>
    </w:p>
    <w:p>
      <w:pPr>
        <w:spacing w:after="0" w:line="179"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4580" w:type="dxa"/>
            <w:vAlign w:val="bottom"/>
          </w:tcPr>
          <w:p>
            <w:pPr>
              <w:spacing w:after="0"/>
              <w:rPr>
                <w:sz w:val="11"/>
                <w:szCs w:val="11"/>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Dollar Range of</w:t>
            </w:r>
          </w:p>
        </w:tc>
        <w:tc>
          <w:tcPr>
            <w:tcW w:w="0" w:type="dxa"/>
            <w:vAlign w:val="bottom"/>
          </w:tcPr>
          <w:p>
            <w:pPr>
              <w:spacing w:after="0"/>
              <w:rPr>
                <w:sz w:val="1"/>
                <w:szCs w:val="1"/>
                <w:color w:val="auto"/>
              </w:rPr>
            </w:pPr>
          </w:p>
        </w:tc>
      </w:tr>
      <w:tr>
        <w:trPr>
          <w:trHeight w:val="115"/>
        </w:trPr>
        <w:tc>
          <w:tcPr>
            <w:tcW w:w="45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Portfolio Manager</w:t>
            </w:r>
          </w:p>
        </w:tc>
        <w:tc>
          <w:tcPr>
            <w:tcW w:w="122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Equity Securities in</w:t>
            </w:r>
          </w:p>
        </w:tc>
        <w:tc>
          <w:tcPr>
            <w:tcW w:w="0" w:type="dxa"/>
            <w:vAlign w:val="bottom"/>
          </w:tcPr>
          <w:p>
            <w:pPr>
              <w:spacing w:after="0"/>
              <w:rPr>
                <w:sz w:val="1"/>
                <w:szCs w:val="1"/>
                <w:color w:val="auto"/>
              </w:rPr>
            </w:pPr>
          </w:p>
        </w:tc>
      </w:tr>
      <w:tr>
        <w:trPr>
          <w:trHeight w:val="134"/>
        </w:trPr>
        <w:tc>
          <w:tcPr>
            <w:tcW w:w="4580" w:type="dxa"/>
            <w:vAlign w:val="bottom"/>
            <w:vMerge w:val="continue"/>
          </w:tcPr>
          <w:p>
            <w:pPr>
              <w:spacing w:after="0"/>
              <w:rPr>
                <w:sz w:val="11"/>
                <w:szCs w:val="11"/>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the Company</w:t>
            </w:r>
          </w:p>
        </w:tc>
        <w:tc>
          <w:tcPr>
            <w:tcW w:w="0" w:type="dxa"/>
            <w:vAlign w:val="bottom"/>
          </w:tcPr>
          <w:p>
            <w:pPr>
              <w:spacing w:after="0"/>
              <w:rPr>
                <w:sz w:val="1"/>
                <w:szCs w:val="1"/>
                <w:color w:val="auto"/>
              </w:rPr>
            </w:pPr>
          </w:p>
        </w:tc>
      </w:tr>
      <w:tr>
        <w:trPr>
          <w:trHeight w:val="158"/>
        </w:trPr>
        <w:tc>
          <w:tcPr>
            <w:tcW w:w="458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Joshua Easterly</w:t>
            </w:r>
          </w:p>
        </w:tc>
        <w:tc>
          <w:tcPr>
            <w:tcW w:w="1160" w:type="dxa"/>
            <w:vAlign w:val="bottom"/>
            <w:tcBorders>
              <w:top w:val="single" w:sz="8" w:color="auto"/>
            </w:tcBorders>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w w:val="98"/>
              </w:rPr>
              <w:t>Over 1,000,000</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Other Accounts Managed</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As of December 31, 2022, Joshua Easterly managed, or was a member of the management team for, the following client accounts: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26"/>
        </w:trPr>
        <w:tc>
          <w:tcPr>
            <w:tcW w:w="3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0" w:type="dxa"/>
            <w:vAlign w:val="bottom"/>
          </w:tcPr>
          <w:p>
            <w:pPr>
              <w:spacing w:after="0"/>
              <w:rPr>
                <w:sz w:val="1"/>
                <w:szCs w:val="1"/>
                <w:color w:val="auto"/>
              </w:rPr>
            </w:pPr>
          </w:p>
        </w:tc>
      </w:tr>
      <w:tr>
        <w:trPr>
          <w:trHeight w:val="115"/>
        </w:trPr>
        <w:tc>
          <w:tcPr>
            <w:tcW w:w="3880" w:type="dxa"/>
            <w:vAlign w:val="bottom"/>
          </w:tcPr>
          <w:p>
            <w:pPr>
              <w:spacing w:after="0"/>
              <w:rPr>
                <w:sz w:val="10"/>
                <w:szCs w:val="10"/>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80" w:type="dxa"/>
            <w:vAlign w:val="bottom"/>
          </w:tcPr>
          <w:p>
            <w:pPr>
              <w:spacing w:after="0"/>
              <w:rPr>
                <w:sz w:val="10"/>
                <w:szCs w:val="10"/>
                <w:color w:val="auto"/>
              </w:rPr>
            </w:pPr>
          </w:p>
        </w:tc>
        <w:tc>
          <w:tcPr>
            <w:tcW w:w="10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Assets of</w:t>
            </w:r>
          </w:p>
        </w:tc>
        <w:tc>
          <w:tcPr>
            <w:tcW w:w="9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Accounts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Subject to a</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Subject to a</w:t>
            </w:r>
          </w:p>
        </w:tc>
        <w:tc>
          <w:tcPr>
            <w:tcW w:w="0" w:type="dxa"/>
            <w:vAlign w:val="bottom"/>
          </w:tcPr>
          <w:p>
            <w:pPr>
              <w:spacing w:after="0"/>
              <w:rPr>
                <w:sz w:val="1"/>
                <w:szCs w:val="1"/>
                <w:color w:val="auto"/>
              </w:rPr>
            </w:pPr>
          </w:p>
        </w:tc>
      </w:tr>
      <w:tr>
        <w:trPr>
          <w:trHeight w:val="134"/>
        </w:trPr>
        <w:tc>
          <w:tcPr>
            <w:tcW w:w="3880" w:type="dxa"/>
            <w:vAlign w:val="bottom"/>
          </w:tcPr>
          <w:p>
            <w:pPr>
              <w:spacing w:after="0"/>
              <w:rPr>
                <w:sz w:val="11"/>
                <w:szCs w:val="11"/>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Accounts</w:t>
            </w:r>
          </w:p>
        </w:tc>
        <w:tc>
          <w:tcPr>
            <w:tcW w:w="80" w:type="dxa"/>
            <w:vAlign w:val="bottom"/>
          </w:tcPr>
          <w:p>
            <w:pPr>
              <w:spacing w:after="0"/>
              <w:rPr>
                <w:sz w:val="11"/>
                <w:szCs w:val="11"/>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Accounts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Performance Fee</w:t>
            </w:r>
          </w:p>
        </w:tc>
        <w:tc>
          <w:tcPr>
            <w:tcW w:w="180" w:type="dxa"/>
            <w:vAlign w:val="bottom"/>
          </w:tcPr>
          <w:p>
            <w:pPr>
              <w:spacing w:after="0"/>
              <w:rPr>
                <w:sz w:val="11"/>
                <w:szCs w:val="11"/>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7"/>
              </w:rPr>
              <w:t>Performance Fee</w:t>
            </w:r>
          </w:p>
        </w:tc>
        <w:tc>
          <w:tcPr>
            <w:tcW w:w="0" w:type="dxa"/>
            <w:vAlign w:val="bottom"/>
          </w:tcPr>
          <w:p>
            <w:pPr>
              <w:spacing w:after="0"/>
              <w:rPr>
                <w:sz w:val="1"/>
                <w:szCs w:val="1"/>
                <w:color w:val="auto"/>
              </w:rPr>
            </w:pPr>
          </w:p>
        </w:tc>
      </w:tr>
      <w:tr>
        <w:trPr>
          <w:trHeight w:val="158"/>
        </w:trPr>
        <w:tc>
          <w:tcPr>
            <w:tcW w:w="388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Registered Investment Companies</w:t>
            </w:r>
          </w:p>
        </w:tc>
        <w:tc>
          <w:tcPr>
            <w:tcW w:w="5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3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Pooled Investment Vehicles Other Than Registered Investment</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140"/>
              <w:spacing w:after="0" w:line="183" w:lineRule="exact"/>
              <w:rPr>
                <w:sz w:val="20"/>
                <w:szCs w:val="20"/>
                <w:color w:val="auto"/>
              </w:rPr>
            </w:pPr>
            <w:r>
              <w:rPr>
                <w:rFonts w:ascii="Times New Roman" w:cs="Times New Roman" w:eastAsia="Times New Roman" w:hAnsi="Times New Roman"/>
                <w:sz w:val="14"/>
                <w:szCs w:val="14"/>
                <w:color w:val="auto"/>
              </w:rPr>
              <w:t>Companies</w:t>
            </w:r>
            <w:r>
              <w:rPr>
                <w:rFonts w:ascii="Times New Roman" w:cs="Times New Roman" w:eastAsia="Times New Roman" w:hAnsi="Times New Roman"/>
                <w:sz w:val="20"/>
                <w:szCs w:val="20"/>
                <w:color w:val="auto"/>
                <w:vertAlign w:val="superscript"/>
              </w:rPr>
              <w:t>(1)</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w w:val="97"/>
              </w:rPr>
              <w:t>64.47 billion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6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7"/>
              </w:rPr>
              <w:t>61.93 billion</w:t>
            </w: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Accounts</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3.79 billion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2.82 billion</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ind w:left="4440" w:right="919" w:hanging="4205"/>
        <w:spacing w:after="0" w:line="452" w:lineRule="auto"/>
        <w:tabs>
          <w:tab w:leader="none" w:pos="575"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management investment companies that have elected to be regulated as business development companies under the 1940 Act. 54</w:t>
      </w:r>
    </w:p>
    <w:p>
      <w:pPr>
        <w:sectPr>
          <w:pgSz w:w="11900" w:h="16838" w:orient="portrait"/>
          <w:cols w:equalWidth="0" w:num="1">
            <w:col w:w="9019"/>
          </w:cols>
          <w:pgMar w:left="1440" w:top="259"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201535" cy="45720"/>
                    </a:xfrm>
                    <a:prstGeom prst="rect">
                      <a:avLst/>
                    </a:prstGeom>
                    <a:noFill/>
                  </pic:spPr>
                </pic:pic>
              </a:graphicData>
            </a:graphic>
          </wp:anchor>
        </w:drawing>
        <w:t>DETERMINATION OF NET ASSET VALUE</w:t>
      </w:r>
    </w:p>
    <w:p>
      <w:pPr>
        <w:spacing w:after="0" w:line="176" w:lineRule="exact"/>
        <w:rPr>
          <w:sz w:val="20"/>
          <w:szCs w:val="20"/>
          <w:color w:val="auto"/>
        </w:rPr>
      </w:pPr>
    </w:p>
    <w:p>
      <w:pPr>
        <w:ind w:left="240" w:right="319" w:firstLine="341"/>
        <w:spacing w:after="0" w:line="260" w:lineRule="auto"/>
        <w:rPr>
          <w:sz w:val="20"/>
          <w:szCs w:val="20"/>
          <w:color w:val="auto"/>
        </w:rPr>
      </w:pPr>
      <w:r>
        <w:rPr>
          <w:rFonts w:ascii="Times New Roman" w:cs="Times New Roman" w:eastAsia="Times New Roman" w:hAnsi="Times New Roman"/>
          <w:sz w:val="14"/>
          <w:szCs w:val="14"/>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 Item 1 of our 2022 Annual Report incorporated by reference in this prospectus.</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Determinations in Connection with Offerings</w:t>
      </w:r>
    </w:p>
    <w:p>
      <w:pPr>
        <w:spacing w:after="0" w:line="92" w:lineRule="exact"/>
        <w:rPr>
          <w:sz w:val="20"/>
          <w:szCs w:val="20"/>
          <w:color w:val="auto"/>
        </w:rPr>
      </w:pPr>
    </w:p>
    <w:p>
      <w:pPr>
        <w:jc w:val="both"/>
        <w:ind w:left="240" w:right="319" w:firstLine="341"/>
        <w:spacing w:after="0" w:line="295" w:lineRule="auto"/>
        <w:rPr>
          <w:sz w:val="20"/>
          <w:szCs w:val="20"/>
          <w:color w:val="auto"/>
        </w:rPr>
      </w:pPr>
      <w:r>
        <w:rPr>
          <w:rFonts w:ascii="Times New Roman" w:cs="Times New Roman" w:eastAsia="Times New Roman" w:hAnsi="Times New Roman"/>
          <w:sz w:val="13"/>
          <w:szCs w:val="13"/>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45" w:lineRule="exact"/>
        <w:rPr>
          <w:sz w:val="20"/>
          <w:szCs w:val="20"/>
          <w:color w:val="auto"/>
        </w:rPr>
      </w:pPr>
    </w:p>
    <w:p>
      <w:pPr>
        <w:ind w:left="980" w:hanging="411"/>
        <w:spacing w:after="0"/>
        <w:tabs>
          <w:tab w:leader="none" w:pos="9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asset value of our common stock disclosed in the most recent periodic report that we filed with the SEC;</w:t>
      </w:r>
    </w:p>
    <w:p>
      <w:pPr>
        <w:spacing w:after="0" w:line="100" w:lineRule="exact"/>
        <w:rPr>
          <w:rFonts w:ascii="Times New Roman" w:cs="Times New Roman" w:eastAsia="Times New Roman" w:hAnsi="Times New Roman"/>
          <w:sz w:val="14"/>
          <w:szCs w:val="14"/>
          <w:color w:val="auto"/>
        </w:rPr>
      </w:pPr>
    </w:p>
    <w:p>
      <w:pPr>
        <w:ind w:left="980" w:right="319" w:hanging="411"/>
        <w:spacing w:after="0" w:line="265" w:lineRule="auto"/>
        <w:tabs>
          <w:tab w:leader="none" w:pos="9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63" w:lineRule="exact"/>
        <w:rPr>
          <w:rFonts w:ascii="Times New Roman" w:cs="Times New Roman" w:eastAsia="Times New Roman" w:hAnsi="Times New Roman"/>
          <w:sz w:val="14"/>
          <w:szCs w:val="14"/>
          <w:color w:val="auto"/>
        </w:rPr>
      </w:pPr>
    </w:p>
    <w:p>
      <w:pPr>
        <w:ind w:left="980" w:right="259" w:hanging="411"/>
        <w:spacing w:after="0" w:line="257" w:lineRule="auto"/>
        <w:tabs>
          <w:tab w:leader="none" w:pos="9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43" w:lineRule="exact"/>
        <w:rPr>
          <w:sz w:val="20"/>
          <w:szCs w:val="20"/>
          <w:color w:val="auto"/>
        </w:rPr>
      </w:pPr>
    </w:p>
    <w:p>
      <w:pPr>
        <w:ind w:left="240" w:right="499" w:firstLine="341"/>
        <w:spacing w:after="0" w:line="321" w:lineRule="auto"/>
        <w:rPr>
          <w:sz w:val="20"/>
          <w:szCs w:val="20"/>
          <w:color w:val="auto"/>
        </w:rPr>
      </w:pPr>
      <w:r>
        <w:rPr>
          <w:rFonts w:ascii="Times New Roman" w:cs="Times New Roman" w:eastAsia="Times New Roman" w:hAnsi="Times New Roman"/>
          <w:sz w:val="13"/>
          <w:szCs w:val="13"/>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SALES OF COMMON STOCK BELOW NET ASSET VALUE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approval granted at a special meeting of stockholders held on May 25, 2023, we are currently permitted to sell or otherwise issue</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shares of our common stock at a price below our then-current net asset value per share, subject to the approval of our Board and certain other conditions.</w:t>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Such stockholder approval expires on May 25, 2026. We intend to propose the extension of this approval in future years.</w:t>
      </w:r>
    </w:p>
    <w:p>
      <w:pPr>
        <w:spacing w:after="0" w:line="159"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66" w:lineRule="exact"/>
        <w:rPr>
          <w:sz w:val="20"/>
          <w:szCs w:val="20"/>
          <w:color w:val="auto"/>
        </w:rPr>
      </w:pPr>
    </w:p>
    <w:p>
      <w:pPr>
        <w:ind w:left="980" w:hanging="411"/>
        <w:spacing w:after="0"/>
        <w:tabs>
          <w:tab w:leader="none" w:pos="9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“required majority” of our directors have determined that any such sale would be in the best interests of us and our stockholders;</w:t>
      </w:r>
    </w:p>
    <w:p>
      <w:pPr>
        <w:spacing w:after="0" w:line="100" w:lineRule="exact"/>
        <w:rPr>
          <w:rFonts w:ascii="Times New Roman" w:cs="Times New Roman" w:eastAsia="Times New Roman" w:hAnsi="Times New Roman"/>
          <w:sz w:val="14"/>
          <w:szCs w:val="14"/>
          <w:color w:val="auto"/>
        </w:rPr>
      </w:pPr>
    </w:p>
    <w:p>
      <w:pPr>
        <w:ind w:left="980" w:right="239" w:hanging="411"/>
        <w:spacing w:after="0" w:line="265" w:lineRule="auto"/>
        <w:tabs>
          <w:tab w:leader="none" w:pos="9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59" w:right="1440" w:bottom="1440" w:gutter="0" w:footer="0" w:header="0"/>
        </w:sectPr>
      </w:pPr>
    </w:p>
    <w:bookmarkStart w:id="107" w:name="page108"/>
    <w:bookmarkEnd w:id="107"/>
    <w:p>
      <w:pPr>
        <w:ind w:left="1000" w:right="3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63" w:lineRule="exact"/>
        <w:rPr>
          <w:sz w:val="20"/>
          <w:szCs w:val="20"/>
          <w:color w:val="auto"/>
        </w:rPr>
      </w:pPr>
    </w:p>
    <w:p>
      <w:pPr>
        <w:ind w:left="980" w:hanging="411"/>
        <w:spacing w:after="0"/>
        <w:tabs>
          <w:tab w:leader="none" w:pos="9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to be issued does not exceed 25% of our then-outstanding common stock immediately prior to each such offering.</w:t>
      </w:r>
    </w:p>
    <w:p>
      <w:pPr>
        <w:spacing w:after="0" w:line="174" w:lineRule="exact"/>
        <w:rPr>
          <w:sz w:val="20"/>
          <w:szCs w:val="20"/>
          <w:color w:val="auto"/>
        </w:rPr>
      </w:pPr>
    </w:p>
    <w:p>
      <w:pPr>
        <w:jc w:val="both"/>
        <w:ind w:left="240" w:right="279" w:firstLine="341"/>
        <w:spacing w:after="0" w:line="265" w:lineRule="auto"/>
        <w:rPr>
          <w:sz w:val="20"/>
          <w:szCs w:val="20"/>
          <w:color w:val="auto"/>
        </w:rPr>
      </w:pPr>
      <w:r>
        <w:rPr>
          <w:rFonts w:ascii="Times New Roman" w:cs="Times New Roman" w:eastAsia="Times New Roman" w:hAnsi="Times New Roman"/>
          <w:sz w:val="14"/>
          <w:szCs w:val="14"/>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36" w:lineRule="exact"/>
        <w:rPr>
          <w:sz w:val="20"/>
          <w:szCs w:val="20"/>
          <w:color w:val="auto"/>
        </w:rPr>
      </w:pPr>
    </w:p>
    <w:p>
      <w:pPr>
        <w:ind w:left="240" w:right="459" w:firstLine="341"/>
        <w:spacing w:after="0" w:line="281" w:lineRule="auto"/>
        <w:rPr>
          <w:sz w:val="20"/>
          <w:szCs w:val="20"/>
          <w:color w:val="auto"/>
        </w:rPr>
      </w:pPr>
      <w:r>
        <w:rPr>
          <w:rFonts w:ascii="Times New Roman" w:cs="Times New Roman" w:eastAsia="Times New Roman" w:hAnsi="Times New Roman"/>
          <w:sz w:val="14"/>
          <w:szCs w:val="14"/>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25" w:lineRule="exact"/>
        <w:rPr>
          <w:sz w:val="20"/>
          <w:szCs w:val="20"/>
          <w:color w:val="auto"/>
        </w:rPr>
      </w:pPr>
    </w:p>
    <w:p>
      <w:pPr>
        <w:ind w:left="240" w:right="259" w:firstLine="341"/>
        <w:spacing w:after="0" w:line="281" w:lineRule="auto"/>
        <w:rPr>
          <w:sz w:val="20"/>
          <w:szCs w:val="20"/>
          <w:color w:val="auto"/>
        </w:rPr>
      </w:pPr>
      <w:r>
        <w:rPr>
          <w:rFonts w:ascii="Times New Roman" w:cs="Times New Roman" w:eastAsia="Times New Roman" w:hAnsi="Times New Roman"/>
          <w:sz w:val="14"/>
          <w:szCs w:val="14"/>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52" w:lineRule="exact"/>
        <w:rPr>
          <w:sz w:val="20"/>
          <w:szCs w:val="20"/>
          <w:color w:val="auto"/>
        </w:rPr>
      </w:pPr>
    </w:p>
    <w:p>
      <w:pPr>
        <w:ind w:left="980" w:right="339" w:hanging="411"/>
        <w:spacing w:after="0" w:line="281" w:lineRule="auto"/>
        <w:tabs>
          <w:tab w:leader="none" w:pos="9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52" w:lineRule="exact"/>
        <w:rPr>
          <w:rFonts w:ascii="Times New Roman" w:cs="Times New Roman" w:eastAsia="Times New Roman" w:hAnsi="Times New Roman"/>
          <w:sz w:val="14"/>
          <w:szCs w:val="14"/>
          <w:color w:val="auto"/>
        </w:rPr>
      </w:pPr>
    </w:p>
    <w:p>
      <w:pPr>
        <w:ind w:left="980" w:right="459" w:hanging="411"/>
        <w:spacing w:after="0" w:line="281" w:lineRule="auto"/>
        <w:tabs>
          <w:tab w:leader="none" w:pos="9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per share by which the offering price per share and the net proceeds per share are less than our most recently determined net asset value per share;</w:t>
      </w:r>
    </w:p>
    <w:p>
      <w:pPr>
        <w:spacing w:after="0" w:line="52" w:lineRule="exact"/>
        <w:rPr>
          <w:rFonts w:ascii="Times New Roman" w:cs="Times New Roman" w:eastAsia="Times New Roman" w:hAnsi="Times New Roman"/>
          <w:sz w:val="14"/>
          <w:szCs w:val="14"/>
          <w:color w:val="auto"/>
        </w:rPr>
      </w:pPr>
    </w:p>
    <w:p>
      <w:pPr>
        <w:ind w:left="980" w:right="499" w:hanging="411"/>
        <w:spacing w:after="0" w:line="281" w:lineRule="auto"/>
        <w:tabs>
          <w:tab w:leader="none" w:pos="9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relationship of recent market prices of our common stock to net asset value per share and the potential impact of the offering on the market price per share of our common stock;</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estimated offering price would closely approximate the market value of shares of our common stock;</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market impact of being able to raise capital during the current financial market difficulties;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any new investors anticipated to acquire shares of our common stock in the offering;</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rate of return on and quality, type and availability of investments; and</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leverage available to us.</w:t>
      </w:r>
    </w:p>
    <w:p>
      <w:pPr>
        <w:spacing w:after="0" w:line="174" w:lineRule="exact"/>
        <w:rPr>
          <w:sz w:val="20"/>
          <w:szCs w:val="20"/>
          <w:color w:val="auto"/>
        </w:rPr>
      </w:pPr>
    </w:p>
    <w:p>
      <w:pPr>
        <w:ind w:left="240" w:right="519" w:firstLine="341"/>
        <w:spacing w:after="0" w:line="265" w:lineRule="auto"/>
        <w:rPr>
          <w:sz w:val="20"/>
          <w:szCs w:val="20"/>
          <w:color w:val="auto"/>
        </w:rPr>
      </w:pPr>
      <w:r>
        <w:rPr>
          <w:rFonts w:ascii="Times New Roman" w:cs="Times New Roman" w:eastAsia="Times New Roman" w:hAnsi="Times New Roman"/>
          <w:sz w:val="14"/>
          <w:szCs w:val="14"/>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36" w:lineRule="exact"/>
        <w:rPr>
          <w:sz w:val="20"/>
          <w:szCs w:val="20"/>
          <w:color w:val="auto"/>
        </w:rPr>
      </w:pPr>
    </w:p>
    <w:p>
      <w:pPr>
        <w:ind w:left="240" w:right="439" w:firstLine="341"/>
        <w:spacing w:after="0" w:line="253" w:lineRule="auto"/>
        <w:rPr>
          <w:sz w:val="20"/>
          <w:szCs w:val="20"/>
          <w:color w:val="auto"/>
        </w:rPr>
      </w:pPr>
      <w:r>
        <w:rPr>
          <w:rFonts w:ascii="Times New Roman" w:cs="Times New Roman" w:eastAsia="Times New Roman" w:hAnsi="Times New Roman"/>
          <w:sz w:val="14"/>
          <w:szCs w:val="14"/>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61" w:right="1440" w:bottom="1440" w:gutter="0" w:footer="0" w:header="0"/>
        </w:sectPr>
      </w:pPr>
    </w:p>
    <w:bookmarkStart w:id="108" w:name="page109"/>
    <w:bookmarkEnd w:id="108"/>
    <w:p>
      <w:pPr>
        <w:ind w:left="240" w:right="59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11.07 million shares of common stock at net proceeds to us of $8.50 per share, which would produce dilution of 6.67%, before we would reach the aggregate 15% limit.</w:t>
      </w:r>
    </w:p>
    <w:p>
      <w:pPr>
        <w:spacing w:after="0" w:line="125" w:lineRule="exact"/>
        <w:rPr>
          <w:sz w:val="20"/>
          <w:szCs w:val="20"/>
          <w:color w:val="auto"/>
        </w:rPr>
      </w:pPr>
    </w:p>
    <w:p>
      <w:pPr>
        <w:ind w:left="240" w:right="279" w:firstLine="341"/>
        <w:spacing w:after="0" w:line="265" w:lineRule="auto"/>
        <w:rPr>
          <w:sz w:val="20"/>
          <w:szCs w:val="20"/>
          <w:color w:val="auto"/>
        </w:rPr>
      </w:pPr>
      <w:r>
        <w:rPr>
          <w:rFonts w:ascii="Times New Roman" w:cs="Times New Roman" w:eastAsia="Times New Roman" w:hAnsi="Times New Roman"/>
          <w:sz w:val="14"/>
          <w:szCs w:val="14"/>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Examples of Dilutive Effect of the Issuance of Shares Below net asset value</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following two headings and accompanying tables explain and provide hypothetical examples on the impact of a public offering of the</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Company’s common stock at a price less than net asset value on two different types of investors:</w:t>
      </w:r>
    </w:p>
    <w:p>
      <w:pPr>
        <w:spacing w:after="0" w:line="86" w:lineRule="exact"/>
        <w:rPr>
          <w:sz w:val="20"/>
          <w:szCs w:val="20"/>
          <w:color w:val="auto"/>
        </w:rPr>
      </w:pPr>
    </w:p>
    <w:p>
      <w:pPr>
        <w:ind w:left="980" w:hanging="411"/>
        <w:spacing w:after="0"/>
        <w:tabs>
          <w:tab w:leader="none" w:pos="9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stockholders who do not purchase any shares in the offering; and</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existing stockholders who purchase a relatively small amount of shares in the offering or a relatively large amount of shares in the offering.</w:t>
      </w:r>
    </w:p>
    <w:p>
      <w:pPr>
        <w:spacing w:after="0" w:line="185" w:lineRule="exact"/>
        <w:rPr>
          <w:sz w:val="20"/>
          <w:szCs w:val="20"/>
          <w:color w:val="auto"/>
        </w:rPr>
      </w:pPr>
    </w:p>
    <w:p>
      <w:pPr>
        <w:ind w:left="240" w:right="259" w:firstLine="341"/>
        <w:spacing w:after="0" w:line="281" w:lineRule="auto"/>
        <w:rPr>
          <w:sz w:val="20"/>
          <w:szCs w:val="20"/>
          <w:color w:val="auto"/>
        </w:rPr>
      </w:pPr>
      <w:r>
        <w:rPr>
          <w:rFonts w:ascii="Times New Roman" w:cs="Times New Roman" w:eastAsia="Times New Roman" w:hAnsi="Times New Roman"/>
          <w:sz w:val="14"/>
          <w:szCs w:val="14"/>
          <w:color w:val="auto"/>
        </w:rPr>
        <w:t>A placement of common stock at a price less than net asset value to a third party in a private placement would have an impact substantially similar to the impact on existing stockholders who do not purchase any shares in the public offering described below.</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Impact on Existing Stockholders Who Do Not Participate in the Offering</w:t>
      </w:r>
    </w:p>
    <w:p>
      <w:pPr>
        <w:spacing w:after="0" w:line="92" w:lineRule="exact"/>
        <w:rPr>
          <w:sz w:val="20"/>
          <w:szCs w:val="20"/>
          <w:color w:val="auto"/>
        </w:rPr>
      </w:pPr>
    </w:p>
    <w:p>
      <w:pPr>
        <w:ind w:left="240" w:right="319" w:firstLine="341"/>
        <w:spacing w:after="0" w:line="254" w:lineRule="auto"/>
        <w:rPr>
          <w:sz w:val="20"/>
          <w:szCs w:val="20"/>
          <w:color w:val="auto"/>
        </w:rPr>
      </w:pPr>
      <w:r>
        <w:rPr>
          <w:rFonts w:ascii="Times New Roman" w:cs="Times New Roman" w:eastAsia="Times New Roman" w:hAnsi="Times New Roman"/>
          <w:sz w:val="14"/>
          <w:szCs w:val="14"/>
          <w:color w:val="auto"/>
        </w:rPr>
        <w:t>Our existing stockholders who do not participate in an offering below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its assets, potential earning power and voting interests due to the offering. These stockholders may also experience a decline in the market price of their shares, which often reflects to some degree announced or potential increases and decreases in net asset value. This decrease could be more pronounced as the size of the offering and level of discounts increase. There is no maximum level of discount from net asset value at which we may sell shares pursuant to this authority.</w:t>
      </w:r>
    </w:p>
    <w:p>
      <w:pPr>
        <w:spacing w:after="0" w:line="144" w:lineRule="exact"/>
        <w:rPr>
          <w:sz w:val="20"/>
          <w:szCs w:val="20"/>
          <w:color w:val="auto"/>
        </w:rPr>
      </w:pPr>
    </w:p>
    <w:p>
      <w:pPr>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36" w:lineRule="exact"/>
        <w:rPr>
          <w:sz w:val="20"/>
          <w:szCs w:val="20"/>
          <w:color w:val="auto"/>
        </w:rPr>
      </w:pPr>
    </w:p>
    <w:p>
      <w:pPr>
        <w:ind w:left="240" w:right="259" w:firstLine="341"/>
        <w:spacing w:after="0" w:line="274" w:lineRule="auto"/>
        <w:rPr>
          <w:sz w:val="20"/>
          <w:szCs w:val="20"/>
          <w:color w:val="auto"/>
        </w:rPr>
      </w:pPr>
      <w:r>
        <w:rPr>
          <w:rFonts w:ascii="Times New Roman" w:cs="Times New Roman" w:eastAsia="Times New Roman" w:hAnsi="Times New Roman"/>
          <w:sz w:val="13"/>
          <w:szCs w:val="13"/>
          <w:color w:val="auto"/>
        </w:rPr>
        <w:t>The examples below assume that the issuer has 81.4 million shares outstanding, $2.8 billion in total assets and $1.5 billion in total liabilities (all figures correspond to actual data for us as of December 31, 2022). The net asset value and net asset value per share are thus $1.3 billion and $16.48 per share as of December 31, 2022. The chart illustrates the dilutive effect on Stockholder A of (a) an offering of 4.1 million shares of common stock (5% of the outstanding shares) at $15.66 per share after offering expenses and commissions (a 5% discount from net asset value per share), (b) an offering of</w:t>
      </w:r>
    </w:p>
    <w:p>
      <w:pPr>
        <w:spacing w:after="0" w:line="2" w:lineRule="exact"/>
        <w:rPr>
          <w:sz w:val="20"/>
          <w:szCs w:val="20"/>
          <w:color w:val="auto"/>
        </w:rPr>
      </w:pPr>
    </w:p>
    <w:p>
      <w:pPr>
        <w:ind w:left="240" w:right="319"/>
        <w:spacing w:after="0" w:line="252" w:lineRule="auto"/>
        <w:rPr>
          <w:sz w:val="20"/>
          <w:szCs w:val="20"/>
          <w:color w:val="auto"/>
        </w:rPr>
      </w:pPr>
      <w:r>
        <w:rPr>
          <w:rFonts w:ascii="Times New Roman" w:cs="Times New Roman" w:eastAsia="Times New Roman" w:hAnsi="Times New Roman"/>
          <w:sz w:val="14"/>
          <w:szCs w:val="14"/>
          <w:color w:val="auto"/>
        </w:rPr>
        <w:t>8.1 million shares of common stock (10% of the outstanding shares) at $14.83 per share after offering expenses and commissions (a 10% discount from net asset value per share), (c) an offering of 16.3 million shares of common stock (20% of the outstanding shares) at $13.18 per share after offering expenses and commissions (a 20% discount from net asset value per share), and (d) an offering of 20.3 million shares of common stock (25% of the outstanding shares) at $12.36 per share after offering expenses and commissions (a 25% discount from net asset value per share). The prospectus pursuant to which any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261" w:right="1440" w:bottom="1440" w:gutter="0" w:footer="0" w:header="0"/>
        </w:sectPr>
      </w:pPr>
    </w:p>
    <w:bookmarkStart w:id="109" w:name="page110"/>
    <w:bookmarkEnd w:id="109"/>
    <w:p>
      <w:pPr>
        <w:ind w:left="240" w:right="43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discounted offering is made will include a chart based on the actual number of shares of common stock in such offering and the actual discount to the most recently determined net asset value. It is not possible to predict the level of market price decline that may occur.</w:t>
      </w:r>
    </w:p>
    <w:p>
      <w:pPr>
        <w:spacing w:after="0" w:line="142" w:lineRule="exact"/>
        <w:rPr>
          <w:sz w:val="20"/>
          <w:szCs w:val="20"/>
          <w:color w:val="auto"/>
        </w:rPr>
      </w:pPr>
    </w:p>
    <w:tbl>
      <w:tblPr>
        <w:tblLayout w:type="fixed"/>
        <w:tblInd w:w="240" w:type="dxa"/>
        <w:tblCellMar>
          <w:top w:w="0" w:type="dxa"/>
          <w:left w:w="0" w:type="dxa"/>
          <w:bottom w:w="0" w:type="dxa"/>
          <w:right w:w="0" w:type="dxa"/>
        </w:tblCellMar>
      </w:tblPr>
      <w:tr>
        <w:trPr>
          <w:trHeight w:val="134"/>
        </w:trPr>
        <w:tc>
          <w:tcPr>
            <w:tcW w:w="2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Prior to</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Example 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Example 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Example 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Example 4</w:t>
            </w:r>
          </w:p>
        </w:tc>
        <w:tc>
          <w:tcPr>
            <w:tcW w:w="0" w:type="dxa"/>
            <w:vAlign w:val="bottom"/>
          </w:tcPr>
          <w:p>
            <w:pPr>
              <w:spacing w:after="0"/>
              <w:rPr>
                <w:sz w:val="1"/>
                <w:szCs w:val="1"/>
                <w:color w:val="auto"/>
              </w:rPr>
            </w:pPr>
          </w:p>
        </w:tc>
      </w:tr>
      <w:tr>
        <w:trPr>
          <w:trHeight w:val="95"/>
        </w:trPr>
        <w:tc>
          <w:tcPr>
            <w:tcW w:w="20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3"/>
          </w:tcPr>
          <w:p>
            <w:pPr>
              <w:jc w:val="center"/>
              <w:ind w:right="5"/>
              <w:spacing w:after="0" w:line="95" w:lineRule="exact"/>
              <w:rPr>
                <w:sz w:val="20"/>
                <w:szCs w:val="20"/>
                <w:color w:val="auto"/>
              </w:rPr>
            </w:pPr>
            <w:r>
              <w:rPr>
                <w:rFonts w:ascii="Times New Roman" w:cs="Times New Roman" w:eastAsia="Times New Roman" w:hAnsi="Times New Roman"/>
                <w:sz w:val="11"/>
                <w:szCs w:val="11"/>
                <w:b w:val="1"/>
                <w:bCs w:val="1"/>
                <w:color w:val="auto"/>
              </w:rPr>
              <w:t>5% Offering at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3"/>
          </w:tcPr>
          <w:p>
            <w:pPr>
              <w:jc w:val="center"/>
              <w:ind w:right="25"/>
              <w:spacing w:after="0" w:line="95" w:lineRule="exact"/>
              <w:rPr>
                <w:sz w:val="20"/>
                <w:szCs w:val="20"/>
                <w:color w:val="auto"/>
              </w:rPr>
            </w:pPr>
            <w:r>
              <w:rPr>
                <w:rFonts w:ascii="Times New Roman" w:cs="Times New Roman" w:eastAsia="Times New Roman" w:hAnsi="Times New Roman"/>
                <w:sz w:val="11"/>
                <w:szCs w:val="11"/>
                <w:b w:val="1"/>
                <w:bCs w:val="1"/>
                <w:color w:val="auto"/>
              </w:rPr>
              <w:t>10% Offering at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3"/>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rPr>
              <w:t>20% Offering at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3"/>
          </w:tcPr>
          <w:p>
            <w:pPr>
              <w:jc w:val="center"/>
              <w:ind w:right="5"/>
              <w:spacing w:after="0" w:line="95" w:lineRule="exact"/>
              <w:rPr>
                <w:sz w:val="20"/>
                <w:szCs w:val="20"/>
                <w:color w:val="auto"/>
              </w:rPr>
            </w:pPr>
            <w:r>
              <w:rPr>
                <w:rFonts w:ascii="Times New Roman" w:cs="Times New Roman" w:eastAsia="Times New Roman" w:hAnsi="Times New Roman"/>
                <w:sz w:val="11"/>
                <w:szCs w:val="11"/>
                <w:b w:val="1"/>
                <w:bCs w:val="1"/>
                <w:color w:val="auto"/>
              </w:rPr>
              <w:t>25% Offering at</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Sale Below</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5% Discount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10% Discount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20% Discount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25% Discount</w:t>
            </w:r>
          </w:p>
        </w:tc>
        <w:tc>
          <w:tcPr>
            <w:tcW w:w="0" w:type="dxa"/>
            <w:vAlign w:val="bottom"/>
          </w:tcPr>
          <w:p>
            <w:pPr>
              <w:spacing w:after="0"/>
              <w:rPr>
                <w:sz w:val="1"/>
                <w:szCs w:val="1"/>
                <w:color w:val="auto"/>
              </w:rPr>
            </w:pPr>
          </w:p>
        </w:tc>
      </w:tr>
      <w:tr>
        <w:trPr>
          <w:trHeight w:val="86"/>
        </w:trPr>
        <w:tc>
          <w:tcPr>
            <w:tcW w:w="20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tcPr>
          <w:p>
            <w:pPr>
              <w:jc w:val="center"/>
              <w:ind w:right="220"/>
              <w:spacing w:after="0" w:line="87" w:lineRule="exact"/>
              <w:rPr>
                <w:sz w:val="20"/>
                <w:szCs w:val="20"/>
                <w:color w:val="auto"/>
              </w:rPr>
            </w:pPr>
            <w:r>
              <w:rPr>
                <w:rFonts w:ascii="Times New Roman" w:cs="Times New Roman" w:eastAsia="Times New Roman" w:hAnsi="Times New Roman"/>
                <w:sz w:val="10"/>
                <w:szCs w:val="10"/>
                <w:b w:val="1"/>
                <w:bCs w:val="1"/>
                <w:color w:val="auto"/>
              </w:rPr>
              <w:t>net asset</w:t>
            </w:r>
          </w:p>
        </w:tc>
        <w:tc>
          <w:tcPr>
            <w:tcW w:w="60" w:type="dxa"/>
            <w:vAlign w:val="bottom"/>
          </w:tcPr>
          <w:p>
            <w:pPr>
              <w:spacing w:after="0"/>
              <w:rPr>
                <w:sz w:val="7"/>
                <w:szCs w:val="7"/>
                <w:color w:val="auto"/>
              </w:rPr>
            </w:pPr>
          </w:p>
        </w:tc>
        <w:tc>
          <w:tcPr>
            <w:tcW w:w="800" w:type="dxa"/>
            <w:vAlign w:val="bottom"/>
            <w:tcBorders>
              <w:top w:val="single" w:sz="8" w:color="auto"/>
            </w:tcBorders>
            <w:gridSpan w:val="3"/>
          </w:tcPr>
          <w:p>
            <w:pPr>
              <w:jc w:val="right"/>
              <w:ind w:right="280"/>
              <w:spacing w:after="0" w:line="87" w:lineRule="exact"/>
              <w:rPr>
                <w:sz w:val="20"/>
                <w:szCs w:val="20"/>
                <w:color w:val="auto"/>
              </w:rPr>
            </w:pPr>
            <w:r>
              <w:rPr>
                <w:rFonts w:ascii="Times New Roman" w:cs="Times New Roman" w:eastAsia="Times New Roman" w:hAnsi="Times New Roman"/>
                <w:sz w:val="10"/>
                <w:szCs w:val="10"/>
                <w:b w:val="1"/>
                <w:bCs w:val="1"/>
                <w:color w:val="auto"/>
              </w:rPr>
              <w:t>Following</w:t>
            </w:r>
          </w:p>
        </w:tc>
        <w:tc>
          <w:tcPr>
            <w:tcW w:w="360" w:type="dxa"/>
            <w:vAlign w:val="bottom"/>
            <w:tcBorders>
              <w:top w:val="single" w:sz="8" w:color="auto"/>
            </w:tcBorders>
          </w:tcPr>
          <w:p>
            <w:pPr>
              <w:jc w:val="right"/>
              <w:ind w:right="65"/>
              <w:spacing w:after="0" w:line="87"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gridSpan w:val="3"/>
          </w:tcPr>
          <w:p>
            <w:pPr>
              <w:jc w:val="right"/>
              <w:ind w:right="260"/>
              <w:spacing w:after="0" w:line="87" w:lineRule="exact"/>
              <w:rPr>
                <w:sz w:val="20"/>
                <w:szCs w:val="20"/>
                <w:color w:val="auto"/>
              </w:rPr>
            </w:pPr>
            <w:r>
              <w:rPr>
                <w:rFonts w:ascii="Times New Roman" w:cs="Times New Roman" w:eastAsia="Times New Roman" w:hAnsi="Times New Roman"/>
                <w:sz w:val="10"/>
                <w:szCs w:val="10"/>
                <w:b w:val="1"/>
                <w:bCs w:val="1"/>
                <w:color w:val="auto"/>
              </w:rPr>
              <w:t>Following</w:t>
            </w:r>
          </w:p>
        </w:tc>
        <w:tc>
          <w:tcPr>
            <w:tcW w:w="380" w:type="dxa"/>
            <w:vAlign w:val="bottom"/>
            <w:tcBorders>
              <w:top w:val="single" w:sz="8" w:color="auto"/>
            </w:tcBorders>
          </w:tcPr>
          <w:p>
            <w:pPr>
              <w:jc w:val="right"/>
              <w:ind w:right="85"/>
              <w:spacing w:after="0" w:line="87"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gridSpan w:val="3"/>
          </w:tcPr>
          <w:p>
            <w:pPr>
              <w:jc w:val="right"/>
              <w:ind w:right="280"/>
              <w:spacing w:after="0" w:line="87" w:lineRule="exact"/>
              <w:rPr>
                <w:sz w:val="20"/>
                <w:szCs w:val="20"/>
                <w:color w:val="auto"/>
              </w:rPr>
            </w:pPr>
            <w:r>
              <w:rPr>
                <w:rFonts w:ascii="Times New Roman" w:cs="Times New Roman" w:eastAsia="Times New Roman" w:hAnsi="Times New Roman"/>
                <w:sz w:val="10"/>
                <w:szCs w:val="10"/>
                <w:b w:val="1"/>
                <w:bCs w:val="1"/>
                <w:color w:val="auto"/>
              </w:rPr>
              <w:t>Following</w:t>
            </w:r>
          </w:p>
        </w:tc>
        <w:tc>
          <w:tcPr>
            <w:tcW w:w="360" w:type="dxa"/>
            <w:vAlign w:val="bottom"/>
            <w:tcBorders>
              <w:top w:val="single" w:sz="8" w:color="auto"/>
            </w:tcBorders>
          </w:tcPr>
          <w:p>
            <w:pPr>
              <w:jc w:val="right"/>
              <w:ind w:right="65"/>
              <w:spacing w:after="0" w:line="87"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right"/>
              <w:ind w:right="300"/>
              <w:spacing w:after="0" w:line="87" w:lineRule="exact"/>
              <w:rPr>
                <w:sz w:val="20"/>
                <w:szCs w:val="20"/>
                <w:color w:val="auto"/>
              </w:rPr>
            </w:pPr>
            <w:r>
              <w:rPr>
                <w:rFonts w:ascii="Times New Roman" w:cs="Times New Roman" w:eastAsia="Times New Roman" w:hAnsi="Times New Roman"/>
                <w:sz w:val="10"/>
                <w:szCs w:val="10"/>
                <w:b w:val="1"/>
                <w:bCs w:val="1"/>
                <w:color w:val="auto"/>
              </w:rPr>
              <w:t>Following</w:t>
            </w:r>
          </w:p>
        </w:tc>
        <w:tc>
          <w:tcPr>
            <w:tcW w:w="360" w:type="dxa"/>
            <w:vAlign w:val="bottom"/>
            <w:tcBorders>
              <w:top w:val="single" w:sz="8" w:color="auto"/>
            </w:tcBorders>
          </w:tcPr>
          <w:p>
            <w:pPr>
              <w:jc w:val="right"/>
              <w:ind w:right="65"/>
              <w:spacing w:after="0" w:line="87"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0" w:type="dxa"/>
            <w:vAlign w:val="bottom"/>
          </w:tcPr>
          <w:p>
            <w:pPr>
              <w:spacing w:after="0"/>
              <w:rPr>
                <w:sz w:val="1"/>
                <w:szCs w:val="1"/>
                <w:color w:val="auto"/>
              </w:rPr>
            </w:pPr>
          </w:p>
        </w:tc>
      </w:tr>
      <w:tr>
        <w:trPr>
          <w:trHeight w:val="95"/>
        </w:trPr>
        <w:tc>
          <w:tcPr>
            <w:tcW w:w="204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Offering Price</w:t>
            </w: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4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Price per Share to Public</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16.48</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15.61</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13.88</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13.01</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Net Proceeds per Share to Issuer</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15.66</w:t>
            </w: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14.83</w:t>
            </w: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13.18</w:t>
            </w: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12.36</w:t>
            </w: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Decrease/Increase to Net Asset Value</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Shares Offered</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4,069,464</w:t>
            </w: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8,138,929</w:t>
            </w: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16,277,857</w:t>
            </w: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20,347,322</w:t>
            </w: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4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Total Shares Outstanding</w:t>
            </w:r>
          </w:p>
        </w:tc>
        <w:tc>
          <w:tcPr>
            <w:tcW w:w="6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81,389,287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w w:val="96"/>
              </w:rPr>
              <w:t>85,458,751</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w w:val="96"/>
              </w:rPr>
              <w:t>89,528,216</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97,667,144</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w w:val="98"/>
              </w:rPr>
              <w:t>101,736,609</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Net Asset Value per Share</w:t>
            </w:r>
          </w:p>
        </w:tc>
        <w:tc>
          <w:tcPr>
            <w:tcW w:w="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16.48</w:t>
            </w:r>
          </w:p>
        </w:tc>
        <w:tc>
          <w:tcPr>
            <w:tcW w:w="12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16.44</w:t>
            </w:r>
          </w:p>
        </w:tc>
        <w:tc>
          <w:tcPr>
            <w:tcW w:w="560" w:type="dxa"/>
            <w:vAlign w:val="bottom"/>
            <w:gridSpan w:val="2"/>
            <w:shd w:val="clear" w:color="auto" w:fill="CCEEFF"/>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(0.22)%</w:t>
            </w:r>
          </w:p>
        </w:tc>
        <w:tc>
          <w:tcPr>
            <w:tcW w:w="14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16.33</w:t>
            </w:r>
          </w:p>
        </w:tc>
        <w:tc>
          <w:tcPr>
            <w:tcW w:w="580" w:type="dxa"/>
            <w:vAlign w:val="bottom"/>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(0.89)%</w:t>
            </w:r>
          </w:p>
        </w:tc>
        <w:tc>
          <w:tcPr>
            <w:tcW w:w="12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15.93</w:t>
            </w:r>
          </w:p>
        </w:tc>
        <w:tc>
          <w:tcPr>
            <w:tcW w:w="580" w:type="dxa"/>
            <w:vAlign w:val="bottom"/>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(3.32)%</w:t>
            </w:r>
          </w:p>
        </w:tc>
        <w:tc>
          <w:tcPr>
            <w:tcW w:w="12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15.66</w:t>
            </w:r>
          </w:p>
        </w:tc>
        <w:tc>
          <w:tcPr>
            <w:tcW w:w="54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(4.98)%</w:t>
            </w:r>
          </w:p>
        </w:tc>
        <w:tc>
          <w:tcPr>
            <w:tcW w:w="0" w:type="dxa"/>
            <w:vAlign w:val="bottom"/>
          </w:tcPr>
          <w:p>
            <w:pPr>
              <w:spacing w:after="0"/>
              <w:rPr>
                <w:sz w:val="1"/>
                <w:szCs w:val="1"/>
                <w:color w:val="auto"/>
              </w:rPr>
            </w:pPr>
          </w:p>
        </w:tc>
      </w:tr>
      <w:tr>
        <w:trPr>
          <w:trHeight w:val="96"/>
        </w:trPr>
        <w:tc>
          <w:tcPr>
            <w:tcW w:w="2040" w:type="dxa"/>
            <w:vAlign w:val="bottom"/>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Dilution to Nonparticipating</w:t>
            </w: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Stockholder</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Shares Held by Stockholder A</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81,389</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81,389</w:t>
            </w:r>
          </w:p>
        </w:tc>
        <w:tc>
          <w:tcPr>
            <w:tcW w:w="560" w:type="dxa"/>
            <w:vAlign w:val="bottom"/>
            <w:gridSpan w:val="2"/>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81,389</w:t>
            </w:r>
          </w:p>
        </w:tc>
        <w:tc>
          <w:tcPr>
            <w:tcW w:w="580" w:type="dxa"/>
            <w:vAlign w:val="bottom"/>
            <w:gridSpan w:val="2"/>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81,389</w:t>
            </w:r>
          </w:p>
        </w:tc>
        <w:tc>
          <w:tcPr>
            <w:tcW w:w="580" w:type="dxa"/>
            <w:vAlign w:val="bottom"/>
            <w:gridSpan w:val="2"/>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81,389</w:t>
            </w:r>
          </w:p>
        </w:tc>
        <w:tc>
          <w:tcPr>
            <w:tcW w:w="540" w:type="dxa"/>
            <w:vAlign w:val="bottom"/>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15"/>
        </w:trPr>
        <w:tc>
          <w:tcPr>
            <w:tcW w:w="204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Percentage Held by Stockholder A</w:t>
            </w:r>
          </w:p>
        </w:tc>
        <w:tc>
          <w:tcPr>
            <w:tcW w:w="60" w:type="dxa"/>
            <w:vAlign w:val="bottom"/>
          </w:tcPr>
          <w:p>
            <w:pPr>
              <w:spacing w:after="0"/>
              <w:rPr>
                <w:sz w:val="10"/>
                <w:szCs w:val="10"/>
                <w:color w:val="auto"/>
              </w:rPr>
            </w:pPr>
          </w:p>
        </w:tc>
        <w:tc>
          <w:tcPr>
            <w:tcW w:w="68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0.10%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0.10%</w:t>
            </w:r>
          </w:p>
        </w:tc>
        <w:tc>
          <w:tcPr>
            <w:tcW w:w="56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(4.76)%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0.09%</w:t>
            </w:r>
          </w:p>
        </w:tc>
        <w:tc>
          <w:tcPr>
            <w:tcW w:w="58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(9.09)%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0.08%</w:t>
            </w:r>
          </w:p>
        </w:tc>
        <w:tc>
          <w:tcPr>
            <w:tcW w:w="58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(16.67)%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0.08%</w:t>
            </w:r>
          </w:p>
        </w:tc>
        <w:tc>
          <w:tcPr>
            <w:tcW w:w="54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(20.00)%</w:t>
            </w:r>
          </w:p>
        </w:tc>
        <w:tc>
          <w:tcPr>
            <w:tcW w:w="0" w:type="dxa"/>
            <w:vAlign w:val="bottom"/>
          </w:tcPr>
          <w:p>
            <w:pPr>
              <w:spacing w:after="0"/>
              <w:rPr>
                <w:sz w:val="1"/>
                <w:szCs w:val="1"/>
                <w:color w:val="auto"/>
              </w:rPr>
            </w:pPr>
          </w:p>
        </w:tc>
      </w:tr>
      <w:tr>
        <w:trPr>
          <w:trHeight w:val="98"/>
        </w:trPr>
        <w:tc>
          <w:tcPr>
            <w:tcW w:w="20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Total Net Asset Value Held by Stockholder</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1,341,570</w:t>
            </w:r>
          </w:p>
        </w:tc>
        <w:tc>
          <w:tcPr>
            <w:tcW w:w="160" w:type="dxa"/>
            <w:vAlign w:val="bottom"/>
            <w:shd w:val="clear" w:color="auto" w:fill="CCEEFF"/>
          </w:tcPr>
          <w:p>
            <w:pPr>
              <w:spacing w:after="0"/>
              <w:rPr>
                <w:sz w:val="8"/>
                <w:szCs w:val="8"/>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1,338,359</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(0.24%)</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1,329,347</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(0.91)%</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1,296,810</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(3.34)%</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1,274,446</w:t>
            </w: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r>
        <w:trPr>
          <w:trHeight w:val="132"/>
        </w:trPr>
        <w:tc>
          <w:tcPr>
            <w:tcW w:w="2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w:t>
            </w:r>
          </w:p>
        </w:tc>
        <w:tc>
          <w:tcPr>
            <w:tcW w:w="6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40" w:type="dxa"/>
            <w:vAlign w:val="bottom"/>
          </w:tcPr>
          <w:p>
            <w:pPr>
              <w:spacing w:after="0" w:line="98" w:lineRule="exact"/>
              <w:rPr>
                <w:sz w:val="20"/>
                <w:szCs w:val="20"/>
                <w:color w:val="auto"/>
              </w:rPr>
            </w:pPr>
            <w:r>
              <w:rPr>
                <w:rFonts w:ascii="Times New Roman" w:cs="Times New Roman" w:eastAsia="Times New Roman" w:hAnsi="Times New Roman"/>
                <w:sz w:val="11"/>
                <w:szCs w:val="11"/>
                <w:color w:val="auto"/>
              </w:rPr>
              <w:t>Total Investment by Stockholder A</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1,341,570</w:t>
            </w:r>
          </w:p>
        </w:tc>
        <w:tc>
          <w:tcPr>
            <w:tcW w:w="160" w:type="dxa"/>
            <w:vAlign w:val="bottom"/>
          </w:tcPr>
          <w:p>
            <w:pPr>
              <w:spacing w:after="0"/>
              <w:rPr>
                <w:sz w:val="8"/>
                <w:szCs w:val="8"/>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1,341,570</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1,341,570</w:t>
            </w: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1,341,570</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1,341,570</w:t>
            </w: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(Assumed to be $16.48 per Share)</w:t>
            </w:r>
          </w:p>
        </w:tc>
        <w:tc>
          <w:tcPr>
            <w:tcW w:w="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Total Dilution to Stockholder A (Total Net</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(3,211)</w:t>
            </w: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(12,223)</w:t>
            </w: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(44,760)</w:t>
            </w:r>
          </w:p>
        </w:tc>
        <w:tc>
          <w:tcPr>
            <w:tcW w:w="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(67,124)</w:t>
            </w: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Asset Value Less Total Investment)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40" w:type="dxa"/>
            <w:vAlign w:val="bottom"/>
          </w:tcPr>
          <w:p>
            <w:pPr>
              <w:spacing w:after="0" w:line="98" w:lineRule="exact"/>
              <w:rPr>
                <w:sz w:val="20"/>
                <w:szCs w:val="20"/>
                <w:color w:val="auto"/>
              </w:rPr>
            </w:pPr>
            <w:r>
              <w:rPr>
                <w:rFonts w:ascii="Times New Roman" w:cs="Times New Roman" w:eastAsia="Times New Roman" w:hAnsi="Times New Roman"/>
                <w:sz w:val="11"/>
                <w:szCs w:val="11"/>
                <w:color w:val="auto"/>
              </w:rPr>
              <w:t>Investment per Share Held by Stockholder</w:t>
            </w: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4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A (Assumed to be $16.48 per Share on</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16.48</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16.48</w:t>
            </w: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0.00%</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16.48</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16.48</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16.48</w:t>
            </w: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32"/>
        </w:trPr>
        <w:tc>
          <w:tcPr>
            <w:tcW w:w="2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Shares Held Prior to Sale)</w:t>
            </w:r>
          </w:p>
        </w:tc>
        <w:tc>
          <w:tcPr>
            <w:tcW w:w="6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Net Asset Value per Share Held by</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16.44</w:t>
            </w: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16.33</w:t>
            </w: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15.93</w:t>
            </w:r>
          </w:p>
        </w:tc>
        <w:tc>
          <w:tcPr>
            <w:tcW w:w="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15.66</w:t>
            </w: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Stockholder A</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40" w:type="dxa"/>
            <w:vAlign w:val="bottom"/>
          </w:tcPr>
          <w:p>
            <w:pPr>
              <w:spacing w:after="0" w:line="98" w:lineRule="exact"/>
              <w:rPr>
                <w:sz w:val="20"/>
                <w:szCs w:val="20"/>
                <w:color w:val="auto"/>
              </w:rPr>
            </w:pPr>
            <w:r>
              <w:rPr>
                <w:rFonts w:ascii="Times New Roman" w:cs="Times New Roman" w:eastAsia="Times New Roman" w:hAnsi="Times New Roman"/>
                <w:sz w:val="11"/>
                <w:szCs w:val="11"/>
                <w:color w:val="auto"/>
              </w:rPr>
              <w:t>Dilution per Share Held by Stockholder A</w:t>
            </w: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4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rPr>
              <w:t>(Net Asset Value per Share Less</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(0.04)</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(0.15)</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(0.55)</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(0.82)</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Investment per Share)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Percentage Dilution to Stockholder A</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1"/>
                <w:szCs w:val="11"/>
                <w:color w:val="auto"/>
              </w:rPr>
              <w:t>(Dilution per Share Divided by</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(0.22)%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(0.89)%</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(3.32)%</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(4.98)%</w:t>
            </w:r>
          </w:p>
        </w:tc>
        <w:tc>
          <w:tcPr>
            <w:tcW w:w="0" w:type="dxa"/>
            <w:vAlign w:val="bottom"/>
          </w:tcPr>
          <w:p>
            <w:pPr>
              <w:spacing w:after="0"/>
              <w:rPr>
                <w:sz w:val="1"/>
                <w:szCs w:val="1"/>
                <w:color w:val="auto"/>
              </w:rPr>
            </w:pPr>
          </w:p>
        </w:tc>
      </w:tr>
      <w:tr>
        <w:trPr>
          <w:trHeight w:val="132"/>
        </w:trPr>
        <w:tc>
          <w:tcPr>
            <w:tcW w:w="2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per Share)</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Impact on Existing Stockholders Who Do Participate in the Offering</w:t>
      </w:r>
    </w:p>
    <w:p>
      <w:pPr>
        <w:spacing w:after="0" w:line="92" w:lineRule="exact"/>
        <w:rPr>
          <w:sz w:val="20"/>
          <w:szCs w:val="20"/>
          <w:color w:val="auto"/>
        </w:rPr>
      </w:pPr>
    </w:p>
    <w:p>
      <w:pPr>
        <w:ind w:left="240" w:right="239" w:firstLine="341"/>
        <w:spacing w:after="0" w:line="279" w:lineRule="auto"/>
        <w:rPr>
          <w:sz w:val="20"/>
          <w:szCs w:val="20"/>
          <w:color w:val="auto"/>
        </w:rPr>
      </w:pPr>
      <w:r>
        <w:rPr>
          <w:rFonts w:ascii="Times New Roman" w:cs="Times New Roman" w:eastAsia="Times New Roman" w:hAnsi="Times New Roman"/>
          <w:sz w:val="13"/>
          <w:szCs w:val="13"/>
          <w:color w:val="auto"/>
        </w:rPr>
        <w:t>Our existing stockholders who participate in an offering below net asset value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261" w:right="1440" w:bottom="1440" w:gutter="0" w:footer="0" w:header="0"/>
        </w:sectPr>
      </w:pPr>
    </w:p>
    <w:bookmarkStart w:id="110" w:name="page111"/>
    <w:bookmarkEnd w:id="110"/>
    <w:p>
      <w:pPr>
        <w:ind w:left="240" w:right="2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at which the Company may sell shares pursuant to this authority.</w:t>
      </w:r>
    </w:p>
    <w:p>
      <w:pPr>
        <w:spacing w:after="0" w:line="144"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16.3 million shares) rather than its 0.10% proportionate share and (b) 150% of such percentage (i.e., 0.15% of an offering of 16.3 million shares) rather than its 0.10% proportionate share. The prospectus pursuant to which any discounted offering is made will include a chart for these examples based on the actual number of shares in such offering and the actual discount from the most recently determined net asset value. It is not possible to predict the level of market price decline that may occur. These examples are provided for illustrative purposes only.</w:t>
      </w:r>
    </w:p>
    <w:p>
      <w:pPr>
        <w:spacing w:after="0" w:line="162" w:lineRule="exact"/>
        <w:rPr>
          <w:sz w:val="20"/>
          <w:szCs w:val="20"/>
          <w:color w:val="auto"/>
        </w:rPr>
      </w:pPr>
    </w:p>
    <w:tbl>
      <w:tblPr>
        <w:tblLayout w:type="fixed"/>
        <w:tblInd w:w="240" w:type="dxa"/>
        <w:tblCellMar>
          <w:top w:w="0" w:type="dxa"/>
          <w:left w:w="0" w:type="dxa"/>
          <w:bottom w:w="0" w:type="dxa"/>
          <w:right w:w="0" w:type="dxa"/>
        </w:tblCellMar>
      </w:tblPr>
      <w:tr>
        <w:trPr>
          <w:trHeight w:val="134"/>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Prior to Sale</w:t>
            </w:r>
          </w:p>
        </w:tc>
        <w:tc>
          <w:tcPr>
            <w:tcW w:w="80" w:type="dxa"/>
            <w:vAlign w:val="bottom"/>
          </w:tcPr>
          <w:p>
            <w:pPr>
              <w:spacing w:after="0"/>
              <w:rPr>
                <w:sz w:val="11"/>
                <w:szCs w:val="11"/>
                <w:color w:val="auto"/>
              </w:rPr>
            </w:pPr>
          </w:p>
        </w:tc>
        <w:tc>
          <w:tcPr>
            <w:tcW w:w="1720" w:type="dxa"/>
            <w:vAlign w:val="bottom"/>
            <w:gridSpan w:val="4"/>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50% Participation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4"/>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150% Participation</w:t>
            </w:r>
          </w:p>
        </w:tc>
      </w:tr>
      <w:tr>
        <w:trPr>
          <w:trHeight w:val="86"/>
        </w:trPr>
        <w:tc>
          <w:tcPr>
            <w:tcW w:w="3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tcPr>
          <w:p>
            <w:pPr>
              <w:jc w:val="center"/>
              <w:ind w:right="500"/>
              <w:spacing w:after="0" w:line="87" w:lineRule="exact"/>
              <w:rPr>
                <w:sz w:val="20"/>
                <w:szCs w:val="20"/>
                <w:color w:val="auto"/>
              </w:rPr>
            </w:pPr>
            <w:r>
              <w:rPr>
                <w:rFonts w:ascii="Times New Roman" w:cs="Times New Roman" w:eastAsia="Times New Roman" w:hAnsi="Times New Roman"/>
                <w:sz w:val="10"/>
                <w:szCs w:val="10"/>
                <w:b w:val="1"/>
                <w:bCs w:val="1"/>
                <w:color w:val="auto"/>
              </w:rPr>
              <w:t>Below net</w:t>
            </w:r>
          </w:p>
        </w:tc>
        <w:tc>
          <w:tcPr>
            <w:tcW w:w="8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gridSpan w:val="2"/>
          </w:tcPr>
          <w:p>
            <w:pPr>
              <w:jc w:val="right"/>
              <w:ind w:right="540"/>
              <w:spacing w:after="0" w:line="87" w:lineRule="exact"/>
              <w:rPr>
                <w:sz w:val="20"/>
                <w:szCs w:val="20"/>
                <w:color w:val="auto"/>
              </w:rPr>
            </w:pPr>
            <w:r>
              <w:rPr>
                <w:rFonts w:ascii="Times New Roman" w:cs="Times New Roman" w:eastAsia="Times New Roman" w:hAnsi="Times New Roman"/>
                <w:sz w:val="10"/>
                <w:szCs w:val="10"/>
                <w:b w:val="1"/>
                <w:bCs w:val="1"/>
                <w:color w:val="auto"/>
              </w:rPr>
              <w:t>Following</w:t>
            </w:r>
          </w:p>
        </w:tc>
        <w:tc>
          <w:tcPr>
            <w:tcW w:w="360" w:type="dxa"/>
            <w:vAlign w:val="bottom"/>
            <w:tcBorders>
              <w:top w:val="single" w:sz="8" w:color="auto"/>
            </w:tcBorders>
          </w:tcPr>
          <w:p>
            <w:pPr>
              <w:jc w:val="right"/>
              <w:ind w:right="54"/>
              <w:spacing w:after="0" w:line="87" w:lineRule="exact"/>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gridSpan w:val="2"/>
          </w:tcPr>
          <w:p>
            <w:pPr>
              <w:jc w:val="center"/>
              <w:ind w:right="480"/>
              <w:spacing w:after="0" w:line="87" w:lineRule="exact"/>
              <w:rPr>
                <w:sz w:val="20"/>
                <w:szCs w:val="20"/>
                <w:color w:val="auto"/>
              </w:rPr>
            </w:pPr>
            <w:r>
              <w:rPr>
                <w:rFonts w:ascii="Times New Roman" w:cs="Times New Roman" w:eastAsia="Times New Roman" w:hAnsi="Times New Roman"/>
                <w:sz w:val="10"/>
                <w:szCs w:val="10"/>
                <w:b w:val="1"/>
                <w:bCs w:val="1"/>
                <w:color w:val="auto"/>
              </w:rPr>
              <w:t>Following</w:t>
            </w:r>
          </w:p>
        </w:tc>
        <w:tc>
          <w:tcPr>
            <w:tcW w:w="380" w:type="dxa"/>
            <w:vAlign w:val="bottom"/>
            <w:tcBorders>
              <w:top w:val="single" w:sz="8" w:color="auto"/>
            </w:tcBorders>
          </w:tcPr>
          <w:p>
            <w:pPr>
              <w:jc w:val="right"/>
              <w:ind w:right="74"/>
              <w:spacing w:after="0" w:line="87"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7"/>
                <w:szCs w:val="7"/>
                <w:color w:val="auto"/>
              </w:rPr>
            </w:pPr>
          </w:p>
        </w:tc>
      </w:tr>
      <w:tr>
        <w:trPr>
          <w:trHeight w:val="134"/>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w w:val="99"/>
              </w:rPr>
              <w:t>asset value</w:t>
            </w:r>
          </w:p>
        </w:tc>
        <w:tc>
          <w:tcPr>
            <w:tcW w:w="80" w:type="dxa"/>
            <w:vAlign w:val="bottom"/>
          </w:tcPr>
          <w:p>
            <w:pPr>
              <w:spacing w:after="0"/>
              <w:rPr>
                <w:sz w:val="11"/>
                <w:szCs w:val="11"/>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9"/>
              </w:rPr>
              <w:t>Change</w:t>
            </w:r>
          </w:p>
        </w:tc>
      </w:tr>
      <w:tr>
        <w:trPr>
          <w:trHeight w:val="147"/>
        </w:trPr>
        <w:tc>
          <w:tcPr>
            <w:tcW w:w="36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r>
      <w:tr>
        <w:trPr>
          <w:trHeight w:val="167"/>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Price per Share to Public</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7"/>
        </w:trPr>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Proceeds per Share to Issuer</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7"/>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Decrease/Increase to Net Asset Value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7"/>
        </w:trPr>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Shares Offered</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w w:val="95"/>
              </w:rPr>
              <w:t>15,154,308</w:t>
            </w: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15,154,308</w:t>
            </w: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7"/>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Shares Outstanding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w w:val="95"/>
              </w:rPr>
              <w:t>81,389,287</w:t>
            </w:r>
          </w:p>
        </w:tc>
        <w:tc>
          <w:tcPr>
            <w:tcW w:w="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w w:val="95"/>
              </w:rPr>
              <w:t>97,667,144</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97,667,144</w:t>
            </w:r>
          </w:p>
        </w:tc>
        <w:tc>
          <w:tcPr>
            <w:tcW w:w="42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20.00%</w:t>
            </w:r>
          </w:p>
        </w:tc>
      </w:tr>
      <w:tr>
        <w:trPr>
          <w:trHeight w:val="167"/>
        </w:trPr>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Asset Value per Share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4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4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(3.32)%</w:t>
            </w:r>
          </w:p>
        </w:tc>
      </w:tr>
      <w:tr>
        <w:trPr>
          <w:trHeight w:val="151"/>
        </w:trPr>
        <w:tc>
          <w:tcPr>
            <w:tcW w:w="364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Dilution/Accretion to Participating Stockholder 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4"/>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Held by Stockholder A</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7"/>
        </w:trPr>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Shares Held by Stockholder A</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81,389</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89,528</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105,806</w:t>
            </w:r>
          </w:p>
        </w:tc>
        <w:tc>
          <w:tcPr>
            <w:tcW w:w="4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30.00%</w:t>
            </w:r>
          </w:p>
        </w:tc>
      </w:tr>
      <w:tr>
        <w:trPr>
          <w:trHeight w:val="167"/>
        </w:trPr>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Percentage Held by Stockholder 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0.10%</w:t>
            </w:r>
          </w:p>
        </w:tc>
        <w:tc>
          <w:tcPr>
            <w:tcW w:w="8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0.09%</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(8.33)%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0.11%</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8.33%</w:t>
            </w:r>
          </w:p>
        </w:tc>
      </w:tr>
      <w:tr>
        <w:trPr>
          <w:trHeight w:val="167"/>
        </w:trPr>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Net Asset Value Held by Stockholder A</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1,341,570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1,426,491</w:t>
            </w:r>
          </w:p>
        </w:tc>
        <w:tc>
          <w:tcPr>
            <w:tcW w:w="4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1,685,854</w:t>
            </w:r>
          </w:p>
        </w:tc>
        <w:tc>
          <w:tcPr>
            <w:tcW w:w="4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25.66%</w:t>
            </w:r>
          </w:p>
        </w:tc>
      </w:tr>
      <w:tr>
        <w:trPr>
          <w:trHeight w:val="153"/>
        </w:trPr>
        <w:tc>
          <w:tcPr>
            <w:tcW w:w="364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Total Investment by Stockholder A (Assumed to be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2"/>
        </w:trPr>
        <w:tc>
          <w:tcPr>
            <w:tcW w:w="36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$16.48 per Share on Shares Held Prior to Sale)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1,341,570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1,454,521</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1,680,423</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53"/>
        </w:trPr>
        <w:tc>
          <w:tcPr>
            <w:tcW w:w="3640" w:type="dxa"/>
            <w:vAlign w:val="bottom"/>
            <w:shd w:val="clear" w:color="auto" w:fill="CCEEFF"/>
          </w:tcPr>
          <w:p>
            <w:pPr>
              <w:ind w:left="280"/>
              <w:spacing w:after="0" w:line="153" w:lineRule="exact"/>
              <w:rPr>
                <w:sz w:val="20"/>
                <w:szCs w:val="20"/>
                <w:color w:val="auto"/>
              </w:rPr>
            </w:pPr>
            <w:r>
              <w:rPr>
                <w:rFonts w:ascii="Times New Roman" w:cs="Times New Roman" w:eastAsia="Times New Roman" w:hAnsi="Times New Roman"/>
                <w:sz w:val="14"/>
                <w:szCs w:val="14"/>
                <w:color w:val="auto"/>
              </w:rPr>
              <w:t>Total Dilution/Accretion to Stockholder A (Total Net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r>
      <w:tr>
        <w:trPr>
          <w:trHeight w:val="182"/>
        </w:trPr>
        <w:tc>
          <w:tcPr>
            <w:tcW w:w="3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Asset Value Less Total Investment)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(28,030)</w:t>
            </w: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w:t>
            </w:r>
          </w:p>
        </w:tc>
        <w:tc>
          <w:tcPr>
            <w:tcW w:w="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53"/>
        </w:trPr>
        <w:tc>
          <w:tcPr>
            <w:tcW w:w="364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Investment per Share Held by Stockholder A (Assumed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2"/>
        </w:trPr>
        <w:tc>
          <w:tcPr>
            <w:tcW w:w="36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 be $16.48 per Share on Shares Held Prior to Sale)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4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42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(3.63)%</w:t>
            </w:r>
          </w:p>
        </w:tc>
      </w:tr>
      <w:tr>
        <w:trPr>
          <w:trHeight w:val="167"/>
        </w:trPr>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Asset Value per Share Held by Stockholder A</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53"/>
        </w:trPr>
        <w:tc>
          <w:tcPr>
            <w:tcW w:w="364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Dilution/Accretion per Share Held by Stockholder A (Net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2"/>
        </w:trPr>
        <w:tc>
          <w:tcPr>
            <w:tcW w:w="36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Asset Value per Share Less Investment per Share)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(0.31)</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0.05</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53"/>
        </w:trPr>
        <w:tc>
          <w:tcPr>
            <w:tcW w:w="3640" w:type="dxa"/>
            <w:vAlign w:val="bottom"/>
            <w:shd w:val="clear" w:color="auto" w:fill="CCEEFF"/>
          </w:tcPr>
          <w:p>
            <w:pPr>
              <w:ind w:left="280"/>
              <w:spacing w:after="0" w:line="153" w:lineRule="exact"/>
              <w:rPr>
                <w:sz w:val="20"/>
                <w:szCs w:val="20"/>
                <w:color w:val="auto"/>
              </w:rPr>
            </w:pPr>
            <w:r>
              <w:rPr>
                <w:rFonts w:ascii="Times New Roman" w:cs="Times New Roman" w:eastAsia="Times New Roman" w:hAnsi="Times New Roman"/>
                <w:sz w:val="14"/>
                <w:szCs w:val="14"/>
                <w:color w:val="auto"/>
              </w:rPr>
              <w:t>Percentage Dilution/Accretion to Stockholder A (Dilution</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r>
      <w:tr>
        <w:trPr>
          <w:trHeight w:val="182"/>
        </w:trPr>
        <w:tc>
          <w:tcPr>
            <w:tcW w:w="3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per Share Divided by Investment per Share)</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0.32%</w:t>
            </w:r>
          </w:p>
        </w:tc>
      </w:tr>
      <w:tr>
        <w:trPr>
          <w:trHeight w:val="283"/>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59</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9019"/>
          </w:cols>
          <w:pgMar w:left="1440" w:top="261" w:right="1440" w:bottom="1440" w:gutter="0" w:footer="0" w:header="0"/>
        </w:sectPr>
      </w:pPr>
    </w:p>
    <w:bookmarkStart w:id="111" w:name="page112"/>
    <w:bookmarkEnd w:id="111"/>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Impact on New Investors</w:t>
      </w:r>
    </w:p>
    <w:p>
      <w:pPr>
        <w:spacing w:after="0" w:line="92" w:lineRule="exact"/>
        <w:rPr>
          <w:sz w:val="20"/>
          <w:szCs w:val="20"/>
          <w:color w:val="auto"/>
        </w:rPr>
      </w:pPr>
    </w:p>
    <w:p>
      <w:pPr>
        <w:ind w:left="240" w:right="259" w:firstLine="341"/>
        <w:spacing w:after="0" w:line="252" w:lineRule="auto"/>
        <w:rPr>
          <w:sz w:val="20"/>
          <w:szCs w:val="20"/>
          <w:color w:val="auto"/>
        </w:rPr>
      </w:pPr>
      <w:r>
        <w:rPr>
          <w:rFonts w:ascii="Times New Roman" w:cs="Times New Roman" w:eastAsia="Times New Roman" w:hAnsi="Times New Roman"/>
          <w:sz w:val="14"/>
          <w:szCs w:val="14"/>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47" w:lineRule="exact"/>
        <w:rPr>
          <w:sz w:val="20"/>
          <w:szCs w:val="20"/>
          <w:color w:val="auto"/>
        </w:rPr>
      </w:pPr>
    </w:p>
    <w:p>
      <w:pPr>
        <w:ind w:left="240" w:right="379" w:firstLine="341"/>
        <w:spacing w:after="0" w:line="275" w:lineRule="auto"/>
        <w:rPr>
          <w:sz w:val="20"/>
          <w:szCs w:val="20"/>
          <w:color w:val="auto"/>
        </w:rPr>
      </w:pPr>
      <w:r>
        <w:rPr>
          <w:rFonts w:ascii="Times New Roman" w:cs="Times New Roman" w:eastAsia="Times New Roman" w:hAnsi="Times New Roman"/>
          <w:sz w:val="13"/>
          <w:szCs w:val="13"/>
          <w:color w:val="auto"/>
        </w:rPr>
        <w:t>The example assumes that the issuer has 81.4 million shares outstanding, $2.8 billion in total assets and $1.5 billion in total liabilities. The net asset value and NAV per share are thus $1.3 billion and $16.48 per share. The chart illustrates the dilutive effect on Stockholder A of (a) an offering of 4.1 million shares of common stock (5% of the outstanding shares) at $15.66 per share after offering expenses and commissions (a 5% discount from NAV per share), (b) an offering of 8.1 million shares of common stock (10% of the outstanding shares) at $14.83 per share after offering expenses and commissions (a 10% discount from NAV per share), (c) an offering of 16.3 million shares of common stock (20% of the outstanding shares) at $13.18 per share after offering expenses and commissions (a 20% discount from NAV per share), and (d) an offering of 20.3 million shares of common stock (25% of the outstanding shares) at $12.36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019"/>
          </w:cols>
          <w:pgMar w:left="1440" w:top="259" w:right="1440" w:bottom="1440" w:gutter="0" w:footer="0" w:header="0"/>
        </w:sectPr>
      </w:pPr>
    </w:p>
    <w:bookmarkStart w:id="112" w:name="page113"/>
    <w:bookmarkEnd w:id="112"/>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62" w:lineRule="exact"/>
        <w:rPr>
          <w:sz w:val="20"/>
          <w:szCs w:val="20"/>
          <w:color w:val="auto"/>
        </w:rPr>
      </w:pPr>
    </w:p>
    <w:tbl>
      <w:tblPr>
        <w:tblLayout w:type="fixed"/>
        <w:tblInd w:w="240" w:type="dxa"/>
        <w:tblCellMar>
          <w:top w:w="0" w:type="dxa"/>
          <w:left w:w="0" w:type="dxa"/>
          <w:bottom w:w="0" w:type="dxa"/>
          <w:right w:w="0" w:type="dxa"/>
        </w:tblCellMar>
      </w:tblPr>
      <w:tr>
        <w:trPr>
          <w:trHeight w:val="134"/>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Example 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Example 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4"/>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Example 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left="262"/>
              <w:spacing w:after="0"/>
              <w:rPr>
                <w:sz w:val="20"/>
                <w:szCs w:val="20"/>
                <w:color w:val="auto"/>
              </w:rPr>
            </w:pPr>
            <w:r>
              <w:rPr>
                <w:rFonts w:ascii="Times New Roman" w:cs="Times New Roman" w:eastAsia="Times New Roman" w:hAnsi="Times New Roman"/>
                <w:sz w:val="11"/>
                <w:szCs w:val="11"/>
                <w:b w:val="1"/>
                <w:bCs w:val="1"/>
                <w:color w:val="auto"/>
              </w:rPr>
              <w:t>Example 4</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86"/>
        </w:trPr>
        <w:tc>
          <w:tcPr>
            <w:tcW w:w="18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gridSpan w:val="3"/>
          </w:tcPr>
          <w:p>
            <w:pPr>
              <w:jc w:val="center"/>
              <w:ind w:right="4"/>
              <w:spacing w:after="0" w:line="87" w:lineRule="exact"/>
              <w:rPr>
                <w:sz w:val="20"/>
                <w:szCs w:val="20"/>
                <w:color w:val="auto"/>
              </w:rPr>
            </w:pPr>
            <w:r>
              <w:rPr>
                <w:rFonts w:ascii="Times New Roman" w:cs="Times New Roman" w:eastAsia="Times New Roman" w:hAnsi="Times New Roman"/>
                <w:sz w:val="10"/>
                <w:szCs w:val="10"/>
                <w:b w:val="1"/>
                <w:bCs w:val="1"/>
                <w:color w:val="auto"/>
              </w:rPr>
              <w:t>5% Offering at 5%</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gridSpan w:val="3"/>
          </w:tcPr>
          <w:p>
            <w:pPr>
              <w:jc w:val="center"/>
              <w:ind w:right="4"/>
              <w:spacing w:after="0" w:line="87" w:lineRule="exact"/>
              <w:rPr>
                <w:sz w:val="20"/>
                <w:szCs w:val="20"/>
                <w:color w:val="auto"/>
              </w:rPr>
            </w:pPr>
            <w:r>
              <w:rPr>
                <w:rFonts w:ascii="Times New Roman" w:cs="Times New Roman" w:eastAsia="Times New Roman" w:hAnsi="Times New Roman"/>
                <w:sz w:val="10"/>
                <w:szCs w:val="10"/>
                <w:b w:val="1"/>
                <w:bCs w:val="1"/>
                <w:color w:val="auto"/>
              </w:rPr>
              <w:t>10% Offering at</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gridSpan w:val="3"/>
          </w:tcPr>
          <w:p>
            <w:pPr>
              <w:jc w:val="center"/>
              <w:ind w:right="4"/>
              <w:spacing w:after="0" w:line="87" w:lineRule="exact"/>
              <w:rPr>
                <w:sz w:val="20"/>
                <w:szCs w:val="20"/>
                <w:color w:val="auto"/>
              </w:rPr>
            </w:pPr>
            <w:r>
              <w:rPr>
                <w:rFonts w:ascii="Times New Roman" w:cs="Times New Roman" w:eastAsia="Times New Roman" w:hAnsi="Times New Roman"/>
                <w:sz w:val="10"/>
                <w:szCs w:val="10"/>
                <w:b w:val="1"/>
                <w:bCs w:val="1"/>
                <w:color w:val="auto"/>
              </w:rPr>
              <w:t>20% Offering at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3"/>
          </w:tcPr>
          <w:p>
            <w:pPr>
              <w:jc w:val="center"/>
              <w:ind w:right="4"/>
              <w:spacing w:after="0" w:line="87" w:lineRule="exact"/>
              <w:rPr>
                <w:sz w:val="20"/>
                <w:szCs w:val="20"/>
                <w:color w:val="auto"/>
              </w:rPr>
            </w:pPr>
            <w:r>
              <w:rPr>
                <w:rFonts w:ascii="Times New Roman" w:cs="Times New Roman" w:eastAsia="Times New Roman" w:hAnsi="Times New Roman"/>
                <w:sz w:val="10"/>
                <w:szCs w:val="10"/>
                <w:b w:val="1"/>
                <w:bCs w:val="1"/>
                <w:color w:val="auto"/>
              </w:rPr>
              <w:t>25% Offering at</w:t>
            </w:r>
          </w:p>
        </w:tc>
        <w:tc>
          <w:tcPr>
            <w:tcW w:w="180" w:type="dxa"/>
            <w:vAlign w:val="bottom"/>
          </w:tcPr>
          <w:p>
            <w:pPr>
              <w:spacing w:after="0"/>
              <w:rPr>
                <w:sz w:val="7"/>
                <w:szCs w:val="7"/>
                <w:color w:val="auto"/>
              </w:rPr>
            </w:pPr>
          </w:p>
        </w:tc>
      </w:tr>
      <w:tr>
        <w:trPr>
          <w:trHeight w:val="134"/>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Prior to</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left="262"/>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10% Discount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4"/>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20% Discount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25% Discount</w:t>
            </w:r>
          </w:p>
        </w:tc>
      </w:tr>
      <w:tr>
        <w:trPr>
          <w:trHeight w:val="86"/>
        </w:trPr>
        <w:tc>
          <w:tcPr>
            <w:tcW w:w="18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tcPr>
          <w:p>
            <w:pPr>
              <w:jc w:val="center"/>
              <w:ind w:right="220"/>
              <w:spacing w:after="0" w:line="87" w:lineRule="exact"/>
              <w:rPr>
                <w:sz w:val="20"/>
                <w:szCs w:val="20"/>
                <w:color w:val="auto"/>
              </w:rPr>
            </w:pPr>
            <w:r>
              <w:rPr>
                <w:rFonts w:ascii="Times New Roman" w:cs="Times New Roman" w:eastAsia="Times New Roman" w:hAnsi="Times New Roman"/>
                <w:sz w:val="10"/>
                <w:szCs w:val="10"/>
                <w:b w:val="1"/>
                <w:bCs w:val="1"/>
                <w:color w:val="auto"/>
              </w:rPr>
              <w:t>Sale</w:t>
            </w: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80" w:type="dxa"/>
            <w:vAlign w:val="bottom"/>
            <w:tcBorders>
              <w:top w:val="single" w:sz="8" w:color="auto"/>
            </w:tcBorders>
            <w:gridSpan w:val="2"/>
          </w:tcPr>
          <w:p>
            <w:pPr>
              <w:jc w:val="right"/>
              <w:ind w:right="300"/>
              <w:spacing w:after="0" w:line="87" w:lineRule="exact"/>
              <w:rPr>
                <w:sz w:val="20"/>
                <w:szCs w:val="20"/>
                <w:color w:val="auto"/>
              </w:rPr>
            </w:pPr>
            <w:r>
              <w:rPr>
                <w:rFonts w:ascii="Times New Roman" w:cs="Times New Roman" w:eastAsia="Times New Roman" w:hAnsi="Times New Roman"/>
                <w:sz w:val="10"/>
                <w:szCs w:val="10"/>
                <w:b w:val="1"/>
                <w:bCs w:val="1"/>
                <w:color w:val="auto"/>
              </w:rPr>
              <w:t>Following</w:t>
            </w:r>
          </w:p>
        </w:tc>
        <w:tc>
          <w:tcPr>
            <w:tcW w:w="360" w:type="dxa"/>
            <w:vAlign w:val="bottom"/>
            <w:tcBorders>
              <w:top w:val="single" w:sz="8" w:color="auto"/>
            </w:tcBorders>
          </w:tcPr>
          <w:p>
            <w:pPr>
              <w:ind w:left="120"/>
              <w:spacing w:after="0" w:line="87"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2"/>
          </w:tcPr>
          <w:p>
            <w:pPr>
              <w:jc w:val="right"/>
              <w:ind w:right="300"/>
              <w:spacing w:after="0" w:line="87" w:lineRule="exact"/>
              <w:rPr>
                <w:sz w:val="20"/>
                <w:szCs w:val="20"/>
                <w:color w:val="auto"/>
              </w:rPr>
            </w:pPr>
            <w:r>
              <w:rPr>
                <w:rFonts w:ascii="Times New Roman" w:cs="Times New Roman" w:eastAsia="Times New Roman" w:hAnsi="Times New Roman"/>
                <w:sz w:val="10"/>
                <w:szCs w:val="10"/>
                <w:b w:val="1"/>
                <w:bCs w:val="1"/>
                <w:color w:val="auto"/>
              </w:rPr>
              <w:t>Following</w:t>
            </w:r>
          </w:p>
        </w:tc>
        <w:tc>
          <w:tcPr>
            <w:tcW w:w="360" w:type="dxa"/>
            <w:vAlign w:val="bottom"/>
            <w:tcBorders>
              <w:top w:val="single" w:sz="8" w:color="auto"/>
            </w:tcBorders>
          </w:tcPr>
          <w:p>
            <w:pPr>
              <w:jc w:val="right"/>
              <w:ind w:right="64"/>
              <w:spacing w:after="0" w:line="87"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2"/>
          </w:tcPr>
          <w:p>
            <w:pPr>
              <w:jc w:val="right"/>
              <w:ind w:right="300"/>
              <w:spacing w:after="0" w:line="87" w:lineRule="exact"/>
              <w:rPr>
                <w:sz w:val="20"/>
                <w:szCs w:val="20"/>
                <w:color w:val="auto"/>
              </w:rPr>
            </w:pPr>
            <w:r>
              <w:rPr>
                <w:rFonts w:ascii="Times New Roman" w:cs="Times New Roman" w:eastAsia="Times New Roman" w:hAnsi="Times New Roman"/>
                <w:sz w:val="10"/>
                <w:szCs w:val="10"/>
                <w:b w:val="1"/>
                <w:bCs w:val="1"/>
                <w:color w:val="auto"/>
              </w:rPr>
              <w:t>Following</w:t>
            </w:r>
          </w:p>
        </w:tc>
        <w:tc>
          <w:tcPr>
            <w:tcW w:w="360" w:type="dxa"/>
            <w:vAlign w:val="bottom"/>
            <w:tcBorders>
              <w:top w:val="single" w:sz="8" w:color="auto"/>
            </w:tcBorders>
          </w:tcPr>
          <w:p>
            <w:pPr>
              <w:jc w:val="right"/>
              <w:ind w:right="64"/>
              <w:spacing w:after="0" w:line="87"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right"/>
              <w:ind w:right="320"/>
              <w:spacing w:after="0" w:line="87" w:lineRule="exact"/>
              <w:rPr>
                <w:sz w:val="20"/>
                <w:szCs w:val="20"/>
                <w:color w:val="auto"/>
              </w:rPr>
            </w:pPr>
            <w:r>
              <w:rPr>
                <w:rFonts w:ascii="Times New Roman" w:cs="Times New Roman" w:eastAsia="Times New Roman" w:hAnsi="Times New Roman"/>
                <w:sz w:val="10"/>
                <w:szCs w:val="10"/>
                <w:b w:val="1"/>
                <w:bCs w:val="1"/>
                <w:color w:val="auto"/>
              </w:rPr>
              <w:t>Following</w:t>
            </w:r>
          </w:p>
        </w:tc>
        <w:tc>
          <w:tcPr>
            <w:tcW w:w="380" w:type="dxa"/>
            <w:vAlign w:val="bottom"/>
            <w:tcBorders>
              <w:top w:val="single" w:sz="8" w:color="auto"/>
            </w:tcBorders>
          </w:tcPr>
          <w:p>
            <w:pPr>
              <w:jc w:val="right"/>
              <w:ind w:right="84"/>
              <w:spacing w:after="0" w:line="87"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7"/>
                <w:szCs w:val="7"/>
                <w:color w:val="auto"/>
              </w:rPr>
            </w:pPr>
          </w:p>
        </w:tc>
      </w:tr>
      <w:tr>
        <w:trPr>
          <w:trHeight w:val="134"/>
        </w:trPr>
        <w:tc>
          <w:tcPr>
            <w:tcW w:w="1880" w:type="dxa"/>
            <w:vAlign w:val="bottom"/>
          </w:tcPr>
          <w:p>
            <w:pPr>
              <w:spacing w:after="0"/>
              <w:rPr>
                <w:sz w:val="11"/>
                <w:szCs w:val="11"/>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Below NAV</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06"/>
        </w:trPr>
        <w:tc>
          <w:tcPr>
            <w:tcW w:w="188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Offering Price</w:t>
            </w: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r>
      <w:tr>
        <w:trPr>
          <w:trHeight w:val="126"/>
        </w:trPr>
        <w:tc>
          <w:tcPr>
            <w:tcW w:w="18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Price per Share to Public</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16.48</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15.61</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13.88</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13.01</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26"/>
        </w:trPr>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Net Proceeds per Share to Issuer</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15.66</w:t>
            </w: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14.83</w:t>
            </w: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13.18</w:t>
            </w: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12.36</w:t>
            </w: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09"/>
        </w:trPr>
        <w:tc>
          <w:tcPr>
            <w:tcW w:w="188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Decrease/Increase to Net Asset</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43"/>
        </w:trPr>
        <w:tc>
          <w:tcPr>
            <w:tcW w:w="18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26"/>
        </w:trPr>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Total Shares Outstanding</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w w:val="96"/>
              </w:rPr>
              <w:t>81,389,287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w w:val="96"/>
              </w:rPr>
              <w:t>85,458,751</w:t>
            </w: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w w:val="92"/>
              </w:rPr>
              <w:t>89,528,216</w:t>
            </w: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w w:val="96"/>
              </w:rPr>
              <w:t>97,667,144</w:t>
            </w: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w w:val="96"/>
              </w:rPr>
              <w:t>101,736,609</w:t>
            </w: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26"/>
        </w:trPr>
        <w:tc>
          <w:tcPr>
            <w:tcW w:w="18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Shares Offered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4,069,464</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8,138,929</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w w:val="96"/>
              </w:rPr>
              <w:t>16,277,857</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20,347,322</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26"/>
        </w:trPr>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Net Asset Value per Share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16.48</w:t>
            </w:r>
          </w:p>
        </w:tc>
        <w:tc>
          <w:tcPr>
            <w:tcW w:w="1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16.44</w:t>
            </w:r>
          </w:p>
        </w:tc>
        <w:tc>
          <w:tcPr>
            <w:tcW w:w="56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2"/>
                <w:szCs w:val="12"/>
                <w:color w:val="auto"/>
              </w:rPr>
              <w:t>(0.22)%</w:t>
            </w:r>
          </w:p>
        </w:tc>
        <w:tc>
          <w:tcPr>
            <w:tcW w:w="140" w:type="dxa"/>
            <w:vAlign w:val="bottom"/>
            <w:gridSpan w:val="2"/>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16.33</w:t>
            </w:r>
          </w:p>
        </w:tc>
        <w:tc>
          <w:tcPr>
            <w:tcW w:w="560" w:type="dxa"/>
            <w:vAlign w:val="bottom"/>
            <w:gridSpan w:val="2"/>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2"/>
                <w:szCs w:val="12"/>
                <w:color w:val="auto"/>
              </w:rPr>
              <w:t>(0.89)%</w:t>
            </w:r>
          </w:p>
        </w:tc>
        <w:tc>
          <w:tcPr>
            <w:tcW w:w="14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15.93</w:t>
            </w:r>
          </w:p>
        </w:tc>
        <w:tc>
          <w:tcPr>
            <w:tcW w:w="58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(3.32)%</w:t>
            </w:r>
          </w:p>
        </w:tc>
        <w:tc>
          <w:tcPr>
            <w:tcW w:w="1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15.66</w:t>
            </w:r>
          </w:p>
        </w:tc>
        <w:tc>
          <w:tcPr>
            <w:tcW w:w="5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2"/>
                <w:szCs w:val="12"/>
                <w:color w:val="auto"/>
              </w:rPr>
              <w:t>(4.98)%</w:t>
            </w:r>
          </w:p>
        </w:tc>
      </w:tr>
      <w:tr>
        <w:trPr>
          <w:trHeight w:val="109"/>
        </w:trPr>
        <w:tc>
          <w:tcPr>
            <w:tcW w:w="188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Dilution/Accretion to New Investor</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43"/>
        </w:trPr>
        <w:tc>
          <w:tcPr>
            <w:tcW w:w="18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A</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26"/>
        </w:trPr>
        <w:tc>
          <w:tcPr>
            <w:tcW w:w="1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Shares Held by Investor A</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4,069</w:t>
            </w: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8,139</w:t>
            </w: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16,278</w:t>
            </w: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20,347</w:t>
            </w: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26"/>
        </w:trPr>
        <w:tc>
          <w:tcPr>
            <w:tcW w:w="18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Percentage Held by Investor A</w:t>
            </w:r>
          </w:p>
        </w:tc>
        <w:tc>
          <w:tcPr>
            <w:tcW w:w="60" w:type="dxa"/>
            <w:vAlign w:val="bottom"/>
          </w:tcPr>
          <w:p>
            <w:pPr>
              <w:spacing w:after="0"/>
              <w:rPr>
                <w:sz w:val="10"/>
                <w:szCs w:val="10"/>
                <w:color w:val="auto"/>
              </w:rPr>
            </w:pPr>
          </w:p>
        </w:tc>
        <w:tc>
          <w:tcPr>
            <w:tcW w:w="7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2"/>
                <w:szCs w:val="12"/>
                <w:color w:val="auto"/>
              </w:rPr>
              <w:t>0.00%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0.00%</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0.01%</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0.02%</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0.02%</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13"/>
        </w:trPr>
        <w:tc>
          <w:tcPr>
            <w:tcW w:w="18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Total Net Asset Value Held by</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r>
      <w:tr>
        <w:trPr>
          <w:trHeight w:val="139"/>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Investor A</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66,918</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132,935</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259,363</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318,613</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13"/>
        </w:trPr>
        <w:tc>
          <w:tcPr>
            <w:tcW w:w="1880" w:type="dxa"/>
            <w:vAlign w:val="bottom"/>
          </w:tcPr>
          <w:p>
            <w:pPr>
              <w:spacing w:after="0" w:line="113" w:lineRule="exact"/>
              <w:rPr>
                <w:sz w:val="20"/>
                <w:szCs w:val="20"/>
                <w:color w:val="auto"/>
              </w:rPr>
            </w:pPr>
            <w:r>
              <w:rPr>
                <w:rFonts w:ascii="Times New Roman" w:cs="Times New Roman" w:eastAsia="Times New Roman" w:hAnsi="Times New Roman"/>
                <w:sz w:val="12"/>
                <w:szCs w:val="12"/>
                <w:color w:val="auto"/>
              </w:rPr>
              <w:t>Total Investment by Investor A (At</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39"/>
        </w:trPr>
        <w:tc>
          <w:tcPr>
            <w:tcW w:w="1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Price to Public)</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67,065</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127,070</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225,902</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264,729</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13"/>
        </w:trPr>
        <w:tc>
          <w:tcPr>
            <w:tcW w:w="18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Total Dilution/Accretion to Investor</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r>
      <w:tr>
        <w:trPr>
          <w:trHeight w:val="126"/>
        </w:trPr>
        <w:tc>
          <w:tcPr>
            <w:tcW w:w="188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2"/>
                <w:szCs w:val="12"/>
                <w:color w:val="auto"/>
              </w:rPr>
              <w:t>A (Total Net Asset Value Less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39"/>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Investment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(147)</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5,865</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33,460</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53,883</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13"/>
        </w:trPr>
        <w:tc>
          <w:tcPr>
            <w:tcW w:w="1880" w:type="dxa"/>
            <w:vAlign w:val="bottom"/>
          </w:tcPr>
          <w:p>
            <w:pPr>
              <w:spacing w:after="0" w:line="113" w:lineRule="exact"/>
              <w:rPr>
                <w:sz w:val="20"/>
                <w:szCs w:val="20"/>
                <w:color w:val="auto"/>
              </w:rPr>
            </w:pPr>
            <w:r>
              <w:rPr>
                <w:rFonts w:ascii="Times New Roman" w:cs="Times New Roman" w:eastAsia="Times New Roman" w:hAnsi="Times New Roman"/>
                <w:sz w:val="12"/>
                <w:szCs w:val="12"/>
                <w:color w:val="auto"/>
              </w:rPr>
              <w:t>Investment per Share Held by</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39"/>
        </w:trPr>
        <w:tc>
          <w:tcPr>
            <w:tcW w:w="1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Investor A</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16.48</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15.61</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13.88</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13.01</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13"/>
        </w:trPr>
        <w:tc>
          <w:tcPr>
            <w:tcW w:w="18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Net Asset Value per Share Held by</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r>
      <w:tr>
        <w:trPr>
          <w:trHeight w:val="139"/>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Investor 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16.44</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16.33</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15.93</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15.66</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13"/>
        </w:trPr>
        <w:tc>
          <w:tcPr>
            <w:tcW w:w="1880" w:type="dxa"/>
            <w:vAlign w:val="bottom"/>
          </w:tcPr>
          <w:p>
            <w:pPr>
              <w:spacing w:after="0" w:line="113" w:lineRule="exact"/>
              <w:rPr>
                <w:sz w:val="20"/>
                <w:szCs w:val="20"/>
                <w:color w:val="auto"/>
              </w:rPr>
            </w:pPr>
            <w:r>
              <w:rPr>
                <w:rFonts w:ascii="Times New Roman" w:cs="Times New Roman" w:eastAsia="Times New Roman" w:hAnsi="Times New Roman"/>
                <w:sz w:val="12"/>
                <w:szCs w:val="12"/>
                <w:color w:val="auto"/>
              </w:rPr>
              <w:t>Dilution/Accretion per Share Held</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26"/>
        </w:trPr>
        <w:tc>
          <w:tcPr>
            <w:tcW w:w="1880" w:type="dxa"/>
            <w:vAlign w:val="bottom"/>
          </w:tcPr>
          <w:p>
            <w:pPr>
              <w:ind w:left="120"/>
              <w:spacing w:after="0" w:line="126" w:lineRule="exact"/>
              <w:rPr>
                <w:sz w:val="20"/>
                <w:szCs w:val="20"/>
                <w:color w:val="auto"/>
              </w:rPr>
            </w:pPr>
            <w:r>
              <w:rPr>
                <w:rFonts w:ascii="Times New Roman" w:cs="Times New Roman" w:eastAsia="Times New Roman" w:hAnsi="Times New Roman"/>
                <w:sz w:val="12"/>
                <w:szCs w:val="12"/>
                <w:color w:val="auto"/>
              </w:rPr>
              <w:t>by Investor A (Net Asset Value</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26"/>
        </w:trPr>
        <w:tc>
          <w:tcPr>
            <w:tcW w:w="1880" w:type="dxa"/>
            <w:vAlign w:val="bottom"/>
          </w:tcPr>
          <w:p>
            <w:pPr>
              <w:ind w:left="120"/>
              <w:spacing w:after="0" w:line="126" w:lineRule="exact"/>
              <w:rPr>
                <w:sz w:val="20"/>
                <w:szCs w:val="20"/>
                <w:color w:val="auto"/>
              </w:rPr>
            </w:pPr>
            <w:r>
              <w:rPr>
                <w:rFonts w:ascii="Times New Roman" w:cs="Times New Roman" w:eastAsia="Times New Roman" w:hAnsi="Times New Roman"/>
                <w:sz w:val="12"/>
                <w:szCs w:val="12"/>
                <w:color w:val="auto"/>
              </w:rPr>
              <w:t>per Share Less Investment per</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9"/>
        </w:trPr>
        <w:tc>
          <w:tcPr>
            <w:tcW w:w="1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(0.04)</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0.72</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2.06</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2.65</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13"/>
        </w:trPr>
        <w:tc>
          <w:tcPr>
            <w:tcW w:w="18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Percentage Dilution/Accretion to</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r>
      <w:tr>
        <w:trPr>
          <w:trHeight w:val="126"/>
        </w:trPr>
        <w:tc>
          <w:tcPr>
            <w:tcW w:w="188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2"/>
                <w:szCs w:val="12"/>
                <w:color w:val="auto"/>
              </w:rPr>
              <w:t>Investor A (Dilution per Share</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39"/>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Divided by Investment per Share)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(0.22)%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4.62%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14.81%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20.35%</w:t>
            </w: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9019"/>
          </w:cols>
          <w:pgMar w:left="1440" w:top="261"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DIVIDEND REINVESTMENT PLAN</w:t>
      </w:r>
    </w:p>
    <w:p>
      <w:pPr>
        <w:spacing w:after="0" w:line="176"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4"/>
          <w:szCs w:val="14"/>
          <w:color w:val="auto"/>
        </w:rPr>
        <w:t>The information under the heading “Dividend Reinvestment Plan” in Part I, Item I of our 2022 Annual Report is incorporated by reference in this prospectus.</w:t>
      </w:r>
    </w:p>
    <w:p>
      <w:pPr>
        <w:spacing w:after="0" w:line="125" w:lineRule="exact"/>
        <w:rPr>
          <w:sz w:val="20"/>
          <w:szCs w:val="20"/>
          <w:color w:val="auto"/>
        </w:rPr>
      </w:pPr>
    </w:p>
    <w:p>
      <w:pPr>
        <w:ind w:left="240" w:right="259" w:firstLine="341"/>
        <w:spacing w:after="0" w:line="253" w:lineRule="auto"/>
        <w:rPr>
          <w:sz w:val="20"/>
          <w:szCs w:val="20"/>
          <w:color w:val="auto"/>
        </w:rPr>
      </w:pPr>
      <w:r>
        <w:rPr>
          <w:rFonts w:ascii="Times New Roman" w:cs="Times New Roman" w:eastAsia="Times New Roman" w:hAnsi="Times New Roman"/>
          <w:sz w:val="14"/>
          <w:szCs w:val="14"/>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47" w:lineRule="exact"/>
        <w:rPr>
          <w:sz w:val="20"/>
          <w:szCs w:val="20"/>
          <w:color w:val="auto"/>
        </w:rPr>
      </w:pPr>
    </w:p>
    <w:p>
      <w:pPr>
        <w:ind w:left="240" w:right="399" w:firstLine="341"/>
        <w:spacing w:after="0" w:line="281" w:lineRule="auto"/>
        <w:rPr>
          <w:sz w:val="20"/>
          <w:szCs w:val="20"/>
          <w:color w:val="auto"/>
        </w:rPr>
      </w:pPr>
      <w:r>
        <w:rPr>
          <w:rFonts w:ascii="Times New Roman" w:cs="Times New Roman" w:eastAsia="Times New Roman" w:hAnsi="Times New Roman"/>
          <w:sz w:val="14"/>
          <w:szCs w:val="14"/>
          <w:color w:val="auto"/>
        </w:rPr>
        <w:t>All correspondence concerning the plan should be directed to the plan administrator by mail at Equiniti Trust Company, LLC, Transfer Agency-Sixth Street Specialty Lending, 6201 15th Avenue, Brooklyn, NY 11219.</w:t>
      </w:r>
    </w:p>
    <w:p>
      <w:pPr>
        <w:spacing w:after="0" w:line="125" w:lineRule="exact"/>
        <w:rPr>
          <w:sz w:val="20"/>
          <w:szCs w:val="20"/>
          <w:color w:val="auto"/>
        </w:rPr>
      </w:pPr>
    </w:p>
    <w:p>
      <w:pPr>
        <w:ind w:left="240" w:right="399" w:firstLine="341"/>
        <w:spacing w:after="0" w:line="281" w:lineRule="auto"/>
        <w:rPr>
          <w:sz w:val="20"/>
          <w:szCs w:val="20"/>
          <w:color w:val="auto"/>
        </w:rPr>
      </w:pPr>
      <w:r>
        <w:rPr>
          <w:rFonts w:ascii="Times New Roman" w:cs="Times New Roman" w:eastAsia="Times New Roman" w:hAnsi="Times New Roman"/>
          <w:sz w:val="14"/>
          <w:szCs w:val="14"/>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9019"/>
          </w:cols>
          <w:pgMar w:left="1440" w:top="259"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MATERIAL U.S. FEDERAL INCOME TAX CONSIDERATIONS</w:t>
      </w:r>
    </w:p>
    <w:p>
      <w:pPr>
        <w:spacing w:after="0" w:line="176" w:lineRule="exact"/>
        <w:rPr>
          <w:sz w:val="20"/>
          <w:szCs w:val="20"/>
          <w:color w:val="auto"/>
        </w:rPr>
      </w:pPr>
    </w:p>
    <w:p>
      <w:pPr>
        <w:ind w:left="240" w:right="379" w:firstLine="341"/>
        <w:spacing w:after="0" w:line="257" w:lineRule="auto"/>
        <w:rPr>
          <w:sz w:val="20"/>
          <w:szCs w:val="20"/>
          <w:color w:val="auto"/>
        </w:rPr>
      </w:pPr>
      <w:r>
        <w:rPr>
          <w:rFonts w:ascii="Times New Roman" w:cs="Times New Roman" w:eastAsia="Times New Roman" w:hAnsi="Times New Roman"/>
          <w:sz w:val="14"/>
          <w:szCs w:val="14"/>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69" w:lineRule="exact"/>
        <w:rPr>
          <w:sz w:val="20"/>
          <w:szCs w:val="20"/>
          <w:color w:val="auto"/>
        </w:rPr>
      </w:pPr>
    </w:p>
    <w:p>
      <w:pPr>
        <w:ind w:left="980" w:hanging="411"/>
        <w:spacing w:after="0"/>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stockholders subject to the alternative minimum tax;</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(except as discussed below);</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in securities;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in securities that elect to use a mark-to-market method of accounting for securities holdings;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plans (except as discussed below);</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trusts (except as discussed below);</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taxed as partnerships or partners therein;</w:t>
      </w:r>
    </w:p>
    <w:p>
      <w:pPr>
        <w:spacing w:after="0" w:line="100" w:lineRule="exact"/>
        <w:rPr>
          <w:rFonts w:ascii="Times New Roman" w:cs="Times New Roman" w:eastAsia="Times New Roman" w:hAnsi="Times New Roman"/>
          <w:sz w:val="14"/>
          <w:szCs w:val="14"/>
          <w:color w:val="auto"/>
        </w:rPr>
      </w:pPr>
    </w:p>
    <w:p>
      <w:pPr>
        <w:ind w:left="980" w:right="319" w:hanging="411"/>
        <w:spacing w:after="0" w:line="281" w:lineRule="auto"/>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shares of common stock or preferred stock as part of a “straddle,” “hedge,” “conversion transaction,” “synthetic security” or other integrated investment;</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received our stock as compensation;</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our stock on behalf of another person as a nominee;</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are “controlled foreign corporations;”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or</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stockholders (as defined below) who have a “functional currency” other than the U.S. dollar.</w:t>
      </w:r>
    </w:p>
    <w:p>
      <w:pPr>
        <w:spacing w:after="0" w:line="174" w:lineRule="exact"/>
        <w:rPr>
          <w:sz w:val="20"/>
          <w:szCs w:val="20"/>
          <w:color w:val="auto"/>
        </w:rPr>
      </w:pPr>
    </w:p>
    <w:p>
      <w:pPr>
        <w:ind w:left="240" w:right="339" w:firstLine="341"/>
        <w:spacing w:after="0" w:line="281" w:lineRule="auto"/>
        <w:rPr>
          <w:sz w:val="20"/>
          <w:szCs w:val="20"/>
          <w:color w:val="auto"/>
        </w:rPr>
      </w:pPr>
      <w:r>
        <w:rPr>
          <w:rFonts w:ascii="Times New Roman" w:cs="Times New Roman" w:eastAsia="Times New Roman" w:hAnsi="Times New Roman"/>
          <w:sz w:val="14"/>
          <w:szCs w:val="14"/>
          <w:color w:val="auto"/>
        </w:rPr>
        <w:t>Finally, this summary does not address other U.S. federal tax consequences (such as estate, gift and Medicare contribution tax consequences), the alternative minimum tax or any state, local or foreign tax consequences.</w:t>
      </w:r>
    </w:p>
    <w:p>
      <w:pPr>
        <w:spacing w:after="0" w:line="125"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The discussion below is based upon the provisions of the Code, and U.S.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40" w:lineRule="exact"/>
        <w:rPr>
          <w:sz w:val="20"/>
          <w:szCs w:val="20"/>
          <w:color w:val="auto"/>
        </w:rPr>
      </w:pPr>
    </w:p>
    <w:p>
      <w:pPr>
        <w:ind w:left="240" w:right="439" w:firstLine="341"/>
        <w:spacing w:after="0" w:line="255" w:lineRule="auto"/>
        <w:rPr>
          <w:sz w:val="20"/>
          <w:szCs w:val="20"/>
          <w:color w:val="auto"/>
        </w:rPr>
      </w:pPr>
      <w:r>
        <w:rPr>
          <w:rFonts w:ascii="Times New Roman" w:cs="Times New Roman" w:eastAsia="Times New Roman" w:hAnsi="Times New Roman"/>
          <w:sz w:val="14"/>
          <w:szCs w:val="14"/>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46" w:lineRule="exact"/>
        <w:rPr>
          <w:sz w:val="20"/>
          <w:szCs w:val="20"/>
          <w:color w:val="auto"/>
        </w:rPr>
      </w:pPr>
    </w:p>
    <w:p>
      <w:pPr>
        <w:ind w:left="240" w:right="339" w:firstLine="341"/>
        <w:spacing w:after="0" w:line="281" w:lineRule="auto"/>
        <w:rPr>
          <w:sz w:val="20"/>
          <w:szCs w:val="20"/>
          <w:color w:val="auto"/>
        </w:rPr>
      </w:pPr>
      <w:r>
        <w:rPr>
          <w:rFonts w:ascii="Times New Roman" w:cs="Times New Roman" w:eastAsia="Times New Roman" w:hAnsi="Times New Roman"/>
          <w:sz w:val="14"/>
          <w:szCs w:val="14"/>
          <w:color w:val="auto"/>
        </w:rPr>
        <w:t>For purposes of this discussion under the heading “Material U.S. Federal Income Tax Considerations,” a “U.S. stockholder” is a beneficial owner of shares of our common stock or preferred stock that is, for U.S. federal</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9019"/>
          </w:cols>
          <w:pgMar w:left="1440" w:top="259" w:right="1440" w:bottom="1440" w:gutter="0" w:footer="0" w:header="0"/>
        </w:sectPr>
      </w:pPr>
    </w:p>
    <w:bookmarkStart w:id="115" w:name="page116"/>
    <w:bookmarkEnd w:id="115"/>
    <w:p>
      <w:pPr>
        <w:ind w:left="240" w:right="23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income tax purposes, an individual who is a citizen or resident of the United States or a domestic corporation or otherwise subject to U.S. federal income tax on a net income basis in respect of our stock.</w:t>
      </w:r>
    </w:p>
    <w:p>
      <w:pPr>
        <w:spacing w:after="0" w:line="125" w:lineRule="exact"/>
        <w:rPr>
          <w:sz w:val="20"/>
          <w:szCs w:val="20"/>
          <w:color w:val="auto"/>
        </w:rPr>
      </w:pPr>
    </w:p>
    <w:p>
      <w:pPr>
        <w:ind w:left="240" w:right="359" w:firstLine="341"/>
        <w:spacing w:after="0" w:line="281" w:lineRule="auto"/>
        <w:rPr>
          <w:sz w:val="20"/>
          <w:szCs w:val="20"/>
          <w:color w:val="auto"/>
        </w:rPr>
      </w:pPr>
      <w:r>
        <w:rPr>
          <w:rFonts w:ascii="Times New Roman" w:cs="Times New Roman" w:eastAsia="Times New Roman" w:hAnsi="Times New Roman"/>
          <w:sz w:val="14"/>
          <w:szCs w:val="14"/>
          <w:color w:val="auto"/>
        </w:rPr>
        <w:t>A “Non-U.S. stockholder” is a beneficial owner of shares of our common stock or preferred stock that is not a U.S. stockholder and not an entity taxed as a partnership.</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Regulated Investment Company Classification</w:t>
      </w:r>
    </w:p>
    <w:p>
      <w:pPr>
        <w:spacing w:after="0" w:line="92" w:lineRule="exact"/>
        <w:rPr>
          <w:sz w:val="20"/>
          <w:szCs w:val="20"/>
          <w:color w:val="auto"/>
        </w:rPr>
      </w:pPr>
    </w:p>
    <w:p>
      <w:pPr>
        <w:ind w:left="240" w:right="379" w:firstLine="341"/>
        <w:spacing w:after="0" w:line="265" w:lineRule="auto"/>
        <w:rPr>
          <w:sz w:val="20"/>
          <w:szCs w:val="20"/>
          <w:color w:val="auto"/>
        </w:rPr>
      </w:pPr>
      <w:r>
        <w:rPr>
          <w:rFonts w:ascii="Times New Roman" w:cs="Times New Roman" w:eastAsia="Times New Roman" w:hAnsi="Times New Roman"/>
          <w:sz w:val="14"/>
          <w:szCs w:val="14"/>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To maintain our status as a RIC, we must, among other things:</w:t>
      </w:r>
    </w:p>
    <w:p>
      <w:pPr>
        <w:spacing w:after="0" w:line="101" w:lineRule="exact"/>
        <w:rPr>
          <w:sz w:val="20"/>
          <w:szCs w:val="20"/>
          <w:color w:val="auto"/>
        </w:rPr>
      </w:pPr>
    </w:p>
    <w:p>
      <w:pPr>
        <w:ind w:left="980" w:hanging="411"/>
        <w:spacing w:after="0"/>
        <w:tabs>
          <w:tab w:leader="none" w:pos="9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our election under the 1940 Act to be treated as a BDC;</w:t>
      </w:r>
    </w:p>
    <w:p>
      <w:pPr>
        <w:spacing w:after="0" w:line="100" w:lineRule="exact"/>
        <w:rPr>
          <w:rFonts w:ascii="Times New Roman" w:cs="Times New Roman" w:eastAsia="Times New Roman" w:hAnsi="Times New Roman"/>
          <w:sz w:val="14"/>
          <w:szCs w:val="14"/>
          <w:color w:val="auto"/>
        </w:rPr>
      </w:pPr>
    </w:p>
    <w:p>
      <w:pPr>
        <w:ind w:left="980" w:right="439" w:hanging="411"/>
        <w:spacing w:after="0" w:line="281" w:lineRule="auto"/>
        <w:tabs>
          <w:tab w:leader="none" w:pos="9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 in each taxable year at least 90% of our gross income from dividends, interest, gains from the sale or other disposition of stock or securities and other specified categories of investment income; and</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diversified holdings so that, subject to certain exceptions and cure periods, at the end of each quarter of our taxable year:</w:t>
      </w:r>
    </w:p>
    <w:p>
      <w:pPr>
        <w:spacing w:after="0" w:line="100" w:lineRule="exact"/>
        <w:rPr>
          <w:rFonts w:ascii="Times New Roman" w:cs="Times New Roman" w:eastAsia="Times New Roman" w:hAnsi="Times New Roman"/>
          <w:sz w:val="14"/>
          <w:szCs w:val="14"/>
          <w:color w:val="auto"/>
        </w:rPr>
      </w:pPr>
    </w:p>
    <w:p>
      <w:pPr>
        <w:ind w:left="1340" w:right="319" w:hanging="342"/>
        <w:spacing w:after="0" w:line="260" w:lineRule="auto"/>
        <w:tabs>
          <w:tab w:leader="none" w:pos="134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66" w:lineRule="exact"/>
        <w:rPr>
          <w:rFonts w:ascii="Times New Roman" w:cs="Times New Roman" w:eastAsia="Times New Roman" w:hAnsi="Times New Roman"/>
          <w:sz w:val="14"/>
          <w:szCs w:val="14"/>
          <w:color w:val="auto"/>
        </w:rPr>
      </w:pPr>
    </w:p>
    <w:p>
      <w:pPr>
        <w:jc w:val="both"/>
        <w:ind w:left="1340" w:right="259" w:hanging="342"/>
        <w:spacing w:after="0" w:line="265" w:lineRule="auto"/>
        <w:tabs>
          <w:tab w:leader="none" w:pos="134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36" w:lineRule="exact"/>
        <w:rPr>
          <w:sz w:val="20"/>
          <w:szCs w:val="20"/>
          <w:color w:val="auto"/>
        </w:rPr>
      </w:pPr>
    </w:p>
    <w:p>
      <w:pPr>
        <w:jc w:val="both"/>
        <w:ind w:left="240" w:right="319" w:firstLine="341"/>
        <w:spacing w:after="0" w:line="295" w:lineRule="auto"/>
        <w:rPr>
          <w:sz w:val="20"/>
          <w:szCs w:val="20"/>
          <w:color w:val="auto"/>
        </w:rPr>
      </w:pPr>
      <w:r>
        <w:rPr>
          <w:rFonts w:ascii="Times New Roman" w:cs="Times New Roman" w:eastAsia="Times New Roman" w:hAnsi="Times New Roman"/>
          <w:sz w:val="13"/>
          <w:szCs w:val="13"/>
          <w:color w:val="auto"/>
        </w:rPr>
        <w:t>We may earn various fees, including fees that we share with our affiliates, fees for entering into amendments with respect to debt instruments we own, and fees for significant managerial assistance provided to portfolio companies, which will not be treated as qualifying income for purposes of the 90% gross income test. We may also earn other types of income that will not be treated as qualifying income for purposes of the 90% gross income test.</w:t>
      </w:r>
    </w:p>
    <w:p>
      <w:pPr>
        <w:spacing w:after="0" w:line="118"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2" w:lineRule="exact"/>
        <w:rPr>
          <w:sz w:val="20"/>
          <w:szCs w:val="20"/>
          <w:color w:val="auto"/>
        </w:rPr>
      </w:pPr>
    </w:p>
    <w:p>
      <w:pPr>
        <w:ind w:left="980" w:hanging="411"/>
        <w:spacing w:after="0"/>
        <w:tabs>
          <w:tab w:leader="none" w:pos="9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 of our net ordinary income, excluding certain ordinary gains and losses, recognized during a calendar year;</w:t>
      </w:r>
    </w:p>
    <w:p>
      <w:pPr>
        <w:spacing w:after="0" w:line="100" w:lineRule="exact"/>
        <w:rPr>
          <w:rFonts w:ascii="Times New Roman" w:cs="Times New Roman" w:eastAsia="Times New Roman" w:hAnsi="Times New Roman"/>
          <w:sz w:val="14"/>
          <w:szCs w:val="14"/>
          <w:color w:val="auto"/>
        </w:rPr>
      </w:pPr>
    </w:p>
    <w:p>
      <w:pPr>
        <w:ind w:left="980" w:right="499" w:hanging="411"/>
        <w:spacing w:after="0" w:line="281" w:lineRule="auto"/>
        <w:tabs>
          <w:tab w:leader="none" w:pos="9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98.2% of our capital gain net income, adjusted for certain ordinary gains and losses, recognized for the twelve-month period ending on October 31 of such calendar year; and</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any income or gains recognized, but not distributed, in preceding years.</w:t>
      </w:r>
    </w:p>
    <w:p>
      <w:pPr>
        <w:spacing w:after="0" w:line="174"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4"/>
          <w:szCs w:val="14"/>
          <w:color w:val="auto"/>
        </w:rPr>
        <w:t>We have previously incurred, and can be expected to incur in the future, such excise tax on a portion of our income and gains. While we intend to distribute income and capital gains to minimize exposure to the 4% excise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9019"/>
          </w:cols>
          <w:pgMar w:left="1440" w:top="261" w:right="1440" w:bottom="1440" w:gutter="0" w:footer="0" w:header="0"/>
        </w:sectPr>
      </w:pPr>
    </w:p>
    <w:bookmarkStart w:id="116" w:name="page117"/>
    <w:bookmarkEnd w:id="116"/>
    <w:p>
      <w:pPr>
        <w:ind w:left="240" w:right="31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25" w:lineRule="exact"/>
        <w:rPr>
          <w:sz w:val="20"/>
          <w:szCs w:val="20"/>
          <w:color w:val="auto"/>
        </w:rPr>
      </w:pPr>
    </w:p>
    <w:p>
      <w:pPr>
        <w:ind w:left="240" w:right="319" w:firstLine="341"/>
        <w:spacing w:after="0" w:line="260" w:lineRule="auto"/>
        <w:rPr>
          <w:sz w:val="20"/>
          <w:szCs w:val="20"/>
          <w:color w:val="auto"/>
        </w:rPr>
      </w:pPr>
      <w:r>
        <w:rPr>
          <w:rFonts w:ascii="Times New Roman" w:cs="Times New Roman" w:eastAsia="Times New Roman" w:hAnsi="Times New Roman"/>
          <w:sz w:val="14"/>
          <w:szCs w:val="14"/>
          <w:color w:val="auto"/>
        </w:rPr>
        <w:t>We generally expect to distribute substantially all of our earnings on a quarterly basis, but will reinvest dividends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66" w:lineRule="exact"/>
        <w:rPr>
          <w:sz w:val="20"/>
          <w:szCs w:val="20"/>
          <w:color w:val="auto"/>
        </w:rPr>
      </w:pPr>
    </w:p>
    <w:p>
      <w:pPr>
        <w:ind w:left="980" w:right="299" w:hanging="411"/>
        <w:spacing w:after="0" w:line="279" w:lineRule="auto"/>
        <w:tabs>
          <w:tab w:leader="none" w:pos="9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(or market discount), that original issue discount (or market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w:t>
      </w:r>
    </w:p>
    <w:p>
      <w:pPr>
        <w:spacing w:after="0" w:line="56" w:lineRule="exact"/>
        <w:rPr>
          <w:rFonts w:ascii="Times New Roman" w:cs="Times New Roman" w:eastAsia="Times New Roman" w:hAnsi="Times New Roman"/>
          <w:sz w:val="13"/>
          <w:szCs w:val="13"/>
          <w:color w:val="auto"/>
        </w:rPr>
      </w:pPr>
    </w:p>
    <w:p>
      <w:pPr>
        <w:ind w:left="980" w:right="779" w:hanging="411"/>
        <w:spacing w:after="0" w:line="281" w:lineRule="auto"/>
        <w:tabs>
          <w:tab w:leader="none" w:pos="9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25" w:lineRule="exact"/>
        <w:rPr>
          <w:sz w:val="20"/>
          <w:szCs w:val="20"/>
          <w:color w:val="auto"/>
        </w:rPr>
      </w:pPr>
    </w:p>
    <w:p>
      <w:pPr>
        <w:ind w:left="240" w:right="299" w:firstLine="341"/>
        <w:spacing w:after="0" w:line="257" w:lineRule="auto"/>
        <w:rPr>
          <w:sz w:val="20"/>
          <w:szCs w:val="20"/>
          <w:color w:val="auto"/>
        </w:rPr>
      </w:pPr>
      <w:r>
        <w:rPr>
          <w:rFonts w:ascii="Times New Roman" w:cs="Times New Roman" w:eastAsia="Times New Roman" w:hAnsi="Times New Roman"/>
          <w:sz w:val="14"/>
          <w:szCs w:val="14"/>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43"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44" w:lineRule="exact"/>
        <w:rPr>
          <w:sz w:val="20"/>
          <w:szCs w:val="20"/>
          <w:color w:val="auto"/>
        </w:rPr>
      </w:pPr>
    </w:p>
    <w:p>
      <w:pPr>
        <w:ind w:left="240" w:right="419" w:firstLine="341"/>
        <w:spacing w:after="0" w:line="281" w:lineRule="auto"/>
        <w:rPr>
          <w:sz w:val="20"/>
          <w:szCs w:val="20"/>
          <w:color w:val="auto"/>
        </w:rPr>
      </w:pPr>
      <w:r>
        <w:rPr>
          <w:rFonts w:ascii="Times New Roman" w:cs="Times New Roman" w:eastAsia="Times New Roman" w:hAnsi="Times New Roman"/>
          <w:sz w:val="14"/>
          <w:szCs w:val="14"/>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Currency Fluctuations</w:t>
      </w:r>
    </w:p>
    <w:p>
      <w:pPr>
        <w:spacing w:after="0" w:line="92"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Under Section 988 of the Code, gains or losses attributable to fluctuations in exchange rates between the time we accrue income or receivables or expenses or other liabilities denominated in a foreign currency and the time we actually collect such income or receivables or pay such liabilities are generally treated as ordinary income or loss. Similarly, gains or losses on foreign currency, foreign currency forward contracts, certain foreign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9019"/>
          </w:cols>
          <w:pgMar w:left="1440" w:top="261" w:right="1440" w:bottom="1440" w:gutter="0" w:footer="0" w:header="0"/>
        </w:sectPr>
      </w:pPr>
    </w:p>
    <w:bookmarkStart w:id="117" w:name="page118"/>
    <w:bookmarkEnd w:id="117"/>
    <w:p>
      <w:pPr>
        <w:ind w:left="240" w:right="39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currency options or futures contracts and the disposition of debt securities denominated in foreign currency, to the extent attributable to fluctuations in exchange rates between the acquisition and disposition dates, are also treated as ordinary income or loss.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Taxation of U.S. Stockholders</w:t>
      </w:r>
    </w:p>
    <w:p>
      <w:pPr>
        <w:spacing w:after="0" w:line="92" w:lineRule="exact"/>
        <w:rPr>
          <w:sz w:val="20"/>
          <w:szCs w:val="20"/>
          <w:color w:val="auto"/>
        </w:rPr>
      </w:pPr>
    </w:p>
    <w:p>
      <w:pPr>
        <w:ind w:left="240" w:right="259" w:firstLine="341"/>
        <w:spacing w:after="0" w:line="253" w:lineRule="auto"/>
        <w:rPr>
          <w:sz w:val="20"/>
          <w:szCs w:val="20"/>
          <w:color w:val="auto"/>
        </w:rPr>
      </w:pPr>
      <w:r>
        <w:rPr>
          <w:rFonts w:ascii="Times New Roman" w:cs="Times New Roman" w:eastAsia="Times New Roman" w:hAnsi="Times New Roman"/>
          <w:sz w:val="14"/>
          <w:szCs w:val="14"/>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w:t>
      </w:r>
    </w:p>
    <w:p>
      <w:pPr>
        <w:spacing w:after="0" w:line="147" w:lineRule="exact"/>
        <w:rPr>
          <w:sz w:val="20"/>
          <w:szCs w:val="20"/>
          <w:color w:val="auto"/>
        </w:rPr>
      </w:pPr>
    </w:p>
    <w:p>
      <w:pPr>
        <w:jc w:val="both"/>
        <w:ind w:left="240" w:right="399" w:firstLine="341"/>
        <w:spacing w:after="0" w:line="265" w:lineRule="auto"/>
        <w:rPr>
          <w:sz w:val="20"/>
          <w:szCs w:val="20"/>
          <w:color w:val="auto"/>
        </w:rPr>
      </w:pPr>
      <w:r>
        <w:rPr>
          <w:rFonts w:ascii="Times New Roman" w:cs="Times New Roman" w:eastAsia="Times New Roman" w:hAnsi="Times New Roman"/>
          <w:sz w:val="14"/>
          <w:szCs w:val="14"/>
          <w:color w:val="auto"/>
        </w:rPr>
        <w:t>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36" w:lineRule="exact"/>
        <w:rPr>
          <w:sz w:val="20"/>
          <w:szCs w:val="20"/>
          <w:color w:val="auto"/>
        </w:rPr>
      </w:pPr>
    </w:p>
    <w:p>
      <w:pPr>
        <w:jc w:val="both"/>
        <w:ind w:left="240" w:right="379" w:firstLine="341"/>
        <w:spacing w:after="0" w:line="260" w:lineRule="auto"/>
        <w:rPr>
          <w:sz w:val="20"/>
          <w:szCs w:val="20"/>
          <w:color w:val="auto"/>
        </w:rPr>
      </w:pPr>
      <w:r>
        <w:rPr>
          <w:rFonts w:ascii="Times New Roman" w:cs="Times New Roman" w:eastAsia="Times New Roman" w:hAnsi="Times New Roman"/>
          <w:sz w:val="14"/>
          <w:szCs w:val="14"/>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66" w:lineRule="exact"/>
        <w:rPr>
          <w:sz w:val="20"/>
          <w:szCs w:val="20"/>
          <w:color w:val="auto"/>
        </w:rPr>
      </w:pPr>
    </w:p>
    <w:p>
      <w:pPr>
        <w:ind w:left="980" w:right="579" w:hanging="411"/>
        <w:spacing w:after="0" w:line="281" w:lineRule="auto"/>
        <w:tabs>
          <w:tab w:leader="none" w:pos="9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distribute such amount in the 12-month period following the close of such prior taxable year; and</w:t>
      </w:r>
    </w:p>
    <w:p>
      <w:pPr>
        <w:spacing w:after="0" w:line="100" w:lineRule="exact"/>
        <w:rPr>
          <w:rFonts w:ascii="Times New Roman" w:cs="Times New Roman" w:eastAsia="Times New Roman" w:hAnsi="Times New Roman"/>
          <w:sz w:val="14"/>
          <w:szCs w:val="14"/>
          <w:color w:val="auto"/>
        </w:rPr>
      </w:pPr>
    </w:p>
    <w:p>
      <w:pPr>
        <w:ind w:left="980" w:right="539" w:hanging="411"/>
        <w:spacing w:after="0" w:line="281" w:lineRule="auto"/>
        <w:tabs>
          <w:tab w:leader="none" w:pos="9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 election in our U.S. federal corporate income tax return for the taxable year in which such undistributed investment company taxable income or net capital gains were recognized.</w:t>
      </w:r>
    </w:p>
    <w:p>
      <w:pPr>
        <w:spacing w:after="0" w:line="125" w:lineRule="exact"/>
        <w:rPr>
          <w:sz w:val="20"/>
          <w:szCs w:val="20"/>
          <w:color w:val="auto"/>
        </w:rPr>
      </w:pPr>
    </w:p>
    <w:p>
      <w:pPr>
        <w:ind w:left="240" w:right="539" w:firstLine="341"/>
        <w:spacing w:after="0" w:line="281" w:lineRule="auto"/>
        <w:rPr>
          <w:sz w:val="20"/>
          <w:szCs w:val="20"/>
          <w:color w:val="auto"/>
        </w:rPr>
      </w:pPr>
      <w:r>
        <w:rPr>
          <w:rFonts w:ascii="Times New Roman" w:cs="Times New Roman" w:eastAsia="Times New Roman" w:hAnsi="Times New Roman"/>
          <w:sz w:val="14"/>
          <w:szCs w:val="14"/>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25"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40"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9019"/>
          </w:cols>
          <w:pgMar w:left="1440" w:top="261" w:right="1440" w:bottom="1440" w:gutter="0" w:footer="0" w:header="0"/>
        </w:sectPr>
      </w:pPr>
    </w:p>
    <w:bookmarkStart w:id="118" w:name="page119"/>
    <w:bookmarkEnd w:id="118"/>
    <w:p>
      <w:pPr>
        <w:ind w:left="240" w:right="2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47" w:lineRule="exact"/>
        <w:rPr>
          <w:sz w:val="20"/>
          <w:szCs w:val="20"/>
          <w:color w:val="auto"/>
        </w:rPr>
      </w:pPr>
    </w:p>
    <w:p>
      <w:pPr>
        <w:jc w:val="both"/>
        <w:ind w:left="240" w:right="339" w:firstLine="341"/>
        <w:spacing w:after="0" w:line="265" w:lineRule="auto"/>
        <w:rPr>
          <w:sz w:val="20"/>
          <w:szCs w:val="20"/>
          <w:color w:val="auto"/>
        </w:rPr>
      </w:pPr>
      <w:r>
        <w:rPr>
          <w:rFonts w:ascii="Times New Roman" w:cs="Times New Roman" w:eastAsia="Times New Roman" w:hAnsi="Times New Roman"/>
          <w:sz w:val="14"/>
          <w:szCs w:val="14"/>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36"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47"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From time to time, we may offer to repurchase our outstanding shares. Stockholders who tender all shares held, or considered to be held, by them will be treated as having sold their shares and generally will realize a capital gain or loss. If a stockholder tenders fewer than all of its shares or fewer than all shares tendered are repurchased, such stockholder may be treated as having received a taxable dividend upon the tender of its shares. In such a case, there is a risk that non-tendering stockholders, and stockholders who tender some but not all of their shares or fewer than all of whose shares are repurchased, in each case whose percentage interests in us increase as a result of such tender, will be treated as having received a taxable distribution from us. The extent of such risk will vary depending upon the particular circumstances of the tender offer, and in particular whether such offer is a single and isolated event or is part of a plan for periodically redeeming shares.</w:t>
      </w:r>
    </w:p>
    <w:p>
      <w:pPr>
        <w:spacing w:after="0" w:line="147" w:lineRule="exact"/>
        <w:rPr>
          <w:sz w:val="20"/>
          <w:szCs w:val="20"/>
          <w:color w:val="auto"/>
        </w:rPr>
      </w:pPr>
    </w:p>
    <w:p>
      <w:pPr>
        <w:ind w:left="240" w:right="459" w:firstLine="341"/>
        <w:spacing w:after="0" w:line="260" w:lineRule="auto"/>
        <w:rPr>
          <w:sz w:val="20"/>
          <w:szCs w:val="20"/>
          <w:color w:val="auto"/>
        </w:rPr>
      </w:pPr>
      <w:r>
        <w:rPr>
          <w:rFonts w:ascii="Times New Roman" w:cs="Times New Roman" w:eastAsia="Times New Roman" w:hAnsi="Times New Roman"/>
          <w:sz w:val="14"/>
          <w:szCs w:val="14"/>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Under applicable U.S. Treasury regulations, if a U.S. stockholder recognizes a loss with respect to our common stock or preferred stock of</w:t>
      </w:r>
    </w:p>
    <w:p>
      <w:pPr>
        <w:spacing w:after="0" w:line="21" w:lineRule="exact"/>
        <w:rPr>
          <w:sz w:val="20"/>
          <w:szCs w:val="20"/>
          <w:color w:val="auto"/>
        </w:rPr>
      </w:pPr>
    </w:p>
    <w:p>
      <w:pPr>
        <w:ind w:left="240" w:right="239"/>
        <w:spacing w:after="0" w:line="251" w:lineRule="auto"/>
        <w:rPr>
          <w:sz w:val="20"/>
          <w:szCs w:val="20"/>
          <w:color w:val="auto"/>
        </w:rPr>
      </w:pPr>
      <w:r>
        <w:rPr>
          <w:rFonts w:ascii="Times New Roman" w:cs="Times New Roman" w:eastAsia="Times New Roman" w:hAnsi="Times New Roman"/>
          <w:sz w:val="14"/>
          <w:szCs w:val="14"/>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9019"/>
          </w:cols>
          <w:pgMar w:left="1440" w:top="261" w:right="1440" w:bottom="1440" w:gutter="0" w:footer="0" w:header="0"/>
        </w:sectPr>
      </w:pPr>
    </w:p>
    <w:bookmarkStart w:id="119" w:name="page120"/>
    <w:bookmarkEnd w:id="119"/>
    <w:p>
      <w:pPr>
        <w:ind w:left="240" w:right="35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reporting requirement. U.S. stockholders should consult their own tax advisers to determine the applicability of these U.S. Treasury regulations in light of their individual circumstances.</w:t>
      </w:r>
    </w:p>
    <w:p>
      <w:pPr>
        <w:spacing w:after="0" w:line="125" w:lineRule="exact"/>
        <w:rPr>
          <w:sz w:val="20"/>
          <w:szCs w:val="20"/>
          <w:color w:val="auto"/>
        </w:rPr>
      </w:pPr>
    </w:p>
    <w:p>
      <w:pPr>
        <w:ind w:left="240" w:right="319" w:firstLine="341"/>
        <w:spacing w:after="0" w:line="255" w:lineRule="auto"/>
        <w:rPr>
          <w:sz w:val="20"/>
          <w:szCs w:val="20"/>
          <w:color w:val="auto"/>
        </w:rPr>
      </w:pPr>
      <w:r>
        <w:rPr>
          <w:rFonts w:ascii="Times New Roman" w:cs="Times New Roman" w:eastAsia="Times New Roman" w:hAnsi="Times New Roman"/>
          <w:sz w:val="14"/>
          <w:szCs w:val="14"/>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Potential Limitation with Respect to Certain U.S. Stockholders on Deductions for Certain Fees and Expenses</w:t>
      </w:r>
    </w:p>
    <w:p>
      <w:pPr>
        <w:spacing w:after="0" w:line="92"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Taxation of Tax-Exempt U.S. Stockholders</w:t>
      </w:r>
    </w:p>
    <w:p>
      <w:pPr>
        <w:spacing w:after="0" w:line="92" w:lineRule="exact"/>
        <w:rPr>
          <w:sz w:val="20"/>
          <w:szCs w:val="20"/>
          <w:color w:val="auto"/>
        </w:rPr>
      </w:pPr>
    </w:p>
    <w:p>
      <w:pPr>
        <w:ind w:left="240" w:right="419" w:firstLine="341"/>
        <w:spacing w:after="0" w:line="276" w:lineRule="auto"/>
        <w:rPr>
          <w:sz w:val="20"/>
          <w:szCs w:val="20"/>
          <w:color w:val="auto"/>
        </w:rPr>
      </w:pPr>
      <w:r>
        <w:rPr>
          <w:rFonts w:ascii="Times New Roman" w:cs="Times New Roman" w:eastAsia="Times New Roman" w:hAnsi="Times New Roman"/>
          <w:sz w:val="13"/>
          <w:szCs w:val="13"/>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Taxation of Non-U.S. Stockholders</w:t>
      </w:r>
    </w:p>
    <w:p>
      <w:pPr>
        <w:spacing w:after="0" w:line="92"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40" w:lineRule="exact"/>
        <w:rPr>
          <w:sz w:val="20"/>
          <w:szCs w:val="20"/>
          <w:color w:val="auto"/>
        </w:rPr>
      </w:pPr>
    </w:p>
    <w:p>
      <w:pPr>
        <w:ind w:left="240" w:right="379" w:firstLine="341"/>
        <w:spacing w:after="0" w:line="281" w:lineRule="auto"/>
        <w:rPr>
          <w:sz w:val="20"/>
          <w:szCs w:val="20"/>
          <w:color w:val="auto"/>
        </w:rPr>
      </w:pPr>
      <w:r>
        <w:rPr>
          <w:rFonts w:ascii="Times New Roman" w:cs="Times New Roman" w:eastAsia="Times New Roman" w:hAnsi="Times New Roman"/>
          <w:sz w:val="14"/>
          <w:szCs w:val="14"/>
          <w:color w:val="auto"/>
        </w:rPr>
        <w:t>Distributions of our investment company taxable income that we pay to a Non-U.S. stockholder will be subject to U.S. withholding tax at a 30% rate to the extent of our current or accumulated earnings and profits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9019"/>
          </w:cols>
          <w:pgMar w:left="1440" w:top="261" w:right="1440" w:bottom="1440" w:gutter="0" w:footer="0" w:header="0"/>
        </w:sectPr>
      </w:pPr>
    </w:p>
    <w:bookmarkStart w:id="120" w:name="page121"/>
    <w:bookmarkEnd w:id="120"/>
    <w:p>
      <w:pPr>
        <w:ind w:left="240" w:right="37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40"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46" w:lineRule="exact"/>
        <w:rPr>
          <w:sz w:val="20"/>
          <w:szCs w:val="20"/>
          <w:color w:val="auto"/>
        </w:rPr>
      </w:pPr>
    </w:p>
    <w:p>
      <w:pPr>
        <w:ind w:left="240" w:right="319" w:firstLine="341"/>
        <w:spacing w:after="0" w:line="252" w:lineRule="auto"/>
        <w:rPr>
          <w:sz w:val="20"/>
          <w:szCs w:val="20"/>
          <w:color w:val="auto"/>
        </w:rPr>
      </w:pPr>
      <w:r>
        <w:rPr>
          <w:rFonts w:ascii="Times New Roman" w:cs="Times New Roman" w:eastAsia="Times New Roman" w:hAnsi="Times New Roman"/>
          <w:sz w:val="14"/>
          <w:szCs w:val="14"/>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50" w:lineRule="exact"/>
        <w:rPr>
          <w:sz w:val="20"/>
          <w:szCs w:val="20"/>
          <w:color w:val="auto"/>
        </w:rPr>
      </w:pPr>
    </w:p>
    <w:p>
      <w:pPr>
        <w:ind w:left="240" w:right="339" w:firstLine="341"/>
        <w:spacing w:after="0" w:line="257" w:lineRule="auto"/>
        <w:rPr>
          <w:sz w:val="20"/>
          <w:szCs w:val="20"/>
          <w:color w:val="auto"/>
        </w:rPr>
      </w:pPr>
      <w:r>
        <w:rPr>
          <w:rFonts w:ascii="Times New Roman" w:cs="Times New Roman" w:eastAsia="Times New Roman" w:hAnsi="Times New Roman"/>
          <w:sz w:val="14"/>
          <w:szCs w:val="14"/>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43"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47" w:lineRule="exact"/>
        <w:rPr>
          <w:sz w:val="20"/>
          <w:szCs w:val="20"/>
          <w:color w:val="auto"/>
        </w:rPr>
      </w:pPr>
    </w:p>
    <w:p>
      <w:pPr>
        <w:ind w:left="240" w:right="279" w:firstLine="341"/>
        <w:spacing w:after="0" w:line="281" w:lineRule="auto"/>
        <w:rPr>
          <w:sz w:val="20"/>
          <w:szCs w:val="20"/>
          <w:color w:val="auto"/>
        </w:rPr>
      </w:pPr>
      <w:r>
        <w:rPr>
          <w:rFonts w:ascii="Times New Roman" w:cs="Times New Roman" w:eastAsia="Times New Roman" w:hAnsi="Times New Roman"/>
          <w:sz w:val="14"/>
          <w:szCs w:val="14"/>
          <w:color w:val="auto"/>
        </w:rPr>
        <w:t>In the case of distributions made by the Company (other than capital gain dividends), additional requirements will apply to Non-U.S. stockholders that are considered for U.S. federal income tax purposes to be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9019"/>
          </w:cols>
          <w:pgMar w:left="1440" w:top="261" w:right="1440" w:bottom="1440" w:gutter="0" w:footer="0" w:header="0"/>
        </w:sectPr>
      </w:pPr>
    </w:p>
    <w:bookmarkStart w:id="121" w:name="page122"/>
    <w:bookmarkEnd w:id="121"/>
    <w:p>
      <w:pPr>
        <w:ind w:left="240" w:right="37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44" w:lineRule="exact"/>
        <w:rPr>
          <w:sz w:val="20"/>
          <w:szCs w:val="20"/>
          <w:color w:val="auto"/>
        </w:rPr>
      </w:pPr>
    </w:p>
    <w:p>
      <w:pPr>
        <w:ind w:left="240" w:right="279" w:firstLine="341"/>
        <w:spacing w:after="0" w:line="279" w:lineRule="auto"/>
        <w:rPr>
          <w:sz w:val="20"/>
          <w:szCs w:val="20"/>
          <w:color w:val="auto"/>
        </w:rPr>
      </w:pPr>
      <w:r>
        <w:rPr>
          <w:rFonts w:ascii="Times New Roman" w:cs="Times New Roman" w:eastAsia="Times New Roman" w:hAnsi="Times New Roman"/>
          <w:sz w:val="13"/>
          <w:szCs w:val="13"/>
          <w:color w:val="auto"/>
        </w:rPr>
        <w:t>A RIC is a corporation for U.S. federal income tax purposes. Under current law, a Non-U.S. stockholder will not be considered to be engaged in the conduct of a business in the United States solely by reason of its ownership in a RIC. Certain special rules apply to a Non-U.S. stockholder that is an entity qualifying for tax exemption under Section 892 of the Code. Such Non-U.S. stockholders will generally not be treated as engaged in “commercial activity” merely by virtue of its ownership of our common stock and will generally be exempt from withholding tax on dividends received on shares of our common stock. Certain special rules apply to such Non-U.S. stockholders if we qualify as a U.S. real property holding corporation and such investor owns more than 5% of such class of stock. We do not expect these special rules to apply but there cannot be any assurance thereof.</w:t>
      </w:r>
    </w:p>
    <w:p>
      <w:pPr>
        <w:spacing w:after="0" w:line="129" w:lineRule="exact"/>
        <w:rPr>
          <w:sz w:val="20"/>
          <w:szCs w:val="20"/>
          <w:color w:val="auto"/>
        </w:rPr>
      </w:pPr>
    </w:p>
    <w:p>
      <w:pPr>
        <w:ind w:left="240" w:right="339" w:firstLine="341"/>
        <w:spacing w:after="0" w:line="281" w:lineRule="auto"/>
        <w:rPr>
          <w:sz w:val="20"/>
          <w:szCs w:val="20"/>
          <w:color w:val="auto"/>
        </w:rPr>
      </w:pPr>
      <w:r>
        <w:rPr>
          <w:rFonts w:ascii="Times New Roman" w:cs="Times New Roman" w:eastAsia="Times New Roman" w:hAnsi="Times New Roman"/>
          <w:sz w:val="14"/>
          <w:szCs w:val="14"/>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25" w:lineRule="exact"/>
        <w:rPr>
          <w:sz w:val="20"/>
          <w:szCs w:val="20"/>
          <w:color w:val="auto"/>
        </w:rPr>
      </w:pPr>
    </w:p>
    <w:p>
      <w:pPr>
        <w:ind w:left="240" w:right="279" w:firstLine="341"/>
        <w:spacing w:after="0" w:line="252" w:lineRule="auto"/>
        <w:rPr>
          <w:sz w:val="20"/>
          <w:szCs w:val="20"/>
          <w:color w:val="auto"/>
        </w:rPr>
      </w:pPr>
      <w:r>
        <w:rPr>
          <w:rFonts w:ascii="Times New Roman" w:cs="Times New Roman" w:eastAsia="Times New Roman" w:hAnsi="Times New Roman"/>
          <w:sz w:val="14"/>
          <w:szCs w:val="14"/>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9019"/>
          </w:cols>
          <w:pgMar w:left="1440" w:top="261" w:right="1440"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DESCRIPTION OF OUR SECURITIES</w:t>
      </w:r>
    </w:p>
    <w:p>
      <w:pPr>
        <w:spacing w:after="0" w:line="176" w:lineRule="exact"/>
        <w:rPr>
          <w:sz w:val="20"/>
          <w:szCs w:val="20"/>
          <w:color w:val="auto"/>
        </w:rPr>
      </w:pPr>
    </w:p>
    <w:p>
      <w:pPr>
        <w:ind w:left="240" w:right="299" w:firstLine="341"/>
        <w:spacing w:after="0" w:line="265" w:lineRule="auto"/>
        <w:rPr>
          <w:sz w:val="20"/>
          <w:szCs w:val="20"/>
          <w:color w:val="auto"/>
        </w:rPr>
      </w:pPr>
      <w:r>
        <w:rPr>
          <w:rFonts w:ascii="Times New Roman" w:cs="Times New Roman" w:eastAsia="Times New Roman" w:hAnsi="Times New Roman"/>
          <w:sz w:val="14"/>
          <w:szCs w:val="14"/>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CAPITAL STOCK</w:t>
      </w:r>
    </w:p>
    <w:p>
      <w:pPr>
        <w:spacing w:after="0" w:line="176" w:lineRule="exact"/>
        <w:rPr>
          <w:sz w:val="20"/>
          <w:szCs w:val="20"/>
          <w:color w:val="auto"/>
        </w:rPr>
      </w:pPr>
    </w:p>
    <w:p>
      <w:pPr>
        <w:ind w:left="240" w:right="339" w:firstLine="341"/>
        <w:spacing w:after="0" w:line="265" w:lineRule="auto"/>
        <w:rPr>
          <w:sz w:val="20"/>
          <w:szCs w:val="20"/>
          <w:color w:val="auto"/>
        </w:rPr>
      </w:pPr>
      <w:r>
        <w:rPr>
          <w:rFonts w:ascii="Times New Roman" w:cs="Times New Roman" w:eastAsia="Times New Roman" w:hAnsi="Times New Roman"/>
          <w:sz w:val="14"/>
          <w:szCs w:val="14"/>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92" w:lineRule="exact"/>
        <w:rPr>
          <w:sz w:val="20"/>
          <w:szCs w:val="20"/>
          <w:color w:val="auto"/>
        </w:rPr>
      </w:pPr>
    </w:p>
    <w:p>
      <w:pPr>
        <w:ind w:left="240" w:right="299" w:firstLine="341"/>
        <w:spacing w:after="0" w:line="265" w:lineRule="auto"/>
        <w:rPr>
          <w:sz w:val="20"/>
          <w:szCs w:val="20"/>
          <w:color w:val="auto"/>
        </w:rPr>
      </w:pPr>
      <w:r>
        <w:rPr>
          <w:rFonts w:ascii="Times New Roman" w:cs="Times New Roman" w:eastAsia="Times New Roman" w:hAnsi="Times New Roman"/>
          <w:sz w:val="14"/>
          <w:szCs w:val="14"/>
          <w:color w:val="auto"/>
        </w:rPr>
        <w:t>Under the terms of our restated certificate of incorporation, which was adopted on June 15, 2020, our authorized capital stock consists of 400,000,000 shares of common stock, par value $0.01 per share, of which 87,578,655 shares are outstanding as of December 20, 2023, and 100,000,000 shares of preferred stock, par value $0.01 per share, of which no shares are outstanding as of December 20, 2023.</w:t>
      </w:r>
    </w:p>
    <w:p>
      <w:pPr>
        <w:spacing w:after="0" w:line="136" w:lineRule="exact"/>
        <w:rPr>
          <w:sz w:val="20"/>
          <w:szCs w:val="20"/>
          <w:color w:val="auto"/>
        </w:rPr>
      </w:pPr>
    </w:p>
    <w:p>
      <w:pPr>
        <w:jc w:val="both"/>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following presents our outstanding classes of securities as of December 20, 2023:</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gridSpan w:val="2"/>
            <w:vMerge w:val="restart"/>
          </w:tcPr>
          <w:p>
            <w:pPr>
              <w:jc w:val="center"/>
              <w:ind w:left="504"/>
              <w:spacing w:after="0"/>
              <w:rPr>
                <w:sz w:val="20"/>
                <w:szCs w:val="20"/>
                <w:color w:val="auto"/>
              </w:rPr>
            </w:pPr>
            <w:r>
              <w:rPr>
                <w:rFonts w:ascii="Times New Roman" w:cs="Times New Roman" w:eastAsia="Times New Roman" w:hAnsi="Times New Roman"/>
                <w:sz w:val="11"/>
                <w:szCs w:val="11"/>
                <w:b w:val="1"/>
                <w:bCs w:val="1"/>
                <w:color w:val="auto"/>
              </w:rPr>
              <w:t>Amount Held</w:t>
            </w:r>
          </w:p>
        </w:tc>
        <w:tc>
          <w:tcPr>
            <w:tcW w:w="1640" w:type="dxa"/>
            <w:vAlign w:val="bottom"/>
            <w:gridSpan w:val="3"/>
          </w:tcPr>
          <w:p>
            <w:pPr>
              <w:jc w:val="center"/>
              <w:ind w:left="464"/>
              <w:spacing w:after="0"/>
              <w:rPr>
                <w:sz w:val="20"/>
                <w:szCs w:val="20"/>
                <w:color w:val="auto"/>
              </w:rPr>
            </w:pPr>
            <w:r>
              <w:rPr>
                <w:rFonts w:ascii="Times New Roman" w:cs="Times New Roman" w:eastAsia="Times New Roman" w:hAnsi="Times New Roman"/>
                <w:sz w:val="11"/>
                <w:szCs w:val="11"/>
                <w:b w:val="1"/>
                <w:bCs w:val="1"/>
                <w:color w:val="auto"/>
              </w:rPr>
              <w:t>Amount Outstanding</w:t>
            </w:r>
          </w:p>
        </w:tc>
        <w:tc>
          <w:tcPr>
            <w:tcW w:w="0" w:type="dxa"/>
            <w:vAlign w:val="bottom"/>
          </w:tcPr>
          <w:p>
            <w:pPr>
              <w:spacing w:after="0"/>
              <w:rPr>
                <w:sz w:val="1"/>
                <w:szCs w:val="1"/>
                <w:color w:val="auto"/>
              </w:rPr>
            </w:pPr>
          </w:p>
        </w:tc>
      </w:tr>
      <w:tr>
        <w:trPr>
          <w:trHeight w:val="115"/>
        </w:trPr>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Exclusive of Amount</w:t>
            </w:r>
          </w:p>
        </w:tc>
        <w:tc>
          <w:tcPr>
            <w:tcW w:w="0" w:type="dxa"/>
            <w:vAlign w:val="bottom"/>
          </w:tcPr>
          <w:p>
            <w:pPr>
              <w:spacing w:after="0"/>
              <w:rPr>
                <w:sz w:val="1"/>
                <w:szCs w:val="1"/>
                <w:color w:val="auto"/>
              </w:rPr>
            </w:pPr>
          </w:p>
        </w:tc>
      </w:tr>
      <w:tr>
        <w:trPr>
          <w:trHeight w:val="115"/>
        </w:trPr>
        <w:tc>
          <w:tcPr>
            <w:tcW w:w="6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Title of Class</w:t>
            </w:r>
          </w:p>
        </w:tc>
        <w:tc>
          <w:tcPr>
            <w:tcW w:w="1480" w:type="dxa"/>
            <w:vAlign w:val="bottom"/>
            <w:vMerge w:val="restart"/>
          </w:tcPr>
          <w:p>
            <w:pPr>
              <w:spacing w:after="0"/>
              <w:rPr>
                <w:sz w:val="10"/>
                <w:szCs w:val="10"/>
                <w:color w:val="auto"/>
              </w:rPr>
            </w:pPr>
          </w:p>
        </w:tc>
        <w:tc>
          <w:tcPr>
            <w:tcW w:w="2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 Authorized</w:t>
            </w:r>
          </w:p>
        </w:tc>
        <w:tc>
          <w:tcPr>
            <w:tcW w:w="580" w:type="dxa"/>
            <w:vAlign w:val="bottom"/>
          </w:tcPr>
          <w:p>
            <w:pPr>
              <w:spacing w:after="0"/>
              <w:rPr>
                <w:sz w:val="10"/>
                <w:szCs w:val="10"/>
                <w:color w:val="auto"/>
              </w:rPr>
            </w:pPr>
          </w:p>
        </w:tc>
        <w:tc>
          <w:tcPr>
            <w:tcW w:w="6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by Us or for</w:t>
            </w:r>
          </w:p>
        </w:tc>
        <w:tc>
          <w:tcPr>
            <w:tcW w:w="580" w:type="dxa"/>
            <w:vAlign w:val="bottom"/>
          </w:tcPr>
          <w:p>
            <w:pPr>
              <w:spacing w:after="0"/>
              <w:rPr>
                <w:sz w:val="10"/>
                <w:szCs w:val="10"/>
                <w:color w:val="auto"/>
              </w:rPr>
            </w:pPr>
          </w:p>
        </w:tc>
        <w:tc>
          <w:tcPr>
            <w:tcW w:w="106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Held by Us or for</w:t>
            </w:r>
          </w:p>
        </w:tc>
        <w:tc>
          <w:tcPr>
            <w:tcW w:w="0" w:type="dxa"/>
            <w:vAlign w:val="bottom"/>
          </w:tcPr>
          <w:p>
            <w:pPr>
              <w:spacing w:after="0"/>
              <w:rPr>
                <w:sz w:val="1"/>
                <w:szCs w:val="1"/>
                <w:color w:val="auto"/>
              </w:rPr>
            </w:pPr>
          </w:p>
        </w:tc>
      </w:tr>
      <w:tr>
        <w:trPr>
          <w:trHeight w:val="144"/>
        </w:trPr>
        <w:tc>
          <w:tcPr>
            <w:tcW w:w="640" w:type="dxa"/>
            <w:vAlign w:val="bottom"/>
            <w:tcBorders>
              <w:bottom w:val="single" w:sz="8" w:color="auto"/>
            </w:tcBorders>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Our Account</w:t>
            </w:r>
          </w:p>
        </w:tc>
        <w:tc>
          <w:tcPr>
            <w:tcW w:w="580" w:type="dxa"/>
            <w:vAlign w:val="bottom"/>
          </w:tcPr>
          <w:p>
            <w:pPr>
              <w:spacing w:after="0"/>
              <w:rPr>
                <w:sz w:val="12"/>
                <w:szCs w:val="12"/>
                <w:color w:val="auto"/>
              </w:rPr>
            </w:pPr>
          </w:p>
        </w:tc>
        <w:tc>
          <w:tcPr>
            <w:tcW w:w="106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b w:val="1"/>
                <w:bCs w:val="1"/>
                <w:color w:val="auto"/>
                <w:w w:val="97"/>
              </w:rPr>
              <w:t>Our Account</w:t>
            </w:r>
          </w:p>
        </w:tc>
        <w:tc>
          <w:tcPr>
            <w:tcW w:w="0" w:type="dxa"/>
            <w:vAlign w:val="bottom"/>
          </w:tcPr>
          <w:p>
            <w:pPr>
              <w:spacing w:after="0"/>
              <w:rPr>
                <w:sz w:val="1"/>
                <w:szCs w:val="1"/>
                <w:color w:val="auto"/>
              </w:rPr>
            </w:pPr>
          </w:p>
        </w:tc>
      </w:tr>
      <w:tr>
        <w:trPr>
          <w:trHeight w:val="148"/>
        </w:trPr>
        <w:tc>
          <w:tcPr>
            <w:tcW w:w="212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2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400,000,000</w:t>
            </w:r>
          </w:p>
        </w:tc>
        <w:tc>
          <w:tcPr>
            <w:tcW w:w="5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664,250</w:t>
            </w:r>
          </w:p>
        </w:tc>
        <w:tc>
          <w:tcPr>
            <w:tcW w:w="5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87,578,655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2" w:lineRule="exact"/>
        <w:rPr>
          <w:sz w:val="20"/>
          <w:szCs w:val="20"/>
          <w:color w:val="auto"/>
        </w:rPr>
      </w:pPr>
    </w:p>
    <w:p>
      <w:pPr>
        <w:ind w:left="240" w:right="299" w:firstLine="341"/>
        <w:spacing w:after="0" w:line="253" w:lineRule="auto"/>
        <w:rPr>
          <w:sz w:val="20"/>
          <w:szCs w:val="20"/>
          <w:color w:val="auto"/>
        </w:rPr>
      </w:pPr>
      <w:r>
        <w:rPr>
          <w:rFonts w:ascii="Times New Roman" w:cs="Times New Roman" w:eastAsia="Times New Roman" w:hAnsi="Times New Roman"/>
          <w:sz w:val="14"/>
          <w:szCs w:val="14"/>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2" w:lineRule="exact"/>
        <w:rPr>
          <w:sz w:val="20"/>
          <w:szCs w:val="20"/>
          <w:color w:val="auto"/>
        </w:rPr>
      </w:pPr>
    </w:p>
    <w:p>
      <w:pPr>
        <w:ind w:left="240" w:right="719" w:firstLine="341"/>
        <w:spacing w:after="0" w:line="281" w:lineRule="auto"/>
        <w:rPr>
          <w:sz w:val="20"/>
          <w:szCs w:val="20"/>
          <w:color w:val="auto"/>
        </w:rPr>
      </w:pPr>
      <w:r>
        <w:rPr>
          <w:rFonts w:ascii="Times New Roman" w:cs="Times New Roman" w:eastAsia="Times New Roman" w:hAnsi="Times New Roman"/>
          <w:sz w:val="14"/>
          <w:szCs w:val="14"/>
          <w:color w:val="auto"/>
        </w:rPr>
        <w:t>Under the terms of our certificate of incorporation, our Board is authorized to issue shares of preferred stock in one or more series without stockholder approval. See “Description of Our Preferred Stock.”</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9019"/>
          </w:cols>
          <w:pgMar w:left="1440" w:top="259" w:right="1440" w:bottom="1440" w:gutter="0" w:footer="0" w:header="0"/>
        </w:sectPr>
      </w:pPr>
    </w:p>
    <w:bookmarkStart w:id="123" w:name="page124"/>
    <w:bookmarkEnd w:id="123"/>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Limitation on Liability of Directors and Officers; Indemnification and Advance of Expenses</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Our certification of incorporation limits our directors’ liability to the fullest extent permitted under Delaware corporate law and the 1940 Act.</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Specifically, our directors will not be personally liable to us or our stockholders for any breach of fiduciary duty as a director, except for any liability:</w:t>
      </w:r>
    </w:p>
    <w:p>
      <w:pPr>
        <w:spacing w:after="0" w:line="86" w:lineRule="exact"/>
        <w:rPr>
          <w:sz w:val="20"/>
          <w:szCs w:val="20"/>
          <w:color w:val="auto"/>
        </w:rPr>
      </w:pPr>
    </w:p>
    <w:p>
      <w:pPr>
        <w:ind w:left="980" w:hanging="411"/>
        <w:spacing w:after="0"/>
        <w:tabs>
          <w:tab w:leader="none" w:pos="9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breach of the director’s duty of loyalty to us or our stockholders,</w:t>
      </w:r>
    </w:p>
    <w:p>
      <w:pPr>
        <w:spacing w:after="0" w:line="100" w:lineRule="exact"/>
        <w:rPr>
          <w:rFonts w:ascii="Times New Roman" w:cs="Times New Roman" w:eastAsia="Times New Roman" w:hAnsi="Times New Roman"/>
          <w:sz w:val="14"/>
          <w:szCs w:val="14"/>
          <w:color w:val="auto"/>
        </w:rPr>
      </w:pPr>
    </w:p>
    <w:p>
      <w:pPr>
        <w:ind w:left="980" w:right="439" w:hanging="411"/>
        <w:spacing w:after="0" w:line="281" w:lineRule="auto"/>
        <w:tabs>
          <w:tab w:leader="none" w:pos="9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acts or omissions not in good faith or which involve willful misconduct, gross negligence, bad faith, reckless disregard or a knowing violation of law,</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Section 174 of the DGCL, which relates to unlawful payment of dividends or unlawful stock purchases or redemptions, or</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transaction from which the director derived an improper personal benefit.</w:t>
      </w:r>
    </w:p>
    <w:p>
      <w:pPr>
        <w:spacing w:after="0" w:line="174"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40" w:lineRule="exact"/>
        <w:rPr>
          <w:sz w:val="20"/>
          <w:szCs w:val="20"/>
          <w:color w:val="auto"/>
        </w:rPr>
      </w:pPr>
    </w:p>
    <w:p>
      <w:pPr>
        <w:ind w:left="240" w:right="319" w:firstLine="341"/>
        <w:spacing w:after="0" w:line="254" w:lineRule="auto"/>
        <w:rPr>
          <w:sz w:val="20"/>
          <w:szCs w:val="20"/>
          <w:color w:val="auto"/>
        </w:rPr>
      </w:pPr>
      <w:r>
        <w:rPr>
          <w:rFonts w:ascii="Times New Roman" w:cs="Times New Roman" w:eastAsia="Times New Roman" w:hAnsi="Times New Roman"/>
          <w:sz w:val="14"/>
          <w:szCs w:val="14"/>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44" w:lineRule="exact"/>
        <w:rPr>
          <w:sz w:val="20"/>
          <w:szCs w:val="20"/>
          <w:color w:val="auto"/>
        </w:rPr>
      </w:pPr>
    </w:p>
    <w:p>
      <w:pPr>
        <w:jc w:val="both"/>
        <w:ind w:left="240" w:right="319" w:firstLine="341"/>
        <w:spacing w:after="0" w:line="260" w:lineRule="auto"/>
        <w:rPr>
          <w:sz w:val="20"/>
          <w:szCs w:val="20"/>
          <w:color w:val="auto"/>
        </w:rPr>
      </w:pPr>
      <w:r>
        <w:rPr>
          <w:rFonts w:ascii="Times New Roman" w:cs="Times New Roman" w:eastAsia="Times New Roman" w:hAnsi="Times New Roman"/>
          <w:sz w:val="14"/>
          <w:szCs w:val="14"/>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40" w:lineRule="exact"/>
        <w:rPr>
          <w:sz w:val="20"/>
          <w:szCs w:val="20"/>
          <w:color w:val="auto"/>
        </w:rPr>
      </w:pPr>
    </w:p>
    <w:p>
      <w:pPr>
        <w:jc w:val="both"/>
        <w:ind w:left="240" w:right="279" w:firstLine="341"/>
        <w:spacing w:after="0" w:line="265" w:lineRule="auto"/>
        <w:rPr>
          <w:sz w:val="20"/>
          <w:szCs w:val="20"/>
          <w:color w:val="auto"/>
        </w:rPr>
      </w:pPr>
      <w:r>
        <w:rPr>
          <w:rFonts w:ascii="Times New Roman" w:cs="Times New Roman" w:eastAsia="Times New Roman" w:hAnsi="Times New Roman"/>
          <w:sz w:val="14"/>
          <w:szCs w:val="14"/>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36" w:lineRule="exact"/>
        <w:rPr>
          <w:sz w:val="20"/>
          <w:szCs w:val="20"/>
          <w:color w:val="auto"/>
        </w:rPr>
      </w:pPr>
    </w:p>
    <w:p>
      <w:pPr>
        <w:ind w:left="240" w:right="419" w:firstLine="341"/>
        <w:spacing w:after="0" w:line="260" w:lineRule="auto"/>
        <w:rPr>
          <w:sz w:val="20"/>
          <w:szCs w:val="20"/>
          <w:color w:val="auto"/>
        </w:rPr>
      </w:pPr>
      <w:r>
        <w:rPr>
          <w:rFonts w:ascii="Times New Roman" w:cs="Times New Roman" w:eastAsia="Times New Roman" w:hAnsi="Times New Roman"/>
          <w:sz w:val="14"/>
          <w:szCs w:val="14"/>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9019"/>
          </w:cols>
          <w:pgMar w:left="1440" w:top="261" w:right="1440" w:bottom="1440" w:gutter="0" w:footer="0" w:header="0"/>
        </w:sectPr>
      </w:pPr>
    </w:p>
    <w:bookmarkStart w:id="124" w:name="page125"/>
    <w:bookmarkEnd w:id="124"/>
    <w:p>
      <w:pPr>
        <w:ind w:left="240" w:right="73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25" w:lineRule="exact"/>
        <w:rPr>
          <w:sz w:val="20"/>
          <w:szCs w:val="20"/>
          <w:color w:val="auto"/>
        </w:rPr>
      </w:pPr>
    </w:p>
    <w:p>
      <w:pPr>
        <w:ind w:left="240" w:right="759" w:firstLine="341"/>
        <w:spacing w:after="0" w:line="281" w:lineRule="auto"/>
        <w:rPr>
          <w:sz w:val="20"/>
          <w:szCs w:val="20"/>
          <w:color w:val="auto"/>
        </w:rPr>
      </w:pPr>
      <w:r>
        <w:rPr>
          <w:rFonts w:ascii="Times New Roman" w:cs="Times New Roman" w:eastAsia="Times New Roman" w:hAnsi="Times New Roman"/>
          <w:sz w:val="14"/>
          <w:szCs w:val="14"/>
          <w:color w:val="auto"/>
        </w:rPr>
        <w:t>Under the Investment Advisory Agreement, we have, to the extent permitted by applicable law, indemnified the Adviser and certain of its affiliates, as described under “Management Agreements-Indemnification” in Part I, Item 1 of our 2022 Annual Report.</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92"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44"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Our certificate of incorporation and bylaws provide that:</w:t>
      </w:r>
    </w:p>
    <w:p>
      <w:pPr>
        <w:spacing w:after="0" w:line="101" w:lineRule="exact"/>
        <w:rPr>
          <w:sz w:val="20"/>
          <w:szCs w:val="20"/>
          <w:color w:val="auto"/>
        </w:rPr>
      </w:pPr>
    </w:p>
    <w:p>
      <w:pPr>
        <w:ind w:left="980" w:right="479" w:hanging="411"/>
        <w:spacing w:after="0" w:line="281" w:lineRule="auto"/>
        <w:tabs>
          <w:tab w:leader="none" w:pos="9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be divided into three classes, as nearly equal in size as possible, with staggered three-year terms (and the number of directors shall not be fewer than four or greater than nine);</w:t>
      </w:r>
    </w:p>
    <w:p>
      <w:pPr>
        <w:spacing w:after="0" w:line="52" w:lineRule="exact"/>
        <w:rPr>
          <w:rFonts w:ascii="Times New Roman" w:cs="Times New Roman" w:eastAsia="Times New Roman" w:hAnsi="Times New Roman"/>
          <w:sz w:val="14"/>
          <w:szCs w:val="14"/>
          <w:color w:val="auto"/>
        </w:rPr>
      </w:pPr>
    </w:p>
    <w:p>
      <w:pPr>
        <w:ind w:left="980" w:right="299" w:hanging="411"/>
        <w:spacing w:after="0" w:line="281" w:lineRule="auto"/>
        <w:tabs>
          <w:tab w:leader="none" w:pos="9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may be removed only for cause by the affirmative vote of 75% of the holders of our capital stock then outstanding and entitled to vote in the election of directors, voting together as a single class; and</w:t>
      </w:r>
    </w:p>
    <w:p>
      <w:pPr>
        <w:spacing w:after="0" w:line="52" w:lineRule="exact"/>
        <w:rPr>
          <w:rFonts w:ascii="Times New Roman" w:cs="Times New Roman" w:eastAsia="Times New Roman" w:hAnsi="Times New Roman"/>
          <w:sz w:val="14"/>
          <w:szCs w:val="14"/>
          <w:color w:val="auto"/>
        </w:rPr>
      </w:pPr>
    </w:p>
    <w:p>
      <w:pPr>
        <w:ind w:left="980" w:right="339" w:hanging="411"/>
        <w:spacing w:after="0" w:line="281" w:lineRule="auto"/>
        <w:tabs>
          <w:tab w:leader="none" w:pos="9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25" w:lineRule="exact"/>
        <w:rPr>
          <w:sz w:val="20"/>
          <w:szCs w:val="20"/>
          <w:color w:val="auto"/>
        </w:rPr>
      </w:pPr>
    </w:p>
    <w:p>
      <w:pPr>
        <w:ind w:left="240" w:right="419" w:firstLine="341"/>
        <w:spacing w:after="0" w:line="265" w:lineRule="auto"/>
        <w:rPr>
          <w:sz w:val="20"/>
          <w:szCs w:val="20"/>
          <w:color w:val="auto"/>
        </w:rPr>
      </w:pPr>
      <w:r>
        <w:rPr>
          <w:rFonts w:ascii="Times New Roman" w:cs="Times New Roman" w:eastAsia="Times New Roman" w:hAnsi="Times New Roman"/>
          <w:sz w:val="14"/>
          <w:szCs w:val="14"/>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Our bylaws also provide that:</w:t>
      </w:r>
    </w:p>
    <w:p>
      <w:pPr>
        <w:spacing w:after="0" w:line="101" w:lineRule="exact"/>
        <w:rPr>
          <w:sz w:val="20"/>
          <w:szCs w:val="20"/>
          <w:color w:val="auto"/>
        </w:rPr>
      </w:pPr>
    </w:p>
    <w:p>
      <w:pPr>
        <w:ind w:left="980" w:right="259" w:hanging="411"/>
        <w:spacing w:after="0" w:line="281" w:lineRule="auto"/>
        <w:tabs>
          <w:tab w:leader="none" w:pos="9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required or permitted to be taken by the stockholders at an annual meeting or special meeting of stockholders may only be taken if it is properly brought before such meeting; and</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9019"/>
          </w:cols>
          <w:pgMar w:left="1440" w:top="261" w:right="1440" w:bottom="1440" w:gutter="0" w:footer="0" w:header="0"/>
        </w:sectPr>
      </w:pPr>
    </w:p>
    <w:bookmarkStart w:id="125" w:name="page126"/>
    <w:bookmarkEnd w:id="125"/>
    <w:p>
      <w:pPr>
        <w:ind w:left="980" w:hanging="411"/>
        <w:spacing w:after="0"/>
        <w:tabs>
          <w:tab w:leader="none" w:pos="9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special meetings of the stockholders may only be called by our Board, Chairman, or a Chief Executive Officer.</w:t>
      </w:r>
    </w:p>
    <w:p>
      <w:pPr>
        <w:spacing w:after="0" w:line="174" w:lineRule="exact"/>
        <w:rPr>
          <w:sz w:val="20"/>
          <w:szCs w:val="20"/>
          <w:color w:val="auto"/>
        </w:rPr>
      </w:pPr>
    </w:p>
    <w:p>
      <w:pPr>
        <w:ind w:left="240" w:right="319" w:firstLine="341"/>
        <w:spacing w:after="0" w:line="253" w:lineRule="auto"/>
        <w:rPr>
          <w:sz w:val="20"/>
          <w:szCs w:val="20"/>
          <w:color w:val="auto"/>
        </w:rPr>
      </w:pPr>
      <w:r>
        <w:rPr>
          <w:rFonts w:ascii="Times New Roman" w:cs="Times New Roman" w:eastAsia="Times New Roman" w:hAnsi="Times New Roman"/>
          <w:sz w:val="14"/>
          <w:szCs w:val="14"/>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47"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43" w:lineRule="exact"/>
        <w:rPr>
          <w:sz w:val="20"/>
          <w:szCs w:val="20"/>
          <w:color w:val="auto"/>
        </w:rPr>
      </w:pPr>
    </w:p>
    <w:p>
      <w:pPr>
        <w:ind w:left="240" w:right="359" w:firstLine="341"/>
        <w:spacing w:after="0" w:line="265" w:lineRule="auto"/>
        <w:rPr>
          <w:sz w:val="20"/>
          <w:szCs w:val="20"/>
          <w:color w:val="auto"/>
        </w:rPr>
      </w:pPr>
      <w:r>
        <w:rPr>
          <w:rFonts w:ascii="Times New Roman" w:cs="Times New Roman" w:eastAsia="Times New Roman" w:hAnsi="Times New Roman"/>
          <w:sz w:val="14"/>
          <w:szCs w:val="14"/>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36" w:lineRule="exact"/>
        <w:rPr>
          <w:sz w:val="20"/>
          <w:szCs w:val="20"/>
          <w:color w:val="auto"/>
        </w:rPr>
      </w:pPr>
    </w:p>
    <w:p>
      <w:pPr>
        <w:ind w:left="240" w:right="359" w:firstLine="341"/>
        <w:spacing w:after="0" w:line="281" w:lineRule="auto"/>
        <w:rPr>
          <w:sz w:val="20"/>
          <w:szCs w:val="20"/>
          <w:color w:val="auto"/>
        </w:rPr>
      </w:pPr>
      <w:r>
        <w:rPr>
          <w:rFonts w:ascii="Times New Roman" w:cs="Times New Roman" w:eastAsia="Times New Roman" w:hAnsi="Times New Roman"/>
          <w:sz w:val="14"/>
          <w:szCs w:val="14"/>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25" w:lineRule="exact"/>
        <w:rPr>
          <w:sz w:val="20"/>
          <w:szCs w:val="20"/>
          <w:color w:val="auto"/>
        </w:rPr>
      </w:pPr>
    </w:p>
    <w:p>
      <w:pPr>
        <w:ind w:left="240" w:right="239" w:firstLine="341"/>
        <w:spacing w:after="0" w:line="255" w:lineRule="auto"/>
        <w:rPr>
          <w:sz w:val="20"/>
          <w:szCs w:val="20"/>
          <w:color w:val="auto"/>
        </w:rPr>
      </w:pPr>
      <w:r>
        <w:rPr>
          <w:rFonts w:ascii="Times New Roman" w:cs="Times New Roman" w:eastAsia="Times New Roman" w:hAnsi="Times New Roman"/>
          <w:sz w:val="14"/>
          <w:szCs w:val="14"/>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10% holder transactions subject to these special approval requirements are:</w:t>
      </w:r>
    </w:p>
    <w:p>
      <w:pPr>
        <w:spacing w:after="0" w:line="101" w:lineRule="exact"/>
        <w:rPr>
          <w:sz w:val="20"/>
          <w:szCs w:val="20"/>
          <w:color w:val="auto"/>
        </w:rPr>
      </w:pPr>
    </w:p>
    <w:p>
      <w:pPr>
        <w:ind w:left="980" w:hanging="411"/>
        <w:spacing w:after="0"/>
        <w:tabs>
          <w:tab w:leader="none" w:pos="9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or consolidation of us or any subsidiary of ours with or into any principal stockholder;</w:t>
      </w:r>
    </w:p>
    <w:p>
      <w:pPr>
        <w:spacing w:after="0" w:line="100" w:lineRule="exact"/>
        <w:rPr>
          <w:rFonts w:ascii="Times New Roman" w:cs="Times New Roman" w:eastAsia="Times New Roman" w:hAnsi="Times New Roman"/>
          <w:sz w:val="14"/>
          <w:szCs w:val="14"/>
          <w:color w:val="auto"/>
        </w:rPr>
      </w:pPr>
    </w:p>
    <w:p>
      <w:pPr>
        <w:ind w:left="980" w:right="339" w:hanging="411"/>
        <w:spacing w:after="0" w:line="265" w:lineRule="auto"/>
        <w:tabs>
          <w:tab w:leader="none" w:pos="9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63" w:lineRule="exact"/>
        <w:rPr>
          <w:rFonts w:ascii="Times New Roman" w:cs="Times New Roman" w:eastAsia="Times New Roman" w:hAnsi="Times New Roman"/>
          <w:sz w:val="14"/>
          <w:szCs w:val="14"/>
          <w:color w:val="auto"/>
        </w:rPr>
      </w:pPr>
    </w:p>
    <w:p>
      <w:pPr>
        <w:ind w:left="980" w:right="299" w:hanging="411"/>
        <w:spacing w:after="0" w:line="265" w:lineRule="auto"/>
        <w:tabs>
          <w:tab w:leader="none" w:pos="9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9019"/>
          </w:cols>
          <w:pgMar w:left="1440" w:top="261" w:right="1440" w:bottom="1440" w:gutter="0" w:footer="0" w:header="0"/>
        </w:sectPr>
      </w:pPr>
    </w:p>
    <w:bookmarkStart w:id="126" w:name="page127"/>
    <w:bookmarkEnd w:id="126"/>
    <w:p>
      <w:pPr>
        <w:ind w:left="980" w:right="299" w:hanging="411"/>
        <w:spacing w:after="0" w:line="265" w:lineRule="auto"/>
        <w:tabs>
          <w:tab w:leader="none" w:pos="9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36" w:lineRule="exact"/>
        <w:rPr>
          <w:sz w:val="20"/>
          <w:szCs w:val="20"/>
          <w:color w:val="auto"/>
        </w:rPr>
      </w:pPr>
    </w:p>
    <w:p>
      <w:pPr>
        <w:ind w:left="240" w:right="279" w:firstLine="341"/>
        <w:spacing w:after="0" w:line="252" w:lineRule="auto"/>
        <w:rPr>
          <w:sz w:val="20"/>
          <w:szCs w:val="20"/>
          <w:color w:val="auto"/>
        </w:rPr>
      </w:pPr>
      <w:r>
        <w:rPr>
          <w:rFonts w:ascii="Times New Roman" w:cs="Times New Roman" w:eastAsia="Times New Roman" w:hAnsi="Times New Roman"/>
          <w:sz w:val="14"/>
          <w:szCs w:val="14"/>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1940 Act defines “a majority of the outstanding voting securities” as the lesser of:</w:t>
      </w:r>
    </w:p>
    <w:p>
      <w:pPr>
        <w:spacing w:after="0" w:line="101" w:lineRule="exact"/>
        <w:rPr>
          <w:sz w:val="20"/>
          <w:szCs w:val="20"/>
          <w:color w:val="auto"/>
        </w:rPr>
      </w:pPr>
    </w:p>
    <w:p>
      <w:pPr>
        <w:ind w:left="980" w:right="319" w:hanging="411"/>
        <w:spacing w:after="0" w:line="281" w:lineRule="auto"/>
        <w:tabs>
          <w:tab w:leader="none" w:pos="9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67% or more of the company’s voting stock present at a meeting if more than 50% of the outstanding voting securities of the company are present or represented by proxy; and</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than 50% of the outstanding voting securities of the company.</w:t>
      </w:r>
    </w:p>
    <w:p>
      <w:pPr>
        <w:spacing w:after="0" w:line="174"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40" w:lineRule="exact"/>
        <w:rPr>
          <w:sz w:val="20"/>
          <w:szCs w:val="20"/>
          <w:color w:val="auto"/>
        </w:rPr>
      </w:pPr>
    </w:p>
    <w:p>
      <w:pPr>
        <w:ind w:left="240" w:right="659" w:firstLine="341"/>
        <w:spacing w:after="0" w:line="321" w:lineRule="auto"/>
        <w:rPr>
          <w:sz w:val="20"/>
          <w:szCs w:val="20"/>
          <w:color w:val="auto"/>
        </w:rPr>
      </w:pPr>
      <w:r>
        <w:rPr>
          <w:rFonts w:ascii="Times New Roman" w:cs="Times New Roman" w:eastAsia="Times New Roman" w:hAnsi="Times New Roman"/>
          <w:sz w:val="13"/>
          <w:szCs w:val="13"/>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9019"/>
          </w:cols>
          <w:pgMar w:left="1440" w:top="261" w:right="1440"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DESCRIPTION OF OUR PREFERRED STOCK</w:t>
      </w:r>
    </w:p>
    <w:p>
      <w:pPr>
        <w:spacing w:after="0" w:line="176" w:lineRule="exact"/>
        <w:rPr>
          <w:sz w:val="20"/>
          <w:szCs w:val="20"/>
          <w:color w:val="auto"/>
        </w:rPr>
      </w:pPr>
    </w:p>
    <w:p>
      <w:pPr>
        <w:ind w:left="240" w:right="319" w:firstLine="341"/>
        <w:spacing w:after="0" w:line="279" w:lineRule="auto"/>
        <w:rPr>
          <w:sz w:val="20"/>
          <w:szCs w:val="20"/>
          <w:color w:val="auto"/>
        </w:rPr>
      </w:pPr>
      <w:r>
        <w:rPr>
          <w:rFonts w:ascii="Times New Roman" w:cs="Times New Roman" w:eastAsia="Times New Roman" w:hAnsi="Times New Roman"/>
          <w:sz w:val="13"/>
          <w:szCs w:val="13"/>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29" w:lineRule="exact"/>
        <w:rPr>
          <w:sz w:val="20"/>
          <w:szCs w:val="20"/>
          <w:color w:val="auto"/>
        </w:rPr>
      </w:pPr>
    </w:p>
    <w:p>
      <w:pPr>
        <w:ind w:left="240" w:right="439" w:firstLine="341"/>
        <w:spacing w:after="0" w:line="257" w:lineRule="auto"/>
        <w:rPr>
          <w:sz w:val="20"/>
          <w:szCs w:val="20"/>
          <w:color w:val="auto"/>
        </w:rPr>
      </w:pPr>
      <w:r>
        <w:rPr>
          <w:rFonts w:ascii="Times New Roman" w:cs="Times New Roman" w:eastAsia="Times New Roman" w:hAnsi="Times New Roman"/>
          <w:sz w:val="14"/>
          <w:szCs w:val="14"/>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69" w:lineRule="exact"/>
        <w:rPr>
          <w:sz w:val="20"/>
          <w:szCs w:val="20"/>
          <w:color w:val="auto"/>
        </w:rPr>
      </w:pPr>
    </w:p>
    <w:p>
      <w:pPr>
        <w:ind w:left="980" w:right="259" w:hanging="411"/>
        <w:spacing w:after="0" w:line="281" w:lineRule="auto"/>
        <w:tabs>
          <w:tab w:leader="none" w:pos="9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52" w:lineRule="exact"/>
        <w:rPr>
          <w:rFonts w:ascii="Times New Roman" w:cs="Times New Roman" w:eastAsia="Times New Roman" w:hAnsi="Times New Roman"/>
          <w:sz w:val="14"/>
          <w:szCs w:val="14"/>
          <w:color w:val="auto"/>
        </w:rPr>
      </w:pPr>
    </w:p>
    <w:p>
      <w:pPr>
        <w:jc w:val="both"/>
        <w:ind w:left="980" w:right="359" w:hanging="411"/>
        <w:spacing w:after="0" w:line="321" w:lineRule="auto"/>
        <w:tabs>
          <w:tab w:leader="none" w:pos="9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02" w:lineRule="exact"/>
        <w:rPr>
          <w:sz w:val="20"/>
          <w:szCs w:val="20"/>
          <w:color w:val="auto"/>
        </w:rPr>
      </w:pPr>
    </w:p>
    <w:p>
      <w:pPr>
        <w:ind w:left="240" w:right="659" w:firstLine="341"/>
        <w:spacing w:after="0" w:line="281" w:lineRule="auto"/>
        <w:rPr>
          <w:sz w:val="20"/>
          <w:szCs w:val="20"/>
          <w:color w:val="auto"/>
        </w:rPr>
      </w:pPr>
      <w:r>
        <w:rPr>
          <w:rFonts w:ascii="Times New Roman" w:cs="Times New Roman" w:eastAsia="Times New Roman" w:hAnsi="Times New Roman"/>
          <w:sz w:val="14"/>
          <w:szCs w:val="14"/>
          <w:color w:val="auto"/>
        </w:rPr>
        <w:t>For any series of preferred stock that we may issue, our Board will determine and the amendment to our certificate of incorporation and the prospectus supplement relating to such series will describe:</w:t>
      </w:r>
    </w:p>
    <w:p>
      <w:pPr>
        <w:spacing w:after="0" w:line="52" w:lineRule="exact"/>
        <w:rPr>
          <w:sz w:val="20"/>
          <w:szCs w:val="20"/>
          <w:color w:val="auto"/>
        </w:rPr>
      </w:pPr>
    </w:p>
    <w:p>
      <w:pPr>
        <w:ind w:left="980" w:hanging="411"/>
        <w:spacing w:after="0"/>
        <w:tabs>
          <w:tab w:leader="none" w:pos="9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number of shares of such series;</w:t>
      </w:r>
    </w:p>
    <w:p>
      <w:pPr>
        <w:spacing w:after="0" w:line="100" w:lineRule="exact"/>
        <w:rPr>
          <w:rFonts w:ascii="Times New Roman" w:cs="Times New Roman" w:eastAsia="Times New Roman" w:hAnsi="Times New Roman"/>
          <w:sz w:val="14"/>
          <w:szCs w:val="14"/>
          <w:color w:val="auto"/>
        </w:rPr>
      </w:pPr>
    </w:p>
    <w:p>
      <w:pPr>
        <w:ind w:left="980" w:right="339" w:hanging="411"/>
        <w:spacing w:after="0" w:line="281" w:lineRule="auto"/>
        <w:tabs>
          <w:tab w:leader="none" w:pos="9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time at which, and the preferences and conditions under which, any dividends will be paid on shares of such series, as well as whether such dividends are participating or non-participating;</w:t>
      </w:r>
    </w:p>
    <w:p>
      <w:pPr>
        <w:spacing w:after="0" w:line="52" w:lineRule="exact"/>
        <w:rPr>
          <w:rFonts w:ascii="Times New Roman" w:cs="Times New Roman" w:eastAsia="Times New Roman" w:hAnsi="Times New Roman"/>
          <w:sz w:val="14"/>
          <w:szCs w:val="14"/>
          <w:color w:val="auto"/>
        </w:rPr>
      </w:pPr>
    </w:p>
    <w:p>
      <w:pPr>
        <w:ind w:left="980" w:right="459" w:hanging="411"/>
        <w:spacing w:after="0" w:line="281" w:lineRule="auto"/>
        <w:tabs>
          <w:tab w:leader="none" w:pos="9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convertibility or exchangeability of the shares of such series, including adjustments to the conversion price of such series;</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and preferences, if any, of holders of shares of such series upon our liquidation, dissolution or winding up of our affairs;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powers, if any, of the holders of shares of such series;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the redemption of the shares of such series;</w:t>
      </w:r>
    </w:p>
    <w:p>
      <w:pPr>
        <w:spacing w:after="0" w:line="100" w:lineRule="exact"/>
        <w:rPr>
          <w:rFonts w:ascii="Times New Roman" w:cs="Times New Roman" w:eastAsia="Times New Roman" w:hAnsi="Times New Roman"/>
          <w:sz w:val="14"/>
          <w:szCs w:val="14"/>
          <w:color w:val="auto"/>
        </w:rPr>
      </w:pPr>
    </w:p>
    <w:p>
      <w:pPr>
        <w:ind w:left="980" w:right="399" w:hanging="411"/>
        <w:spacing w:after="0" w:line="281" w:lineRule="auto"/>
        <w:tabs>
          <w:tab w:leader="none" w:pos="9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our ability to pay dividends or make distributions on, or acquire or redeem, other securities while shares of such series are outstanding;</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conditions or restrictions on our ability to issue additional shares of such series or other securities;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certain U.S. federal income tax considerations; and</w:t>
      </w:r>
    </w:p>
    <w:p>
      <w:pPr>
        <w:spacing w:after="0" w:line="100" w:lineRule="exact"/>
        <w:rPr>
          <w:rFonts w:ascii="Times New Roman" w:cs="Times New Roman" w:eastAsia="Times New Roman" w:hAnsi="Times New Roman"/>
          <w:sz w:val="14"/>
          <w:szCs w:val="14"/>
          <w:color w:val="auto"/>
        </w:rPr>
      </w:pPr>
    </w:p>
    <w:p>
      <w:pPr>
        <w:ind w:left="980" w:right="839" w:hanging="411"/>
        <w:spacing w:after="0" w:line="281" w:lineRule="auto"/>
        <w:tabs>
          <w:tab w:leader="none" w:pos="9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relative powers, preferences and participating, optional or special rights of shares of such series, and the qualifications, limitations or restrictions thereof.</w:t>
      </w:r>
    </w:p>
    <w:p>
      <w:pPr>
        <w:spacing w:after="0" w:line="125" w:lineRule="exact"/>
        <w:rPr>
          <w:sz w:val="20"/>
          <w:szCs w:val="20"/>
          <w:color w:val="auto"/>
        </w:rPr>
      </w:pPr>
    </w:p>
    <w:p>
      <w:pPr>
        <w:ind w:left="240" w:right="459" w:firstLine="341"/>
        <w:spacing w:after="0" w:line="281" w:lineRule="auto"/>
        <w:rPr>
          <w:sz w:val="20"/>
          <w:szCs w:val="20"/>
          <w:color w:val="auto"/>
        </w:rPr>
      </w:pPr>
      <w:r>
        <w:rPr>
          <w:rFonts w:ascii="Times New Roman" w:cs="Times New Roman" w:eastAsia="Times New Roman" w:hAnsi="Times New Roman"/>
          <w:sz w:val="14"/>
          <w:szCs w:val="14"/>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9019"/>
          </w:cols>
          <w:pgMar w:left="1440" w:top="259" w:right="1440"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DESCRIPTION OF OUR SUBSCRIPTION RIGHTS</w:t>
      </w:r>
    </w:p>
    <w:p>
      <w:pPr>
        <w:spacing w:after="0" w:line="176"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40" w:lineRule="exact"/>
        <w:rPr>
          <w:sz w:val="20"/>
          <w:szCs w:val="20"/>
          <w:color w:val="auto"/>
        </w:rPr>
      </w:pPr>
    </w:p>
    <w:p>
      <w:pPr>
        <w:ind w:left="240" w:right="639" w:firstLine="341"/>
        <w:spacing w:after="0" w:line="281" w:lineRule="auto"/>
        <w:rPr>
          <w:sz w:val="20"/>
          <w:szCs w:val="20"/>
          <w:color w:val="auto"/>
        </w:rPr>
      </w:pPr>
      <w:r>
        <w:rPr>
          <w:rFonts w:ascii="Times New Roman" w:cs="Times New Roman" w:eastAsia="Times New Roman" w:hAnsi="Times New Roman"/>
          <w:sz w:val="14"/>
          <w:szCs w:val="14"/>
          <w:color w:val="auto"/>
        </w:rPr>
        <w:t>The applicable prospectus supplement would describe the following terms of subscription rights in respect of which this prospectus is being delivered:</w:t>
      </w:r>
    </w:p>
    <w:p>
      <w:pPr>
        <w:spacing w:after="0" w:line="52" w:lineRule="exact"/>
        <w:rPr>
          <w:sz w:val="20"/>
          <w:szCs w:val="20"/>
          <w:color w:val="auto"/>
        </w:rPr>
      </w:pPr>
    </w:p>
    <w:p>
      <w:pPr>
        <w:ind w:left="980" w:right="379" w:hanging="411"/>
        <w:spacing w:after="0" w:line="281" w:lineRule="auto"/>
        <w:tabs>
          <w:tab w:leader="none" w:pos="9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of time the offering would remain open (which shall be open a minimum number of days such that all record holders would be eligible to participate in the offering and shall not be open longer than 120 days);</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subscription rights;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for such subscription rights (or method of calculation thereof);</w:t>
      </w:r>
    </w:p>
    <w:p>
      <w:pPr>
        <w:spacing w:after="0" w:line="100" w:lineRule="exact"/>
        <w:rPr>
          <w:rFonts w:ascii="Times New Roman" w:cs="Times New Roman" w:eastAsia="Times New Roman" w:hAnsi="Times New Roman"/>
          <w:sz w:val="14"/>
          <w:szCs w:val="14"/>
          <w:color w:val="auto"/>
        </w:rPr>
      </w:pPr>
    </w:p>
    <w:p>
      <w:pPr>
        <w:ind w:left="980" w:right="599" w:hanging="411"/>
        <w:spacing w:after="0" w:line="281" w:lineRule="auto"/>
        <w:tabs>
          <w:tab w:leader="none" w:pos="9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the offering (which, in the case of transferable rights, will require a minimum of three shares to be held of record before a person is entitled to purchase an additional share);</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such subscription rights issued to each stockholder;</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such subscription rights are transferable and the market on which they may be traded if they are transferable;</w:t>
      </w:r>
    </w:p>
    <w:p>
      <w:pPr>
        <w:spacing w:after="0" w:line="100" w:lineRule="exact"/>
        <w:rPr>
          <w:rFonts w:ascii="Times New Roman" w:cs="Times New Roman" w:eastAsia="Times New Roman" w:hAnsi="Times New Roman"/>
          <w:sz w:val="14"/>
          <w:szCs w:val="14"/>
          <w:color w:val="auto"/>
        </w:rPr>
      </w:pPr>
    </w:p>
    <w:p>
      <w:pPr>
        <w:ind w:left="980" w:right="559" w:hanging="411"/>
        <w:spacing w:after="0" w:line="281" w:lineRule="auto"/>
        <w:tabs>
          <w:tab w:leader="none" w:pos="9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certain U.S. federal income tax considerations applicable to the issuance or exercise of such subscription rights;</w:t>
      </w:r>
    </w:p>
    <w:p>
      <w:pPr>
        <w:spacing w:after="0" w:line="52" w:lineRule="exact"/>
        <w:rPr>
          <w:rFonts w:ascii="Times New Roman" w:cs="Times New Roman" w:eastAsia="Times New Roman" w:hAnsi="Times New Roman"/>
          <w:sz w:val="14"/>
          <w:szCs w:val="14"/>
          <w:color w:val="auto"/>
        </w:rPr>
      </w:pPr>
    </w:p>
    <w:p>
      <w:pPr>
        <w:ind w:left="980" w:right="419" w:hanging="411"/>
        <w:spacing w:after="0" w:line="281" w:lineRule="auto"/>
        <w:tabs>
          <w:tab w:leader="none" w:pos="9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subscription rights shall commence, and the date on which such right shall expire (subject to any extension);</w:t>
      </w:r>
    </w:p>
    <w:p>
      <w:pPr>
        <w:spacing w:after="0" w:line="52" w:lineRule="exact"/>
        <w:rPr>
          <w:rFonts w:ascii="Times New Roman" w:cs="Times New Roman" w:eastAsia="Times New Roman" w:hAnsi="Times New Roman"/>
          <w:sz w:val="14"/>
          <w:szCs w:val="14"/>
          <w:color w:val="auto"/>
        </w:rPr>
      </w:pPr>
    </w:p>
    <w:p>
      <w:pPr>
        <w:ind w:left="980" w:right="339" w:hanging="411"/>
        <w:spacing w:after="0" w:line="281" w:lineRule="auto"/>
        <w:tabs>
          <w:tab w:leader="none" w:pos="9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such subscription rights include an over-subscription privilege with respect to unsubscribed securities and the terms of such over-subscription privilege;</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termination right we may have in connection with such subscription rights offering; and</w:t>
      </w:r>
    </w:p>
    <w:p>
      <w:pPr>
        <w:spacing w:after="0" w:line="100" w:lineRule="exact"/>
        <w:rPr>
          <w:rFonts w:ascii="Times New Roman" w:cs="Times New Roman" w:eastAsia="Times New Roman" w:hAnsi="Times New Roman"/>
          <w:sz w:val="14"/>
          <w:szCs w:val="14"/>
          <w:color w:val="auto"/>
        </w:rPr>
      </w:pPr>
    </w:p>
    <w:p>
      <w:pPr>
        <w:ind w:left="980" w:right="339" w:hanging="411"/>
        <w:spacing w:after="0" w:line="281" w:lineRule="auto"/>
        <w:tabs>
          <w:tab w:leader="none" w:pos="9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subscription rights, including exercise, settlement and other procedures and limitations relating to the transfer and exercise of such subscription rights.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Exercise of Subscription Rights</w:t>
      </w:r>
    </w:p>
    <w:p>
      <w:pPr>
        <w:spacing w:after="0" w:line="92"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40"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9019"/>
          </w:cols>
          <w:pgMar w:left="1440" w:top="259" w:right="1440" w:bottom="1440" w:gutter="0" w:footer="0" w:header="0"/>
        </w:sectPr>
      </w:pPr>
    </w:p>
    <w:bookmarkStart w:id="129" w:name="page130"/>
    <w:bookmarkEnd w:id="129"/>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Dilutive Effects</w:t>
      </w:r>
    </w:p>
    <w:p>
      <w:pPr>
        <w:spacing w:after="0" w:line="92"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9019"/>
          </w:cols>
          <w:pgMar w:left="1440" w:top="259" w:right="1440"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DESCRIPTION OF OUR WARRANTS</w:t>
      </w:r>
    </w:p>
    <w:p>
      <w:pPr>
        <w:spacing w:after="0" w:line="92" w:lineRule="exact"/>
        <w:rPr>
          <w:sz w:val="20"/>
          <w:szCs w:val="20"/>
          <w:color w:val="auto"/>
        </w:rPr>
      </w:pPr>
    </w:p>
    <w:p>
      <w:pPr>
        <w:ind w:left="240" w:right="339" w:firstLine="341"/>
        <w:spacing w:after="0" w:line="281" w:lineRule="auto"/>
        <w:rPr>
          <w:sz w:val="20"/>
          <w:szCs w:val="20"/>
          <w:color w:val="auto"/>
        </w:rPr>
      </w:pPr>
      <w:r>
        <w:rPr>
          <w:rFonts w:ascii="Times New Roman" w:cs="Times New Roman" w:eastAsia="Times New Roman" w:hAnsi="Times New Roman"/>
          <w:sz w:val="14"/>
          <w:szCs w:val="14"/>
          <w:color w:val="auto"/>
        </w:rPr>
        <w:t>The following is a general description of the terms of the warrants we may issue from time to time. Particular terms of any warrants we offer will be described in the prospectus supplement relating to such warrants.</w:t>
      </w:r>
    </w:p>
    <w:p>
      <w:pPr>
        <w:spacing w:after="0" w:line="125" w:lineRule="exact"/>
        <w:rPr>
          <w:sz w:val="20"/>
          <w:szCs w:val="20"/>
          <w:color w:val="auto"/>
        </w:rPr>
      </w:pPr>
    </w:p>
    <w:p>
      <w:pPr>
        <w:ind w:left="240" w:right="319" w:firstLine="341"/>
        <w:spacing w:after="0" w:line="260" w:lineRule="auto"/>
        <w:rPr>
          <w:sz w:val="20"/>
          <w:szCs w:val="20"/>
          <w:color w:val="auto"/>
        </w:rPr>
      </w:pPr>
      <w:r>
        <w:rPr>
          <w:rFonts w:ascii="Times New Roman" w:cs="Times New Roman" w:eastAsia="Times New Roman" w:hAnsi="Times New Roman"/>
          <w:sz w:val="14"/>
          <w:szCs w:val="14"/>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 prospectus supplement will describe the particular terms of any series of warrants we may issue, including the following:</w:t>
      </w:r>
    </w:p>
    <w:p>
      <w:pPr>
        <w:spacing w:after="0" w:line="101" w:lineRule="exact"/>
        <w:rPr>
          <w:sz w:val="20"/>
          <w:szCs w:val="20"/>
          <w:color w:val="auto"/>
        </w:rPr>
      </w:pPr>
    </w:p>
    <w:p>
      <w:pPr>
        <w:ind w:left="980" w:hanging="411"/>
        <w:spacing w:after="0"/>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warrants;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such warrants;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warrants will be issued;</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the price of such warrants may be payable;</w:t>
      </w:r>
    </w:p>
    <w:p>
      <w:pPr>
        <w:spacing w:after="0" w:line="100" w:lineRule="exact"/>
        <w:rPr>
          <w:rFonts w:ascii="Times New Roman" w:cs="Times New Roman" w:eastAsia="Times New Roman" w:hAnsi="Times New Roman"/>
          <w:sz w:val="14"/>
          <w:szCs w:val="14"/>
          <w:color w:val="auto"/>
        </w:rPr>
      </w:pPr>
    </w:p>
    <w:p>
      <w:pPr>
        <w:ind w:left="980" w:right="419" w:hanging="411"/>
        <w:spacing w:after="0" w:line="281" w:lineRule="auto"/>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52" w:lineRule="exact"/>
        <w:rPr>
          <w:rFonts w:ascii="Times New Roman" w:cs="Times New Roman" w:eastAsia="Times New Roman" w:hAnsi="Times New Roman"/>
          <w:sz w:val="14"/>
          <w:szCs w:val="14"/>
          <w:color w:val="auto"/>
        </w:rPr>
      </w:pPr>
    </w:p>
    <w:p>
      <w:pPr>
        <w:ind w:left="980" w:right="259" w:hanging="411"/>
        <w:spacing w:after="0" w:line="265" w:lineRule="auto"/>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63" w:lineRule="exact"/>
        <w:rPr>
          <w:rFonts w:ascii="Times New Roman" w:cs="Times New Roman" w:eastAsia="Times New Roman" w:hAnsi="Times New Roman"/>
          <w:sz w:val="14"/>
          <w:szCs w:val="14"/>
          <w:color w:val="auto"/>
        </w:rPr>
      </w:pPr>
    </w:p>
    <w:p>
      <w:pPr>
        <w:jc w:val="both"/>
        <w:ind w:left="980" w:right="259" w:hanging="411"/>
        <w:spacing w:after="0" w:line="265" w:lineRule="auto"/>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63"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warrants shall commence and the date on which such right will expire;</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warrants will be issued in registered form or bearer form;</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which may be exercised at any one time;</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such warrants and the related securities will be separately transferable;</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certain U.S. federal income tax considerations; and</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warrants, including terms, procedures and limitations relating to the exchange and exercise of such warrants.</w:t>
      </w:r>
    </w:p>
    <w:p>
      <w:pPr>
        <w:spacing w:after="0" w:line="174" w:lineRule="exact"/>
        <w:rPr>
          <w:sz w:val="20"/>
          <w:szCs w:val="20"/>
          <w:color w:val="auto"/>
        </w:rPr>
      </w:pPr>
    </w:p>
    <w:p>
      <w:pPr>
        <w:ind w:left="240" w:right="359" w:firstLine="341"/>
        <w:spacing w:after="0" w:line="265" w:lineRule="auto"/>
        <w:rPr>
          <w:sz w:val="20"/>
          <w:szCs w:val="20"/>
          <w:color w:val="auto"/>
        </w:rPr>
      </w:pPr>
      <w:r>
        <w:rPr>
          <w:rFonts w:ascii="Times New Roman" w:cs="Times New Roman" w:eastAsia="Times New Roman" w:hAnsi="Times New Roman"/>
          <w:sz w:val="14"/>
          <w:szCs w:val="14"/>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9019"/>
          </w:cols>
          <w:pgMar w:left="1440" w:top="259" w:right="1440" w:bottom="1440" w:gutter="0" w:footer="0" w:header="0"/>
        </w:sectPr>
      </w:pPr>
    </w:p>
    <w:bookmarkStart w:id="131" w:name="page132"/>
    <w:bookmarkEnd w:id="131"/>
    <w:p>
      <w:pPr>
        <w:jc w:val="both"/>
        <w:ind w:left="240" w:right="359" w:firstLine="341"/>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40"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9019"/>
          </w:cols>
          <w:pgMar w:left="1440" w:top="261" w:right="1440"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DESCRIPTION OF OUR DEBT SECURITIES</w:t>
      </w:r>
    </w:p>
    <w:p>
      <w:pPr>
        <w:spacing w:after="0" w:line="176" w:lineRule="exact"/>
        <w:rPr>
          <w:sz w:val="20"/>
          <w:szCs w:val="20"/>
          <w:color w:val="auto"/>
        </w:rPr>
      </w:pPr>
    </w:p>
    <w:p>
      <w:pPr>
        <w:ind w:left="240" w:right="339" w:firstLine="341"/>
        <w:spacing w:after="0" w:line="260" w:lineRule="auto"/>
        <w:rPr>
          <w:sz w:val="20"/>
          <w:szCs w:val="20"/>
          <w:color w:val="auto"/>
        </w:rPr>
      </w:pPr>
      <w:r>
        <w:rPr>
          <w:rFonts w:ascii="Times New Roman" w:cs="Times New Roman" w:eastAsia="Times New Roman" w:hAnsi="Times New Roman"/>
          <w:sz w:val="14"/>
          <w:szCs w:val="14"/>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0"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Certain of our debt securities have been issued under an indenture dated January 22, 2018 between us and Wells Fargo Bank, National Association. We also intend on issuing debt securities under an indenture to be entered into between us and U.S. Bank Trust Company, National Association.</w:t>
      </w:r>
    </w:p>
    <w:p>
      <w:pPr>
        <w:spacing w:after="0" w:line="143"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Subject to the provisions of the indenture,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36" w:lineRule="exact"/>
        <w:rPr>
          <w:sz w:val="20"/>
          <w:szCs w:val="20"/>
          <w:color w:val="auto"/>
        </w:rPr>
      </w:pPr>
    </w:p>
    <w:p>
      <w:pPr>
        <w:ind w:left="240" w:right="459" w:firstLine="341"/>
        <w:spacing w:after="0" w:line="286" w:lineRule="auto"/>
        <w:rPr>
          <w:sz w:val="20"/>
          <w:szCs w:val="20"/>
          <w:color w:val="auto"/>
        </w:rPr>
      </w:pPr>
      <w:r>
        <w:rPr>
          <w:rFonts w:ascii="Times New Roman" w:cs="Times New Roman" w:eastAsia="Times New Roman" w:hAnsi="Times New Roman"/>
          <w:sz w:val="13"/>
          <w:szCs w:val="13"/>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25" w:lineRule="exact"/>
        <w:rPr>
          <w:sz w:val="20"/>
          <w:szCs w:val="20"/>
          <w:color w:val="auto"/>
        </w:rPr>
      </w:pPr>
    </w:p>
    <w:p>
      <w:pPr>
        <w:ind w:left="240" w:right="399" w:firstLine="341"/>
        <w:spacing w:after="0" w:line="281" w:lineRule="auto"/>
        <w:rPr>
          <w:sz w:val="20"/>
          <w:szCs w:val="20"/>
          <w:color w:val="auto"/>
        </w:rPr>
      </w:pPr>
      <w:r>
        <w:rPr>
          <w:rFonts w:ascii="Times New Roman" w:cs="Times New Roman" w:eastAsia="Times New Roman" w:hAnsi="Times New Roman"/>
          <w:sz w:val="14"/>
          <w:szCs w:val="14"/>
          <w:color w:val="auto"/>
        </w:rPr>
        <w:t>The prospectus supplement, which will accompany this prospectus, will describe the particular series of debt securities being offered, including, among other things:</w:t>
      </w:r>
    </w:p>
    <w:p>
      <w:pPr>
        <w:spacing w:after="0" w:line="52" w:lineRule="exact"/>
        <w:rPr>
          <w:sz w:val="20"/>
          <w:szCs w:val="20"/>
          <w:color w:val="auto"/>
        </w:rPr>
      </w:pPr>
    </w:p>
    <w:p>
      <w:pPr>
        <w:ind w:left="980" w:hanging="411"/>
        <w:spacing w:after="0"/>
        <w:tabs>
          <w:tab w:leader="none" w:pos="9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or title of the series of debt securities;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principal amount of the series of debt securities;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the principal amount at which the series of debt securities will be offered;</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principal will be payable;</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either fixed or variable) and/or the method of determining such rate or rates of interest, if any;</w:t>
      </w:r>
    </w:p>
    <w:p>
      <w:pPr>
        <w:spacing w:after="0" w:line="100" w:lineRule="exact"/>
        <w:rPr>
          <w:rFonts w:ascii="Times New Roman" w:cs="Times New Roman" w:eastAsia="Times New Roman" w:hAnsi="Times New Roman"/>
          <w:sz w:val="14"/>
          <w:szCs w:val="14"/>
          <w:color w:val="auto"/>
        </w:rPr>
      </w:pPr>
    </w:p>
    <w:p>
      <w:pPr>
        <w:ind w:left="980" w:right="379" w:hanging="411"/>
        <w:spacing w:after="0" w:line="281" w:lineRule="auto"/>
        <w:tabs>
          <w:tab w:leader="none" w:pos="9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any interest will accrue, or the method of determining such date or dates, and the date or dates on which any interest will be payable;</w:t>
      </w:r>
    </w:p>
    <w:p>
      <w:pPr>
        <w:spacing w:after="0" w:line="52" w:lineRule="exact"/>
        <w:rPr>
          <w:rFonts w:ascii="Times New Roman" w:cs="Times New Roman" w:eastAsia="Times New Roman" w:hAnsi="Times New Roman"/>
          <w:sz w:val="14"/>
          <w:szCs w:val="14"/>
          <w:color w:val="auto"/>
        </w:rPr>
      </w:pPr>
    </w:p>
    <w:p>
      <w:pPr>
        <w:ind w:left="980" w:right="519" w:hanging="411"/>
        <w:spacing w:after="0" w:line="281" w:lineRule="auto"/>
        <w:tabs>
          <w:tab w:leader="none" w:pos="9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interest may be paid by issuing additional securities of the same series in lieu of cash (and the terms upon which any such interest may be paid by issuing additional securities);</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for redemption, extension or early repayment, if any;</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currencies in which the series of debt securities are issued and payable;</w:t>
      </w:r>
    </w:p>
    <w:p>
      <w:pPr>
        <w:spacing w:after="0" w:line="100" w:lineRule="exact"/>
        <w:rPr>
          <w:rFonts w:ascii="Times New Roman" w:cs="Times New Roman" w:eastAsia="Times New Roman" w:hAnsi="Times New Roman"/>
          <w:sz w:val="14"/>
          <w:szCs w:val="14"/>
          <w:color w:val="auto"/>
        </w:rPr>
      </w:pPr>
    </w:p>
    <w:p>
      <w:pPr>
        <w:ind w:left="980" w:right="259" w:hanging="411"/>
        <w:spacing w:after="0" w:line="265" w:lineRule="auto"/>
        <w:tabs>
          <w:tab w:leader="none" w:pos="9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63" w:lineRule="exact"/>
        <w:rPr>
          <w:rFonts w:ascii="Times New Roman" w:cs="Times New Roman" w:eastAsia="Times New Roman" w:hAnsi="Times New Roman"/>
          <w:sz w:val="14"/>
          <w:szCs w:val="14"/>
          <w:color w:val="auto"/>
        </w:rPr>
      </w:pPr>
    </w:p>
    <w:p>
      <w:pPr>
        <w:ind w:left="980" w:right="299" w:hanging="411"/>
        <w:spacing w:after="0" w:line="281" w:lineRule="auto"/>
        <w:tabs>
          <w:tab w:leader="none" w:pos="9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if any, other than or in addition to the Borough of Manhattan in the City of New York, of payment, transfer, conversion and/or exchange of the debt securities;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9019"/>
          </w:cols>
          <w:pgMar w:left="1440" w:top="259" w:right="1440" w:bottom="1440" w:gutter="0" w:footer="0" w:header="0"/>
        </w:sectPr>
      </w:pPr>
    </w:p>
    <w:bookmarkStart w:id="133" w:name="page134"/>
    <w:bookmarkEnd w:id="133"/>
    <w:p>
      <w:pPr>
        <w:ind w:left="980" w:hanging="411"/>
        <w:spacing w:after="0"/>
        <w:tabs>
          <w:tab w:leader="none" w:pos="9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the denominations in which the offered debt securities will be issued (if other than $1,000 and any integral multiple thereof);</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any sinking fund;</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restrictive covenants;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series of debt securities is issuable in certificated form;</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defeasance or covenant defeasance;</w:t>
      </w:r>
    </w:p>
    <w:p>
      <w:pPr>
        <w:spacing w:after="0" w:line="100" w:lineRule="exact"/>
        <w:rPr>
          <w:rFonts w:ascii="Times New Roman" w:cs="Times New Roman" w:eastAsia="Times New Roman" w:hAnsi="Times New Roman"/>
          <w:sz w:val="14"/>
          <w:szCs w:val="14"/>
          <w:color w:val="auto"/>
        </w:rPr>
      </w:pPr>
    </w:p>
    <w:p>
      <w:pPr>
        <w:ind w:left="980" w:right="639" w:hanging="411"/>
        <w:spacing w:after="0" w:line="281" w:lineRule="auto"/>
        <w:tabs>
          <w:tab w:leader="none" w:pos="9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special federal income tax implications, including, if applicable, U.S. federal income tax considerations relating to original issue discount;</w:t>
      </w:r>
    </w:p>
    <w:p>
      <w:pPr>
        <w:spacing w:after="0" w:line="52" w:lineRule="exact"/>
        <w:rPr>
          <w:rFonts w:ascii="Times New Roman" w:cs="Times New Roman" w:eastAsia="Times New Roman" w:hAnsi="Times New Roman"/>
          <w:sz w:val="14"/>
          <w:szCs w:val="14"/>
          <w:color w:val="auto"/>
        </w:rPr>
      </w:pPr>
    </w:p>
    <w:p>
      <w:pPr>
        <w:ind w:left="980" w:right="279" w:hanging="411"/>
        <w:spacing w:after="0" w:line="281" w:lineRule="auto"/>
        <w:tabs>
          <w:tab w:leader="none" w:pos="9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convertibility or exchangeability of the debt securities into or for any other securities;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subject to subordination and the terms of such subordination;</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secured and the terms of any security interest;</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listing, if any, on a securities exchange; and</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w:t>
      </w:r>
    </w:p>
    <w:p>
      <w:pPr>
        <w:spacing w:after="0" w:line="174" w:lineRule="exact"/>
        <w:rPr>
          <w:sz w:val="20"/>
          <w:szCs w:val="20"/>
          <w:color w:val="auto"/>
        </w:rPr>
      </w:pPr>
    </w:p>
    <w:p>
      <w:pPr>
        <w:ind w:left="240" w:right="379" w:firstLine="341"/>
        <w:spacing w:after="0" w:line="281" w:lineRule="auto"/>
        <w:rPr>
          <w:sz w:val="20"/>
          <w:szCs w:val="20"/>
          <w:color w:val="auto"/>
        </w:rPr>
      </w:pPr>
      <w:r>
        <w:rPr>
          <w:rFonts w:ascii="Times New Roman" w:cs="Times New Roman" w:eastAsia="Times New Roman" w:hAnsi="Times New Roman"/>
          <w:sz w:val="14"/>
          <w:szCs w:val="14"/>
          <w:color w:val="auto"/>
        </w:rPr>
        <w:t>The debt securities may be secured or unsecured obligations. Unless the prospectus supplement states otherwise, principal (and premium, if any) and interest, if any, will be paid by us in immediately available funds.</w:t>
      </w:r>
    </w:p>
    <w:p>
      <w:pPr>
        <w:spacing w:after="0" w:line="125" w:lineRule="exact"/>
        <w:rPr>
          <w:sz w:val="20"/>
          <w:szCs w:val="20"/>
          <w:color w:val="auto"/>
        </w:rPr>
      </w:pPr>
    </w:p>
    <w:p>
      <w:pPr>
        <w:ind w:left="240" w:right="239" w:firstLine="341"/>
        <w:spacing w:after="0" w:line="254" w:lineRule="auto"/>
        <w:rPr>
          <w:sz w:val="20"/>
          <w:szCs w:val="20"/>
          <w:color w:val="auto"/>
        </w:rPr>
      </w:pPr>
      <w:r>
        <w:rPr>
          <w:rFonts w:ascii="Times New Roman" w:cs="Times New Roman" w:eastAsia="Times New Roman" w:hAnsi="Times New Roman"/>
          <w:sz w:val="14"/>
          <w:szCs w:val="14"/>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3Q 2023 Quarterly Report.</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jc w:val="both"/>
        <w:ind w:left="240" w:right="339" w:firstLine="341"/>
        <w:spacing w:after="0" w:line="265" w:lineRule="auto"/>
        <w:rPr>
          <w:sz w:val="20"/>
          <w:szCs w:val="20"/>
          <w:color w:val="auto"/>
        </w:rPr>
      </w:pPr>
      <w:r>
        <w:rPr>
          <w:rFonts w:ascii="Times New Roman" w:cs="Times New Roman" w:eastAsia="Times New Roman" w:hAnsi="Times New Roman"/>
          <w:sz w:val="14"/>
          <w:szCs w:val="14"/>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36" w:lineRule="exact"/>
        <w:rPr>
          <w:sz w:val="20"/>
          <w:szCs w:val="20"/>
          <w:color w:val="auto"/>
        </w:rPr>
      </w:pPr>
    </w:p>
    <w:p>
      <w:pPr>
        <w:ind w:left="240" w:right="699" w:firstLine="341"/>
        <w:spacing w:after="0" w:line="281" w:lineRule="auto"/>
        <w:rPr>
          <w:sz w:val="20"/>
          <w:szCs w:val="20"/>
          <w:color w:val="auto"/>
        </w:rPr>
      </w:pPr>
      <w:r>
        <w:rPr>
          <w:rFonts w:ascii="Times New Roman" w:cs="Times New Roman" w:eastAsia="Times New Roman" w:hAnsi="Times New Roman"/>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125" w:lineRule="exact"/>
        <w:rPr>
          <w:sz w:val="20"/>
          <w:szCs w:val="20"/>
          <w:color w:val="auto"/>
        </w:rPr>
      </w:pPr>
    </w:p>
    <w:p>
      <w:pPr>
        <w:jc w:val="both"/>
        <w:ind w:left="240" w:right="639" w:firstLine="341"/>
        <w:spacing w:after="0" w:line="265"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9019"/>
          </w:cols>
          <w:pgMar w:left="1440" w:top="261" w:right="1440" w:bottom="1440" w:gutter="0" w:footer="0" w:header="0"/>
        </w:sectPr>
      </w:pPr>
    </w:p>
    <w:bookmarkStart w:id="134" w:name="page135"/>
    <w:bookmarkEnd w:id="134"/>
    <w:p>
      <w:pPr>
        <w:ind w:left="240" w:right="2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46"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4"/>
          <w:szCs w:val="14"/>
          <w:color w:val="auto"/>
        </w:rPr>
        <w:t>The indenture does not contain any provisions that give you protection in the event we issue a large amount of debt or we are acquired by another entity.</w:t>
      </w:r>
    </w:p>
    <w:p>
      <w:pPr>
        <w:spacing w:after="0" w:line="125" w:lineRule="exact"/>
        <w:rPr>
          <w:sz w:val="20"/>
          <w:szCs w:val="20"/>
          <w:color w:val="auto"/>
        </w:rPr>
      </w:pPr>
    </w:p>
    <w:p>
      <w:pPr>
        <w:ind w:left="240" w:right="499" w:firstLine="341"/>
        <w:spacing w:after="0" w:line="321" w:lineRule="auto"/>
        <w:rPr>
          <w:sz w:val="20"/>
          <w:szCs w:val="20"/>
          <w:color w:val="auto"/>
        </w:rPr>
      </w:pPr>
      <w:r>
        <w:rPr>
          <w:rFonts w:ascii="Times New Roman" w:cs="Times New Roman" w:eastAsia="Times New Roman" w:hAnsi="Times New Roman"/>
          <w:sz w:val="13"/>
          <w:szCs w:val="13"/>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02" w:lineRule="exact"/>
        <w:rPr>
          <w:sz w:val="20"/>
          <w:szCs w:val="20"/>
          <w:color w:val="auto"/>
        </w:rPr>
      </w:pPr>
    </w:p>
    <w:p>
      <w:pPr>
        <w:ind w:left="240" w:right="339" w:firstLine="341"/>
        <w:spacing w:after="0" w:line="265" w:lineRule="auto"/>
        <w:rPr>
          <w:sz w:val="20"/>
          <w:szCs w:val="20"/>
          <w:color w:val="auto"/>
        </w:rPr>
      </w:pPr>
      <w:r>
        <w:rPr>
          <w:rFonts w:ascii="Times New Roman" w:cs="Times New Roman" w:eastAsia="Times New Roman" w:hAnsi="Times New Roman"/>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expect that we will usually issue debt securities in book-entry only form represented by global securities.</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Conversion and Exchange</w:t>
      </w:r>
    </w:p>
    <w:p>
      <w:pPr>
        <w:spacing w:after="0" w:line="92"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92" w:lineRule="exact"/>
        <w:rPr>
          <w:sz w:val="20"/>
          <w:szCs w:val="20"/>
          <w:color w:val="auto"/>
        </w:rPr>
      </w:pPr>
    </w:p>
    <w:p>
      <w:pPr>
        <w:ind w:left="240" w:right="319" w:firstLine="341"/>
        <w:spacing w:after="0" w:line="255" w:lineRule="auto"/>
        <w:rPr>
          <w:sz w:val="20"/>
          <w:szCs w:val="20"/>
          <w:color w:val="auto"/>
        </w:rPr>
      </w:pPr>
      <w:r>
        <w:rPr>
          <w:rFonts w:ascii="Times New Roman" w:cs="Times New Roman" w:eastAsia="Times New Roman" w:hAnsi="Times New Roman"/>
          <w:sz w:val="14"/>
          <w:szCs w:val="14"/>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Payments on Global Securities</w:t>
      </w:r>
    </w:p>
    <w:p>
      <w:pPr>
        <w:spacing w:after="0" w:line="92" w:lineRule="exact"/>
        <w:rPr>
          <w:sz w:val="20"/>
          <w:szCs w:val="20"/>
          <w:color w:val="auto"/>
        </w:rPr>
      </w:pPr>
    </w:p>
    <w:p>
      <w:pPr>
        <w:jc w:val="both"/>
        <w:ind w:left="240" w:right="559" w:firstLine="341"/>
        <w:spacing w:after="0" w:line="295" w:lineRule="auto"/>
        <w:rPr>
          <w:sz w:val="20"/>
          <w:szCs w:val="20"/>
          <w:color w:val="auto"/>
        </w:rPr>
      </w:pPr>
      <w:r>
        <w:rPr>
          <w:rFonts w:ascii="Times New Roman" w:cs="Times New Roman" w:eastAsia="Times New Roman" w:hAnsi="Times New Roman"/>
          <w:sz w:val="13"/>
          <w:szCs w:val="13"/>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9019"/>
          </w:cols>
          <w:pgMar w:left="1440" w:top="261" w:right="1440" w:bottom="1440" w:gutter="0" w:footer="0" w:header="0"/>
        </w:sectPr>
      </w:pPr>
    </w:p>
    <w:bookmarkStart w:id="135" w:name="page136"/>
    <w:bookmarkEnd w:id="135"/>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Payments on Certificated Securities</w:t>
      </w:r>
    </w:p>
    <w:p>
      <w:pPr>
        <w:spacing w:after="0" w:line="92" w:lineRule="exact"/>
        <w:rPr>
          <w:sz w:val="20"/>
          <w:szCs w:val="20"/>
          <w:color w:val="auto"/>
        </w:rPr>
      </w:pPr>
    </w:p>
    <w:p>
      <w:pPr>
        <w:jc w:val="both"/>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40" w:lineRule="exact"/>
        <w:rPr>
          <w:sz w:val="20"/>
          <w:szCs w:val="20"/>
          <w:color w:val="auto"/>
        </w:rPr>
      </w:pPr>
    </w:p>
    <w:p>
      <w:pPr>
        <w:ind w:left="240" w:right="419" w:firstLine="341"/>
        <w:spacing w:after="0" w:line="257" w:lineRule="auto"/>
        <w:rPr>
          <w:sz w:val="20"/>
          <w:szCs w:val="20"/>
          <w:color w:val="auto"/>
        </w:rPr>
      </w:pPr>
      <w:r>
        <w:rPr>
          <w:rFonts w:ascii="Times New Roman" w:cs="Times New Roman" w:eastAsia="Times New Roman" w:hAnsi="Times New Roman"/>
          <w:sz w:val="14"/>
          <w:szCs w:val="14"/>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Payment When Offices Are Closed</w:t>
      </w:r>
    </w:p>
    <w:p>
      <w:pPr>
        <w:spacing w:after="0" w:line="92"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240" w:right="639" w:firstLine="341"/>
        <w:spacing w:after="0" w:line="281" w:lineRule="auto"/>
        <w:rPr>
          <w:sz w:val="20"/>
          <w:szCs w:val="20"/>
          <w:color w:val="auto"/>
        </w:rPr>
      </w:pPr>
      <w:r>
        <w:rPr>
          <w:rFonts w:ascii="Times New Roman" w:cs="Times New Roman" w:eastAsia="Times New Roman" w:hAnsi="Times New Roman"/>
          <w:sz w:val="14"/>
          <w:szCs w:val="14"/>
          <w:color w:val="auto"/>
        </w:rPr>
        <w:t>Book-entry and other indirect holders should consult their banks or brokers for information on how they will receive payments on their debt securities.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2" w:lineRule="exact"/>
        <w:rPr>
          <w:sz w:val="20"/>
          <w:szCs w:val="20"/>
          <w:color w:val="auto"/>
        </w:rPr>
      </w:pPr>
    </w:p>
    <w:p>
      <w:pPr>
        <w:ind w:left="240" w:right="759" w:firstLine="341"/>
        <w:spacing w:after="0" w:line="281" w:lineRule="auto"/>
        <w:rPr>
          <w:sz w:val="20"/>
          <w:szCs w:val="20"/>
          <w:color w:val="auto"/>
        </w:rPr>
      </w:pPr>
      <w:r>
        <w:rPr>
          <w:rFonts w:ascii="Times New Roman" w:cs="Times New Roman" w:eastAsia="Times New Roman" w:hAnsi="Times New Roman"/>
          <w:sz w:val="14"/>
          <w:szCs w:val="14"/>
          <w:color w:val="auto"/>
        </w:rPr>
        <w:t>You will have rights if an Event of Default occurs in respect of the debt securities of your series and is not cured, as described later in this subsection.</w:t>
      </w:r>
    </w:p>
    <w:p>
      <w:pPr>
        <w:spacing w:after="0" w:line="125"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4"/>
          <w:szCs w:val="14"/>
          <w:color w:val="auto"/>
        </w:rPr>
        <w:t>The term “Event of Default” in respect of the debt securities of your series means any of the following (unless the prospectus supplement relating to such debt securities states otherwise):</w:t>
      </w:r>
    </w:p>
    <w:p>
      <w:pPr>
        <w:spacing w:after="0" w:line="52" w:lineRule="exact"/>
        <w:rPr>
          <w:sz w:val="20"/>
          <w:szCs w:val="20"/>
          <w:color w:val="auto"/>
        </w:rPr>
      </w:pPr>
    </w:p>
    <w:p>
      <w:pPr>
        <w:ind w:left="980" w:right="539" w:hanging="411"/>
        <w:spacing w:after="0" w:line="281" w:lineRule="auto"/>
        <w:tabs>
          <w:tab w:leader="none" w:pos="9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the principal of, or any premium on, a debt security of the series on its due date, including upon any redemption date or required repurchase date.</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interest on a debt security of the series when due, and such default is not cured within 30 days.</w:t>
      </w:r>
    </w:p>
    <w:p>
      <w:pPr>
        <w:spacing w:after="0" w:line="100" w:lineRule="exact"/>
        <w:rPr>
          <w:rFonts w:ascii="Times New Roman" w:cs="Times New Roman" w:eastAsia="Times New Roman" w:hAnsi="Times New Roman"/>
          <w:sz w:val="14"/>
          <w:szCs w:val="14"/>
          <w:color w:val="auto"/>
        </w:rPr>
      </w:pPr>
    </w:p>
    <w:p>
      <w:pPr>
        <w:ind w:left="980" w:right="439" w:hanging="411"/>
        <w:spacing w:after="0" w:line="281" w:lineRule="auto"/>
        <w:tabs>
          <w:tab w:leader="none" w:pos="9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deposit any sinking fund payment in respect of debt securities of the series on its due date, and do not cure this default within five days.</w:t>
      </w:r>
    </w:p>
    <w:p>
      <w:pPr>
        <w:spacing w:after="0" w:line="52" w:lineRule="exact"/>
        <w:rPr>
          <w:rFonts w:ascii="Times New Roman" w:cs="Times New Roman" w:eastAsia="Times New Roman" w:hAnsi="Times New Roman"/>
          <w:sz w:val="14"/>
          <w:szCs w:val="14"/>
          <w:color w:val="auto"/>
        </w:rPr>
      </w:pPr>
    </w:p>
    <w:p>
      <w:pPr>
        <w:ind w:left="980" w:right="279" w:hanging="411"/>
        <w:spacing w:after="0" w:line="265" w:lineRule="auto"/>
        <w:tabs>
          <w:tab w:leader="none" w:pos="9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remain in breach of a covenant in respect of debt securities of the series for 60 days after we receive a written notice of default stating we are in breach. The notice must be sent by either the trustee (if a Responsible Officer has actual knowledge of such default) or holders of at least 25% of the principal amount of debt securities of the series.</w:t>
      </w:r>
    </w:p>
    <w:p>
      <w:pPr>
        <w:spacing w:after="0" w:line="63" w:lineRule="exact"/>
        <w:rPr>
          <w:rFonts w:ascii="Times New Roman" w:cs="Times New Roman" w:eastAsia="Times New Roman" w:hAnsi="Times New Roman"/>
          <w:sz w:val="14"/>
          <w:szCs w:val="14"/>
          <w:color w:val="auto"/>
        </w:rPr>
      </w:pPr>
    </w:p>
    <w:p>
      <w:pPr>
        <w:ind w:left="980" w:right="259" w:hanging="411"/>
        <w:spacing w:after="0" w:line="281" w:lineRule="auto"/>
        <w:tabs>
          <w:tab w:leader="none" w:pos="9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file for bankruptcy or certain other events of bankruptcy, insolvency or reorganization occur and remain undischarged or unstayed for a period of 90 days.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9019"/>
          </w:cols>
          <w:pgMar w:left="1440" w:top="259" w:right="1440" w:bottom="1440" w:gutter="0" w:footer="0" w:header="0"/>
        </w:sectPr>
      </w:pPr>
    </w:p>
    <w:bookmarkStart w:id="136" w:name="page137"/>
    <w:bookmarkEnd w:id="136"/>
    <w:p>
      <w:pPr>
        <w:ind w:left="980" w:right="239" w:hanging="411"/>
        <w:spacing w:after="0" w:line="253" w:lineRule="auto"/>
        <w:tabs>
          <w:tab w:leader="none" w:pos="9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201535" cy="45720"/>
                    </a:xfrm>
                    <a:prstGeom prst="rect">
                      <a:avLst/>
                    </a:prstGeom>
                    <a:noFill/>
                  </pic:spPr>
                </pic:pic>
              </a:graphicData>
            </a:graphic>
          </wp:anchor>
        </w:drawing>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 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73" w:lineRule="exact"/>
        <w:rPr>
          <w:rFonts w:ascii="Times New Roman" w:cs="Times New Roman" w:eastAsia="Times New Roman" w:hAnsi="Times New Roman"/>
          <w:sz w:val="14"/>
          <w:szCs w:val="14"/>
          <w:color w:val="auto"/>
        </w:rPr>
      </w:pPr>
    </w:p>
    <w:p>
      <w:pPr>
        <w:ind w:left="980" w:right="259" w:hanging="411"/>
        <w:spacing w:after="0" w:line="281" w:lineRule="auto"/>
        <w:tabs>
          <w:tab w:leader="none" w:pos="9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in respect of debt securities of the series described in the applicable prospectus supplement occurs.</w:t>
      </w:r>
    </w:p>
    <w:p>
      <w:pPr>
        <w:spacing w:after="0" w:line="174" w:lineRule="exact"/>
        <w:rPr>
          <w:sz w:val="20"/>
          <w:szCs w:val="20"/>
          <w:color w:val="auto"/>
        </w:rPr>
      </w:pPr>
    </w:p>
    <w:p>
      <w:pPr>
        <w:ind w:left="240" w:right="479" w:firstLine="341"/>
        <w:spacing w:after="0" w:line="265" w:lineRule="auto"/>
        <w:rPr>
          <w:sz w:val="20"/>
          <w:szCs w:val="20"/>
          <w:color w:val="auto"/>
        </w:rPr>
      </w:pPr>
      <w:r>
        <w:rPr>
          <w:rFonts w:ascii="Times New Roman" w:cs="Times New Roman" w:eastAsia="Times New Roman" w:hAnsi="Times New Roman"/>
          <w:sz w:val="14"/>
          <w:szCs w:val="14"/>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determines in good faith that the withholding of notice is in the interests of the holders.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Remedies If an Event of Default Occurs</w:t>
      </w:r>
    </w:p>
    <w:p>
      <w:pPr>
        <w:spacing w:after="0" w:line="92"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If an Event of Default has occurred and has not been cured, the trustee (if a Responsible Officer has actual knowledge of such Event of Default)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40" w:lineRule="exact"/>
        <w:rPr>
          <w:sz w:val="20"/>
          <w:szCs w:val="20"/>
          <w:color w:val="auto"/>
        </w:rPr>
      </w:pPr>
    </w:p>
    <w:p>
      <w:pPr>
        <w:ind w:left="240" w:right="379" w:firstLine="341"/>
        <w:spacing w:after="0" w:line="257" w:lineRule="auto"/>
        <w:rPr>
          <w:sz w:val="20"/>
          <w:szCs w:val="20"/>
          <w:color w:val="auto"/>
        </w:rPr>
      </w:pPr>
      <w:r>
        <w:rPr>
          <w:rFonts w:ascii="Times New Roman" w:cs="Times New Roman" w:eastAsia="Times New Roman" w:hAnsi="Times New Roman"/>
          <w:sz w:val="14"/>
          <w:szCs w:val="14"/>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43"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2" w:lineRule="exact"/>
        <w:rPr>
          <w:sz w:val="20"/>
          <w:szCs w:val="20"/>
          <w:color w:val="auto"/>
        </w:rPr>
      </w:pPr>
    </w:p>
    <w:p>
      <w:pPr>
        <w:ind w:left="980" w:hanging="411"/>
        <w:spacing w:after="0"/>
        <w:tabs>
          <w:tab w:leader="none" w:pos="9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must give your trustee written notice that an Event of Default has occurred and remains uncured.</w:t>
      </w:r>
    </w:p>
    <w:p>
      <w:pPr>
        <w:spacing w:after="0" w:line="100" w:lineRule="exact"/>
        <w:rPr>
          <w:rFonts w:ascii="Times New Roman" w:cs="Times New Roman" w:eastAsia="Times New Roman" w:hAnsi="Times New Roman"/>
          <w:sz w:val="14"/>
          <w:szCs w:val="14"/>
          <w:color w:val="auto"/>
        </w:rPr>
      </w:pPr>
    </w:p>
    <w:p>
      <w:pPr>
        <w:ind w:left="980" w:right="279" w:hanging="411"/>
        <w:spacing w:after="0" w:line="321" w:lineRule="auto"/>
        <w:tabs>
          <w:tab w:leader="none" w:pos="98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Times New Roman" w:cs="Times New Roman" w:eastAsia="Times New Roman" w:hAnsi="Times New Roman"/>
          <w:sz w:val="13"/>
          <w:szCs w:val="13"/>
          <w:color w:val="auto"/>
        </w:rPr>
      </w:pPr>
    </w:p>
    <w:p>
      <w:pPr>
        <w:ind w:left="980" w:hanging="411"/>
        <w:spacing w:after="0"/>
        <w:tabs>
          <w:tab w:leader="none" w:pos="9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must not have taken action for 60 days after receipt of the above notice and offer of indemnity.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9019"/>
          </w:cols>
          <w:pgMar w:left="1440" w:top="261" w:right="1440" w:bottom="1440" w:gutter="0" w:footer="0" w:header="0"/>
        </w:sectPr>
      </w:pPr>
    </w:p>
    <w:bookmarkStart w:id="137" w:name="page138"/>
    <w:bookmarkEnd w:id="137"/>
    <w:p>
      <w:pPr>
        <w:ind w:left="980" w:right="339" w:hanging="411"/>
        <w:spacing w:after="0" w:line="281" w:lineRule="auto"/>
        <w:tabs>
          <w:tab w:leader="none" w:pos="9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The holders of a majority in principal amount of the debt securities must not have given the trustee a direction inconsistent with the above notice during that 60 day period.</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However, you are entitled at any time to bring a lawsuit for the payment of money due on your debt securities on or after the due date.</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Holders of a majority in principal amount of the debt securities of the affected series may waive any past defaults other than:</w:t>
      </w:r>
    </w:p>
    <w:p>
      <w:pPr>
        <w:spacing w:after="0" w:line="101" w:lineRule="exact"/>
        <w:rPr>
          <w:sz w:val="20"/>
          <w:szCs w:val="20"/>
          <w:color w:val="auto"/>
        </w:rPr>
      </w:pPr>
    </w:p>
    <w:p>
      <w:pPr>
        <w:ind w:left="980" w:hanging="411"/>
        <w:spacing w:after="0"/>
        <w:tabs>
          <w:tab w:leader="none" w:pos="9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principal, any premium or interest; or</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 covenant that cannot be modified or amended without the consent of each holder.</w:t>
      </w:r>
    </w:p>
    <w:p>
      <w:pPr>
        <w:spacing w:after="0" w:line="256" w:lineRule="exact"/>
        <w:rPr>
          <w:sz w:val="20"/>
          <w:szCs w:val="20"/>
          <w:color w:val="auto"/>
        </w:rPr>
      </w:pPr>
    </w:p>
    <w:p>
      <w:pPr>
        <w:ind w:left="240" w:right="499"/>
        <w:spacing w:after="0" w:line="284" w:lineRule="auto"/>
        <w:rPr>
          <w:sz w:val="20"/>
          <w:szCs w:val="20"/>
          <w:color w:val="auto"/>
        </w:rPr>
      </w:pPr>
      <w:r>
        <w:rPr>
          <w:rFonts w:ascii="Times New Roman" w:cs="Times New Roman" w:eastAsia="Times New Roman" w:hAnsi="Times New Roman"/>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40" w:lineRule="exact"/>
        <w:rPr>
          <w:sz w:val="20"/>
          <w:szCs w:val="20"/>
          <w:color w:val="auto"/>
        </w:rPr>
      </w:pPr>
    </w:p>
    <w:p>
      <w:pPr>
        <w:ind w:left="240" w:right="519" w:firstLine="341"/>
        <w:spacing w:after="0" w:line="281" w:lineRule="auto"/>
        <w:rPr>
          <w:sz w:val="20"/>
          <w:szCs w:val="20"/>
          <w:color w:val="auto"/>
        </w:rPr>
      </w:pPr>
      <w:r>
        <w:rPr>
          <w:rFonts w:ascii="Times New Roman" w:cs="Times New Roman" w:eastAsia="Times New Roman" w:hAnsi="Times New Roman"/>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Merger, Consolidation or Sale of Assets</w:t>
      </w:r>
    </w:p>
    <w:p>
      <w:pPr>
        <w:spacing w:after="0" w:line="92" w:lineRule="exact"/>
        <w:rPr>
          <w:sz w:val="20"/>
          <w:szCs w:val="20"/>
          <w:color w:val="auto"/>
        </w:rPr>
      </w:pPr>
    </w:p>
    <w:p>
      <w:pPr>
        <w:ind w:left="240" w:right="439" w:firstLine="341"/>
        <w:spacing w:after="0" w:line="265" w:lineRule="auto"/>
        <w:rPr>
          <w:sz w:val="20"/>
          <w:szCs w:val="20"/>
          <w:color w:val="auto"/>
        </w:rPr>
      </w:pPr>
      <w:r>
        <w:rPr>
          <w:rFonts w:ascii="Times New Roman" w:cs="Times New Roman" w:eastAsia="Times New Roman" w:hAnsi="Times New Roman"/>
          <w:sz w:val="14"/>
          <w:szCs w:val="14"/>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63" w:lineRule="exact"/>
        <w:rPr>
          <w:sz w:val="20"/>
          <w:szCs w:val="20"/>
          <w:color w:val="auto"/>
        </w:rPr>
      </w:pPr>
    </w:p>
    <w:p>
      <w:pPr>
        <w:ind w:left="980" w:right="339" w:hanging="411"/>
        <w:spacing w:after="0" w:line="281" w:lineRule="auto"/>
        <w:tabs>
          <w:tab w:leader="none" w:pos="9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52" w:lineRule="exact"/>
        <w:rPr>
          <w:rFonts w:ascii="Times New Roman" w:cs="Times New Roman" w:eastAsia="Times New Roman" w:hAnsi="Times New Roman"/>
          <w:sz w:val="14"/>
          <w:szCs w:val="14"/>
          <w:color w:val="auto"/>
        </w:rPr>
      </w:pPr>
    </w:p>
    <w:p>
      <w:pPr>
        <w:ind w:left="980" w:right="499" w:hanging="411"/>
        <w:spacing w:after="0" w:line="281" w:lineRule="auto"/>
        <w:tabs>
          <w:tab w:leader="none" w:pos="9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before and immediately after giving effect to such transaction, no Default or Event of Default shall have happened and be continuing.</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certain certificates and documents to the trustee.</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satisfy any other requirements specified in the prospectus supplement relating to a particular series of debt securities.</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Other Covenants</w:t>
      </w:r>
    </w:p>
    <w:p>
      <w:pPr>
        <w:spacing w:after="0" w:line="103" w:lineRule="exact"/>
        <w:rPr>
          <w:sz w:val="20"/>
          <w:szCs w:val="20"/>
          <w:color w:val="auto"/>
        </w:rPr>
      </w:pPr>
    </w:p>
    <w:p>
      <w:pPr>
        <w:ind w:left="980" w:right="279" w:hanging="411"/>
        <w:spacing w:after="0" w:line="265" w:lineRule="auto"/>
        <w:tabs>
          <w:tab w:leader="none" w:pos="9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63" w:lineRule="exact"/>
        <w:rPr>
          <w:rFonts w:ascii="Times New Roman" w:cs="Times New Roman" w:eastAsia="Times New Roman" w:hAnsi="Times New Roman"/>
          <w:sz w:val="14"/>
          <w:szCs w:val="14"/>
          <w:color w:val="auto"/>
        </w:rPr>
      </w:pPr>
    </w:p>
    <w:p>
      <w:pPr>
        <w:ind w:left="980" w:right="319" w:hanging="411"/>
        <w:spacing w:after="0" w:line="257" w:lineRule="auto"/>
        <w:tabs>
          <w:tab w:leader="none" w:pos="9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9019"/>
          </w:cols>
          <w:pgMar w:left="1440" w:top="261" w:right="1440" w:bottom="1440" w:gutter="0" w:footer="0" w:header="0"/>
        </w:sectPr>
      </w:pPr>
    </w:p>
    <w:bookmarkStart w:id="138" w:name="page139"/>
    <w:bookmarkEnd w:id="138"/>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Modification or Waiver</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There are three types of changes we can make to the indenture and the debt securities issued thereunder.</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Changes Requiring Your Approval</w:t>
      </w:r>
    </w:p>
    <w:p>
      <w:pPr>
        <w:spacing w:after="0" w:line="92" w:lineRule="exact"/>
        <w:rPr>
          <w:sz w:val="20"/>
          <w:szCs w:val="20"/>
          <w:color w:val="auto"/>
        </w:rPr>
      </w:pPr>
    </w:p>
    <w:p>
      <w:pPr>
        <w:ind w:left="240" w:right="699" w:firstLine="341"/>
        <w:spacing w:after="0" w:line="281" w:lineRule="auto"/>
        <w:rPr>
          <w:sz w:val="20"/>
          <w:szCs w:val="20"/>
          <w:color w:val="auto"/>
        </w:rPr>
      </w:pPr>
      <w:r>
        <w:rPr>
          <w:rFonts w:ascii="Times New Roman" w:cs="Times New Roman" w:eastAsia="Times New Roman" w:hAnsi="Times New Roman"/>
          <w:sz w:val="14"/>
          <w:szCs w:val="14"/>
          <w:color w:val="auto"/>
        </w:rPr>
        <w:t>First, there are changes that we cannot make to your debt securities without your specific approval. The following is a list of those types of changes:</w:t>
      </w:r>
    </w:p>
    <w:p>
      <w:pPr>
        <w:spacing w:after="0" w:line="52" w:lineRule="exact"/>
        <w:rPr>
          <w:sz w:val="20"/>
          <w:szCs w:val="20"/>
          <w:color w:val="auto"/>
        </w:rPr>
      </w:pPr>
    </w:p>
    <w:p>
      <w:pPr>
        <w:ind w:left="980" w:hanging="411"/>
        <w:spacing w:after="0"/>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interest on a debt security;</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amounts due on a debt security;</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principal payable upon acceleration of the maturity of a security following a default;</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any right of repayment at the holder’s option;</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(except as otherwise described in the prospectus or prospectus supplement) or currency of payment on a debt security;</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your right to sue for payment;</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any right to convert or exchange a debt security in accordance with its terms;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subordination provisions in the indenture in a manner that is adverse to outstanding holders of the debt securities;</w:t>
      </w:r>
    </w:p>
    <w:p>
      <w:pPr>
        <w:spacing w:after="0" w:line="100"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debt securities whose consent is needed to modify or amend the indenture;</w:t>
      </w:r>
    </w:p>
    <w:p>
      <w:pPr>
        <w:spacing w:after="0" w:line="100" w:lineRule="exact"/>
        <w:rPr>
          <w:rFonts w:ascii="Times New Roman" w:cs="Times New Roman" w:eastAsia="Times New Roman" w:hAnsi="Times New Roman"/>
          <w:sz w:val="14"/>
          <w:szCs w:val="14"/>
          <w:color w:val="auto"/>
        </w:rPr>
      </w:pPr>
    </w:p>
    <w:p>
      <w:pPr>
        <w:ind w:left="980" w:right="259" w:hanging="411"/>
        <w:spacing w:after="0" w:line="281" w:lineRule="auto"/>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debt securities whose consent is needed to waive compliance with certain provisions of the indenture or to waive certain defaults;</w:t>
      </w:r>
    </w:p>
    <w:p>
      <w:pPr>
        <w:spacing w:after="0" w:line="52" w:lineRule="exact"/>
        <w:rPr>
          <w:rFonts w:ascii="Times New Roman" w:cs="Times New Roman" w:eastAsia="Times New Roman" w:hAnsi="Times New Roman"/>
          <w:sz w:val="14"/>
          <w:szCs w:val="14"/>
          <w:color w:val="auto"/>
        </w:rPr>
      </w:pPr>
    </w:p>
    <w:p>
      <w:pPr>
        <w:ind w:left="980" w:right="359" w:hanging="411"/>
        <w:spacing w:after="0" w:line="281" w:lineRule="auto"/>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certain of the provisions of the indenture dealing with supplemental indentures, modification and waiver of past defaults, changes to the quorum or voting requirements or the waiver of certain covenants; and</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obligation we have to pay additional amounts.</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Changes Not Requiring Approval</w:t>
      </w:r>
    </w:p>
    <w:p>
      <w:pPr>
        <w:spacing w:after="0" w:line="92"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Changes Requiring Majority Approval</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Any other change to the indenture and the debt securities would require the following approval:</w:t>
      </w:r>
    </w:p>
    <w:p>
      <w:pPr>
        <w:spacing w:after="0" w:line="101" w:lineRule="exact"/>
        <w:rPr>
          <w:sz w:val="20"/>
          <w:szCs w:val="20"/>
          <w:color w:val="auto"/>
        </w:rPr>
      </w:pPr>
    </w:p>
    <w:p>
      <w:pPr>
        <w:ind w:left="980" w:hanging="411"/>
        <w:spacing w:after="0"/>
        <w:tabs>
          <w:tab w:leader="none" w:pos="9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one series of debt securities, it must be approved by the holders of a majority in principal amount of that series.</w:t>
      </w:r>
    </w:p>
    <w:p>
      <w:pPr>
        <w:spacing w:after="0" w:line="100" w:lineRule="exact"/>
        <w:rPr>
          <w:rFonts w:ascii="Times New Roman" w:cs="Times New Roman" w:eastAsia="Times New Roman" w:hAnsi="Times New Roman"/>
          <w:sz w:val="14"/>
          <w:szCs w:val="14"/>
          <w:color w:val="auto"/>
        </w:rPr>
      </w:pPr>
    </w:p>
    <w:p>
      <w:pPr>
        <w:ind w:left="980" w:right="259" w:hanging="411"/>
        <w:spacing w:after="0" w:line="321" w:lineRule="auto"/>
        <w:tabs>
          <w:tab w:leader="none" w:pos="98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02"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9019"/>
          </w:cols>
          <w:pgMar w:left="1440" w:top="259" w:right="1440" w:bottom="1440" w:gutter="0" w:footer="0" w:header="0"/>
        </w:sectPr>
      </w:pPr>
    </w:p>
    <w:bookmarkStart w:id="139" w:name="page140"/>
    <w:bookmarkEnd w:id="139"/>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Further Details Concerning Voting</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When taking a vote, we will use the following rules to decide how much principal to attribute to a debt security:</w:t>
      </w:r>
    </w:p>
    <w:p>
      <w:pPr>
        <w:spacing w:after="0" w:line="101" w:lineRule="exact"/>
        <w:rPr>
          <w:sz w:val="20"/>
          <w:szCs w:val="20"/>
          <w:color w:val="auto"/>
        </w:rPr>
      </w:pPr>
    </w:p>
    <w:p>
      <w:pPr>
        <w:ind w:left="980" w:right="339" w:hanging="411"/>
        <w:spacing w:after="0" w:line="281" w:lineRule="auto"/>
        <w:tabs>
          <w:tab w:leader="none" w:pos="9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original issue discount securities, we will use the principal amount that would be due and payable on the voting date if the maturity of these debt securities were accelerated to that date because of a default.</w:t>
      </w:r>
    </w:p>
    <w:p>
      <w:pPr>
        <w:spacing w:after="0" w:line="52" w:lineRule="exact"/>
        <w:rPr>
          <w:rFonts w:ascii="Times New Roman" w:cs="Times New Roman" w:eastAsia="Times New Roman" w:hAnsi="Times New Roman"/>
          <w:sz w:val="14"/>
          <w:szCs w:val="14"/>
          <w:color w:val="auto"/>
        </w:rPr>
      </w:pPr>
    </w:p>
    <w:p>
      <w:pPr>
        <w:ind w:left="980" w:right="359" w:hanging="411"/>
        <w:spacing w:after="0" w:line="281" w:lineRule="auto"/>
        <w:tabs>
          <w:tab w:leader="none" w:pos="9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securities whose principal amount is not known (for example, because it is based on an index), we will use a special rule for that debt security described in the prospectus supplement.</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securities denominated in one or more foreign currencies, we will use the U.S. dollar equivalent.</w:t>
      </w:r>
    </w:p>
    <w:p>
      <w:pPr>
        <w:spacing w:after="0" w:line="100" w:lineRule="exact"/>
        <w:rPr>
          <w:rFonts w:ascii="Times New Roman" w:cs="Times New Roman" w:eastAsia="Times New Roman" w:hAnsi="Times New Roman"/>
          <w:sz w:val="14"/>
          <w:szCs w:val="14"/>
          <w:color w:val="auto"/>
        </w:rPr>
      </w:pPr>
    </w:p>
    <w:p>
      <w:pPr>
        <w:ind w:left="980" w:right="379" w:hanging="411"/>
        <w:spacing w:after="0" w:line="265" w:lineRule="auto"/>
        <w:tabs>
          <w:tab w:leader="none" w:pos="9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36"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40"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4"/>
          <w:szCs w:val="14"/>
          <w:color w:val="auto"/>
        </w:rPr>
        <w:t>Book-entry and other indirect holders should consult their banks or brokers for information on how approval may be granted or denied if we seek to change the indenture or the debt securities or request a waiver.</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92" w:lineRule="exact"/>
        <w:rPr>
          <w:sz w:val="20"/>
          <w:szCs w:val="20"/>
          <w:color w:val="auto"/>
        </w:rPr>
      </w:pPr>
    </w:p>
    <w:p>
      <w:pPr>
        <w:ind w:left="240" w:right="639" w:firstLine="341"/>
        <w:spacing w:after="0" w:line="281" w:lineRule="auto"/>
        <w:rPr>
          <w:sz w:val="20"/>
          <w:szCs w:val="20"/>
          <w:color w:val="auto"/>
        </w:rPr>
      </w:pPr>
      <w:r>
        <w:rPr>
          <w:rFonts w:ascii="Times New Roman" w:cs="Times New Roman" w:eastAsia="Times New Roman" w:hAnsi="Times New Roman"/>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Covenant Defeasance</w:t>
      </w:r>
    </w:p>
    <w:p>
      <w:pPr>
        <w:spacing w:after="0" w:line="92" w:lineRule="exact"/>
        <w:rPr>
          <w:sz w:val="20"/>
          <w:szCs w:val="20"/>
          <w:color w:val="auto"/>
        </w:rPr>
      </w:pPr>
    </w:p>
    <w:p>
      <w:pPr>
        <w:ind w:left="240" w:right="239" w:firstLine="341"/>
        <w:spacing w:after="0" w:line="257" w:lineRule="auto"/>
        <w:rPr>
          <w:sz w:val="20"/>
          <w:szCs w:val="20"/>
          <w:color w:val="auto"/>
        </w:rPr>
      </w:pPr>
      <w:r>
        <w:rPr>
          <w:rFonts w:ascii="Times New Roman" w:cs="Times New Roman" w:eastAsia="Times New Roman" w:hAnsi="Times New Roman"/>
          <w:sz w:val="14"/>
          <w:szCs w:val="14"/>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69" w:lineRule="exact"/>
        <w:rPr>
          <w:sz w:val="20"/>
          <w:szCs w:val="20"/>
          <w:color w:val="auto"/>
        </w:rPr>
      </w:pPr>
    </w:p>
    <w:p>
      <w:pPr>
        <w:ind w:left="980" w:right="379" w:hanging="411"/>
        <w:spacing w:after="0" w:line="265" w:lineRule="auto"/>
        <w:tabs>
          <w:tab w:leader="none" w:pos="9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63" w:lineRule="exact"/>
        <w:rPr>
          <w:rFonts w:ascii="Times New Roman" w:cs="Times New Roman" w:eastAsia="Times New Roman" w:hAnsi="Times New Roman"/>
          <w:sz w:val="14"/>
          <w:szCs w:val="14"/>
          <w:color w:val="auto"/>
        </w:rPr>
      </w:pPr>
    </w:p>
    <w:p>
      <w:pPr>
        <w:jc w:val="both"/>
        <w:ind w:left="980" w:right="279" w:hanging="411"/>
        <w:spacing w:after="0" w:line="265" w:lineRule="auto"/>
        <w:tabs>
          <w:tab w:leader="none" w:pos="9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63" w:lineRule="exact"/>
        <w:rPr>
          <w:rFonts w:ascii="Times New Roman" w:cs="Times New Roman" w:eastAsia="Times New Roman" w:hAnsi="Times New Roman"/>
          <w:sz w:val="14"/>
          <w:szCs w:val="14"/>
          <w:color w:val="auto"/>
        </w:rPr>
      </w:pPr>
    </w:p>
    <w:p>
      <w:pPr>
        <w:ind w:left="980" w:right="519" w:hanging="411"/>
        <w:spacing w:after="0" w:line="281" w:lineRule="auto"/>
        <w:tabs>
          <w:tab w:leader="none" w:pos="9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and officers’ certificate stating that all conditions precedent to covenant defeasance have been complied with.</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9019"/>
          </w:cols>
          <w:pgMar w:left="1440" w:top="259" w:right="1440" w:bottom="1440" w:gutter="0" w:footer="0" w:header="0"/>
        </w:sectPr>
      </w:pPr>
    </w:p>
    <w:bookmarkStart w:id="140" w:name="page141"/>
    <w:bookmarkEnd w:id="140"/>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Full Defeasance</w:t>
      </w:r>
    </w:p>
    <w:p>
      <w:pPr>
        <w:spacing w:after="0" w:line="92" w:lineRule="exact"/>
        <w:rPr>
          <w:sz w:val="20"/>
          <w:szCs w:val="20"/>
          <w:color w:val="auto"/>
        </w:rPr>
      </w:pPr>
    </w:p>
    <w:p>
      <w:pPr>
        <w:ind w:left="240" w:right="259" w:firstLine="341"/>
        <w:spacing w:after="0" w:line="281" w:lineRule="auto"/>
        <w:rPr>
          <w:sz w:val="20"/>
          <w:szCs w:val="20"/>
          <w:color w:val="auto"/>
        </w:rPr>
      </w:pPr>
      <w:r>
        <w:rPr>
          <w:rFonts w:ascii="Times New Roman" w:cs="Times New Roman" w:eastAsia="Times New Roman" w:hAnsi="Times New Roman"/>
          <w:sz w:val="14"/>
          <w:szCs w:val="14"/>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80" w:right="379" w:hanging="411"/>
        <w:spacing w:after="0" w:line="265" w:lineRule="auto"/>
        <w:tabs>
          <w:tab w:leader="none" w:pos="9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63" w:lineRule="exact"/>
        <w:rPr>
          <w:rFonts w:ascii="Times New Roman" w:cs="Times New Roman" w:eastAsia="Times New Roman" w:hAnsi="Times New Roman"/>
          <w:sz w:val="14"/>
          <w:szCs w:val="14"/>
          <w:color w:val="auto"/>
        </w:rPr>
      </w:pPr>
    </w:p>
    <w:p>
      <w:pPr>
        <w:ind w:left="980" w:right="259" w:hanging="411"/>
        <w:spacing w:after="0" w:line="281" w:lineRule="auto"/>
        <w:tabs>
          <w:tab w:leader="none" w:pos="9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56" w:lineRule="exact"/>
        <w:rPr>
          <w:rFonts w:ascii="Times New Roman" w:cs="Times New Roman" w:eastAsia="Times New Roman" w:hAnsi="Times New Roman"/>
          <w:sz w:val="13"/>
          <w:szCs w:val="13"/>
          <w:color w:val="auto"/>
        </w:rPr>
      </w:pPr>
    </w:p>
    <w:p>
      <w:pPr>
        <w:ind w:left="980" w:right="759" w:hanging="411"/>
        <w:spacing w:after="0" w:line="281" w:lineRule="auto"/>
        <w:tabs>
          <w:tab w:leader="none" w:pos="9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and officers’ certificate stating that all conditions precedent to defeasance have been complied with.</w:t>
      </w:r>
    </w:p>
    <w:p>
      <w:pPr>
        <w:spacing w:after="0" w:line="125"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Form, Exchange and Transfer of Certificated Registered Securities</w:t>
      </w:r>
    </w:p>
    <w:p>
      <w:pPr>
        <w:spacing w:after="0" w:line="92" w:lineRule="exact"/>
        <w:rPr>
          <w:sz w:val="20"/>
          <w:szCs w:val="20"/>
          <w:color w:val="auto"/>
        </w:rPr>
      </w:pPr>
    </w:p>
    <w:p>
      <w:pPr>
        <w:ind w:left="240" w:right="419" w:firstLine="341"/>
        <w:spacing w:after="0" w:line="281" w:lineRule="auto"/>
        <w:rPr>
          <w:sz w:val="20"/>
          <w:szCs w:val="20"/>
          <w:color w:val="auto"/>
        </w:rPr>
      </w:pPr>
      <w:r>
        <w:rPr>
          <w:rFonts w:ascii="Times New Roman" w:cs="Times New Roman" w:eastAsia="Times New Roman" w:hAnsi="Times New Roman"/>
          <w:sz w:val="14"/>
          <w:szCs w:val="14"/>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25" w:lineRule="exact"/>
        <w:rPr>
          <w:sz w:val="20"/>
          <w:szCs w:val="20"/>
          <w:color w:val="auto"/>
        </w:rPr>
      </w:pPr>
    </w:p>
    <w:p>
      <w:pPr>
        <w:ind w:left="240" w:right="279" w:firstLine="341"/>
        <w:spacing w:after="0" w:line="265" w:lineRule="auto"/>
        <w:rPr>
          <w:sz w:val="20"/>
          <w:szCs w:val="20"/>
          <w:color w:val="auto"/>
        </w:rPr>
      </w:pPr>
      <w:r>
        <w:rPr>
          <w:rFonts w:ascii="Times New Roman" w:cs="Times New Roman" w:eastAsia="Times New Roman" w:hAnsi="Times New Roman"/>
          <w:sz w:val="14"/>
          <w:szCs w:val="14"/>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36" w:lineRule="exact"/>
        <w:rPr>
          <w:sz w:val="20"/>
          <w:szCs w:val="20"/>
          <w:color w:val="auto"/>
        </w:rPr>
      </w:pPr>
    </w:p>
    <w:p>
      <w:pPr>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36" w:lineRule="exact"/>
        <w:rPr>
          <w:sz w:val="20"/>
          <w:szCs w:val="20"/>
          <w:color w:val="auto"/>
        </w:rPr>
      </w:pPr>
    </w:p>
    <w:p>
      <w:pPr>
        <w:ind w:left="240" w:right="559" w:firstLine="341"/>
        <w:spacing w:after="0" w:line="265" w:lineRule="auto"/>
        <w:rPr>
          <w:sz w:val="20"/>
          <w:szCs w:val="20"/>
          <w:color w:val="auto"/>
        </w:rPr>
      </w:pPr>
      <w:r>
        <w:rPr>
          <w:rFonts w:ascii="Times New Roman" w:cs="Times New Roman" w:eastAsia="Times New Roman" w:hAnsi="Times New Roman"/>
          <w:sz w:val="14"/>
          <w:szCs w:val="14"/>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36" w:lineRule="exact"/>
        <w:rPr>
          <w:sz w:val="20"/>
          <w:szCs w:val="20"/>
          <w:color w:val="auto"/>
        </w:rPr>
      </w:pPr>
    </w:p>
    <w:p>
      <w:pPr>
        <w:ind w:left="240" w:right="419" w:firstLine="341"/>
        <w:spacing w:after="0" w:line="281" w:lineRule="auto"/>
        <w:rPr>
          <w:sz w:val="20"/>
          <w:szCs w:val="20"/>
          <w:color w:val="auto"/>
        </w:rPr>
      </w:pPr>
      <w:r>
        <w:rPr>
          <w:rFonts w:ascii="Times New Roman" w:cs="Times New Roman" w:eastAsia="Times New Roman" w:hAnsi="Times New Roman"/>
          <w:sz w:val="14"/>
          <w:szCs w:val="14"/>
          <w:color w:val="auto"/>
        </w:rPr>
        <w:t>If any certificated securities of a particular series are redeemable and we redeem less than all the debt securities of that series, we may block the transfer or exchange of those debt securities during the period</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9019"/>
          </w:cols>
          <w:pgMar w:left="1440" w:top="261" w:right="1440" w:bottom="1440" w:gutter="0" w:footer="0" w:header="0"/>
        </w:sectPr>
      </w:pPr>
    </w:p>
    <w:bookmarkStart w:id="141" w:name="page142"/>
    <w:bookmarkEnd w:id="141"/>
    <w:p>
      <w:pPr>
        <w:jc w:val="both"/>
        <w:ind w:left="240" w:right="2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Resignation of Trustee</w:t>
      </w:r>
    </w:p>
    <w:p>
      <w:pPr>
        <w:spacing w:after="0" w:line="92" w:lineRule="exact"/>
        <w:rPr>
          <w:sz w:val="20"/>
          <w:szCs w:val="20"/>
          <w:color w:val="auto"/>
        </w:rPr>
      </w:pPr>
    </w:p>
    <w:p>
      <w:pPr>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Indenture Provisions-Subordination</w:t>
      </w:r>
    </w:p>
    <w:p>
      <w:pPr>
        <w:spacing w:after="0" w:line="92"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47" w:lineRule="exact"/>
        <w:rPr>
          <w:sz w:val="20"/>
          <w:szCs w:val="20"/>
          <w:color w:val="auto"/>
        </w:rPr>
      </w:pPr>
    </w:p>
    <w:p>
      <w:pPr>
        <w:ind w:left="240" w:right="239" w:firstLine="341"/>
        <w:spacing w:after="0" w:line="254" w:lineRule="auto"/>
        <w:rPr>
          <w:sz w:val="20"/>
          <w:szCs w:val="20"/>
          <w:color w:val="auto"/>
        </w:rPr>
      </w:pPr>
      <w:r>
        <w:rPr>
          <w:rFonts w:ascii="Times New Roman" w:cs="Times New Roman" w:eastAsia="Times New Roman" w:hAnsi="Times New Roman"/>
          <w:sz w:val="14"/>
          <w:szCs w:val="14"/>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47" w:lineRule="exact"/>
        <w:rPr>
          <w:sz w:val="20"/>
          <w:szCs w:val="20"/>
          <w:color w:val="auto"/>
        </w:rPr>
      </w:pPr>
    </w:p>
    <w:p>
      <w:pPr>
        <w:ind w:left="240" w:right="339" w:firstLine="341"/>
        <w:spacing w:after="0" w:line="265" w:lineRule="auto"/>
        <w:rPr>
          <w:sz w:val="20"/>
          <w:szCs w:val="20"/>
          <w:color w:val="auto"/>
        </w:rPr>
      </w:pPr>
      <w:r>
        <w:rPr>
          <w:rFonts w:ascii="Times New Roman" w:cs="Times New Roman" w:eastAsia="Times New Roman" w:hAnsi="Times New Roman"/>
          <w:sz w:val="14"/>
          <w:szCs w:val="14"/>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“Senior Indebtedness” is defined in the indenture as the principal of (and premium, if any) and unpaid interest on:</w:t>
      </w:r>
    </w:p>
    <w:p>
      <w:pPr>
        <w:spacing w:after="0" w:line="101" w:lineRule="exact"/>
        <w:rPr>
          <w:sz w:val="20"/>
          <w:szCs w:val="20"/>
          <w:color w:val="auto"/>
        </w:rPr>
      </w:pPr>
    </w:p>
    <w:p>
      <w:pPr>
        <w:ind w:left="980" w:right="539" w:hanging="411"/>
        <w:spacing w:after="0" w:line="260" w:lineRule="auto"/>
        <w:tabs>
          <w:tab w:leader="none" w:pos="9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6"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renewals, extensions, modifications and refinancings of any of this indebtedness.</w:t>
      </w:r>
    </w:p>
    <w:p>
      <w:pPr>
        <w:spacing w:after="0" w:line="174" w:lineRule="exact"/>
        <w:rPr>
          <w:sz w:val="20"/>
          <w:szCs w:val="20"/>
          <w:color w:val="auto"/>
        </w:rPr>
      </w:pPr>
    </w:p>
    <w:p>
      <w:pPr>
        <w:ind w:left="240" w:right="279" w:firstLine="341"/>
        <w:spacing w:after="0" w:line="281" w:lineRule="auto"/>
        <w:rPr>
          <w:sz w:val="20"/>
          <w:szCs w:val="20"/>
          <w:color w:val="auto"/>
        </w:rPr>
      </w:pPr>
      <w:r>
        <w:rPr>
          <w:rFonts w:ascii="Times New Roman" w:cs="Times New Roman" w:eastAsia="Times New Roman" w:hAnsi="Times New Roman"/>
          <w:sz w:val="14"/>
          <w:szCs w:val="14"/>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9019"/>
          </w:cols>
          <w:pgMar w:left="1440" w:top="261" w:right="1440" w:bottom="1440" w:gutter="0" w:footer="0" w:header="0"/>
        </w:sectPr>
      </w:pPr>
    </w:p>
    <w:bookmarkStart w:id="142" w:name="page143"/>
    <w:bookmarkEnd w:id="142"/>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Secured Indebtedness and Ranking</w:t>
      </w:r>
    </w:p>
    <w:p>
      <w:pPr>
        <w:spacing w:after="0" w:line="92"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36"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46" w:lineRule="exact"/>
        <w:rPr>
          <w:sz w:val="20"/>
          <w:szCs w:val="20"/>
          <w:color w:val="auto"/>
        </w:rPr>
      </w:pPr>
    </w:p>
    <w:p>
      <w:pPr>
        <w:ind w:left="240" w:right="319" w:firstLine="341"/>
        <w:spacing w:after="0" w:line="260" w:lineRule="auto"/>
        <w:rPr>
          <w:sz w:val="20"/>
          <w:szCs w:val="20"/>
          <w:color w:val="auto"/>
        </w:rPr>
      </w:pPr>
      <w:r>
        <w:rPr>
          <w:rFonts w:ascii="Times New Roman" w:cs="Times New Roman" w:eastAsia="Times New Roman" w:hAnsi="Times New Roman"/>
          <w:sz w:val="14"/>
          <w:szCs w:val="14"/>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The Trustee under the Indenture</w:t>
      </w:r>
    </w:p>
    <w:p>
      <w:pPr>
        <w:spacing w:after="0" w:line="92" w:lineRule="exact"/>
        <w:rPr>
          <w:sz w:val="20"/>
          <w:szCs w:val="20"/>
          <w:color w:val="auto"/>
        </w:rPr>
      </w:pPr>
    </w:p>
    <w:p>
      <w:pPr>
        <w:ind w:left="240" w:right="259" w:firstLine="341"/>
        <w:spacing w:after="0" w:line="279" w:lineRule="auto"/>
        <w:rPr>
          <w:sz w:val="20"/>
          <w:szCs w:val="20"/>
          <w:color w:val="auto"/>
        </w:rPr>
      </w:pPr>
      <w:r>
        <w:rPr>
          <w:rFonts w:ascii="Times New Roman" w:cs="Times New Roman" w:eastAsia="Times New Roman" w:hAnsi="Times New Roman"/>
          <w:sz w:val="13"/>
          <w:szCs w:val="13"/>
          <w:color w:val="auto"/>
        </w:rPr>
        <w:t>Each prospectus supplement relating to an offering of debt securities will identify the financial institution to serve as trustee of such debt securities under the applicable indenture. This document and the related documents do not provide a comprehensive description of the rights, benefits, protections, immunities, indemnities, and privileges of the trustee. Rather, the applicable indenture sets forth the trustee’s rights, benefits, protections, immunities, indemnities, and privileges. The trustee assumes (and shall have) no responsibility or liability for the accuracy, correctness, or completeness of the information (including such information concerning us or our affiliates or any other party) contained in this document or the related documents or for any failure by us or any other party to disclose events that may have occurred and may affect the significance or accuracy of such information.</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Certain Considerations Relating To Foreign Currencies</w:t>
      </w:r>
    </w:p>
    <w:p>
      <w:pPr>
        <w:spacing w:after="0" w:line="92" w:lineRule="exact"/>
        <w:rPr>
          <w:sz w:val="20"/>
          <w:szCs w:val="20"/>
          <w:color w:val="auto"/>
        </w:rPr>
      </w:pPr>
    </w:p>
    <w:p>
      <w:pPr>
        <w:ind w:left="240" w:right="639" w:firstLine="341"/>
        <w:spacing w:after="0" w:line="260" w:lineRule="auto"/>
        <w:rPr>
          <w:sz w:val="20"/>
          <w:szCs w:val="20"/>
          <w:color w:val="auto"/>
        </w:rPr>
      </w:pPr>
      <w:r>
        <w:rPr>
          <w:rFonts w:ascii="Times New Roman" w:cs="Times New Roman" w:eastAsia="Times New Roman" w:hAnsi="Times New Roman"/>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Book-Entry Debt Securities</w:t>
      </w:r>
    </w:p>
    <w:p>
      <w:pPr>
        <w:spacing w:after="0" w:line="92"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46" w:lineRule="exact"/>
        <w:rPr>
          <w:sz w:val="20"/>
          <w:szCs w:val="20"/>
          <w:color w:val="auto"/>
        </w:rPr>
      </w:pPr>
    </w:p>
    <w:p>
      <w:pPr>
        <w:ind w:left="240" w:right="279" w:firstLine="341"/>
        <w:spacing w:after="0" w:line="295" w:lineRule="auto"/>
        <w:rPr>
          <w:sz w:val="20"/>
          <w:szCs w:val="20"/>
          <w:color w:val="auto"/>
        </w:rPr>
      </w:pPr>
      <w:r>
        <w:rPr>
          <w:rFonts w:ascii="Times New Roman" w:cs="Times New Roman" w:eastAsia="Times New Roman" w:hAnsi="Times New Roman"/>
          <w:sz w:val="13"/>
          <w:szCs w:val="13"/>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9019"/>
          </w:cols>
          <w:pgMar w:left="1440" w:top="259" w:right="1440" w:bottom="1440" w:gutter="0" w:footer="0" w:header="0"/>
        </w:sectPr>
      </w:pPr>
    </w:p>
    <w:bookmarkStart w:id="143" w:name="page144"/>
    <w:bookmarkEnd w:id="143"/>
    <w:p>
      <w:pPr>
        <w:ind w:left="240" w:right="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201535" cy="45720"/>
                    </a:xfrm>
                    <a:prstGeom prst="rect">
                      <a:avLst/>
                    </a:prstGeom>
                    <a:noFill/>
                  </pic:spPr>
                </pic:pic>
              </a:graphicData>
            </a:graphic>
          </wp:anchor>
        </w:drawing>
        <w:t>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46" w:lineRule="exact"/>
        <w:rPr>
          <w:sz w:val="20"/>
          <w:szCs w:val="20"/>
          <w:color w:val="auto"/>
        </w:rPr>
      </w:pPr>
    </w:p>
    <w:p>
      <w:pPr>
        <w:ind w:left="240" w:right="259" w:firstLine="341"/>
        <w:spacing w:after="0" w:line="286" w:lineRule="auto"/>
        <w:rPr>
          <w:sz w:val="20"/>
          <w:szCs w:val="20"/>
          <w:color w:val="auto"/>
        </w:rPr>
      </w:pPr>
      <w:r>
        <w:rPr>
          <w:rFonts w:ascii="Times New Roman" w:cs="Times New Roman" w:eastAsia="Times New Roman" w:hAnsi="Times New Roman"/>
          <w:sz w:val="13"/>
          <w:szCs w:val="13"/>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25" w:lineRule="exact"/>
        <w:rPr>
          <w:sz w:val="20"/>
          <w:szCs w:val="20"/>
          <w:color w:val="auto"/>
        </w:rPr>
      </w:pPr>
    </w:p>
    <w:p>
      <w:pPr>
        <w:ind w:left="240" w:right="239" w:firstLine="341"/>
        <w:spacing w:after="0" w:line="254" w:lineRule="auto"/>
        <w:rPr>
          <w:sz w:val="20"/>
          <w:szCs w:val="20"/>
          <w:color w:val="auto"/>
        </w:rPr>
      </w:pPr>
      <w:r>
        <w:rPr>
          <w:rFonts w:ascii="Times New Roman" w:cs="Times New Roman" w:eastAsia="Times New Roman" w:hAnsi="Times New Roman"/>
          <w:sz w:val="14"/>
          <w:szCs w:val="14"/>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44" w:lineRule="exact"/>
        <w:rPr>
          <w:sz w:val="20"/>
          <w:szCs w:val="20"/>
          <w:color w:val="auto"/>
        </w:rPr>
      </w:pPr>
    </w:p>
    <w:p>
      <w:pPr>
        <w:ind w:left="240" w:right="439" w:firstLine="341"/>
        <w:spacing w:after="0" w:line="255" w:lineRule="auto"/>
        <w:rPr>
          <w:sz w:val="20"/>
          <w:szCs w:val="20"/>
          <w:color w:val="auto"/>
        </w:rPr>
      </w:pPr>
      <w:r>
        <w:rPr>
          <w:rFonts w:ascii="Times New Roman" w:cs="Times New Roman" w:eastAsia="Times New Roman" w:hAnsi="Times New Roman"/>
          <w:sz w:val="14"/>
          <w:szCs w:val="14"/>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46" w:lineRule="exact"/>
        <w:rPr>
          <w:sz w:val="20"/>
          <w:szCs w:val="20"/>
          <w:color w:val="auto"/>
        </w:rPr>
      </w:pPr>
    </w:p>
    <w:p>
      <w:pPr>
        <w:ind w:left="240" w:right="539" w:firstLine="341"/>
        <w:spacing w:after="0" w:line="265"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36"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4"/>
          <w:szCs w:val="14"/>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25"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40" w:lineRule="exact"/>
        <w:rPr>
          <w:sz w:val="20"/>
          <w:szCs w:val="20"/>
          <w:color w:val="auto"/>
        </w:rPr>
      </w:pPr>
    </w:p>
    <w:p>
      <w:pPr>
        <w:ind w:left="240" w:right="379" w:firstLine="341"/>
        <w:spacing w:after="0" w:line="281" w:lineRule="auto"/>
        <w:rPr>
          <w:sz w:val="20"/>
          <w:szCs w:val="20"/>
          <w:color w:val="auto"/>
        </w:rPr>
      </w:pPr>
      <w:r>
        <w:rPr>
          <w:rFonts w:ascii="Times New Roman" w:cs="Times New Roman" w:eastAsia="Times New Roman" w:hAnsi="Times New Roman"/>
          <w:sz w:val="14"/>
          <w:szCs w:val="14"/>
          <w:color w:val="auto"/>
        </w:rPr>
        <w:t>Redemption proceeds, distributions, and dividend payments on the debt securities will be made to Cede &amp; Co., or such other nominee as may be requested by an authorized representative of DTC. DTC’s practice is to</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9019"/>
          </w:cols>
          <w:pgMar w:left="1440" w:top="261" w:right="1440" w:bottom="1440" w:gutter="0" w:footer="0" w:header="0"/>
        </w:sectPr>
      </w:pPr>
    </w:p>
    <w:bookmarkStart w:id="144" w:name="page145"/>
    <w:bookmarkEnd w:id="144"/>
    <w:p>
      <w:pPr>
        <w:ind w:left="240" w:right="23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32" w:lineRule="exact"/>
        <w:rPr>
          <w:sz w:val="20"/>
          <w:szCs w:val="20"/>
          <w:color w:val="auto"/>
        </w:rPr>
      </w:pPr>
    </w:p>
    <w:p>
      <w:pPr>
        <w:ind w:left="240" w:right="239" w:firstLine="341"/>
        <w:spacing w:after="0" w:line="260" w:lineRule="auto"/>
        <w:rPr>
          <w:sz w:val="20"/>
          <w:szCs w:val="20"/>
          <w:color w:val="auto"/>
        </w:rPr>
      </w:pPr>
      <w:r>
        <w:rPr>
          <w:rFonts w:ascii="Times New Roman" w:cs="Times New Roman" w:eastAsia="Times New Roman" w:hAnsi="Times New Roman"/>
          <w:sz w:val="14"/>
          <w:szCs w:val="14"/>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40" w:lineRule="exact"/>
        <w:rPr>
          <w:sz w:val="20"/>
          <w:szCs w:val="20"/>
          <w:color w:val="auto"/>
        </w:rPr>
      </w:pPr>
    </w:p>
    <w:p>
      <w:pPr>
        <w:ind w:left="240" w:right="359" w:firstLine="341"/>
        <w:spacing w:after="0" w:line="281" w:lineRule="auto"/>
        <w:rPr>
          <w:sz w:val="20"/>
          <w:szCs w:val="20"/>
          <w:color w:val="auto"/>
        </w:rPr>
      </w:pPr>
      <w:r>
        <w:rPr>
          <w:rFonts w:ascii="Times New Roman" w:cs="Times New Roman" w:eastAsia="Times New Roman" w:hAnsi="Times New Roman"/>
          <w:sz w:val="14"/>
          <w:szCs w:val="14"/>
          <w:color w:val="auto"/>
        </w:rPr>
        <w:t>The information in this section concerning DTC and DTC’s book-entry system has been obtained from sources that we believe to be reliable, but we take no responsibility for the accuracy thereof.</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CUSTODIAN, TRANSFER AND DIVIDEND PAYING AGENT AND REGISTRAR</w:t>
      </w:r>
    </w:p>
    <w:p>
      <w:pPr>
        <w:spacing w:after="0" w:line="176" w:lineRule="exact"/>
        <w:rPr>
          <w:sz w:val="20"/>
          <w:szCs w:val="20"/>
          <w:color w:val="auto"/>
        </w:rPr>
      </w:pPr>
    </w:p>
    <w:p>
      <w:pPr>
        <w:jc w:val="both"/>
        <w:ind w:left="240" w:right="619" w:firstLine="341"/>
        <w:spacing w:after="0" w:line="260" w:lineRule="auto"/>
        <w:rPr>
          <w:sz w:val="20"/>
          <w:szCs w:val="20"/>
          <w:color w:val="auto"/>
        </w:rPr>
      </w:pPr>
      <w:r>
        <w:rPr>
          <w:rFonts w:ascii="Times New Roman" w:cs="Times New Roman" w:eastAsia="Times New Roman" w:hAnsi="Times New Roman"/>
          <w:sz w:val="14"/>
          <w:szCs w:val="14"/>
          <w:color w:val="auto"/>
        </w:rPr>
        <w:t>Our securities and loan documents are held by State Street Bank and Trust Company pursuant to a custodian agreement and Equiniti Trust Company, LLC serves as our transfer agent, distribution paying agent and registrar. The principal business address of State Street Bank and Trust Company is 1 Lincoln Street, Boston, Massachusetts 02111. The principal business address of Equiniti Trust Company, LLC is 6201 15th Avenue, Brooklyn, NY 11219.</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BROKERAGE ALLOCATION AND OTHER PRACTICES</w:t>
      </w:r>
    </w:p>
    <w:p>
      <w:pPr>
        <w:spacing w:after="0" w:line="176" w:lineRule="exact"/>
        <w:rPr>
          <w:sz w:val="20"/>
          <w:szCs w:val="20"/>
          <w:color w:val="auto"/>
        </w:rPr>
      </w:pPr>
    </w:p>
    <w:p>
      <w:pPr>
        <w:ind w:left="240" w:right="279" w:firstLine="341"/>
        <w:spacing w:after="0" w:line="281" w:lineRule="auto"/>
        <w:rPr>
          <w:sz w:val="20"/>
          <w:szCs w:val="20"/>
          <w:color w:val="auto"/>
        </w:rPr>
      </w:pPr>
      <w:r>
        <w:rPr>
          <w:rFonts w:ascii="Times New Roman" w:cs="Times New Roman" w:eastAsia="Times New Roman" w:hAnsi="Times New Roman"/>
          <w:sz w:val="14"/>
          <w:szCs w:val="14"/>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25"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43" w:lineRule="exact"/>
        <w:rPr>
          <w:sz w:val="20"/>
          <w:szCs w:val="20"/>
          <w:color w:val="auto"/>
        </w:rPr>
      </w:pPr>
    </w:p>
    <w:p>
      <w:pPr>
        <w:ind w:left="240" w:right="399" w:firstLine="341"/>
        <w:spacing w:after="0" w:line="286" w:lineRule="auto"/>
        <w:rPr>
          <w:sz w:val="20"/>
          <w:szCs w:val="20"/>
          <w:color w:val="auto"/>
        </w:rPr>
      </w:pPr>
      <w:r>
        <w:rPr>
          <w:rFonts w:ascii="Times New Roman" w:cs="Times New Roman" w:eastAsia="Times New Roman" w:hAnsi="Times New Roman"/>
          <w:sz w:val="13"/>
          <w:szCs w:val="13"/>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also pay brokerage commissions incurred in connection with purchases pursuant to the Company 10b5-1 Plan.</w:t>
      </w:r>
    </w:p>
    <w:p>
      <w:pPr>
        <w:spacing w:after="0" w:line="174" w:lineRule="exact"/>
        <w:rPr>
          <w:sz w:val="20"/>
          <w:szCs w:val="20"/>
          <w:color w:val="auto"/>
        </w:rPr>
      </w:pPr>
    </w:p>
    <w:p>
      <w:pPr>
        <w:jc w:val="center"/>
        <w:ind w:left="240" w:right="459"/>
        <w:spacing w:after="0" w:line="452" w:lineRule="auto"/>
        <w:rPr>
          <w:sz w:val="20"/>
          <w:szCs w:val="20"/>
          <w:color w:val="auto"/>
        </w:rPr>
      </w:pPr>
      <w:r>
        <w:rPr>
          <w:rFonts w:ascii="Times New Roman" w:cs="Times New Roman" w:eastAsia="Times New Roman" w:hAnsi="Times New Roman"/>
          <w:sz w:val="14"/>
          <w:szCs w:val="14"/>
          <w:color w:val="auto"/>
        </w:rPr>
        <w:t>The aggregate amount of brokerage commissions paid by us during the three most recent completed fiscal years is less than $0.4 million. 93</w:t>
      </w:r>
    </w:p>
    <w:p>
      <w:pPr>
        <w:sectPr>
          <w:pgSz w:w="11900" w:h="16838" w:orient="portrait"/>
          <w:cols w:equalWidth="0" w:num="1">
            <w:col w:w="9019"/>
          </w:cols>
          <w:pgMar w:left="1440" w:top="261" w:right="1440"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PLAN OF DISTRIBUTION</w:t>
      </w:r>
    </w:p>
    <w:p>
      <w:pPr>
        <w:spacing w:after="0" w:line="176" w:lineRule="exact"/>
        <w:rPr>
          <w:sz w:val="20"/>
          <w:szCs w:val="20"/>
          <w:color w:val="auto"/>
        </w:rPr>
      </w:pPr>
    </w:p>
    <w:p>
      <w:pPr>
        <w:ind w:left="240" w:right="339" w:firstLine="341"/>
        <w:spacing w:after="0" w:line="260" w:lineRule="auto"/>
        <w:rPr>
          <w:sz w:val="20"/>
          <w:szCs w:val="20"/>
          <w:color w:val="auto"/>
        </w:rPr>
      </w:pPr>
      <w:r>
        <w:rPr>
          <w:rFonts w:ascii="Times New Roman" w:cs="Times New Roman" w:eastAsia="Times New Roman" w:hAnsi="Times New Roman"/>
          <w:sz w:val="14"/>
          <w:szCs w:val="14"/>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40" w:lineRule="exact"/>
        <w:rPr>
          <w:sz w:val="20"/>
          <w:szCs w:val="20"/>
          <w:color w:val="auto"/>
        </w:rPr>
      </w:pPr>
    </w:p>
    <w:p>
      <w:pPr>
        <w:ind w:left="240" w:right="299" w:firstLine="341"/>
        <w:spacing w:after="0" w:line="253" w:lineRule="auto"/>
        <w:rPr>
          <w:sz w:val="20"/>
          <w:szCs w:val="20"/>
          <w:color w:val="auto"/>
        </w:rPr>
      </w:pPr>
      <w:r>
        <w:rPr>
          <w:rFonts w:ascii="Times New Roman" w:cs="Times New Roman" w:eastAsia="Times New Roman" w:hAnsi="Times New Roman"/>
          <w:sz w:val="14"/>
          <w:szCs w:val="14"/>
          <w:color w:val="auto"/>
        </w:rPr>
        <w:t>We may sell the securities through underwriters or dealers, directly to one or more purchasers, including existing stockholders in a rights offering, through agents designated from time to time by us, in “at the market offerings” within the meaning of Rule 415(a)(4) of the Securities Act, to our thought a market maker or into an existing trading market, on an exchange or otherwise, in forward contracts of similar arrangements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45" w:lineRule="exact"/>
        <w:rPr>
          <w:sz w:val="20"/>
          <w:szCs w:val="20"/>
          <w:color w:val="auto"/>
        </w:rPr>
      </w:pPr>
    </w:p>
    <w:p>
      <w:pPr>
        <w:ind w:left="240" w:right="359" w:firstLine="341"/>
        <w:spacing w:after="0" w:line="255" w:lineRule="auto"/>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46"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45"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9019"/>
          </w:cols>
          <w:pgMar w:left="1440" w:top="259" w:right="1440" w:bottom="1440" w:gutter="0" w:footer="0" w:header="0"/>
        </w:sectPr>
      </w:pPr>
    </w:p>
    <w:bookmarkStart w:id="146" w:name="page147"/>
    <w:bookmarkEnd w:id="146"/>
    <w:p>
      <w:pPr>
        <w:ind w:left="240" w:right="31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201535" cy="45720"/>
                    </a:xfrm>
                    <a:prstGeom prst="rect">
                      <a:avLst/>
                    </a:prstGeom>
                    <a:noFill/>
                  </pic:spPr>
                </pic:pic>
              </a:graphicData>
            </a:graphic>
          </wp:anchor>
        </w:drawing>
        <w:t>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25" w:lineRule="exact"/>
        <w:rPr>
          <w:sz w:val="20"/>
          <w:szCs w:val="20"/>
          <w:color w:val="auto"/>
        </w:rPr>
      </w:pPr>
    </w:p>
    <w:p>
      <w:pPr>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36" w:lineRule="exact"/>
        <w:rPr>
          <w:sz w:val="20"/>
          <w:szCs w:val="20"/>
          <w:color w:val="auto"/>
        </w:rPr>
      </w:pPr>
    </w:p>
    <w:p>
      <w:pPr>
        <w:ind w:left="240" w:right="299" w:firstLine="341"/>
        <w:spacing w:after="0" w:line="265"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36" w:lineRule="exact"/>
        <w:rPr>
          <w:sz w:val="20"/>
          <w:szCs w:val="20"/>
          <w:color w:val="auto"/>
        </w:rPr>
      </w:pPr>
    </w:p>
    <w:p>
      <w:pPr>
        <w:ind w:left="240" w:right="319" w:firstLine="341"/>
        <w:spacing w:after="0" w:line="260" w:lineRule="auto"/>
        <w:rPr>
          <w:sz w:val="20"/>
          <w:szCs w:val="20"/>
          <w:color w:val="auto"/>
        </w:rPr>
      </w:pPr>
      <w:r>
        <w:rPr>
          <w:rFonts w:ascii="Times New Roman" w:cs="Times New Roman" w:eastAsia="Times New Roman" w:hAnsi="Times New Roman"/>
          <w:sz w:val="14"/>
          <w:szCs w:val="14"/>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40"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44"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46" w:lineRule="exact"/>
        <w:rPr>
          <w:sz w:val="20"/>
          <w:szCs w:val="20"/>
          <w:color w:val="auto"/>
        </w:rPr>
      </w:pPr>
    </w:p>
    <w:p>
      <w:pPr>
        <w:ind w:left="240" w:right="619" w:firstLine="341"/>
        <w:spacing w:after="0" w:line="281" w:lineRule="auto"/>
        <w:rPr>
          <w:sz w:val="20"/>
          <w:szCs w:val="20"/>
          <w:color w:val="auto"/>
        </w:rPr>
      </w:pPr>
      <w:r>
        <w:rPr>
          <w:rFonts w:ascii="Times New Roman" w:cs="Times New Roman" w:eastAsia="Times New Roman" w:hAnsi="Times New Roman"/>
          <w:sz w:val="14"/>
          <w:szCs w:val="14"/>
          <w:color w:val="auto"/>
        </w:rPr>
        <w:t>In order to comply with the securities laws of certain states, if applicable, the securities offered hereby will be sold in such jurisdictions only through registered or licensed brokers or dealers.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6" w:lineRule="exact"/>
        <w:rPr>
          <w:sz w:val="20"/>
          <w:szCs w:val="20"/>
          <w:color w:val="auto"/>
        </w:rPr>
      </w:pPr>
    </w:p>
    <w:p>
      <w:pPr>
        <w:ind w:left="240" w:right="639" w:firstLine="341"/>
        <w:spacing w:after="0" w:line="321" w:lineRule="auto"/>
        <w:rPr>
          <w:sz w:val="20"/>
          <w:szCs w:val="20"/>
          <w:color w:val="auto"/>
        </w:rPr>
      </w:pPr>
      <w:r>
        <w:rPr>
          <w:rFonts w:ascii="Times New Roman" w:cs="Times New Roman" w:eastAsia="Times New Roman" w:hAnsi="Times New Roman"/>
          <w:sz w:val="13"/>
          <w:szCs w:val="13"/>
          <w:color w:val="auto"/>
        </w:rPr>
        <w:t>The legality of the securities offered hereby will be passed upon for us by Simpson Thacher &amp; Bartlett LLP, Washington, D.C. Certain legal matters in connection with the offering will be passed upon for the underwriters, if any, by the counsel named in the prospectus supplement.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9019"/>
          </w:cols>
          <w:pgMar w:left="1440" w:top="261"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EXPERTS</w:t>
      </w:r>
    </w:p>
    <w:p>
      <w:pPr>
        <w:spacing w:after="0" w:line="176" w:lineRule="exact"/>
        <w:rPr>
          <w:sz w:val="20"/>
          <w:szCs w:val="20"/>
          <w:color w:val="auto"/>
        </w:rPr>
      </w:pPr>
    </w:p>
    <w:p>
      <w:pPr>
        <w:ind w:left="240" w:right="239" w:firstLine="341"/>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of Sixth Street Specialty Lending, Inc. (and subsidiaries) as of December 31, 2022 and 2021, and for each of the years in the three-year period ended December 31, 2022 and the Senior Securities table covering the last ten fiscal years ended December 31, 2022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respectively, and upon the authority of said firm as experts in accounting and auditing.</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9019"/>
          </w:cols>
          <w:pgMar w:left="1440" w:top="259" w:right="1440"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201535" cy="45720"/>
                    </a:xfrm>
                    <a:prstGeom prst="rect">
                      <a:avLst/>
                    </a:prstGeom>
                    <a:noFill/>
                  </pic:spPr>
                </pic:pic>
              </a:graphicData>
            </a:graphic>
          </wp:anchor>
        </w:drawing>
        <w:t>AVAILABLE INFORMATION</w:t>
      </w:r>
    </w:p>
    <w:p>
      <w:pPr>
        <w:spacing w:after="0" w:line="176" w:lineRule="exact"/>
        <w:rPr>
          <w:sz w:val="20"/>
          <w:szCs w:val="20"/>
          <w:color w:val="auto"/>
        </w:rPr>
      </w:pPr>
    </w:p>
    <w:p>
      <w:pPr>
        <w:jc w:val="both"/>
        <w:ind w:left="240" w:right="499" w:firstLine="341"/>
        <w:spacing w:after="0" w:line="265"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36" w:lineRule="exact"/>
        <w:rPr>
          <w:sz w:val="20"/>
          <w:szCs w:val="20"/>
          <w:color w:val="auto"/>
        </w:rPr>
      </w:pPr>
    </w:p>
    <w:p>
      <w:pPr>
        <w:ind w:left="240" w:right="299" w:firstLine="341"/>
        <w:spacing w:after="0" w:line="281" w:lineRule="auto"/>
        <w:rPr>
          <w:sz w:val="20"/>
          <w:szCs w:val="20"/>
          <w:color w:val="auto"/>
        </w:rPr>
      </w:pPr>
      <w:r>
        <w:rPr>
          <w:rFonts w:ascii="Times New Roman" w:cs="Times New Roman" w:eastAsia="Times New Roman" w:hAnsi="Times New Roman"/>
          <w:sz w:val="14"/>
          <w:szCs w:val="14"/>
          <w:color w:val="auto"/>
        </w:rPr>
        <w:t>We file with or submit to the SEC periodic and current reports, proxy statements and other information meeting the informational requirements of the Exchange Act.</w:t>
      </w:r>
    </w:p>
    <w:p>
      <w:pPr>
        <w:spacing w:after="0" w:line="125"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We maintain a website at https://sixthstreetspecialtylending.com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41st Floor, New York, NY 10106, Attention: TSLX Investor Relations, or by emailing us at IRTSLX@sixthstreet.com.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Code of Ethics</w:t>
      </w:r>
    </w:p>
    <w:p>
      <w:pPr>
        <w:spacing w:after="0" w:line="92" w:lineRule="exact"/>
        <w:rPr>
          <w:sz w:val="20"/>
          <w:szCs w:val="20"/>
          <w:color w:val="auto"/>
        </w:rPr>
      </w:pPr>
    </w:p>
    <w:p>
      <w:pPr>
        <w:ind w:left="240" w:right="659" w:firstLine="341"/>
        <w:spacing w:after="0" w:line="265" w:lineRule="auto"/>
        <w:rPr>
          <w:sz w:val="20"/>
          <w:szCs w:val="20"/>
          <w:color w:val="auto"/>
        </w:rPr>
      </w:pPr>
      <w:r>
        <w:rPr>
          <w:rFonts w:ascii="Times New Roman" w:cs="Times New Roman" w:eastAsia="Times New Roman" w:hAnsi="Times New Roman"/>
          <w:sz w:val="14"/>
          <w:szCs w:val="14"/>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Proxy Voting Policies and Procedures</w:t>
      </w:r>
    </w:p>
    <w:p>
      <w:pPr>
        <w:spacing w:after="0" w:line="92" w:lineRule="exact"/>
        <w:rPr>
          <w:sz w:val="20"/>
          <w:szCs w:val="20"/>
          <w:color w:val="auto"/>
        </w:rPr>
      </w:pPr>
    </w:p>
    <w:p>
      <w:pPr>
        <w:jc w:val="both"/>
        <w:ind w:left="240" w:right="419" w:firstLine="341"/>
        <w:spacing w:after="0" w:line="265" w:lineRule="auto"/>
        <w:rPr>
          <w:sz w:val="20"/>
          <w:szCs w:val="20"/>
          <w:color w:val="auto"/>
        </w:rPr>
      </w:pPr>
      <w:r>
        <w:rPr>
          <w:rFonts w:ascii="Times New Roman" w:cs="Times New Roman" w:eastAsia="Times New Roman" w:hAnsi="Times New Roman"/>
          <w:sz w:val="14"/>
          <w:szCs w:val="14"/>
          <w:color w:val="auto"/>
        </w:rPr>
        <w:t>You may obtain information about how the Adviser voted proxies, free of charge, by making a written request for proxy voting information to: Sixth Street Specialty Lending Advisers, 888 7th Avenue, 41st Floor, New York, NY 10106, Attention: TSLX Investor Relations, or by emailing us at IRTSLX@sixthstreet.com. The SEC also maintains a website at http://www.sec.gov that contains such information.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INCORPORATED BY REFERENCE</w:t>
      </w:r>
    </w:p>
    <w:p>
      <w:pPr>
        <w:spacing w:after="0" w:line="176" w:lineRule="exact"/>
        <w:rPr>
          <w:sz w:val="20"/>
          <w:szCs w:val="20"/>
          <w:color w:val="auto"/>
        </w:rPr>
      </w:pPr>
    </w:p>
    <w:p>
      <w:pPr>
        <w:ind w:left="240" w:right="479" w:firstLine="341"/>
        <w:spacing w:after="0" w:line="255"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72" w:lineRule="exact"/>
        <w:rPr>
          <w:sz w:val="20"/>
          <w:szCs w:val="20"/>
          <w:color w:val="auto"/>
        </w:rPr>
      </w:pPr>
    </w:p>
    <w:p>
      <w:pPr>
        <w:jc w:val="both"/>
        <w:ind w:left="980" w:right="419" w:hanging="411"/>
        <w:spacing w:after="0" w:line="265" w:lineRule="auto"/>
        <w:tabs>
          <w:tab w:leader="none" w:pos="9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80">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December 31, 2022, filed with the SEC on February 16, 2023, including the information specifically incorporated by reference into the Form 10-K from our </w:t>
      </w:r>
      <w:hyperlink r:id="rId181">
        <w:r>
          <w:rPr>
            <w:rFonts w:ascii="Times New Roman" w:cs="Times New Roman" w:eastAsia="Times New Roman" w:hAnsi="Times New Roman"/>
            <w:sz w:val="14"/>
            <w:szCs w:val="14"/>
            <w:u w:val="single" w:color="auto"/>
            <w:color w:val="0000EE"/>
          </w:rPr>
          <w:t>Definitive Proxy Statement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on Schedule 14A relating to our 2023 Annual Meeting of Stockholders, filed with the SEC on April 13, 2023;</w:t>
      </w:r>
    </w:p>
    <w:p>
      <w:pPr>
        <w:spacing w:after="0" w:line="63" w:lineRule="exact"/>
        <w:rPr>
          <w:rFonts w:ascii="Times New Roman" w:cs="Times New Roman" w:eastAsia="Times New Roman" w:hAnsi="Times New Roman"/>
          <w:sz w:val="14"/>
          <w:szCs w:val="14"/>
          <w:color w:val="auto"/>
        </w:rPr>
      </w:pPr>
    </w:p>
    <w:p>
      <w:pPr>
        <w:ind w:left="980" w:right="279" w:hanging="411"/>
        <w:spacing w:after="0" w:line="265" w:lineRule="auto"/>
        <w:tabs>
          <w:tab w:leader="none" w:pos="980" w:val="left"/>
        </w:tabs>
        <w:numPr>
          <w:ilvl w:val="0"/>
          <w:numId w:val="102"/>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Quarterly Reports on Form 10-Q for the three months ended March 31, 2023, filed with the SEC on </w:t>
      </w:r>
      <w:hyperlink r:id="rId182">
        <w:r>
          <w:rPr>
            <w:rFonts w:ascii="Times New Roman" w:cs="Times New Roman" w:eastAsia="Times New Roman" w:hAnsi="Times New Roman"/>
            <w:sz w:val="14"/>
            <w:szCs w:val="14"/>
            <w:u w:val="single" w:color="auto"/>
            <w:color w:val="0000EE"/>
          </w:rPr>
          <w:t>May 8, 2023</w:t>
        </w:r>
      </w:hyperlink>
      <w:r>
        <w:rPr>
          <w:rFonts w:ascii="Times New Roman" w:cs="Times New Roman" w:eastAsia="Times New Roman" w:hAnsi="Times New Roman"/>
          <w:sz w:val="14"/>
          <w:szCs w:val="14"/>
          <w:color w:val="auto"/>
        </w:rPr>
        <w:t xml:space="preserve">, for the three months ended June 30, 2023, filed with the SEC on </w:t>
      </w:r>
      <w:hyperlink r:id="rId183">
        <w:r>
          <w:rPr>
            <w:rFonts w:ascii="Times New Roman" w:cs="Times New Roman" w:eastAsia="Times New Roman" w:hAnsi="Times New Roman"/>
            <w:sz w:val="14"/>
            <w:szCs w:val="14"/>
            <w:u w:val="single" w:color="auto"/>
            <w:color w:val="0000EE"/>
          </w:rPr>
          <w:t>August 3, 2023</w:t>
        </w:r>
      </w:hyperlink>
      <w:r>
        <w:rPr>
          <w:rFonts w:ascii="Times New Roman" w:cs="Times New Roman" w:eastAsia="Times New Roman" w:hAnsi="Times New Roman"/>
          <w:sz w:val="14"/>
          <w:szCs w:val="14"/>
          <w:color w:val="auto"/>
        </w:rPr>
        <w:t xml:space="preserve">, and for the three months ended September 30, 2023, filed with the SEC on </w:t>
      </w:r>
      <w:hyperlink r:id="rId184">
        <w:r>
          <w:rPr>
            <w:rFonts w:ascii="Times New Roman" w:cs="Times New Roman" w:eastAsia="Times New Roman" w:hAnsi="Times New Roman"/>
            <w:sz w:val="14"/>
            <w:szCs w:val="14"/>
            <w:u w:val="single" w:color="auto"/>
            <w:color w:val="0000EE"/>
          </w:rPr>
          <w:t>November 2, 2023</w:t>
        </w:r>
      </w:hyperlink>
      <w:r>
        <w:rPr>
          <w:rFonts w:ascii="Times New Roman" w:cs="Times New Roman" w:eastAsia="Times New Roman" w:hAnsi="Times New Roman"/>
          <w:sz w:val="14"/>
          <w:szCs w:val="14"/>
          <w:color w:val="000000"/>
        </w:rPr>
        <w:t>;</w:t>
      </w:r>
    </w:p>
    <w:p>
      <w:pPr>
        <w:spacing w:after="0" w:line="84"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9019"/>
          </w:cols>
          <w:pgMar w:left="1440" w:top="259" w:right="1440" w:bottom="1440" w:gutter="0" w:footer="0" w:header="0"/>
        </w:sectPr>
      </w:pPr>
    </w:p>
    <w:bookmarkStart w:id="149" w:name="page150"/>
    <w:bookmarkEnd w:id="149"/>
    <w:p>
      <w:pPr>
        <w:ind w:left="980" w:right="619" w:hanging="411"/>
        <w:spacing w:after="0" w:line="281" w:lineRule="auto"/>
        <w:tabs>
          <w:tab w:leader="none" w:pos="980" w:val="left"/>
        </w:tabs>
        <w:numPr>
          <w:ilvl w:val="0"/>
          <w:numId w:val="103"/>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 xml:space="preserve">Our Current Reports on Form 8-K, filed with the SEC on </w:t>
      </w:r>
      <w:hyperlink r:id="rId186">
        <w:r>
          <w:rPr>
            <w:rFonts w:ascii="Times New Roman" w:cs="Times New Roman" w:eastAsia="Times New Roman" w:hAnsi="Times New Roman"/>
            <w:sz w:val="14"/>
            <w:szCs w:val="14"/>
            <w:u w:val="single" w:color="auto"/>
            <w:color w:val="0000EE"/>
          </w:rPr>
          <w:t>May 15, 2023</w:t>
        </w:r>
      </w:hyperlink>
      <w:r>
        <w:rPr>
          <w:rFonts w:ascii="Times New Roman" w:cs="Times New Roman" w:eastAsia="Times New Roman" w:hAnsi="Times New Roman"/>
          <w:sz w:val="14"/>
          <w:szCs w:val="14"/>
          <w:color w:val="auto"/>
        </w:rPr>
        <w:t xml:space="preserve">, </w:t>
      </w:r>
      <w:hyperlink r:id="rId187">
        <w:r>
          <w:rPr>
            <w:rFonts w:ascii="Times New Roman" w:cs="Times New Roman" w:eastAsia="Times New Roman" w:hAnsi="Times New Roman"/>
            <w:sz w:val="14"/>
            <w:szCs w:val="14"/>
            <w:u w:val="single" w:color="auto"/>
            <w:color w:val="0000EE"/>
          </w:rPr>
          <w:t>May 26, 2023</w:t>
        </w:r>
      </w:hyperlink>
      <w:r>
        <w:rPr>
          <w:rFonts w:ascii="Times New Roman" w:cs="Times New Roman" w:eastAsia="Times New Roman" w:hAnsi="Times New Roman"/>
          <w:sz w:val="14"/>
          <w:szCs w:val="14"/>
          <w:color w:val="auto"/>
        </w:rPr>
        <w:t xml:space="preserve">, </w:t>
      </w:r>
      <w:hyperlink r:id="rId188">
        <w:r>
          <w:rPr>
            <w:rFonts w:ascii="Times New Roman" w:cs="Times New Roman" w:eastAsia="Times New Roman" w:hAnsi="Times New Roman"/>
            <w:sz w:val="14"/>
            <w:szCs w:val="14"/>
            <w:u w:val="single" w:color="auto"/>
            <w:color w:val="0000EE"/>
          </w:rPr>
          <w:t>June 12, 2023</w:t>
        </w:r>
      </w:hyperlink>
      <w:r>
        <w:rPr>
          <w:rFonts w:ascii="Times New Roman" w:cs="Times New Roman" w:eastAsia="Times New Roman" w:hAnsi="Times New Roman"/>
          <w:sz w:val="14"/>
          <w:szCs w:val="14"/>
          <w:color w:val="auto"/>
        </w:rPr>
        <w:t xml:space="preserve">, </w:t>
      </w:r>
      <w:hyperlink r:id="rId189">
        <w:r>
          <w:rPr>
            <w:rFonts w:ascii="Times New Roman" w:cs="Times New Roman" w:eastAsia="Times New Roman" w:hAnsi="Times New Roman"/>
            <w:sz w:val="14"/>
            <w:szCs w:val="14"/>
            <w:u w:val="single" w:color="auto"/>
            <w:color w:val="0000EE"/>
          </w:rPr>
          <w:t>June 13, 2023</w:t>
        </w:r>
      </w:hyperlink>
      <w:r>
        <w:rPr>
          <w:rFonts w:ascii="Times New Roman" w:cs="Times New Roman" w:eastAsia="Times New Roman" w:hAnsi="Times New Roman"/>
          <w:sz w:val="14"/>
          <w:szCs w:val="14"/>
          <w:color w:val="auto"/>
        </w:rPr>
        <w:t xml:space="preserve">, </w:t>
      </w:r>
      <w:hyperlink r:id="rId190">
        <w:r>
          <w:rPr>
            <w:rFonts w:ascii="Times New Roman" w:cs="Times New Roman" w:eastAsia="Times New Roman" w:hAnsi="Times New Roman"/>
            <w:sz w:val="14"/>
            <w:szCs w:val="14"/>
            <w:u w:val="single" w:color="auto"/>
            <w:color w:val="0000EE"/>
          </w:rPr>
          <w:t>July 14, 2023</w:t>
        </w:r>
      </w:hyperlink>
      <w:r>
        <w:rPr>
          <w:rFonts w:ascii="Times New Roman" w:cs="Times New Roman" w:eastAsia="Times New Roman" w:hAnsi="Times New Roman"/>
          <w:sz w:val="14"/>
          <w:szCs w:val="14"/>
          <w:color w:val="auto"/>
        </w:rPr>
        <w:t xml:space="preserve">, </w:t>
      </w:r>
      <w:hyperlink r:id="rId191">
        <w:r>
          <w:rPr>
            <w:rFonts w:ascii="Times New Roman" w:cs="Times New Roman" w:eastAsia="Times New Roman" w:hAnsi="Times New Roman"/>
            <w:sz w:val="14"/>
            <w:szCs w:val="14"/>
            <w:u w:val="single" w:color="auto"/>
            <w:color w:val="0000EE"/>
          </w:rPr>
          <w:t>July 17, 2023</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192">
        <w:r>
          <w:rPr>
            <w:rFonts w:ascii="Times New Roman" w:cs="Times New Roman" w:eastAsia="Times New Roman" w:hAnsi="Times New Roman"/>
            <w:sz w:val="14"/>
            <w:szCs w:val="14"/>
            <w:u w:val="single" w:color="auto"/>
            <w:color w:val="0000EE"/>
          </w:rPr>
          <w:t xml:space="preserve">August 10, 2023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193">
        <w:r>
          <w:rPr>
            <w:rFonts w:ascii="Times New Roman" w:cs="Times New Roman" w:eastAsia="Times New Roman" w:hAnsi="Times New Roman"/>
            <w:sz w:val="14"/>
            <w:szCs w:val="14"/>
            <w:u w:val="single" w:color="auto"/>
            <w:color w:val="0000EE"/>
          </w:rPr>
          <w:t>August 14, 2023</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52" w:lineRule="exact"/>
        <w:rPr>
          <w:rFonts w:ascii="Times New Roman" w:cs="Times New Roman" w:eastAsia="Times New Roman" w:hAnsi="Times New Roman"/>
          <w:sz w:val="14"/>
          <w:szCs w:val="14"/>
          <w:color w:val="0000EE"/>
        </w:rPr>
      </w:pPr>
    </w:p>
    <w:p>
      <w:pPr>
        <w:ind w:left="980" w:right="319" w:hanging="411"/>
        <w:spacing w:after="0" w:line="265" w:lineRule="auto"/>
        <w:tabs>
          <w:tab w:leader="none" w:pos="98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194">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 No. 001-36364), as filed with the SEC on March 19, 2014, including any amendment or report filed for the purpose of updating such description prior to the termination of the offering of the common stock registered hereby.</w:t>
      </w:r>
    </w:p>
    <w:p>
      <w:pPr>
        <w:spacing w:after="0" w:line="136" w:lineRule="exact"/>
        <w:rPr>
          <w:rFonts w:ascii="Times New Roman" w:cs="Times New Roman" w:eastAsia="Times New Roman" w:hAnsi="Times New Roman"/>
          <w:sz w:val="14"/>
          <w:szCs w:val="14"/>
          <w:color w:val="0000EE"/>
        </w:rPr>
      </w:pPr>
    </w:p>
    <w:p>
      <w:pPr>
        <w:ind w:left="240" w:right="439" w:firstLine="341"/>
        <w:spacing w:after="0" w:line="255" w:lineRule="auto"/>
        <w:rPr>
          <w:sz w:val="20"/>
          <w:szCs w:val="20"/>
          <w:color w:val="auto"/>
        </w:rPr>
      </w:pPr>
      <w:r>
        <w:rPr>
          <w:rFonts w:ascii="Times New Roman" w:cs="Times New Roman" w:eastAsia="Times New Roman" w:hAnsi="Times New Roman"/>
          <w:sz w:val="14"/>
          <w:szCs w:val="14"/>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46" w:lineRule="exact"/>
        <w:rPr>
          <w:rFonts w:ascii="Times New Roman" w:cs="Times New Roman" w:eastAsia="Times New Roman" w:hAnsi="Times New Roman"/>
          <w:sz w:val="14"/>
          <w:szCs w:val="14"/>
          <w:color w:val="0000EE"/>
        </w:rPr>
      </w:pPr>
    </w:p>
    <w:p>
      <w:pPr>
        <w:jc w:val="both"/>
        <w:ind w:left="240" w:right="579" w:firstLine="341"/>
        <w:spacing w:after="0" w:line="265"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36"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Sixth Street Specialty Lending, Inc.</w:t>
      </w:r>
    </w:p>
    <w:p>
      <w:pPr>
        <w:spacing w:after="0" w:line="21"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888 7th Avenue, 41st Floor</w:t>
      </w:r>
    </w:p>
    <w:p>
      <w:pPr>
        <w:spacing w:after="0" w:line="23"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New York, NY 10106</w:t>
      </w:r>
    </w:p>
    <w:p>
      <w:pPr>
        <w:spacing w:after="0" w:line="21"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TSLX Investor Relations</w:t>
      </w:r>
    </w:p>
    <w:p>
      <w:pPr>
        <w:spacing w:after="0" w:line="17"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Email</w:t>
      </w:r>
      <w:r>
        <w:rPr>
          <w:rFonts w:ascii="Times New Roman" w:cs="Times New Roman" w:eastAsia="Times New Roman" w:hAnsi="Times New Roman"/>
          <w:sz w:val="14"/>
          <w:szCs w:val="14"/>
          <w:color w:val="auto"/>
        </w:rPr>
        <w:t>: IRTSLX@sixthstreet.com.</w:t>
      </w:r>
    </w:p>
    <w:p>
      <w:pPr>
        <w:spacing w:after="0" w:line="169" w:lineRule="exact"/>
        <w:rPr>
          <w:rFonts w:ascii="Times New Roman" w:cs="Times New Roman" w:eastAsia="Times New Roman" w:hAnsi="Times New Roman"/>
          <w:sz w:val="14"/>
          <w:szCs w:val="14"/>
          <w:color w:val="0000EE"/>
        </w:rPr>
      </w:pPr>
    </w:p>
    <w:p>
      <w:pPr>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373"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9019"/>
          </w:cols>
          <w:pgMar w:left="1440" w:top="261" w:right="1440"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201535" cy="45720"/>
                    </a:xfrm>
                    <a:prstGeom prst="rect">
                      <a:avLst/>
                    </a:prstGeom>
                    <a:noFill/>
                  </pic:spPr>
                </pic:pic>
              </a:graphicData>
            </a:graphic>
          </wp:anchor>
        </w:drawing>
        <w:drawing>
          <wp:anchor simplePos="0" relativeHeight="251657728" behindDoc="1" locked="0" layoutInCell="0" allowOverlap="1">
            <wp:simplePos x="0" y="0"/>
            <wp:positionH relativeFrom="page">
              <wp:posOffset>1063625</wp:posOffset>
            </wp:positionH>
            <wp:positionV relativeFrom="page">
              <wp:posOffset>194945</wp:posOffset>
            </wp:positionV>
            <wp:extent cx="5422265" cy="133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5422265" cy="13335"/>
                    </a:xfrm>
                    <a:prstGeom prst="rect">
                      <a:avLst/>
                    </a:prstGeom>
                    <a:noFill/>
                  </pic:spPr>
                </pic:pic>
              </a:graphicData>
            </a:graphic>
          </wp:anchor>
        </w:drawing>
        <w:drawing>
          <wp:anchor simplePos="0" relativeHeight="251657728" behindDoc="1" locked="0" layoutInCell="0" allowOverlap="1">
            <wp:simplePos x="0" y="0"/>
            <wp:positionH relativeFrom="page">
              <wp:posOffset>1063625</wp:posOffset>
            </wp:positionH>
            <wp:positionV relativeFrom="page">
              <wp:posOffset>234950</wp:posOffset>
            </wp:positionV>
            <wp:extent cx="542226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5422265" cy="6350"/>
                    </a:xfrm>
                    <a:prstGeom prst="rect">
                      <a:avLst/>
                    </a:prstGeom>
                    <a:noFill/>
                  </pic:spPr>
                </pic:pic>
              </a:graphicData>
            </a:graphic>
          </wp:anchor>
        </w:drawing>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270510</wp:posOffset>
            </wp:positionV>
            <wp:extent cx="1129665" cy="3321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1129665" cy="33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5.650%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1441450</wp:posOffset>
            </wp:positionV>
            <wp:extent cx="11430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190500</wp:posOffset>
            </wp:positionV>
            <wp:extent cx="11430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40" w:type="dxa"/>
        <w:tblCellMar>
          <w:top w:w="0" w:type="dxa"/>
          <w:left w:w="0" w:type="dxa"/>
          <w:bottom w:w="0" w:type="dxa"/>
          <w:right w:w="0" w:type="dxa"/>
        </w:tblCellMar>
      </w:tblPr>
      <w:tr>
        <w:trPr>
          <w:trHeight w:val="221"/>
        </w:trPr>
        <w:tc>
          <w:tcPr>
            <w:tcW w:w="1920" w:type="dxa"/>
            <w:vAlign w:val="bottom"/>
          </w:tcPr>
          <w:p>
            <w:pPr>
              <w:spacing w:after="0"/>
              <w:rPr>
                <w:sz w:val="19"/>
                <w:szCs w:val="19"/>
                <w:color w:val="auto"/>
              </w:rPr>
            </w:pPr>
          </w:p>
        </w:tc>
        <w:tc>
          <w:tcPr>
            <w:tcW w:w="4520" w:type="dxa"/>
            <w:vAlign w:val="bottom"/>
            <w:gridSpan w:val="4"/>
          </w:tcPr>
          <w:p>
            <w:pPr>
              <w:jc w:val="center"/>
              <w:ind w:left="81"/>
              <w:spacing w:after="0"/>
              <w:rPr>
                <w:sz w:val="20"/>
                <w:szCs w:val="20"/>
                <w:color w:val="auto"/>
              </w:rPr>
            </w:pPr>
            <w:r>
              <w:rPr>
                <w:rFonts w:ascii="Times New Roman" w:cs="Times New Roman" w:eastAsia="Times New Roman" w:hAnsi="Times New Roman"/>
                <w:sz w:val="17"/>
                <w:szCs w:val="17"/>
                <w:b w:val="1"/>
                <w:bCs w:val="1"/>
                <w:i w:val="1"/>
                <w:iCs w:val="1"/>
                <w:color w:val="auto"/>
                <w:w w:val="98"/>
              </w:rPr>
              <w:t>Joint Book-Running Managers</w:t>
            </w:r>
          </w:p>
        </w:tc>
        <w:tc>
          <w:tcPr>
            <w:tcW w:w="2100" w:type="dxa"/>
            <w:vAlign w:val="bottom"/>
          </w:tcPr>
          <w:p>
            <w:pPr>
              <w:spacing w:after="0"/>
              <w:rPr>
                <w:sz w:val="19"/>
                <w:szCs w:val="19"/>
                <w:color w:val="auto"/>
              </w:rPr>
            </w:pPr>
          </w:p>
        </w:tc>
      </w:tr>
      <w:tr>
        <w:trPr>
          <w:trHeight w:val="344"/>
        </w:trPr>
        <w:tc>
          <w:tcPr>
            <w:tcW w:w="1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BofA Securities</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HSBC</w:t>
            </w:r>
          </w:p>
        </w:tc>
        <w:tc>
          <w:tcPr>
            <w:tcW w:w="282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w w:val="98"/>
              </w:rPr>
              <w:t>SMBC Nikko</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Wells Fargo Securities</w:t>
            </w:r>
          </w:p>
        </w:tc>
      </w:tr>
      <w:tr>
        <w:trPr>
          <w:trHeight w:val="188"/>
        </w:trPr>
        <w:tc>
          <w:tcPr>
            <w:tcW w:w="192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J.P. Morgan</w:t>
            </w:r>
          </w:p>
        </w:tc>
        <w:tc>
          <w:tcPr>
            <w:tcW w:w="170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7"/>
                <w:szCs w:val="17"/>
                <w:b w:val="1"/>
                <w:bCs w:val="1"/>
                <w:color w:val="auto"/>
              </w:rPr>
              <w:t>MUFG</w:t>
            </w:r>
          </w:p>
        </w:tc>
        <w:tc>
          <w:tcPr>
            <w:tcW w:w="2820" w:type="dxa"/>
            <w:vAlign w:val="bottom"/>
            <w:gridSpan w:val="2"/>
          </w:tcPr>
          <w:p>
            <w:pPr>
              <w:jc w:val="center"/>
              <w:ind w:right="520"/>
              <w:spacing w:after="0" w:line="189" w:lineRule="exact"/>
              <w:rPr>
                <w:sz w:val="20"/>
                <w:szCs w:val="20"/>
                <w:color w:val="auto"/>
              </w:rPr>
            </w:pPr>
            <w:r>
              <w:rPr>
                <w:rFonts w:ascii="Times New Roman" w:cs="Times New Roman" w:eastAsia="Times New Roman" w:hAnsi="Times New Roman"/>
                <w:sz w:val="17"/>
                <w:szCs w:val="17"/>
                <w:b w:val="1"/>
                <w:bCs w:val="1"/>
                <w:color w:val="auto"/>
                <w:w w:val="97"/>
              </w:rPr>
              <w:t>Truist Securities</w:t>
            </w:r>
          </w:p>
        </w:tc>
        <w:tc>
          <w:tcPr>
            <w:tcW w:w="2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Mizuho</w:t>
            </w:r>
          </w:p>
        </w:tc>
      </w:tr>
      <w:tr>
        <w:trPr>
          <w:trHeight w:val="221"/>
        </w:trPr>
        <w:tc>
          <w:tcPr>
            <w:tcW w:w="1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RBC Capital Markets</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5"/>
              </w:rPr>
              <w:t>Citigroup</w:t>
            </w:r>
          </w:p>
        </w:tc>
        <w:tc>
          <w:tcPr>
            <w:tcW w:w="282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w w:val="98"/>
              </w:rPr>
              <w:t>Goldman Sachs &amp; Co. LLC</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Morgan Stanley</w:t>
            </w:r>
          </w:p>
        </w:tc>
      </w:tr>
      <w:tr>
        <w:trPr>
          <w:trHeight w:val="356"/>
        </w:trPr>
        <w:tc>
          <w:tcPr>
            <w:tcW w:w="1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2"/>
          </w:tcPr>
          <w:p>
            <w:pPr>
              <w:jc w:val="center"/>
              <w:ind w:right="1540"/>
              <w:spacing w:after="0"/>
              <w:rPr>
                <w:sz w:val="20"/>
                <w:szCs w:val="20"/>
                <w:color w:val="auto"/>
              </w:rPr>
            </w:pPr>
            <w:r>
              <w:rPr>
                <w:rFonts w:ascii="Times New Roman" w:cs="Times New Roman" w:eastAsia="Times New Roman" w:hAnsi="Times New Roman"/>
                <w:sz w:val="17"/>
                <w:szCs w:val="17"/>
                <w:b w:val="1"/>
                <w:bCs w:val="1"/>
                <w:i w:val="1"/>
                <w:iCs w:val="1"/>
                <w:color w:val="auto"/>
                <w:w w:val="99"/>
              </w:rPr>
              <w:t>Co-Managers</w:t>
            </w:r>
          </w:p>
        </w:tc>
        <w:tc>
          <w:tcPr>
            <w:tcW w:w="2100" w:type="dxa"/>
            <w:vAlign w:val="bottom"/>
          </w:tcPr>
          <w:p>
            <w:pPr>
              <w:spacing w:after="0"/>
              <w:rPr>
                <w:sz w:val="24"/>
                <w:szCs w:val="24"/>
                <w:color w:val="auto"/>
              </w:rPr>
            </w:pPr>
          </w:p>
        </w:tc>
      </w:tr>
      <w:tr>
        <w:trPr>
          <w:trHeight w:val="328"/>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Citizens Capital Markets</w:t>
            </w:r>
          </w:p>
        </w:tc>
        <w:tc>
          <w:tcPr>
            <w:tcW w:w="1700" w:type="dxa"/>
            <w:vAlign w:val="bottom"/>
            <w:gridSpan w:val="2"/>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w w:val="99"/>
              </w:rPr>
              <w:t>Comerica Securities</w:t>
            </w: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ICBC Standard Bank</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Keefe, Bruyette &amp; Woods</w:t>
            </w:r>
          </w:p>
        </w:tc>
      </w:tr>
      <w:tr>
        <w:trPr>
          <w:trHeight w:val="147"/>
        </w:trPr>
        <w:tc>
          <w:tcPr>
            <w:tcW w:w="1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A Stifel Company</w:t>
            </w:r>
          </w:p>
        </w:tc>
      </w:tr>
      <w:tr>
        <w:trPr>
          <w:trHeight w:val="217"/>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Oppenheimer &amp; Co.</w:t>
            </w:r>
          </w:p>
        </w:tc>
        <w:tc>
          <w:tcPr>
            <w:tcW w:w="170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8"/>
              </w:rPr>
              <w:t>Raymond James</w:t>
            </w: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First Citizens Capital Securities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Sixth Street BD, LLC</w:t>
            </w:r>
          </w:p>
        </w:tc>
      </w:tr>
      <w:tr>
        <w:trPr>
          <w:trHeight w:val="282"/>
        </w:trPr>
        <w:tc>
          <w:tcPr>
            <w:tcW w:w="1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25"/>
        </w:trPr>
        <w:tc>
          <w:tcPr>
            <w:tcW w:w="1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2"/>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8"/>
              </w:rPr>
              <w:t>May 7, 2026</w:t>
            </w:r>
          </w:p>
        </w:tc>
        <w:tc>
          <w:tcPr>
            <w:tcW w:w="2100" w:type="dxa"/>
            <w:vAlign w:val="bottom"/>
          </w:tcPr>
          <w:p>
            <w:pPr>
              <w:spacing w:after="0"/>
              <w:rPr>
                <w:sz w:val="24"/>
                <w:szCs w:val="24"/>
                <w:color w:val="auto"/>
              </w:rPr>
            </w:pPr>
          </w:p>
        </w:tc>
      </w:tr>
      <w:tr>
        <w:trPr>
          <w:trHeight w:val="502"/>
        </w:trPr>
        <w:tc>
          <w:tcPr>
            <w:tcW w:w="19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65"/>
        </w:trPr>
        <w:tc>
          <w:tcPr>
            <w:tcW w:w="19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r>
    </w:tbl>
    <w:p>
      <w:pPr>
        <w:sectPr>
          <w:pgSz w:w="11900" w:h="16838" w:orient="portrait"/>
          <w:cols w:equalWidth="0" w:num="1">
            <w:col w:w="9019"/>
          </w:cols>
          <w:pgMar w:left="1440" w:top="685" w:right="1440" w:bottom="1440" w:gutter="0" w:footer="0" w:header="0"/>
        </w:sectPr>
      </w:pPr>
    </w:p>
    <w:bookmarkStart w:id="151" w:name="page152"/>
    <w:bookmarkEnd w:id="151"/>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N-2</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Sixth Street Specialty Lending, Inc.</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510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680" w:type="dxa"/>
            <w:vAlign w:val="bottom"/>
            <w:gridSpan w:val="2"/>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5"/>
              </w:rPr>
              <w:t>Security</w:t>
            </w: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60" w:type="dxa"/>
            <w:vAlign w:val="bottom"/>
            <w:shd w:val="clear" w:color="auto" w:fill="9ADAF6"/>
          </w:tcPr>
          <w:p>
            <w:pPr>
              <w:jc w:val="right"/>
              <w:ind w:right="7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580" w:type="dxa"/>
            <w:vAlign w:val="bottom"/>
            <w:shd w:val="clear" w:color="auto" w:fill="9ADAF6"/>
          </w:tcPr>
          <w:p>
            <w:pPr>
              <w:ind w:left="120"/>
              <w:spacing w:after="0" w:line="189" w:lineRule="exact"/>
              <w:rPr>
                <w:sz w:val="20"/>
                <w:szCs w:val="20"/>
                <w:color w:val="auto"/>
              </w:rPr>
            </w:pPr>
            <w:r>
              <w:rPr>
                <w:rFonts w:ascii="Arial" w:cs="Arial" w:eastAsia="Arial" w:hAnsi="Arial"/>
                <w:sz w:val="17"/>
                <w:szCs w:val="17"/>
                <w:b w:val="1"/>
                <w:bCs w:val="1"/>
                <w:color w:val="auto"/>
                <w:w w:val="96"/>
              </w:rPr>
              <w:t>Class</w:t>
            </w: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6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5"/>
          </w:tcPr>
          <w:p>
            <w:pPr>
              <w:jc w:val="center"/>
              <w:ind w:right="76"/>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7"/>
              </w:rPr>
              <w:t>5.650%</w:t>
            </w: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300,000,000</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$ 0.99094</w:t>
            </w: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$ 41,054.64</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due</w:t>
            </w: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297,282,000.00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2031</w:t>
            </w: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56"/>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$ 41,054.64</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297,282,000.00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right"/>
              <w:spacing w:after="0"/>
              <w:rPr>
                <w:sz w:val="20"/>
                <w:szCs w:val="20"/>
                <w:color w:val="auto"/>
              </w:rPr>
            </w:pPr>
            <w:r>
              <w:rPr>
                <w:rFonts w:ascii="Arial" w:cs="Arial" w:eastAsia="Arial" w:hAnsi="Arial"/>
                <w:sz w:val="17"/>
                <w:szCs w:val="17"/>
                <w:color w:val="auto"/>
                <w:w w:val="96"/>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$ 41,054.64</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8" w:lineRule="exact"/>
        <w:rPr>
          <w:sz w:val="20"/>
          <w:szCs w:val="20"/>
          <w:color w:val="auto"/>
        </w:rPr>
      </w:pPr>
    </w:p>
    <w:p>
      <w:pPr>
        <w:ind w:left="220" w:right="340" w:hanging="185"/>
        <w:spacing w:after="0" w:line="225" w:lineRule="auto"/>
        <w:tabs>
          <w:tab w:leader="none" w:pos="220" w:val="left"/>
        </w:tabs>
        <w:numPr>
          <w:ilvl w:val="0"/>
          <w:numId w:val="104"/>
        </w:numPr>
        <w:rPr>
          <w:rFonts w:ascii="Arial" w:cs="Arial" w:eastAsia="Arial" w:hAnsi="Arial"/>
          <w:sz w:val="21"/>
          <w:szCs w:val="21"/>
          <w:color w:val="auto"/>
          <w:vertAlign w:val="superscript"/>
        </w:rPr>
      </w:pPr>
      <w:r>
        <w:rPr>
          <w:rFonts w:ascii="Arial" w:cs="Arial" w:eastAsia="Arial" w:hAnsi="Arial"/>
          <w:sz w:val="17"/>
          <w:szCs w:val="17"/>
          <w:color w:val="auto"/>
        </w:rPr>
        <w:t>Calculated in accordance with Rule 457(o), based on the proposed maximum aggregate offering price, and Rule 457(r) under the Securities Act of 1933, as amended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88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00" w:type="dxa"/>
            <w:vAlign w:val="bottom"/>
            <w:gridSpan w:val="3"/>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left w:val="single" w:sz="8" w:color="9ADAF6"/>
            </w:tcBorders>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280" w:type="dxa"/>
            <w:vAlign w:val="bottom"/>
            <w:shd w:val="clear" w:color="auto" w:fill="9ADAF6"/>
          </w:tcPr>
          <w:p>
            <w:pPr>
              <w:jc w:val="center"/>
              <w:ind w:right="216"/>
              <w:spacing w:after="0" w:line="167"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4"/>
                <w:szCs w:val="14"/>
                <w:color w:val="auto"/>
              </w:rPr>
            </w:pPr>
          </w:p>
        </w:tc>
        <w:tc>
          <w:tcPr>
            <w:tcW w:w="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00" w:type="dxa"/>
            <w:vAlign w:val="bottom"/>
            <w:gridSpan w:val="3"/>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8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jc w:val="center"/>
              <w:ind w:right="1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left w:val="single" w:sz="8" w:color="9ADAF6"/>
            </w:tcBorders>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4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9ADAF6"/>
            </w:tcBorders>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3"/>
          </w:tcPr>
          <w:p>
            <w:pPr>
              <w:ind w:left="560"/>
              <w:spacing w:after="0"/>
              <w:rPr>
                <w:sz w:val="20"/>
                <w:szCs w:val="20"/>
                <w:color w:val="auto"/>
              </w:rPr>
            </w:pPr>
            <w:r>
              <w:rPr>
                <w:rFonts w:ascii="Arial" w:cs="Arial" w:eastAsia="Arial" w:hAnsi="Arial"/>
                <w:sz w:val="17"/>
                <w:szCs w:val="17"/>
                <w:b w:val="1"/>
                <w:bCs w:val="1"/>
                <w:color w:val="auto"/>
                <w:w w:val="98"/>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4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4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1880" w:type="dxa"/>
            <w:vAlign w:val="bottom"/>
            <w:gridSpan w:val="5"/>
            <w:shd w:val="clear" w:color="auto" w:fill="9ADAF6"/>
          </w:tcPr>
          <w:p>
            <w:pPr>
              <w:jc w:val="center"/>
              <w:ind w:right="76"/>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96"/>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w w:val="89"/>
              </w:rPr>
              <w:t>Security Type</w:t>
            </w: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restart"/>
            <w:shd w:val="clear" w:color="auto" w:fill="9ADAF6"/>
          </w:tcPr>
          <w:p>
            <w:pPr>
              <w:ind w:left="64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continue"/>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880" w:type="dxa"/>
            <w:vAlign w:val="bottom"/>
            <w:gridSpan w:val="5"/>
            <w:vMerge w:val="restart"/>
            <w:shd w:val="clear" w:color="auto" w:fill="9ADAF6"/>
          </w:tcPr>
          <w:p>
            <w:pPr>
              <w:jc w:val="center"/>
              <w:ind w:right="76"/>
              <w:spacing w:after="0" w:line="189"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8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5"/>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96"/>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maximum aggregate offering price of the securities to which the prospectus relates is $297,282,000.00. The prospectus is a final prospectus for the</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related offering.</w:t>
      </w:r>
    </w:p>
    <w:sectPr>
      <w:pgSz w:w="11900" w:h="16838" w:orient="portrait"/>
      <w:cols w:equalWidth="0" w:num="1">
        <w:col w:w="11360"/>
      </w:cols>
      <w:pgMar w:left="30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decimal"/>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1)"/>
      <w:numFmt w:val="decimal"/>
      <w:start w:val="1"/>
    </w:lvl>
  </w:abstractNum>
  <w:abstractNum w:abstractNumId="8">
    <w:nsid w:val="39386575"/>
    <w:multiLevelType w:val="hybridMultilevel"/>
    <w:lvl w:ilvl="0">
      <w:lvlJc w:val="left"/>
      <w:lvlText w:val="(%1)"/>
      <w:numFmt w:val="decimal"/>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1)"/>
      <w:numFmt w:val="decimal"/>
      <w:start w:val="1"/>
    </w:lvl>
  </w:abstractNum>
  <w:abstractNum w:abstractNumId="13">
    <w:nsid w:val="354FE9F9"/>
    <w:multiLevelType w:val="hybridMultilevel"/>
    <w:lvl w:ilvl="0">
      <w:lvlJc w:val="left"/>
      <w:lvlText w:val="(%1)"/>
      <w:numFmt w:val="decimal"/>
      <w:start w:val="1"/>
    </w:lvl>
  </w:abstractNum>
  <w:abstractNum w:abstractNumId="14">
    <w:nsid w:val="15B5AF5C"/>
    <w:multiLevelType w:val="hybridMultilevel"/>
    <w:lvl w:ilvl="0">
      <w:lvlJc w:val="left"/>
      <w:lvlText w:val="(%1)"/>
      <w:numFmt w:val="decimal"/>
      <w:start w:val="2"/>
    </w:lvl>
  </w:abstractNum>
  <w:abstractNum w:abstractNumId="15">
    <w:nsid w:val="741226BB"/>
    <w:multiLevelType w:val="hybridMultilevel"/>
    <w:lvl w:ilvl="0">
      <w:lvlJc w:val="left"/>
      <w:lvlText w:val="(%1)"/>
      <w:numFmt w:val="decimal"/>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1)"/>
      <w:numFmt w:val="decimal"/>
      <w:start w:val="1"/>
    </w:lvl>
  </w:abstractNum>
  <w:abstractNum w:abstractNumId="19">
    <w:nsid w:val="61574095"/>
    <w:multiLevelType w:val="hybridMultilevel"/>
    <w:lvl w:ilvl="0">
      <w:lvlJc w:val="left"/>
      <w:lvlText w:val="(%1)"/>
      <w:numFmt w:val="lowerRoman"/>
      <w:start w:val="1"/>
    </w:lvl>
  </w:abstractNum>
  <w:abstractNum w:abstractNumId="20">
    <w:nsid w:val="7E0C57B1"/>
    <w:multiLevelType w:val="hybridMultilevel"/>
    <w:lvl w:ilvl="0">
      <w:lvlJc w:val="left"/>
      <w:lvlText w:val="(%1)"/>
      <w:numFmt w:val="lowerRoman"/>
      <w:start w:val="2"/>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1)"/>
      <w:numFmt w:val="lowerRoman"/>
      <w:start w:val="10"/>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1)"/>
      <w:numFmt w:val="lowerLetter"/>
      <w:start w:val="2"/>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1)"/>
      <w:numFmt w:val="decimal"/>
      <w:start w:val="1"/>
    </w:lvl>
  </w:abstractNum>
  <w:abstractNum w:abstractNumId="49">
    <w:nsid w:val="11447B73"/>
    <w:multiLevelType w:val="hybridMultilevel"/>
    <w:lvl w:ilvl="0">
      <w:lvlJc w:val="left"/>
      <w:lvlText w:val="(%1)"/>
      <w:numFmt w:val="decimal"/>
      <w:start w:val="6"/>
    </w:lvl>
  </w:abstractNum>
  <w:abstractNum w:abstractNumId="50">
    <w:nsid w:val="42963E5A"/>
    <w:multiLevelType w:val="hybridMultilevel"/>
    <w:lvl w:ilvl="0">
      <w:lvlJc w:val="left"/>
      <w:lvlText w:val="(%1)"/>
      <w:numFmt w:val="lowerRoman"/>
      <w:start w:val="2"/>
    </w:lvl>
  </w:abstractNum>
  <w:abstractNum w:abstractNumId="51">
    <w:nsid w:val="A0382C5"/>
    <w:multiLevelType w:val="hybridMultilevel"/>
    <w:lvl w:ilvl="0">
      <w:lvlJc w:val="left"/>
      <w:lvlText w:val="(%1)"/>
      <w:numFmt w:val="decimal"/>
      <w:start w:val="7"/>
    </w:lvl>
  </w:abstractNum>
  <w:abstractNum w:abstractNumId="52">
    <w:nsid w:val="8F2B15E"/>
    <w:multiLevelType w:val="hybridMultilevel"/>
    <w:lvl w:ilvl="0">
      <w:lvlJc w:val="left"/>
      <w:lvlText w:val="(%1)"/>
      <w:numFmt w:val="decimal"/>
      <w:start w:val="8"/>
    </w:lvl>
  </w:abstractNum>
  <w:abstractNum w:abstractNumId="53">
    <w:nsid w:val="1A32234B"/>
    <w:multiLevelType w:val="hybridMultilevel"/>
    <w:lvl w:ilvl="0">
      <w:lvlJc w:val="left"/>
      <w:lvlText w:val="(%1)"/>
      <w:numFmt w:val="decimal"/>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1)"/>
      <w:numFmt w:val="decimal"/>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1)"/>
      <w:numFmt w:val="decimal"/>
      <w:start w:val="1"/>
    </w:lvl>
  </w:abstractNum>
  <w:abstractNum w:abstractNumId="59">
    <w:nsid w:val="14330624"/>
    <w:multiLevelType w:val="hybridMultilevel"/>
    <w:lvl w:ilvl="0">
      <w:lvlJc w:val="left"/>
      <w:lvlText w:val="(%1)"/>
      <w:numFmt w:val="decimal"/>
      <w:start w:val="1"/>
    </w:lvl>
  </w:abstractNum>
  <w:abstractNum w:abstractNumId="60">
    <w:nsid w:val="7FFFCA11"/>
    <w:multiLevelType w:val="hybridMultilevel"/>
    <w:lvl w:ilvl="0">
      <w:lvlJc w:val="left"/>
      <w:lvlText w:val="(%1)"/>
      <w:numFmt w:val="decimal"/>
      <w:start w:val="5"/>
    </w:lvl>
  </w:abstractNum>
  <w:abstractNum w:abstractNumId="61">
    <w:nsid w:val="1A27709E"/>
    <w:multiLevelType w:val="hybridMultilevel"/>
    <w:lvl w:ilvl="0">
      <w:lvlJc w:val="left"/>
      <w:lvlText w:val="(%1)"/>
      <w:numFmt w:val="lowerLetter"/>
      <w:start w:val="1"/>
    </w:lvl>
  </w:abstractNum>
  <w:abstractNum w:abstractNumId="62">
    <w:nsid w:val="71EA1109"/>
    <w:multiLevelType w:val="hybridMultilevel"/>
    <w:lvl w:ilvl="0">
      <w:lvlJc w:val="left"/>
      <w:lvlText w:val="(%1)"/>
      <w:numFmt w:val="decimal"/>
      <w:start w:val="7"/>
    </w:lvl>
  </w:abstractNum>
  <w:abstractNum w:abstractNumId="63">
    <w:nsid w:val="100F59DC"/>
    <w:multiLevelType w:val="hybridMultilevel"/>
    <w:lvl w:ilvl="0">
      <w:lvlJc w:val="left"/>
      <w:lvlText w:val="(%1)"/>
      <w:numFmt w:val="decimal"/>
      <w:start w:val="15"/>
    </w:lvl>
  </w:abstractNum>
  <w:abstractNum w:abstractNumId="64">
    <w:nsid w:val="7FB7E0AA"/>
    <w:multiLevelType w:val="hybridMultilevel"/>
    <w:lvl w:ilvl="0">
      <w:lvlJc w:val="left"/>
      <w:lvlText w:val="(%1)"/>
      <w:numFmt w:val="decimal"/>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lvl w:ilvl="1">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1)"/>
      <w:numFmt w:val="lowerRoman"/>
      <w:start w:val="1"/>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
      <w:numFmt w:val="bullet"/>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
      <w:numFmt w:val="bullet"/>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
      <w:numFmt w:val="bullet"/>
      <w:start w:val="1"/>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jpe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5"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jpe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17" Type="http://schemas.openxmlformats.org/officeDocument/2006/relationships/hyperlink" Target="http://www.sec.gov/ix?doc=/Archives/edgar/data/0001508655/000119312526048664/tslx-20251231.htm" TargetMode="External"/><Relationship Id="rId71" Type="http://schemas.openxmlformats.org/officeDocument/2006/relationships/hyperlink" Target="http://www.sec.gov/ix?doc=/Archives/edgar/data/0001508655/000119312526206313/tslx-20260331.htm" TargetMode="External"/><Relationship Id="rId72" Type="http://schemas.openxmlformats.org/officeDocument/2006/relationships/hyperlink" Target="http://www.sec.gov/ix?doc=/Archives/edgar/data/0001508655/000119312526048683/tslx-20260212.htm" TargetMode="External"/><Relationship Id="rId73" Type="http://schemas.openxmlformats.org/officeDocument/2006/relationships/hyperlink" Target="http://www.sec.gov/ix?doc=/Archives/edgar/data/0001508655/000119312526063983/d53156d8k.htm" TargetMode="External"/><Relationship Id="rId74" Type="http://schemas.openxmlformats.org/officeDocument/2006/relationships/hyperlink" Target="http://www.sec.gov/ix?doc=/Archives/edgar/data/0001508655/000119312526206354/tslx-20260505.htm" TargetMode="External"/><Relationship Id="rId75" Type="http://schemas.openxmlformats.org/officeDocument/2006/relationships/hyperlink" Target="http://www.sec.gov/ix?doc=/Archives/edgar/data/1508655/000119312526149696/d15396ddef14a.htm" TargetMode="External"/><Relationship Id="rId180" Type="http://schemas.openxmlformats.org/officeDocument/2006/relationships/hyperlink" Target="http://www.sec.gov/ix?doc=/Archives/edgar/data/1508655/000095017023003042/tslx-20221231.htm" TargetMode="External"/><Relationship Id="rId181" Type="http://schemas.openxmlformats.org/officeDocument/2006/relationships/hyperlink" Target="http://www.sec.gov/Archives/edgar/data/1508655/000119312523100535/d393322ddef14a.htm" TargetMode="External"/><Relationship Id="rId182" Type="http://schemas.openxmlformats.org/officeDocument/2006/relationships/hyperlink" Target="http://www.sec.gov/ix?doc=/Archives/edgar/data/1508655/000095017023018777/tslx-20230331.htm" TargetMode="External"/><Relationship Id="rId183" Type="http://schemas.openxmlformats.org/officeDocument/2006/relationships/hyperlink" Target="http://www.sec.gov/ix?doc=/Archives/edgar/data/1508655/000095017023038066/tslx-20230630.htm" TargetMode="External"/><Relationship Id="rId184" Type="http://schemas.openxmlformats.org/officeDocument/2006/relationships/hyperlink" Target="http://www.sec.gov/ix?doc=/Archives/edgar/data/1508655/000095017023058321/tslx-20230930.htm" TargetMode="External"/><Relationship Id="rId186" Type="http://schemas.openxmlformats.org/officeDocument/2006/relationships/hyperlink" Target="http://www.sec.gov/ix?doc=/Archives/edgar/data/1508655/000119312523144982/d509627d8k.htm" TargetMode="External"/><Relationship Id="rId187" Type="http://schemas.openxmlformats.org/officeDocument/2006/relationships/hyperlink" Target="http://www.sec.gov/ix?doc=/Archives/edgar/data/1508655/000119312523155431/d495066d8k.htm" TargetMode="External"/><Relationship Id="rId188" Type="http://schemas.openxmlformats.org/officeDocument/2006/relationships/hyperlink" Target="http://www.sec.gov/ix?doc=/Archives/edgar/data/1508655/000119312523165276/d509708d8k.htm" TargetMode="External"/><Relationship Id="rId189" Type="http://schemas.openxmlformats.org/officeDocument/2006/relationships/hyperlink" Target="http://www.sec.gov/ix?doc=/Archives/edgar/data/1508655/000119312523165451/d509555d8k.htm" TargetMode="External"/><Relationship Id="rId190" Type="http://schemas.openxmlformats.org/officeDocument/2006/relationships/hyperlink" Target="http://www.sec.gov/ix?doc=/Archives/edgar/data/1508655/000119312523187256/d513136d8k.htm" TargetMode="External"/><Relationship Id="rId191" Type="http://schemas.openxmlformats.org/officeDocument/2006/relationships/hyperlink" Target="http://www.sec.gov/ix?doc=/Archives/edgar/data/1508655/000119312523188221/d534568d8ka.htm" TargetMode="External"/><Relationship Id="rId192" Type="http://schemas.openxmlformats.org/officeDocument/2006/relationships/hyperlink" Target="http://www.sec.gov/ix?doc=/Archives/edgar/data/1508655/000119312523209093/d513738d8k.htm" TargetMode="External"/><Relationship Id="rId193" Type="http://schemas.openxmlformats.org/officeDocument/2006/relationships/hyperlink" Target="http://www.sec.gov/ix?doc=/Archives/edgar/data/1508655/000119312523212327/d480136d8k.htm" TargetMode="External"/><Relationship Id="rId194" Type="http://schemas.openxmlformats.org/officeDocument/2006/relationships/hyperlink" Target="http://www.sec.gov/Archives/edgar/data/1508655/000119312514106230/d688211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2026-05-11T16:10:27Z</dcterms:created>
  <dcterms:modified xsi:type="dcterms:W3CDTF">2026-05-11T16:10:27Z</dcterms:modified>
</cp:coreProperties>
</file>