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Viola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09/13/2013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580" w:type="dxa"/>
            <w:vAlign w:val="bottom"/>
            <w:gridSpan w:val="7"/>
          </w:tcPr>
          <w:p>
            <w:pPr>
              <w:ind w:left="160"/>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5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4"/>
          </w:tcPr>
          <w:p>
            <w:pPr>
              <w:ind w:left="5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5"/>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580" w:type="dxa"/>
            <w:vAlign w:val="bottom"/>
            <w:gridSpan w:val="3"/>
            <w:vMerge w:val="restart"/>
          </w:tcPr>
          <w:p>
            <w:pPr>
              <w:jc w:val="right"/>
              <w:ind w:right="158"/>
              <w:spacing w:after="0"/>
              <w:rPr>
                <w:sz w:val="20"/>
                <w:szCs w:val="20"/>
                <w:color w:val="auto"/>
              </w:rPr>
            </w:pPr>
            <w:r>
              <w:rPr>
                <w:rFonts w:ascii="Arial" w:cs="Arial" w:eastAsia="Arial" w:hAnsi="Arial"/>
                <w:sz w:val="18"/>
                <w:szCs w:val="18"/>
                <w:color w:val="0000FF"/>
              </w:rPr>
              <w:t>09/13/2013</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260"/>
              <w:spacing w:after="0"/>
              <w:rPr>
                <w:sz w:val="20"/>
                <w:szCs w:val="20"/>
                <w:color w:val="auto"/>
              </w:rPr>
            </w:pPr>
            <w:r>
              <w:rPr>
                <w:rFonts w:ascii="Arial" w:cs="Arial" w:eastAsia="Arial" w:hAnsi="Arial"/>
                <w:sz w:val="18"/>
                <w:szCs w:val="18"/>
                <w:color w:val="0000FF"/>
              </w:rPr>
              <w:t>16.3</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1,019.39</w:t>
            </w:r>
          </w:p>
        </w:tc>
        <w:tc>
          <w:tcPr>
            <w:tcW w:w="1300" w:type="dxa"/>
            <w:vAlign w:val="bottom"/>
            <w:gridSpan w:val="3"/>
            <w:vMerge w:val="restart"/>
          </w:tcPr>
          <w:p>
            <w:pPr>
              <w:ind w:left="400"/>
              <w:spacing w:after="0"/>
              <w:rPr>
                <w:sz w:val="20"/>
                <w:szCs w:val="20"/>
                <w:color w:val="auto"/>
              </w:rPr>
            </w:pPr>
            <w:r>
              <w:rPr>
                <w:rFonts w:ascii="Arial" w:cs="Arial" w:eastAsia="Arial" w:hAnsi="Arial"/>
                <w:sz w:val="18"/>
                <w:szCs w:val="18"/>
                <w:color w:val="0000FF"/>
              </w:rPr>
              <w:t>344.29</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34,817 shares of Common Stock of the Issuer, including 344.29 shares of Common Stock of the Issuer indirectly beneficially owned by Mr. Viola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3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Viola pursuant to the authorization and designation letter dated March 10, 2011, which was previously filed with the Securities and Exchange Commission as an exhibit to a Form 3 filed by Mr. Viola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Ronald Cami, on behalf of</w:t>
            </w:r>
          </w:p>
        </w:tc>
        <w:tc>
          <w:tcPr>
            <w:tcW w:w="2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09/17/2013</w:t>
            </w:r>
          </w:p>
        </w:tc>
        <w:tc>
          <w:tcPr>
            <w:tcW w:w="0" w:type="dxa"/>
            <w:vAlign w:val="bottom"/>
          </w:tcPr>
          <w:p>
            <w:pPr>
              <w:spacing w:after="0"/>
              <w:rPr>
                <w:sz w:val="1"/>
                <w:szCs w:val="1"/>
                <w:color w:val="auto"/>
              </w:rPr>
            </w:pPr>
          </w:p>
        </w:tc>
      </w:tr>
      <w:tr>
        <w:trPr>
          <w:trHeight w:val="88"/>
        </w:trPr>
        <w:tc>
          <w:tcPr>
            <w:tcW w:w="10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John Viola (2)</w:t>
            </w:r>
          </w:p>
        </w:tc>
        <w:tc>
          <w:tcPr>
            <w:tcW w:w="11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20" w:type="dxa"/>
            <w:vAlign w:val="bottom"/>
            <w:tcBorders>
              <w:bottom w:val="single" w:sz="8" w:color="auto"/>
            </w:tcBorders>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25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2019-12-16T08:18:41Z</dcterms:created>
  <dcterms:modified xsi:type="dcterms:W3CDTF">2019-12-16T08:18:41Z</dcterms:modified>
</cp:coreProperties>
</file>