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451583d424b2.htm"/>
        <w:bookmarkStart w:id="1" w:name="ksd451583d424b2"/>
        <w:bookmarkEnd w:id="0"/>
        <w:bookmarkEnd w:id="1"/>
        <w:r>
          <w:rPr>
            <w:rStyle w:val="InternetLink"/>
          </w:rPr>
          <w:t>Table of Contents</w:t>
        </w:r>
      </w:hyperlink>
    </w:p>
    <w:p>
      <w:pPr>
        <w:pStyle w:val="TextBody"/>
        <w:spacing w:before="0" w:after="0"/>
        <w:jc w:val="right"/>
        <w:rPr>
          <w:rFonts w:ascii="Times New Roman" w:hAnsi="Times New Roman"/>
          <w:b/>
          <w:sz w:val="20"/>
        </w:rPr>
      </w:pPr>
      <w:r>
        <w:rPr>
          <w:rFonts w:ascii="Times New Roman" w:hAnsi="Times New Roman"/>
          <w:b/>
          <w:sz w:val="20"/>
        </w:rPr>
        <w:t xml:space="preserve">Filed Pursuant to Rule 424(b)(2) </w:t>
        <w:br/>
        <w:t xml:space="preserve">Registration No. 333-269222 </w:t>
      </w:r>
    </w:p>
    <w:p>
      <w:pPr>
        <w:pStyle w:val="TextBody"/>
        <w:spacing w:before="0" w:after="0"/>
        <w:jc w:val="left"/>
        <w:rPr/>
      </w:pPr>
      <w:r>
        <w:rPr/>
        <w:t> </w:t>
      </w:r>
    </w:p>
    <w:p>
      <w:pPr>
        <w:pStyle w:val="TextBody"/>
        <w:spacing w:before="0" w:after="0"/>
        <w:jc w:val="left"/>
        <w:rPr>
          <w:rFonts w:ascii="Arial Narrow" w:hAnsi="Arial Narrow"/>
          <w:b/>
          <w:color w:val="FF4338"/>
          <w:sz w:val="20"/>
        </w:rPr>
      </w:pPr>
      <w:r>
        <w:rPr>
          <w:rFonts w:ascii="Arial Narrow" w:hAnsi="Arial Narrow"/>
          <w:b/>
          <w:color w:val="FF4338"/>
          <w:sz w:val="20"/>
        </w:rPr>
        <w:t xml:space="preserve">The information in this prospectus supplement is not complete and may be changed. A registration statement relating to these securities has been filed with and declared effective by the Securities and Exchange Commission. This prospectus supplement and the accompanying prospectus are not an offer to sell these securities and are not soliciting an offer to buy these securities in any jurisdiction where the offer or sale is not permitted. </w:t>
      </w:r>
    </w:p>
    <w:p>
      <w:pPr>
        <w:pStyle w:val="TextBody"/>
        <w:spacing w:before="0" w:after="0"/>
        <w:jc w:val="left"/>
        <w:rPr/>
      </w:pPr>
      <w:r>
        <w:rPr/>
        <w:t> </w:t>
      </w:r>
    </w:p>
    <w:p>
      <w:pPr>
        <w:pStyle w:val="TextBody"/>
        <w:spacing w:before="0" w:after="0"/>
        <w:jc w:val="center"/>
        <w:rPr>
          <w:rFonts w:ascii="Times New Roman" w:hAnsi="Times New Roman"/>
          <w:b/>
          <w:color w:val="FF4338"/>
          <w:sz w:val="20"/>
        </w:rPr>
      </w:pPr>
      <w:r>
        <w:rPr>
          <w:rFonts w:ascii="Times New Roman" w:hAnsi="Times New Roman"/>
          <w:b/>
          <w:color w:val="FF4338"/>
          <w:sz w:val="20"/>
        </w:rPr>
        <w:t xml:space="preserve">Subject to Completion </w:t>
      </w:r>
    </w:p>
    <w:p>
      <w:pPr>
        <w:pStyle w:val="TextBody"/>
        <w:spacing w:before="0" w:after="0"/>
        <w:jc w:val="center"/>
        <w:rPr>
          <w:rFonts w:ascii="Times New Roman" w:hAnsi="Times New Roman"/>
          <w:b/>
          <w:color w:val="FF4338"/>
          <w:sz w:val="20"/>
        </w:rPr>
      </w:pPr>
      <w:r>
        <w:rPr>
          <w:rFonts w:ascii="Times New Roman" w:hAnsi="Times New Roman"/>
          <w:b/>
          <w:color w:val="FF4338"/>
          <w:sz w:val="20"/>
        </w:rPr>
        <w:t xml:space="preserve">Preliminary Prospectus Supplement dated May 10, 2023 </w:t>
      </w:r>
    </w:p>
    <w:p>
      <w:pPr>
        <w:pStyle w:val="TextBody"/>
        <w:spacing w:before="240" w:after="0"/>
        <w:jc w:val="left"/>
        <w:rPr>
          <w:rFonts w:ascii="Times New Roman" w:hAnsi="Times New Roman"/>
          <w:b/>
          <w:sz w:val="20"/>
        </w:rPr>
      </w:pPr>
      <w:r>
        <w:rPr>
          <w:rFonts w:ascii="Times New Roman" w:hAnsi="Times New Roman"/>
          <w:b/>
          <w:sz w:val="20"/>
        </w:rPr>
        <w:t xml:space="preserve">PROSPECTUS SUPPLEMENT </w:t>
      </w:r>
    </w:p>
    <w:p>
      <w:pPr>
        <w:pStyle w:val="TextBody"/>
        <w:spacing w:before="0" w:after="0"/>
        <w:jc w:val="left"/>
        <w:rPr>
          <w:rFonts w:ascii="Times New Roman" w:hAnsi="Times New Roman"/>
          <w:b/>
          <w:sz w:val="20"/>
        </w:rPr>
      </w:pPr>
      <w:r>
        <w:rPr>
          <w:rFonts w:ascii="Times New Roman" w:hAnsi="Times New Roman"/>
          <w:b/>
          <w:sz w:val="20"/>
        </w:rPr>
        <w:t xml:space="preserve">(To Prospectus dated January 13, 2023) </w:t>
      </w:r>
    </w:p>
    <w:p>
      <w:pPr>
        <w:pStyle w:val="TextBody"/>
        <w:spacing w:before="240" w:after="0"/>
        <w:jc w:val="center"/>
        <w:rPr>
          <w:rFonts w:ascii="Times New Roman" w:hAnsi="Times New Roman"/>
          <w:b/>
          <w:sz w:val="36"/>
        </w:rPr>
      </w:pPr>
      <w:r>
        <w:rPr>
          <w:rFonts w:ascii="Times New Roman" w:hAnsi="Times New Roman"/>
          <w:b/>
          <w:sz w:val="36"/>
        </w:rPr>
        <w:t xml:space="preserve">4,500,000 Shares </w:t>
      </w:r>
    </w:p>
    <w:p>
      <w:pPr>
        <w:pStyle w:val="TextBody"/>
        <w:spacing w:before="0" w:after="0"/>
        <w:jc w:val="left"/>
        <w:rPr/>
      </w:pPr>
      <w:r>
        <w:rPr/>
        <w:t> </w:t>
      </w:r>
    </w:p>
    <w:p>
      <w:pPr>
        <w:pStyle w:val="TextBody"/>
        <w:spacing w:before="0" w:after="0"/>
        <w:jc w:val="center"/>
        <w:rPr/>
      </w:pPr>
      <w:r>
        <w:rPr/>
        <w:drawing>
          <wp:inline distT="0" distB="0" distL="0" distR="0">
            <wp:extent cx="1562100"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62100" cy="485775"/>
                    </a:xfrm>
                    <a:prstGeom prst="rect">
                      <a:avLst/>
                    </a:prstGeom>
                  </pic:spPr>
                </pic:pic>
              </a:graphicData>
            </a:graphic>
          </wp:inline>
        </w:drawing>
      </w:r>
      <w:r>
        <w:rPr/>
        <w:t xml:space="preserve"> </w:t>
      </w:r>
    </w:p>
    <w:p>
      <w:pPr>
        <w:pStyle w:val="TextBody"/>
        <w:spacing w:before="240" w:after="0"/>
        <w:jc w:val="center"/>
        <w:rPr>
          <w:rFonts w:ascii="Times New Roman" w:hAnsi="Times New Roman"/>
          <w:b/>
          <w:sz w:val="28"/>
        </w:rPr>
      </w:pPr>
      <w:r>
        <w:rPr>
          <w:rFonts w:ascii="Times New Roman" w:hAnsi="Times New Roman"/>
          <w:b/>
          <w:sz w:val="28"/>
        </w:rPr>
        <w:t xml:space="preserve">Common Stock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80" w:after="0"/>
        <w:jc w:val="left"/>
        <w:rPr>
          <w:rFonts w:ascii="Times New Roman" w:hAnsi="Times New Roman"/>
          <w:sz w:val="20"/>
        </w:rPr>
      </w:pPr>
      <w:r>
        <w:rPr>
          <w:rFonts w:ascii="Times New Roman" w:hAnsi="Times New Roman"/>
          <w:sz w:val="20"/>
        </w:rPr>
        <w:t xml:space="preserve">We are offering for sale 4,500,000 shares of our common stock. We have also granted the underwriters a 30-day option to purchase up to 675,000 additional shares of our common stock. </w:t>
      </w:r>
    </w:p>
    <w:p>
      <w:pPr>
        <w:pStyle w:val="TextBody"/>
        <w:spacing w:before="240" w:after="0"/>
        <w:jc w:val="left"/>
        <w:rPr>
          <w:rFonts w:ascii="Times New Roman" w:hAnsi="Times New Roman"/>
          <w:sz w:val="20"/>
        </w:rPr>
      </w:pPr>
      <w:r>
        <w:rPr>
          <w:rFonts w:ascii="Times New Roman" w:hAnsi="Times New Roman"/>
          <w:sz w:val="20"/>
        </w:rPr>
        <w:t xml:space="preserve">We are a specialty finance company that has elected to be regulated as a business development company under the Investment Company Act of 1940. We seek to generate current income primarily through direct originations of senior secured loans and, to a lesser extent, originations of mezzanine and unsecured loans and investments in corporate bonds and equity securities. </w:t>
      </w:r>
    </w:p>
    <w:p>
      <w:pPr>
        <w:pStyle w:val="TextBody"/>
        <w:spacing w:before="240" w:after="0"/>
        <w:jc w:val="left"/>
        <w:rPr>
          <w:rFonts w:ascii="Times New Roman" w:hAnsi="Times New Roman"/>
          <w:sz w:val="20"/>
        </w:rPr>
      </w:pPr>
      <w:r>
        <w:rPr>
          <w:rFonts w:ascii="Times New Roman" w:hAnsi="Times New Roman"/>
          <w:sz w:val="20"/>
        </w:rPr>
        <w:t xml:space="preserve">As of March 31, 2023, our investment portfolio consisted of investments in 127 portfolio companies (including 44 structured credit investments, which include each series of collateralized loan obligation as a separate portfolio company investment) with an aggregate fair value of $2,918.6 million. We intend to continue to pursue an investment strategy focused primarily on direct origination of loans to middle-market companies domiciled in the United States. </w:t>
      </w:r>
    </w:p>
    <w:p>
      <w:pPr>
        <w:pStyle w:val="TextBody"/>
        <w:spacing w:before="240" w:after="0"/>
        <w:jc w:val="left"/>
        <w:rPr>
          <w:rFonts w:ascii="Times New Roman" w:hAnsi="Times New Roman"/>
          <w:sz w:val="20"/>
        </w:rPr>
      </w:pPr>
      <w:r>
        <w:rPr>
          <w:rFonts w:ascii="Times New Roman" w:hAnsi="Times New Roman"/>
          <w:sz w:val="20"/>
        </w:rPr>
        <w:t xml:space="preserve">We are an externally managed, closed-end, non-diversified management investment company. Sixth Street Specialty Lending Advisers, LLC, or the Adviser, acts as our investment adviser and administrator. We and the Adviser are part of Sixth Street Partners, LLC, a global investment firm with over $65 billion in assets under management as of March 31, 2023. </w:t>
      </w:r>
    </w:p>
    <w:p>
      <w:pPr>
        <w:pStyle w:val="TextBody"/>
        <w:spacing w:before="240" w:after="0"/>
        <w:jc w:val="left"/>
        <w:rPr>
          <w:rFonts w:ascii="Times New Roman" w:hAnsi="Times New Roman"/>
          <w:sz w:val="20"/>
        </w:rPr>
      </w:pPr>
      <w:r>
        <w:rPr>
          <w:rFonts w:ascii="Times New Roman" w:hAnsi="Times New Roman"/>
          <w:sz w:val="20"/>
        </w:rPr>
        <w:t xml:space="preserve">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 </w:t>
      </w:r>
    </w:p>
    <w:p>
      <w:pPr>
        <w:pStyle w:val="TextBody"/>
        <w:spacing w:before="240" w:after="0"/>
        <w:jc w:val="left"/>
        <w:rPr>
          <w:rFonts w:ascii="Times New Roman" w:hAnsi="Times New Roman"/>
          <w:sz w:val="20"/>
        </w:rPr>
      </w:pPr>
      <w:r>
        <w:rPr>
          <w:rFonts w:ascii="Times New Roman" w:hAnsi="Times New Roman"/>
          <w:sz w:val="20"/>
        </w:rPr>
        <w:t xml:space="preserve">Substantially all of our debt investments have variable interest rates that reset periodically based on interest rate benchmarks such as the London Interbank Offered Rate, the Euro Interbank Offered Rate, the Canadian Dollar Offered Rate, the Secured Overnight Financing Rate, Sterling Overnight Interbank Average Rate or the Prime Rate. As a result, significant increases in such interest rate benchmarks (or any replacement benchmarks) in the future would make it more difficult for these borrowers to service their obligations under the debt investments that we hold. </w:t>
      </w:r>
    </w:p>
    <w:p>
      <w:pPr>
        <w:pStyle w:val="TextBody"/>
        <w:spacing w:before="240" w:after="0"/>
        <w:jc w:val="left"/>
        <w:rPr>
          <w:rFonts w:ascii="Times New Roman" w:hAnsi="Times New Roman"/>
          <w:sz w:val="20"/>
        </w:rPr>
      </w:pPr>
      <w:r>
        <w:rPr>
          <w:rFonts w:ascii="Times New Roman" w:hAnsi="Times New Roman"/>
          <w:sz w:val="20"/>
        </w:rPr>
        <w:t xml:space="preserve">Our common stock is traded on the New York Stock Exchange, or NYSE, under the symbol TSLX. On May 9, 2023, the last reported sales price of our common stock on the NYSE was $18.19 per share. The net asset value per share of our common stock at March 31, 2023 (the last date prior to the date of this prospectus supplement for which we reported net asset value) was $16.59.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80" w:after="0"/>
        <w:jc w:val="left"/>
        <w:rPr/>
      </w:pPr>
      <w:r>
        <w:rPr>
          <w:rFonts w:ascii="Times New Roman" w:hAnsi="Times New Roman"/>
          <w:b/>
          <w:sz w:val="24"/>
        </w:rPr>
        <w:t>Investing in our common stock involves risks, including the risk of leverage, that are described in the </w:t>
      </w:r>
      <w:hyperlink w:anchor="supp451583_4">
        <w:r>
          <w:rPr>
            <w:rStyle w:val="InternetLink"/>
            <w:rFonts w:ascii="Times New Roman" w:hAnsi="Times New Roman"/>
            <w:b/>
            <w:sz w:val="24"/>
          </w:rPr>
          <w:t xml:space="preserve">Risk Factors </w:t>
        </w:r>
      </w:hyperlink>
      <w:r>
        <w:rPr>
          <w:rFonts w:ascii="Times New Roman" w:hAnsi="Times New Roman"/>
          <w:b/>
          <w:sz w:val="24"/>
        </w:rPr>
        <w:t xml:space="preserve"> section beginning on page S-6 of this prospectus supplement and page 22 of the accompanying prospectus and the matters discussed in the documents incorporated or deemed to be incorporated by reference in this prospectus supplement and the accompanying prospectus. </w:t>
      </w:r>
    </w:p>
    <w:p>
      <w:pPr>
        <w:pStyle w:val="TextBody"/>
        <w:spacing w:before="240" w:after="0"/>
        <w:jc w:val="left"/>
        <w:rPr>
          <w:rFonts w:ascii="Times New Roman" w:hAnsi="Times New Roman"/>
          <w:sz w:val="20"/>
        </w:rPr>
      </w:pPr>
      <w:r>
        <w:rPr>
          <w:rFonts w:ascii="Times New Roman" w:hAnsi="Times New Roman"/>
          <w:sz w:val="20"/>
        </w:rPr>
        <w:t xml:space="preserve">Please read this prospectus supplement and the accompanying prospectus, including any information incorporated by reference herein or therein, before investing and keep such documents for future reference. This prospectus supplement and the accompanying prospectus, and the documents incorporated by reference herein or therein, contain important information about us that a prospective investor ought to know before investing in our securities. Information required to be included in a Statement of Additional Information may be found in this prospectus supplement and the accompanying prospectus or incorporated by reference herein or therein. We also file periodic and current reports, proxy statements and other information about us with the Securities and Exchange Commission (the SEC). This information is available free of charge by contacting us at 888 7th Avenue, 41st Floor, New York, NY 10106, Attention: TSLX Investor Relations, by emailing us at IRTSLX@sixthstreet.com or visiting our website at http://www.sixthstreetspecialtylending.com. Information on our website is not incorporated into or a part of this prospectus supplement or the accompanying prospectus. The SEC also maintains a website at http://www.sec.gov that contains this information.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80" w:after="0"/>
        <w:jc w:val="left"/>
        <w:rPr>
          <w:rFonts w:ascii="Times New Roman" w:hAnsi="Times New Roman"/>
          <w:sz w:val="20"/>
        </w:rPr>
      </w:pPr>
      <w:r>
        <w:rPr>
          <w:rFonts w:ascii="Times New Roman" w:hAnsi="Times New Roman"/>
          <w:sz w:val="20"/>
        </w:rPr>
        <w:t xml:space="preserve">The underwriters have agreed to purchase our common stock from us at a price of $             per share, which will result in approximately $            million of net proceeds to us after deducting offering expenses. The underwriters propose to offer the shares of common stock from time to time for sale in negotiated transactions or otherwise, at market prices prevailing at the time of sale, at prices related to such prevailing market prices or at negotiated prices. See Underwriting. </w:t>
      </w:r>
    </w:p>
    <w:p>
      <w:pPr>
        <w:pStyle w:val="TextBody"/>
        <w:spacing w:before="240" w:after="0"/>
        <w:jc w:val="left"/>
        <w:rPr>
          <w:rFonts w:ascii="Times New Roman" w:hAnsi="Times New Roman"/>
          <w:sz w:val="20"/>
        </w:rPr>
      </w:pPr>
      <w:r>
        <w:rPr>
          <w:rFonts w:ascii="Times New Roman" w:hAnsi="Times New Roman"/>
          <w:sz w:val="20"/>
        </w:rPr>
        <w:t xml:space="preserve">We have also granted the underwriters an option to purchase up to an additional            shares from us at the public offering price, less the underwriting discount, within 30 days of the date of this prospectus supplement. If the underwriters exercise this option in full, the total public offering price will be $            , the total underwriting discount (sales load) paid by us will be $            , and total proceeds, before expenses, will be $            . </w:t>
      </w:r>
    </w:p>
    <w:p>
      <w:pPr>
        <w:pStyle w:val="TextBody"/>
        <w:spacing w:before="240" w:after="0"/>
        <w:jc w:val="left"/>
        <w:rPr>
          <w:rFonts w:ascii="Times New Roman" w:hAnsi="Times New Roman"/>
          <w:b/>
          <w:sz w:val="20"/>
        </w:rPr>
      </w:pPr>
      <w:r>
        <w:rPr>
          <w:rFonts w:ascii="Times New Roman" w:hAnsi="Times New Roman"/>
          <w:b/>
          <w:sz w:val="20"/>
        </w:rPr>
        <w:t xml:space="preserve">Neither the SEC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spacing w:before="240" w:after="0"/>
        <w:jc w:val="left"/>
        <w:rPr>
          <w:rFonts w:ascii="Times New Roman" w:hAnsi="Times New Roman"/>
          <w:sz w:val="20"/>
        </w:rPr>
      </w:pPr>
      <w:r>
        <w:rPr>
          <w:rFonts w:ascii="Times New Roman" w:hAnsi="Times New Roman"/>
          <w:sz w:val="20"/>
        </w:rPr>
        <w:t xml:space="preserve">The shares will be ready for delivery on or about                , 2023.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80" w:after="0"/>
        <w:jc w:val="center"/>
        <w:rPr>
          <w:rFonts w:ascii="Times New Roman" w:hAnsi="Times New Roman"/>
          <w:b/>
          <w:i/>
          <w:sz w:val="20"/>
        </w:rPr>
      </w:pPr>
      <w:r>
        <w:rPr>
          <w:rFonts w:ascii="Times New Roman" w:hAnsi="Times New Roman"/>
          <w:b/>
          <w:i/>
          <w:sz w:val="20"/>
        </w:rPr>
        <w:t xml:space="preserve">Joint Book-Running Managers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411"/>
        <w:gridCol w:w="2157"/>
        <w:gridCol w:w="1679"/>
        <w:gridCol w:w="2157"/>
        <w:gridCol w:w="60"/>
        <w:gridCol w:w="1678"/>
        <w:gridCol w:w="63"/>
      </w:tblGrid>
      <w:tr>
        <w:trPr/>
        <w:tc>
          <w:tcPr>
            <w:tcW w:w="2411" w:type="dxa"/>
            <w:tcBorders/>
            <w:shd w:fill="auto" w:val="clear"/>
            <w:vAlign w:val="center"/>
          </w:tcPr>
          <w:p>
            <w:pPr>
              <w:pStyle w:val="TableContents"/>
              <w:spacing w:before="0" w:after="283"/>
              <w:rPr>
                <w:sz w:val="4"/>
                <w:szCs w:val="4"/>
              </w:rPr>
            </w:pPr>
            <w:r>
              <w:rPr>
                <w:sz w:val="4"/>
                <w:szCs w:val="4"/>
              </w:rPr>
            </w:r>
          </w:p>
        </w:tc>
        <w:tc>
          <w:tcPr>
            <w:tcW w:w="2157" w:type="dxa"/>
            <w:tcBorders/>
            <w:shd w:fill="auto" w:val="clear"/>
            <w:vAlign w:val="bottom"/>
          </w:tcPr>
          <w:p>
            <w:pPr>
              <w:pStyle w:val="TableContents"/>
              <w:spacing w:before="0" w:after="283"/>
              <w:rPr>
                <w:sz w:val="4"/>
                <w:szCs w:val="4"/>
              </w:rPr>
            </w:pPr>
            <w:r>
              <w:rPr>
                <w:sz w:val="4"/>
                <w:szCs w:val="4"/>
              </w:rPr>
            </w:r>
          </w:p>
        </w:tc>
        <w:tc>
          <w:tcPr>
            <w:tcW w:w="1679" w:type="dxa"/>
            <w:tcBorders/>
            <w:shd w:fill="auto" w:val="clear"/>
            <w:vAlign w:val="center"/>
          </w:tcPr>
          <w:p>
            <w:pPr>
              <w:pStyle w:val="TableContents"/>
              <w:spacing w:before="0" w:after="283"/>
              <w:rPr>
                <w:sz w:val="4"/>
                <w:szCs w:val="4"/>
              </w:rPr>
            </w:pPr>
            <w:r>
              <w:rPr>
                <w:sz w:val="4"/>
                <w:szCs w:val="4"/>
              </w:rPr>
            </w:r>
          </w:p>
        </w:tc>
        <w:tc>
          <w:tcPr>
            <w:tcW w:w="215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678"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2411" w:type="dxa"/>
            <w:tcBorders/>
            <w:shd w:fill="auto" w:val="clear"/>
          </w:tcPr>
          <w:p>
            <w:pPr>
              <w:pStyle w:val="TableContents"/>
              <w:spacing w:before="0" w:after="283"/>
              <w:rPr>
                <w:b/>
              </w:rPr>
            </w:pPr>
            <w:r>
              <w:rPr>
                <w:b/>
              </w:rPr>
              <w:t>Wells Fargo Securities</w:t>
            </w:r>
          </w:p>
        </w:tc>
        <w:tc>
          <w:tcPr>
            <w:tcW w:w="2157" w:type="dxa"/>
            <w:tcBorders/>
            <w:shd w:fill="auto" w:val="clear"/>
            <w:vAlign w:val="bottom"/>
          </w:tcPr>
          <w:p>
            <w:pPr>
              <w:pStyle w:val="TableContents"/>
              <w:spacing w:before="0" w:after="283"/>
              <w:rPr/>
            </w:pPr>
            <w:r>
              <w:rPr/>
              <w:t> </w:t>
            </w:r>
          </w:p>
        </w:tc>
        <w:tc>
          <w:tcPr>
            <w:tcW w:w="1679" w:type="dxa"/>
            <w:tcBorders/>
            <w:shd w:fill="auto" w:val="clear"/>
          </w:tcPr>
          <w:p>
            <w:pPr>
              <w:pStyle w:val="TableContents"/>
              <w:spacing w:before="0" w:after="283"/>
              <w:jc w:val="center"/>
              <w:rPr>
                <w:b/>
              </w:rPr>
            </w:pPr>
            <w:r>
              <w:rPr>
                <w:b/>
              </w:rPr>
              <w:t>Morgan Stanley</w:t>
            </w:r>
          </w:p>
        </w:tc>
        <w:tc>
          <w:tcPr>
            <w:tcW w:w="2157"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678" w:type="dxa"/>
            <w:tcBorders/>
            <w:shd w:fill="auto" w:val="clear"/>
          </w:tcPr>
          <w:p>
            <w:pPr>
              <w:pStyle w:val="TableContents"/>
              <w:spacing w:before="0" w:after="283"/>
              <w:jc w:val="right"/>
              <w:rPr>
                <w:b/>
              </w:rPr>
            </w:pPr>
            <w:r>
              <w:rPr>
                <w:b/>
              </w:rPr>
              <w:t>BofA Securities</w:t>
            </w:r>
          </w:p>
        </w:tc>
        <w:tc>
          <w:tcPr>
            <w:tcW w:w="63" w:type="dxa"/>
            <w:tcBorders/>
            <w:shd w:fill="auto" w:val="clear"/>
          </w:tcPr>
          <w:p>
            <w:pPr>
              <w:pStyle w:val="TableContents"/>
              <w:spacing w:before="0" w:after="283"/>
              <w:rPr/>
            </w:pPr>
            <w:r>
              <w:rPr/>
              <w:t>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0"/>
        <w:gridCol w:w="101"/>
        <w:gridCol w:w="3266"/>
        <w:gridCol w:w="101"/>
        <w:gridCol w:w="3267"/>
      </w:tblGrid>
      <w:tr>
        <w:trPr/>
        <w:tc>
          <w:tcPr>
            <w:tcW w:w="3470"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tcPr>
          <w:p>
            <w:pPr>
              <w:pStyle w:val="TableContents"/>
              <w:spacing w:before="0" w:after="283"/>
              <w:rPr>
                <w:b/>
              </w:rPr>
            </w:pPr>
            <w:r>
              <w:rPr>
                <w:b/>
              </w:rPr>
              <w:t>RBC Capital Markets</w:t>
            </w:r>
          </w:p>
        </w:tc>
        <w:tc>
          <w:tcPr>
            <w:tcW w:w="101"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8"/>
              </w:rPr>
            </w:pPr>
            <w:r>
              <w:rPr>
                <w:rFonts w:ascii="Times New Roman" w:hAnsi="Times New Roman"/>
                <w:b/>
                <w:sz w:val="18"/>
              </w:rPr>
              <w:t>Keefe, Bruyette &amp; Woods,      </w:t>
            </w:r>
          </w:p>
          <w:p>
            <w:pPr>
              <w:pStyle w:val="TableContents"/>
              <w:spacing w:before="0" w:after="20"/>
              <w:jc w:val="center"/>
              <w:rPr/>
            </w:pPr>
            <w:r>
              <w:rPr/>
              <w:t>               </w:t>
            </w:r>
            <w:r>
              <w:rPr>
                <w:rFonts w:ascii="Times New Roman" w:hAnsi="Times New Roman"/>
                <w:b/>
                <w:i/>
                <w:sz w:val="18"/>
              </w:rPr>
              <w:t>A Stifel Company</w:t>
            </w:r>
            <w:r>
              <w:rPr>
                <w:rFonts w:ascii="Times New Roman" w:hAnsi="Times New Roman"/>
                <w:sz w:val="18"/>
              </w:rPr>
              <w:t>      </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right"/>
              <w:rPr>
                <w:b/>
              </w:rPr>
            </w:pPr>
            <w:r>
              <w:rPr>
                <w:b/>
              </w:rPr>
              <w:t>Raymond James</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55"/>
        <w:gridCol w:w="102"/>
        <w:gridCol w:w="4948"/>
      </w:tblGrid>
      <w:tr>
        <w:trPr/>
        <w:tc>
          <w:tcPr>
            <w:tcW w:w="515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948" w:type="dxa"/>
            <w:tcBorders/>
            <w:shd w:fill="auto" w:val="clear"/>
            <w:vAlign w:val="center"/>
          </w:tcPr>
          <w:p>
            <w:pPr>
              <w:pStyle w:val="TableContents"/>
              <w:spacing w:before="0" w:after="283"/>
              <w:rPr>
                <w:sz w:val="4"/>
                <w:szCs w:val="4"/>
              </w:rPr>
            </w:pPr>
            <w:r>
              <w:rPr>
                <w:sz w:val="4"/>
                <w:szCs w:val="4"/>
              </w:rPr>
            </w:r>
          </w:p>
        </w:tc>
      </w:tr>
      <w:tr>
        <w:trPr/>
        <w:tc>
          <w:tcPr>
            <w:tcW w:w="5155" w:type="dxa"/>
            <w:tcBorders/>
            <w:shd w:fill="auto" w:val="clear"/>
          </w:tcPr>
          <w:p>
            <w:pPr>
              <w:pStyle w:val="TableContents"/>
              <w:spacing w:before="0" w:after="283"/>
              <w:jc w:val="center"/>
              <w:rPr>
                <w:b/>
              </w:rPr>
            </w:pPr>
            <w:r>
              <w:rPr>
                <w:b/>
              </w:rPr>
              <w:t>Goldman Sachs &amp; Co. LLC</w:t>
            </w:r>
          </w:p>
        </w:tc>
        <w:tc>
          <w:tcPr>
            <w:tcW w:w="102" w:type="dxa"/>
            <w:tcBorders/>
            <w:shd w:fill="auto" w:val="clear"/>
            <w:vAlign w:val="bottom"/>
          </w:tcPr>
          <w:p>
            <w:pPr>
              <w:pStyle w:val="TableContents"/>
              <w:spacing w:before="0" w:after="283"/>
              <w:rPr/>
            </w:pPr>
            <w:r>
              <w:rPr/>
              <w:t> </w:t>
            </w:r>
          </w:p>
        </w:tc>
        <w:tc>
          <w:tcPr>
            <w:tcW w:w="4948" w:type="dxa"/>
            <w:tcBorders/>
            <w:shd w:fill="auto" w:val="clear"/>
          </w:tcPr>
          <w:p>
            <w:pPr>
              <w:pStyle w:val="TableContents"/>
              <w:spacing w:before="0" w:after="283"/>
              <w:jc w:val="center"/>
              <w:rPr>
                <w:b/>
              </w:rPr>
            </w:pPr>
            <w:r>
              <w:rPr>
                <w:b/>
              </w:rPr>
              <w:t>J.P. Morgan</w:t>
            </w:r>
          </w:p>
        </w:tc>
      </w:tr>
    </w:tbl>
    <w:p>
      <w:pPr>
        <w:pStyle w:val="TextBody"/>
        <w:spacing w:before="240" w:after="0"/>
        <w:jc w:val="center"/>
        <w:rPr>
          <w:rFonts w:ascii="Times New Roman" w:hAnsi="Times New Roman"/>
          <w:b/>
          <w:sz w:val="20"/>
        </w:rPr>
      </w:pPr>
      <w:r>
        <w:rPr>
          <w:rFonts w:ascii="Times New Roman" w:hAnsi="Times New Roman"/>
          <w:b/>
          <w:sz w:val="20"/>
        </w:rPr>
        <w:t xml:space="preserve">The date of this prospectus supplement is May     , 2023. </w:t>
      </w:r>
    </w:p>
    <w:p>
      <w:pPr>
        <w:pStyle w:val="TextBody"/>
        <w:spacing w:before="0" w:after="0"/>
        <w:jc w:val="left"/>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Prospectus Supplement </w:t>
      </w:r>
    </w:p>
    <w:p>
      <w:pPr>
        <w:pStyle w:val="TextBody"/>
        <w:spacing w:before="12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450"/>
        <w:gridCol w:w="162"/>
        <w:gridCol w:w="60"/>
        <w:gridCol w:w="471"/>
        <w:gridCol w:w="62"/>
      </w:tblGrid>
      <w:tr>
        <w:trPr/>
        <w:tc>
          <w:tcPr>
            <w:tcW w:w="9450"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r>
      <w:tr>
        <w:trPr/>
        <w:tc>
          <w:tcPr>
            <w:tcW w:w="9450" w:type="dxa"/>
            <w:tcBorders/>
            <w:shd w:fill="auto" w:val="clear"/>
            <w:vAlign w:val="bottom"/>
          </w:tcPr>
          <w:p>
            <w:pPr>
              <w:pStyle w:val="TableContents"/>
              <w:spacing w:before="0" w:after="283"/>
              <w:rPr/>
            </w:pPr>
            <w:r>
              <w:rPr/>
              <w:t> </w:t>
            </w:r>
          </w:p>
        </w:tc>
        <w:tc>
          <w:tcPr>
            <w:tcW w:w="162" w:type="dxa"/>
            <w:tcBorders/>
            <w:shd w:fill="auto" w:val="clear"/>
            <w:vAlign w:val="bottom"/>
          </w:tcPr>
          <w:p>
            <w:pPr>
              <w:pStyle w:val="TableContents"/>
              <w:spacing w:before="0" w:after="283"/>
              <w:rPr/>
            </w:pPr>
            <w:r>
              <w:rPr/>
              <w:t>  </w:t>
            </w:r>
          </w:p>
        </w:tc>
        <w:tc>
          <w:tcPr>
            <w:tcW w:w="53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Page</w:t>
            </w:r>
          </w:p>
        </w:tc>
        <w:tc>
          <w:tcPr>
            <w:tcW w:w="62" w:type="dxa"/>
            <w:tcBorders/>
            <w:shd w:fill="auto" w:val="clear"/>
            <w:vAlign w:val="bottom"/>
          </w:tcPr>
          <w:p>
            <w:pPr>
              <w:pStyle w:val="TableContents"/>
              <w:spacing w:before="0" w:after="283"/>
              <w:rPr/>
            </w:pPr>
            <w:r>
              <w:rPr/>
              <w:t> </w:t>
            </w:r>
          </w:p>
        </w:tc>
      </w:tr>
      <w:tr>
        <w:trPr/>
        <w:tc>
          <w:tcPr>
            <w:tcW w:w="9450" w:type="dxa"/>
            <w:tcBorders/>
            <w:shd w:fill="auto" w:val="clear"/>
          </w:tcPr>
          <w:p>
            <w:pPr>
              <w:pStyle w:val="TableContents"/>
              <w:spacing w:before="0" w:after="0"/>
              <w:rPr/>
            </w:pPr>
            <w:hyperlink w:anchor="supp451583_1">
              <w:r>
                <w:rPr>
                  <w:rStyle w:val="InternetLink"/>
                  <w:rFonts w:ascii="Times New Roman" w:hAnsi="Times New Roman"/>
                  <w:sz w:val="20"/>
                </w:rPr>
                <w:t>SPECIAL NOTE REGARDING FORWARD-LOOKING STATEMENTS</w:t>
              </w:r>
            </w:hyperlink>
          </w:p>
        </w:tc>
        <w:tc>
          <w:tcPr>
            <w:tcW w:w="1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jc w:val="right"/>
              <w:rPr/>
            </w:pPr>
            <w:r>
              <w:rPr/>
              <w:t>S-1</w:t>
            </w:r>
          </w:p>
        </w:tc>
        <w:tc>
          <w:tcPr>
            <w:tcW w:w="62" w:type="dxa"/>
            <w:tcBorders/>
            <w:shd w:fill="auto" w:val="clear"/>
            <w:vAlign w:val="bottom"/>
          </w:tcPr>
          <w:p>
            <w:pPr>
              <w:pStyle w:val="TableContents"/>
              <w:spacing w:before="0" w:after="283"/>
              <w:rPr/>
            </w:pPr>
            <w:r>
              <w:rPr/>
              <w:t> </w:t>
            </w:r>
          </w:p>
        </w:tc>
      </w:tr>
      <w:tr>
        <w:trPr/>
        <w:tc>
          <w:tcPr>
            <w:tcW w:w="9450" w:type="dxa"/>
            <w:tcBorders/>
            <w:shd w:fill="auto" w:val="clear"/>
          </w:tcPr>
          <w:p>
            <w:pPr>
              <w:pStyle w:val="TableContents"/>
              <w:spacing w:before="0" w:after="0"/>
              <w:rPr/>
            </w:pPr>
            <w:hyperlink w:anchor="supp451583_2">
              <w:r>
                <w:rPr>
                  <w:rStyle w:val="InternetLink"/>
                  <w:rFonts w:ascii="Times New Roman" w:hAnsi="Times New Roman"/>
                  <w:sz w:val="20"/>
                </w:rPr>
                <w:t>THE COMPANY</w:t>
              </w:r>
            </w:hyperlink>
          </w:p>
        </w:tc>
        <w:tc>
          <w:tcPr>
            <w:tcW w:w="1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jc w:val="right"/>
              <w:rPr/>
            </w:pPr>
            <w:r>
              <w:rPr/>
              <w:t>S-2</w:t>
            </w:r>
          </w:p>
        </w:tc>
        <w:tc>
          <w:tcPr>
            <w:tcW w:w="62" w:type="dxa"/>
            <w:tcBorders/>
            <w:shd w:fill="auto" w:val="clear"/>
            <w:vAlign w:val="bottom"/>
          </w:tcPr>
          <w:p>
            <w:pPr>
              <w:pStyle w:val="TableContents"/>
              <w:spacing w:before="0" w:after="283"/>
              <w:rPr/>
            </w:pPr>
            <w:r>
              <w:rPr/>
              <w:t> </w:t>
            </w:r>
          </w:p>
        </w:tc>
      </w:tr>
      <w:tr>
        <w:trPr/>
        <w:tc>
          <w:tcPr>
            <w:tcW w:w="9450" w:type="dxa"/>
            <w:tcBorders/>
            <w:shd w:fill="auto" w:val="clear"/>
          </w:tcPr>
          <w:p>
            <w:pPr>
              <w:pStyle w:val="TableContents"/>
              <w:spacing w:before="0" w:after="0"/>
              <w:rPr/>
            </w:pPr>
            <w:hyperlink w:anchor="supp451583_3">
              <w:r>
                <w:rPr>
                  <w:rStyle w:val="InternetLink"/>
                  <w:rFonts w:ascii="Times New Roman" w:hAnsi="Times New Roman"/>
                  <w:sz w:val="20"/>
                </w:rPr>
                <w:t>THE OFFERING</w:t>
              </w:r>
            </w:hyperlink>
          </w:p>
        </w:tc>
        <w:tc>
          <w:tcPr>
            <w:tcW w:w="1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jc w:val="right"/>
              <w:rPr/>
            </w:pPr>
            <w:r>
              <w:rPr/>
              <w:t>S-5</w:t>
            </w:r>
          </w:p>
        </w:tc>
        <w:tc>
          <w:tcPr>
            <w:tcW w:w="62" w:type="dxa"/>
            <w:tcBorders/>
            <w:shd w:fill="auto" w:val="clear"/>
            <w:vAlign w:val="bottom"/>
          </w:tcPr>
          <w:p>
            <w:pPr>
              <w:pStyle w:val="TableContents"/>
              <w:spacing w:before="0" w:after="283"/>
              <w:rPr/>
            </w:pPr>
            <w:r>
              <w:rPr/>
              <w:t> </w:t>
            </w:r>
          </w:p>
        </w:tc>
      </w:tr>
      <w:tr>
        <w:trPr/>
        <w:tc>
          <w:tcPr>
            <w:tcW w:w="9450" w:type="dxa"/>
            <w:tcBorders/>
            <w:shd w:fill="auto" w:val="clear"/>
          </w:tcPr>
          <w:p>
            <w:pPr>
              <w:pStyle w:val="TableContents"/>
              <w:spacing w:before="0" w:after="0"/>
              <w:rPr/>
            </w:pPr>
            <w:hyperlink w:anchor="supp451583_4">
              <w:r>
                <w:rPr>
                  <w:rStyle w:val="InternetLink"/>
                  <w:rFonts w:ascii="Times New Roman" w:hAnsi="Times New Roman"/>
                  <w:sz w:val="20"/>
                </w:rPr>
                <w:t>RISK FACTORS</w:t>
              </w:r>
            </w:hyperlink>
          </w:p>
        </w:tc>
        <w:tc>
          <w:tcPr>
            <w:tcW w:w="1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jc w:val="right"/>
              <w:rPr/>
            </w:pPr>
            <w:r>
              <w:rPr/>
              <w:t>S-6</w:t>
            </w:r>
          </w:p>
        </w:tc>
        <w:tc>
          <w:tcPr>
            <w:tcW w:w="62" w:type="dxa"/>
            <w:tcBorders/>
            <w:shd w:fill="auto" w:val="clear"/>
            <w:vAlign w:val="bottom"/>
          </w:tcPr>
          <w:p>
            <w:pPr>
              <w:pStyle w:val="TableContents"/>
              <w:spacing w:before="0" w:after="283"/>
              <w:rPr/>
            </w:pPr>
            <w:r>
              <w:rPr/>
              <w:t> </w:t>
            </w:r>
          </w:p>
        </w:tc>
      </w:tr>
      <w:tr>
        <w:trPr/>
        <w:tc>
          <w:tcPr>
            <w:tcW w:w="9450" w:type="dxa"/>
            <w:tcBorders/>
            <w:shd w:fill="auto" w:val="clear"/>
          </w:tcPr>
          <w:p>
            <w:pPr>
              <w:pStyle w:val="TableContents"/>
              <w:spacing w:before="0" w:after="0"/>
              <w:rPr/>
            </w:pPr>
            <w:hyperlink w:anchor="supp451583_5">
              <w:r>
                <w:rPr>
                  <w:rStyle w:val="InternetLink"/>
                  <w:rFonts w:ascii="Times New Roman" w:hAnsi="Times New Roman"/>
                  <w:sz w:val="20"/>
                </w:rPr>
                <w:t>FEES AND EXPENSES</w:t>
              </w:r>
            </w:hyperlink>
          </w:p>
        </w:tc>
        <w:tc>
          <w:tcPr>
            <w:tcW w:w="1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jc w:val="right"/>
              <w:rPr/>
            </w:pPr>
            <w:r>
              <w:rPr/>
              <w:t>S-9</w:t>
            </w:r>
          </w:p>
        </w:tc>
        <w:tc>
          <w:tcPr>
            <w:tcW w:w="62" w:type="dxa"/>
            <w:tcBorders/>
            <w:shd w:fill="auto" w:val="clear"/>
            <w:vAlign w:val="bottom"/>
          </w:tcPr>
          <w:p>
            <w:pPr>
              <w:pStyle w:val="TableContents"/>
              <w:spacing w:before="0" w:after="283"/>
              <w:rPr/>
            </w:pPr>
            <w:r>
              <w:rPr/>
              <w:t> </w:t>
            </w:r>
          </w:p>
        </w:tc>
      </w:tr>
      <w:tr>
        <w:trPr/>
        <w:tc>
          <w:tcPr>
            <w:tcW w:w="9450" w:type="dxa"/>
            <w:tcBorders/>
            <w:shd w:fill="auto" w:val="clear"/>
          </w:tcPr>
          <w:p>
            <w:pPr>
              <w:pStyle w:val="TableContents"/>
              <w:spacing w:before="0" w:after="0"/>
              <w:rPr/>
            </w:pPr>
            <w:hyperlink w:anchor="supp451583_6">
              <w:r>
                <w:rPr>
                  <w:rStyle w:val="InternetLink"/>
                  <w:rFonts w:ascii="Times New Roman" w:hAnsi="Times New Roman"/>
                  <w:sz w:val="20"/>
                </w:rPr>
                <w:t>USE OF PROCEEDS</w:t>
              </w:r>
            </w:hyperlink>
          </w:p>
        </w:tc>
        <w:tc>
          <w:tcPr>
            <w:tcW w:w="1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jc w:val="right"/>
              <w:rPr/>
            </w:pPr>
            <w:r>
              <w:rPr/>
              <w:t>S-12</w:t>
            </w:r>
          </w:p>
        </w:tc>
        <w:tc>
          <w:tcPr>
            <w:tcW w:w="62" w:type="dxa"/>
            <w:tcBorders/>
            <w:shd w:fill="auto" w:val="clear"/>
            <w:vAlign w:val="bottom"/>
          </w:tcPr>
          <w:p>
            <w:pPr>
              <w:pStyle w:val="TableContents"/>
              <w:spacing w:before="0" w:after="283"/>
              <w:rPr/>
            </w:pPr>
            <w:r>
              <w:rPr/>
              <w:t> </w:t>
            </w:r>
          </w:p>
        </w:tc>
      </w:tr>
      <w:tr>
        <w:trPr/>
        <w:tc>
          <w:tcPr>
            <w:tcW w:w="9450" w:type="dxa"/>
            <w:tcBorders/>
            <w:shd w:fill="auto" w:val="clear"/>
          </w:tcPr>
          <w:p>
            <w:pPr>
              <w:pStyle w:val="TableContents"/>
              <w:spacing w:before="0" w:after="0"/>
              <w:rPr/>
            </w:pPr>
            <w:hyperlink w:anchor="supp451583_7">
              <w:r>
                <w:rPr>
                  <w:rStyle w:val="InternetLink"/>
                  <w:rFonts w:ascii="Times New Roman" w:hAnsi="Times New Roman"/>
                  <w:sz w:val="20"/>
                </w:rPr>
                <w:t>CAPITALIZATION</w:t>
              </w:r>
            </w:hyperlink>
          </w:p>
        </w:tc>
        <w:tc>
          <w:tcPr>
            <w:tcW w:w="1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jc w:val="right"/>
              <w:rPr/>
            </w:pPr>
            <w:r>
              <w:rPr/>
              <w:t>S-13</w:t>
            </w:r>
          </w:p>
        </w:tc>
        <w:tc>
          <w:tcPr>
            <w:tcW w:w="62" w:type="dxa"/>
            <w:tcBorders/>
            <w:shd w:fill="auto" w:val="clear"/>
            <w:vAlign w:val="bottom"/>
          </w:tcPr>
          <w:p>
            <w:pPr>
              <w:pStyle w:val="TableContents"/>
              <w:spacing w:before="0" w:after="283"/>
              <w:rPr/>
            </w:pPr>
            <w:r>
              <w:rPr/>
              <w:t> </w:t>
            </w:r>
          </w:p>
        </w:tc>
      </w:tr>
      <w:tr>
        <w:trPr/>
        <w:tc>
          <w:tcPr>
            <w:tcW w:w="9450" w:type="dxa"/>
            <w:tcBorders/>
            <w:shd w:fill="auto" w:val="clear"/>
          </w:tcPr>
          <w:p>
            <w:pPr>
              <w:pStyle w:val="TableContents"/>
              <w:spacing w:before="0" w:after="0"/>
              <w:rPr/>
            </w:pPr>
            <w:hyperlink w:anchor="supp451583_8">
              <w:r>
                <w:rPr>
                  <w:rStyle w:val="InternetLink"/>
                  <w:rFonts w:ascii="Times New Roman" w:hAnsi="Times New Roman"/>
                  <w:sz w:val="20"/>
                </w:rPr>
                <w:t>UNDERWRITING</w:t>
              </w:r>
            </w:hyperlink>
          </w:p>
        </w:tc>
        <w:tc>
          <w:tcPr>
            <w:tcW w:w="1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jc w:val="right"/>
              <w:rPr/>
            </w:pPr>
            <w:r>
              <w:rPr/>
              <w:t>S-14</w:t>
            </w:r>
          </w:p>
        </w:tc>
        <w:tc>
          <w:tcPr>
            <w:tcW w:w="62" w:type="dxa"/>
            <w:tcBorders/>
            <w:shd w:fill="auto" w:val="clear"/>
            <w:vAlign w:val="bottom"/>
          </w:tcPr>
          <w:p>
            <w:pPr>
              <w:pStyle w:val="TableContents"/>
              <w:spacing w:before="0" w:after="283"/>
              <w:rPr/>
            </w:pPr>
            <w:r>
              <w:rPr/>
              <w:t> </w:t>
            </w:r>
          </w:p>
        </w:tc>
      </w:tr>
      <w:tr>
        <w:trPr/>
        <w:tc>
          <w:tcPr>
            <w:tcW w:w="9450" w:type="dxa"/>
            <w:tcBorders/>
            <w:shd w:fill="auto" w:val="clear"/>
          </w:tcPr>
          <w:p>
            <w:pPr>
              <w:pStyle w:val="TableContents"/>
              <w:spacing w:before="0" w:after="0"/>
              <w:rPr/>
            </w:pPr>
            <w:hyperlink w:anchor="supp451583_9">
              <w:r>
                <w:rPr>
                  <w:rStyle w:val="InternetLink"/>
                  <w:rFonts w:ascii="Times New Roman" w:hAnsi="Times New Roman"/>
                  <w:sz w:val="20"/>
                </w:rPr>
                <w:t>LEGAL MATTERS</w:t>
              </w:r>
            </w:hyperlink>
          </w:p>
        </w:tc>
        <w:tc>
          <w:tcPr>
            <w:tcW w:w="1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jc w:val="right"/>
              <w:rPr/>
            </w:pPr>
            <w:r>
              <w:rPr/>
              <w:t>S-18</w:t>
            </w:r>
          </w:p>
        </w:tc>
        <w:tc>
          <w:tcPr>
            <w:tcW w:w="62" w:type="dxa"/>
            <w:tcBorders/>
            <w:shd w:fill="auto" w:val="clear"/>
            <w:vAlign w:val="bottom"/>
          </w:tcPr>
          <w:p>
            <w:pPr>
              <w:pStyle w:val="TableContents"/>
              <w:spacing w:before="0" w:after="283"/>
              <w:rPr/>
            </w:pPr>
            <w:r>
              <w:rPr/>
              <w:t> </w:t>
            </w:r>
          </w:p>
        </w:tc>
      </w:tr>
      <w:tr>
        <w:trPr/>
        <w:tc>
          <w:tcPr>
            <w:tcW w:w="9450" w:type="dxa"/>
            <w:tcBorders/>
            <w:shd w:fill="auto" w:val="clear"/>
          </w:tcPr>
          <w:p>
            <w:pPr>
              <w:pStyle w:val="TableContents"/>
              <w:spacing w:before="0" w:after="0"/>
              <w:rPr/>
            </w:pPr>
            <w:hyperlink w:anchor="supp451583_10">
              <w:r>
                <w:rPr>
                  <w:rStyle w:val="InternetLink"/>
                  <w:rFonts w:ascii="Times New Roman" w:hAnsi="Times New Roman"/>
                  <w:sz w:val="20"/>
                </w:rPr>
                <w:t>INFORMATION INCORPORATED BY REFERENCE</w:t>
              </w:r>
            </w:hyperlink>
          </w:p>
        </w:tc>
        <w:tc>
          <w:tcPr>
            <w:tcW w:w="162"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71" w:type="dxa"/>
            <w:tcBorders/>
            <w:shd w:fill="auto" w:val="clear"/>
            <w:vAlign w:val="bottom"/>
          </w:tcPr>
          <w:p>
            <w:pPr>
              <w:pStyle w:val="TableContents"/>
              <w:spacing w:before="0" w:after="283"/>
              <w:jc w:val="right"/>
              <w:rPr/>
            </w:pPr>
            <w:r>
              <w:rPr/>
              <w:t>S-19</w:t>
            </w:r>
          </w:p>
        </w:tc>
        <w:tc>
          <w:tcPr>
            <w:tcW w:w="62" w:type="dxa"/>
            <w:tcBorders/>
            <w:shd w:fill="auto" w:val="clear"/>
            <w:vAlign w:val="bottom"/>
          </w:tcPr>
          <w:p>
            <w:pPr>
              <w:pStyle w:val="TableContents"/>
              <w:spacing w:before="0" w:after="283"/>
              <w:rPr/>
            </w:pPr>
            <w:r>
              <w:rPr/>
              <w:t> </w:t>
            </w:r>
          </w:p>
        </w:tc>
      </w:tr>
    </w:tbl>
    <w:p>
      <w:pPr>
        <w:pStyle w:val="TextBody"/>
        <w:spacing w:before="480" w:after="0"/>
        <w:jc w:val="center"/>
        <w:rPr>
          <w:rFonts w:ascii="Times New Roman" w:hAnsi="Times New Roman"/>
          <w:b/>
          <w:sz w:val="20"/>
        </w:rPr>
      </w:pPr>
      <w:r>
        <w:rPr>
          <w:rFonts w:ascii="Times New Roman" w:hAnsi="Times New Roman"/>
          <w:b/>
          <w:sz w:val="20"/>
        </w:rPr>
        <w:t xml:space="preserve">Prospectus </w:t>
      </w:r>
    </w:p>
    <w:p>
      <w:pPr>
        <w:pStyle w:val="TextBody"/>
        <w:spacing w:before="120" w:after="0"/>
        <w:jc w:val="center"/>
        <w:rPr>
          <w:rFonts w:ascii="Times New Roman" w:hAnsi="Times New Roman"/>
          <w:b/>
          <w:sz w:val="20"/>
        </w:rPr>
      </w:pPr>
      <w:r>
        <w:rPr>
          <w:rFonts w:ascii="Times New Roman" w:hAnsi="Times New Roman"/>
          <w:b/>
          <w:sz w:val="20"/>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654"/>
        <w:gridCol w:w="167"/>
        <w:gridCol w:w="60"/>
        <w:gridCol w:w="261"/>
        <w:gridCol w:w="63"/>
      </w:tblGrid>
      <w:tr>
        <w:trPr/>
        <w:tc>
          <w:tcPr>
            <w:tcW w:w="9654"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9654" w:type="dxa"/>
            <w:tcBorders/>
            <w:shd w:fill="auto" w:val="clear"/>
          </w:tcPr>
          <w:p>
            <w:pPr>
              <w:pStyle w:val="TableContents"/>
              <w:spacing w:before="0" w:after="0"/>
              <w:rPr/>
            </w:pPr>
            <w:hyperlink w:anchor="rom451583_1">
              <w:r>
                <w:rPr>
                  <w:rStyle w:val="InternetLink"/>
                  <w:rFonts w:ascii="Times New Roman" w:hAnsi="Times New Roman"/>
                  <w:sz w:val="20"/>
                </w:rPr>
                <w:t>ABOUT THIS PROSPECTUS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ii</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2">
              <w:r>
                <w:rPr>
                  <w:rStyle w:val="InternetLink"/>
                  <w:rFonts w:ascii="Times New Roman" w:hAnsi="Times New Roman"/>
                  <w:sz w:val="20"/>
                </w:rPr>
                <w:t>SUMMARY</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1</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3">
              <w:r>
                <w:rPr>
                  <w:rStyle w:val="InternetLink"/>
                  <w:rFonts w:ascii="Times New Roman" w:hAnsi="Times New Roman"/>
                  <w:sz w:val="20"/>
                </w:rPr>
                <w:t>THE OFFERING</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14</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4">
              <w:r>
                <w:rPr>
                  <w:rStyle w:val="InternetLink"/>
                  <w:rFonts w:ascii="Times New Roman" w:hAnsi="Times New Roman"/>
                  <w:sz w:val="20"/>
                </w:rPr>
                <w:t>FEES AND EXPENSES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18</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7">
              <w:r>
                <w:rPr>
                  <w:rStyle w:val="InternetLink"/>
                  <w:rFonts w:ascii="Times New Roman" w:hAnsi="Times New Roman"/>
                  <w:sz w:val="20"/>
                </w:rPr>
                <w:t>RISK FACTORS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22</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8">
              <w:r>
                <w:rPr>
                  <w:rStyle w:val="InternetLink"/>
                  <w:rFonts w:ascii="Times New Roman" w:hAnsi="Times New Roman"/>
                  <w:sz w:val="20"/>
                </w:rPr>
                <w:t>SPECIAL NOTE REGARDING FORWARD-LOOKING STATEMENTS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28</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9">
              <w:r>
                <w:rPr>
                  <w:rStyle w:val="InternetLink"/>
                  <w:rFonts w:ascii="Times New Roman" w:hAnsi="Times New Roman"/>
                  <w:sz w:val="20"/>
                </w:rPr>
                <w:t>USE OF PROCEEDS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29</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10">
              <w:r>
                <w:rPr>
                  <w:rStyle w:val="InternetLink"/>
                  <w:rFonts w:ascii="Times New Roman" w:hAnsi="Times New Roman"/>
                  <w:sz w:val="20"/>
                </w:rPr>
                <w:t>PRICE RANGE OF COMMON STOCK AND DISTRIBUTIONS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30</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12">
              <w:r>
                <w:rPr>
                  <w:rStyle w:val="InternetLink"/>
                  <w:rFonts w:ascii="Times New Roman" w:hAnsi="Times New Roman"/>
                  <w:sz w:val="20"/>
                </w:rPr>
                <w:t>SENIOR SECURITIES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33</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14">
              <w:r>
                <w:rPr>
                  <w:rStyle w:val="InternetLink"/>
                  <w:rFonts w:ascii="Times New Roman" w:hAnsi="Times New Roman"/>
                  <w:sz w:val="20"/>
                </w:rPr>
                <w:t>PORTFOLIO COMPANIES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35</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19">
              <w:r>
                <w:rPr>
                  <w:rStyle w:val="InternetLink"/>
                  <w:rFonts w:ascii="Times New Roman" w:hAnsi="Times New Roman"/>
                  <w:sz w:val="20"/>
                </w:rPr>
                <w:t>DETERMINATION OF NET ASSET VALUE</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42</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20">
              <w:r>
                <w:rPr>
                  <w:rStyle w:val="InternetLink"/>
                  <w:rFonts w:ascii="Times New Roman" w:hAnsi="Times New Roman"/>
                  <w:sz w:val="20"/>
                </w:rPr>
                <w:t>SALES OF COMMON STOCK BELOW NET ASSET VALUE</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43</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21">
              <w:r>
                <w:rPr>
                  <w:rStyle w:val="InternetLink"/>
                  <w:rFonts w:ascii="Times New Roman" w:hAnsi="Times New Roman"/>
                  <w:sz w:val="20"/>
                </w:rPr>
                <w:t>DIVIDEND REINVESTMENT PLAN</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48</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22">
              <w:r>
                <w:rPr>
                  <w:rStyle w:val="InternetLink"/>
                  <w:rFonts w:ascii="Times New Roman" w:hAnsi="Times New Roman"/>
                  <w:sz w:val="20"/>
                </w:rPr>
                <w:t>MATERIAL U.S. FEDERAL INCOME TAX CONSIDERATIONS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49</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23">
              <w:r>
                <w:rPr>
                  <w:rStyle w:val="InternetLink"/>
                  <w:rFonts w:ascii="Times New Roman" w:hAnsi="Times New Roman"/>
                  <w:sz w:val="20"/>
                </w:rPr>
                <w:t>DESCRIPTION OF OUR SECURITIES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57</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24">
              <w:r>
                <w:rPr>
                  <w:rStyle w:val="InternetLink"/>
                  <w:rFonts w:ascii="Times New Roman" w:hAnsi="Times New Roman"/>
                  <w:sz w:val="20"/>
                </w:rPr>
                <w:t>DESCRIPTION OF OUR CAPITAL STOCK</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57</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25">
              <w:r>
                <w:rPr>
                  <w:rStyle w:val="InternetLink"/>
                  <w:rFonts w:ascii="Times New Roman" w:hAnsi="Times New Roman"/>
                  <w:sz w:val="20"/>
                </w:rPr>
                <w:t>DESCRIPTION OF OUR PREFERRED STOCK</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62</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26">
              <w:r>
                <w:rPr>
                  <w:rStyle w:val="InternetLink"/>
                  <w:rFonts w:ascii="Times New Roman" w:hAnsi="Times New Roman"/>
                  <w:sz w:val="20"/>
                </w:rPr>
                <w:t>DESCRIPTION OF OUR SUBSCRIPTION RIGHTS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63</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27">
              <w:r>
                <w:rPr>
                  <w:rStyle w:val="InternetLink"/>
                  <w:rFonts w:ascii="Times New Roman" w:hAnsi="Times New Roman"/>
                  <w:sz w:val="20"/>
                </w:rPr>
                <w:t>DESCRIPTION OF OUR WARRANTS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65</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28">
              <w:r>
                <w:rPr>
                  <w:rStyle w:val="InternetLink"/>
                  <w:rFonts w:ascii="Times New Roman" w:hAnsi="Times New Roman"/>
                  <w:sz w:val="20"/>
                </w:rPr>
                <w:t>DESCRIPTION OF OUR DEBT SECURITIES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67</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31">
              <w:r>
                <w:rPr>
                  <w:rStyle w:val="InternetLink"/>
                  <w:rFonts w:ascii="Times New Roman" w:hAnsi="Times New Roman"/>
                  <w:sz w:val="20"/>
                </w:rPr>
                <w:t>CUSTODIAN, TRANSFER AND DIVIDEND PAYING AGENT AND REGISTRAR</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80</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32">
              <w:r>
                <w:rPr>
                  <w:rStyle w:val="InternetLink"/>
                  <w:rFonts w:ascii="Times New Roman" w:hAnsi="Times New Roman"/>
                  <w:sz w:val="20"/>
                </w:rPr>
                <w:t>BROKERAGE ALLOCATION AND OTHER PRACTICES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80</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33">
              <w:r>
                <w:rPr>
                  <w:rStyle w:val="InternetLink"/>
                  <w:rFonts w:ascii="Times New Roman" w:hAnsi="Times New Roman"/>
                  <w:sz w:val="20"/>
                </w:rPr>
                <w:t>PLAN OF DISTRIBUTION</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81</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34">
              <w:r>
                <w:rPr>
                  <w:rStyle w:val="InternetLink"/>
                  <w:rFonts w:ascii="Times New Roman" w:hAnsi="Times New Roman"/>
                  <w:sz w:val="20"/>
                </w:rPr>
                <w:t>LEGAL MATTERS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83</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35">
              <w:r>
                <w:rPr>
                  <w:rStyle w:val="InternetLink"/>
                  <w:rFonts w:ascii="Times New Roman" w:hAnsi="Times New Roman"/>
                  <w:sz w:val="20"/>
                </w:rPr>
                <w:t>EXPERTS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83</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36">
              <w:r>
                <w:rPr>
                  <w:rStyle w:val="InternetLink"/>
                  <w:rFonts w:ascii="Times New Roman" w:hAnsi="Times New Roman"/>
                  <w:sz w:val="20"/>
                </w:rPr>
                <w:t>AVAILABLE INFORMATION</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83</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37">
              <w:r>
                <w:rPr>
                  <w:rStyle w:val="InternetLink"/>
                  <w:rFonts w:ascii="Times New Roman" w:hAnsi="Times New Roman"/>
                  <w:sz w:val="20"/>
                </w:rPr>
                <w:t>INFORMATION INCORPORATED BY REFERENCE</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84</w:t>
            </w:r>
          </w:p>
        </w:tc>
        <w:tc>
          <w:tcPr>
            <w:tcW w:w="63" w:type="dxa"/>
            <w:tcBorders/>
            <w:shd w:fill="auto" w:val="cle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 w:name="supp451583_1"/>
      <w:bookmarkEnd w:id="3"/>
      <w:r>
        <w:rPr>
          <w:rFonts w:ascii="Times New Roman" w:hAnsi="Times New Roman"/>
          <w:b/>
          <w:sz w:val="20"/>
        </w:rPr>
        <w:t xml:space="preserve">SPECIAL NOTE REGARDING FORWARD-LOOKING STATEMENTS </w:t>
      </w:r>
    </w:p>
    <w:p>
      <w:pPr>
        <w:pStyle w:val="TextBody"/>
        <w:spacing w:before="240" w:after="0"/>
        <w:jc w:val="left"/>
        <w:rPr>
          <w:rFonts w:ascii="Times New Roman" w:hAnsi="Times New Roman"/>
          <w:sz w:val="20"/>
        </w:rPr>
      </w:pPr>
      <w:r>
        <w:rPr>
          <w:rFonts w:ascii="Times New Roman" w:hAnsi="Times New Roman"/>
          <w:sz w:val="20"/>
        </w:rPr>
        <w:t xml:space="preserve">This prospectus supplement and the accompanying prospectus contain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 </w:t>
      </w:r>
    </w:p>
    <w:p>
      <w:pPr>
        <w:pStyle w:val="TextBody"/>
        <w:spacing w:before="240" w:after="0"/>
        <w:jc w:val="left"/>
        <w:rPr>
          <w:rFonts w:ascii="Times New Roman" w:hAnsi="Times New Roman"/>
          <w:sz w:val="20"/>
        </w:rPr>
      </w:pPr>
      <w:r>
        <w:rPr>
          <w:rFonts w:ascii="Times New Roman" w:hAnsi="Times New Roman"/>
          <w:sz w:val="20"/>
        </w:rPr>
        <w:t xml:space="preserve">In addition to factors identified elsewhere in this prospectus supplement, the accompanying prospectus and the documents incorporated by reference herein or therein, the following factors, among others, could cause actual results to differ materially from forward-looking statements or historical performance: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economic downturn, including the current and future economic effects of the COVID-19 pandemic, could impair our portfolio companies abilities to continue to operate, which could lead to the loss of some or all of our investments in those portfolio companies;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such an economic downturn could disproportionately impact the companies in which we have invested and others that we intend to target for investment, potentially causing us to experience a decrease in investment opportunities and diminished demand for capital from these companies;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such an economic downturn could also impact availability and pricing of our financing;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inability to access the capital markets could impair our ability to raise capital and our investment activities;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inflation could negatively impact our business, including our ability to access the debt markets on favorable terms, or could negatively impact our portfolio companies;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risks, uncertainties and other factors we identify in the section entitled Risk Factors in this prospectus supplement, the accompanying prospectus and in Part I, Item 1A of our Annual Report on Form 10-K for the year ended December 31, 2022 (the 2022 Annual Report), Part I, Item 1A of our Quarterly Report on Form 10-Q for the year ended March 31, 2023 (the 1Q 2023 Quarterly Report), any subsequent Quarterly Reports on Form 10-Q or Current Reports on Form 8-K we file after the date of this prospectus supplement, and those discussed in other documents we file with the SEC. </w:t>
            </w:r>
          </w:p>
        </w:tc>
      </w:tr>
    </w:tbl>
    <w:p>
      <w:pPr>
        <w:pStyle w:val="TextBody"/>
        <w:spacing w:before="240" w:after="0"/>
        <w:jc w:val="left"/>
        <w:rPr>
          <w:rFonts w:ascii="Times New Roman" w:hAnsi="Times New Roman"/>
          <w:sz w:val="20"/>
        </w:rPr>
      </w:pPr>
      <w:r>
        <w:rPr>
          <w:rFonts w:ascii="Times New Roman" w:hAnsi="Times New Roman"/>
          <w:sz w:val="20"/>
        </w:rPr>
        <w:t xml:space="preserve">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supplement or the accompanying prospectus should not be regarded as a representation by us that our plans and objectives will be achieved. These risks and uncertainties include, among other things, those described or identified in Risk Factors in this prospectus supplement, the accompanying prospectus and in Part I, Item 1A of our 2022 Annual Report and in Part I, Item 1A of our 1Q 2023 Quarterly Report, any subsequent Quarterly Reports on Form 10-Q or Current Reports on Form 8-K we file after the date of this prospectus supplement, and those discussed in other documents we file with the SEC and elsewhere in this prospectus supplement, the accompanying prospectus and the documents incorporated by reference herein or therein. You should not place undue reliance on these forward-looking statements, which apply only as of the date of this prospectus supplement. We do not undertake any obligation to update or revise any forward-looking statements or any other information contained herein or therein, except as required by applicable law.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bookmarkStart w:id="4" w:name="supp451583_2"/>
      <w:bookmarkEnd w:id="4"/>
      <w:r>
        <w:rPr>
          <w:rFonts w:ascii="Times New Roman" w:hAnsi="Times New Roman"/>
          <w:b/>
          <w:sz w:val="20"/>
          <w:bdr w:val="single" w:sz="8" w:space="1" w:color="000000"/>
        </w:rPr>
        <w:t xml:space="preserve">THE COMPANY </w:t>
      </w:r>
    </w:p>
    <w:p>
      <w:pPr>
        <w:pStyle w:val="TextBody"/>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some of the information contained elsewhere or incorporated by reference in this prospectus supplement and the accompanying prospectus. It is not complete and may not contain all of the information that you may want to consider. You should read this entire prospectus supplement, the accompanying prospectus, any free writing prospectus relating to this offering and the documents incorporated by reference in this prospectus supplement and the accompanying prospectus carefully. In particular, you should read the more detailed information set forth under Risk Factors in this prospectus supplement and the accompanying prospectus and the consolidated financial statements and the related notes included elsewhere or incorporated by reference in this prospectus supplement and the accompanying prospectus. </w:t>
      </w:r>
    </w:p>
    <w:p>
      <w:pPr>
        <w:pStyle w:val="TextBody"/>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As used in the prospectus supplement and the accompanying prospectus, except where the context suggests otherwise, references to: </w:t>
      </w:r>
    </w:p>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TSLX, Sixth Street Specialty Lending, we, us, our, the Company, and the Registrant refer to Sixth Street Specialty Lending, Inc., a Delaware corporation, and its consolidated subsidiaries;</w:t>
            </w:r>
            <w:r>
              <w:rPr>
                <w:rFonts w:ascii="Times New Roman" w:hAnsi="Times New Roman"/>
                <w:sz w:val="20"/>
              </w:rPr>
              <w:t xml:space="preserv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the consolidated subsidiaries of Sixth Street Specialty Lending, Inc. refers to TC Lending, LLC, Sixth Street SL SPV, LLC, Sixth Street SL Holding, LLC, each a Delaware limited liability company, and Sixth Street Specialty Lending Sub, LLC, a limited liability company incorporated under the laws of the Cayman Islands;</w:t>
            </w:r>
            <w:r>
              <w:rPr>
                <w:rFonts w:ascii="Times New Roman" w:hAnsi="Times New Roman"/>
                <w:sz w:val="20"/>
              </w:rPr>
              <w:t xml:space="preserv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Adviser refers to Sixth Street Specialty Lending Advisers, LLC, a Delaware limited liability company;</w:t>
            </w:r>
            <w:r>
              <w:rPr>
                <w:rFonts w:ascii="Times New Roman" w:hAnsi="Times New Roman"/>
                <w:sz w:val="20"/>
              </w:rPr>
              <w:t xml:space="preserve"> </w:t>
            </w:r>
            <w:r>
              <w:rPr>
                <w:rFonts w:ascii="Times New Roman" w:hAnsi="Times New Roman"/>
                <w:i/>
                <w:sz w:val="20"/>
              </w:rPr>
              <w:t>and</w:t>
            </w:r>
            <w:r>
              <w:rPr>
                <w:rFonts w:ascii="Times New Roman" w:hAnsi="Times New Roman"/>
                <w:sz w:val="20"/>
              </w:rPr>
              <w:t xml:space="preserve"> </w:t>
            </w:r>
          </w:p>
        </w:tc>
      </w:tr>
    </w:tbl>
    <w:p>
      <w:pPr>
        <w:pStyle w:val="TextBody"/>
        <w:spacing w:before="0" w:after="0"/>
        <w:jc w:val="left"/>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Sixth Street refers to Sixth Street Partners, LLC together with its affiliates.</w:t>
            </w:r>
            <w:r>
              <w:rPr>
                <w:rFonts w:ascii="Times New Roman" w:hAnsi="Times New Roman"/>
                <w:sz w:val="20"/>
              </w:rPr>
              <w:t xml:space="preserve"> </w:t>
            </w:r>
          </w:p>
        </w:tc>
      </w:tr>
    </w:tbl>
    <w:p>
      <w:pPr>
        <w:pStyle w:val="TextBody"/>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Sixth Street Specialty Lending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specialty finance company focused on lending to middle-market companies. Since we began our investment activities in July 2011, through March 31, 2023, we have originated more than $26.0 billion aggregate principal amount of investments and retained approximately $9.4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March 31, 2023, our core portfolio companies, which excludes certain investments that fall outside of our typical borrower profile and represent 91.4% of our total investments based on fair value, had weighted average annual revenue of $165.5 million and weighted average annual EBITDA of $53.8 million.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generate revenues primarily in the form of interest income from the investments we hold. In addition, we may generate income from dividends on direct equity investments, capital gains on the sale of investments and various loan origination and other fees.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operated as a BDC since we began our investment activities in July 2011, and we are currently one of the largest BDCs by total assets. In conducting our investment activities, we believe that we benefit from the significant scale and resources of our Adviser and its affiliates.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Investment Portfolio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companies in which we invest use our capital to support organic growth, acquisitions, market or product expansion and recapitalizations (including restructurings).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As of March 31, 2023, our portfolio based on fair value consisted of 90.8% first-lien debt investments, 1.6% second-lien debt investments, 0.4% mezzanine debt investments, 5.4% equity and other investments and 1.8% structured credit investments. As of March 31, 2023, 99.2% of our debt investments based on fair value bore interest at floating rates, with 100.0% of these subject to interest rate floors, which we believe helps act as a portfolio-wide hedge against inflation.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March 31, 2023, we had investments in 127 portfolio companies (including 44 structured credit investments, which include each series of collateralized loan obligation as a separate portfolio company investment) with an aggregate fair value of $2,918.6 million. For the three months ended March 31, 2023, the principal amount of new investments funded was $138.9 million in seven new portfolio companies and five existing portfolio companies. For this period, we had $50.8 million aggregate principal amount in exits and repayments.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December 31, 2022, we had investments in 121 portfolio companies (including 43 structured credit investments, which include each series of collateralized loan obligation as a separate portfolio company investment) with an aggregate fair value of $2,787.9 million. For the three months ended March 31, 2022, the principal amount of new investments funded was $52.8 million in two new portfolio companies and eight existing portfolio companies. For this period, we had $144.4 million aggregate principal amount in exits and repayments.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March 31, 2023, the largest single investment based on fair value represented 2.7% of our total investment portfolio. As of March 31, 2023, the average investment size in each of our portfolio companies was approximately $23.0 million based on fair value. Portfolio companies includes investments in structured products including each series of collateralized loan obligation as a portfolio company investment. When excluding investments in structured credit investments, the average investment in our remaining portfolio companies was approximately $34.5 million as of March 31, 2023. As of March 31, 2023, the largest industry represented 15.0% of our total portfolio based on fair value.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Since we began investing in 2011 through March 31, 2023, weighted by capital invested, our exited investments have generated an average realized gross internal rate of return to us of 17.7% (based on total capital invested of $6.7 billion and total proceeds from these exited investments of $8.4 billion). Ninety percent of these exited investments resulted in a realized gross internal rate of return to us of 10% or greater. For a description of how we calculate gross internal rates of return, see the section entitled Managements Discussion and Analysis of Financial Condition and Results of OperationsResults of OperationsRealized Gross Internal Rate of Return in Part I, Item 2 of our 1Q 2023 Quarterly Report, which is incorporated herein by reference.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Structure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Sixth Street Specialty Lending, Inc. is a Delaware corporation formed on July 21, 2010. Sixth Street Specialty Lending Advisers, LLC is our external manager.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as a Business Development Company in Part I, Item 1 of our 2022 Annual Report, which is incorporated herein by reference, for more information on these requirements.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About Our Adviser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Adviser is a Delaware limited liability company. Our Adviser acts as our investment adviser and administrator and is a registered investment adviser with the Securities and Exchange Commission (the SEC) under the Investment Advisers Act of 1940, as amended, or the Advisers Act.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Adviser sources and manages our portfolio through our Investment Team,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affiliates of Sixth Street Partners, LLC or Sixth Street.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Sixth Street is a global investment business with over $65 billion of assets under management as of March 31, 2023. Sixth Streets core platforms include Sixth Street Specialty Lending, Sixth Street Lending Partners, which is aimed at U.S. upper middle-market loan originations, Sixth Street Specialty Lending Europe, which is aimed at European middle-market loan originations, Sixth Street TAO, which has the flexibility to invest across all of Sixth Streets private credit market investments, Sixth Street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500 investment and operating professionals. As of March 31, 2023, forty-six (46) of these personnel are dedicated to our business, including thirty-six (36) investment professionals.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March 31, 2023, the Company reported total principal debt outstanding of $1,629 million and total stockholders equity of $1,356 million, corresponding to a debt-to-equity ratio at quarter-end of 1.20x. Total principal debt outstanding included $981.9 million outstanding on the Companys Revolving Credit Facility and total liquidity was $612.7 million, including unrestricted cash. From March 31, 2023 through May 8, 2023, the Companys net fundings totaled $130.5 million, including $159.4 million of new investments funded and $28.9 million of paydowns. The Company believes these new investments will generate risk-adjusted returns in excess of the Companys estimated cost of capital. </w:t>
      </w:r>
    </w:p>
    <w:p>
      <w:pPr>
        <w:pStyle w:val="TextBody"/>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May 8, 2023, $1,121 million was drawn on the Revolving Credit Facility. Adjusted for the incremental net fundings, the Companys estimated debt-to-equity ratio as of May 8, 2023 was approximately 1.30x. The Company intends to use 100% of the net proceeds of this offering to pay down a portion of the outstanding indebtedness on the Revolving Credit Facility on or about the date of the closing of this offering. Based on the expected total proceeds from the offering of $                million, the Company estimates its debt-to-equity ratio will decrease to approximately                 x, which is within its previously stated target range. </w:t>
      </w:r>
    </w:p>
    <w:p>
      <w:pPr>
        <w:pStyle w:val="TextBody"/>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2100 McKinney Avenue, Suite 1500, Dallas, Texas 75201 and our telephone number is (469) 621-3001. Our corporate website is located at http://www.sixthstreetspecialtylending.com. Information on our website is not incorporated into or a part of this prospectus supplement or the accompanying prospectus.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bookmarkStart w:id="5" w:name="supp451583_3"/>
      <w:bookmarkEnd w:id="5"/>
      <w:r>
        <w:rPr>
          <w:rFonts w:ascii="Times New Roman" w:hAnsi="Times New Roman"/>
          <w:b/>
          <w:sz w:val="20"/>
          <w:bdr w:val="single" w:sz="8" w:space="1" w:color="000000"/>
        </w:rPr>
        <w:t xml:space="preserve">THE OFFERING </w:t>
      </w:r>
    </w:p>
    <w:p>
      <w:pPr>
        <w:pStyle w:val="TextBody"/>
        <w:spacing w:before="0" w:after="0"/>
        <w:jc w:val="left"/>
        <w:rPr>
          <w:bdr w:val="single" w:sz="8" w:space="1" w:color="000000"/>
        </w:rPr>
      </w:pPr>
      <w:r>
        <w:rPr>
          <w:bdr w:val="single" w:sz="8" w:space="1" w:color="000000"/>
        </w:rPr>
        <w:t> </w:t>
      </w:r>
    </w:p>
    <w:tbl>
      <w:tblPr>
        <w:tblW w:w="5000" w:type="pct"/>
        <w:jc w:val="center"/>
        <w:tblInd w:w="0" w:type="dxa"/>
        <w:tblCellMar>
          <w:top w:w="0" w:type="dxa"/>
          <w:left w:w="0" w:type="dxa"/>
          <w:bottom w:w="0" w:type="dxa"/>
          <w:right w:w="0" w:type="dxa"/>
        </w:tblCellMar>
      </w:tblPr>
      <w:tblGrid>
        <w:gridCol w:w="5204"/>
        <w:gridCol w:w="203"/>
        <w:gridCol w:w="4798"/>
      </w:tblGrid>
      <w:tr>
        <w:trPr/>
        <w:tc>
          <w:tcPr>
            <w:tcW w:w="5204"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8" w:type="dxa"/>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b/>
              </w:rPr>
            </w:pPr>
            <w:r>
              <w:rPr>
                <w:b/>
              </w:rPr>
              <w:t>Common stock offered by us</w:t>
            </w:r>
          </w:p>
        </w:tc>
        <w:tc>
          <w:tcPr>
            <w:tcW w:w="203"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pPr>
            <w:r>
              <w:rPr/>
              <w:t>4,500,000 shares, or 5,175,000 shares if the underwriters exercise their option to purchase additional shares in full.</w:t>
            </w:r>
          </w:p>
        </w:tc>
      </w:tr>
      <w:tr>
        <w:trPr>
          <w:trHeight w:val="24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b/>
              </w:rPr>
            </w:pPr>
            <w:r>
              <w:rPr>
                <w:b/>
              </w:rPr>
              <w:t>Common stock outstanding prior to this offering</w:t>
            </w:r>
          </w:p>
        </w:tc>
        <w:tc>
          <w:tcPr>
            <w:tcW w:w="203"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pPr>
            <w:r>
              <w:rPr/>
              <w:t>81,751,865 shares.</w:t>
            </w:r>
          </w:p>
        </w:tc>
      </w:tr>
      <w:tr>
        <w:trPr>
          <w:trHeight w:val="24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b/>
              </w:rPr>
            </w:pPr>
            <w:r>
              <w:rPr>
                <w:b/>
              </w:rPr>
              <w:t>Common stock outstanding after this offering</w:t>
            </w:r>
          </w:p>
        </w:tc>
        <w:tc>
          <w:tcPr>
            <w:tcW w:w="203"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pPr>
            <w:r>
              <w:rPr/>
              <w:t>86,251,865 shares, or 86,926,865 shares if the underwriters exercise their option to purchase additional shares in full.</w:t>
            </w:r>
          </w:p>
        </w:tc>
      </w:tr>
      <w:tr>
        <w:trPr>
          <w:trHeight w:val="24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b/>
              </w:rPr>
            </w:pPr>
            <w:r>
              <w:rPr>
                <w:b/>
              </w:rPr>
              <w:t>Use of Proceeds</w:t>
            </w:r>
          </w:p>
        </w:tc>
        <w:tc>
          <w:tcPr>
            <w:tcW w:w="203"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pPr>
            <w:r>
              <w:rPr/>
              <w:t>We estimate that the net proceeds we will receive from the sale of 4,500,000 shares of our common stock in this offering will be approximately $                million (or approximately $                million if the underwriters fully exercise their option to purchase additional shares), in each case after deducting the underwriting discounts and commissions and estimated offering expenses payable by us.</w:t>
            </w:r>
          </w:p>
        </w:tc>
      </w:tr>
      <w:tr>
        <w:trPr>
          <w:trHeight w:val="24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pPr>
            <w:r>
              <w:rPr/>
              <w:t>We intend to use 100% of the net proceeds of this offering to pay down a portion of the outstanding indebtedness on the Revolving Credit Facility on or about the date of the closing of this offering. However, through reborrowing under the Revolving Credit Facility, we intend to make new investments in accordance with our investment objective and strategies described in this prospectus supplement and the accompanying prospectus.</w:t>
            </w:r>
          </w:p>
        </w:tc>
      </w:tr>
      <w:tr>
        <w:trPr>
          <w:trHeight w:val="24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pPr>
            <w:r>
              <w:rPr/>
              <w:t>See Use of Proceeds.</w:t>
            </w:r>
          </w:p>
        </w:tc>
      </w:tr>
      <w:tr>
        <w:trPr>
          <w:trHeight w:val="24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b/>
              </w:rPr>
            </w:pPr>
            <w:r>
              <w:rPr>
                <w:b/>
              </w:rPr>
              <w:t>Distributions</w:t>
            </w:r>
          </w:p>
        </w:tc>
        <w:tc>
          <w:tcPr>
            <w:tcW w:w="203"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pPr>
            <w:r>
              <w:rPr/>
              <w:t>To the extent we have earnings available for distribution, we expect to continue distributing quarterly dividends to our stockholders. The specific tax characteristics of our distributions will be reported to stockholders after the end of the calendar year. Future quarterly dividends, if any, will be determined by our Board. See Price Range of Common Stock and Distributions in the accompanying prospectus.</w:t>
            </w:r>
          </w:p>
        </w:tc>
      </w:tr>
      <w:tr>
        <w:trPr>
          <w:trHeight w:val="24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pPr>
            <w:r>
              <w:rPr/>
              <w:t>On May 8, 2023, our Board declared a second quarter 2023 base dividend of $0.46 per share for stockholders of record as of June 15, 2023, payable on June 30, 2023. Our Board also declared a first quarter supplemental dividend of $0.04 per share for stockholders of record as of May 31, 2023, payable on June 20, 2023. Investors in this offering who remain holders of record as of the record dates for the base dividend and first quarter supplemental dividend, respectively, will receive these dividends. We anticipate that these dividends will be paid from income generated primarily by interest earned on our investment portfolio.</w:t>
            </w:r>
          </w:p>
        </w:tc>
      </w:tr>
      <w:tr>
        <w:trPr>
          <w:trHeight w:val="24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pPr>
            <w:r>
              <w:rPr/>
              <w:t>To maintain our tax treatment as a RIC, we must make certain distributions. See Material U.S. Federal Income Tax ConsiderationsRegulated Investment Company Classification in the accompanying prospectus.</w:t>
            </w:r>
          </w:p>
        </w:tc>
      </w:tr>
      <w:tr>
        <w:trPr>
          <w:trHeight w:val="24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b/>
              </w:rPr>
            </w:pPr>
            <w:r>
              <w:rPr>
                <w:b/>
              </w:rPr>
              <w:t>Material U.S. Federal Income Tax Considerations</w:t>
            </w:r>
          </w:p>
        </w:tc>
        <w:tc>
          <w:tcPr>
            <w:tcW w:w="203"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pPr>
            <w:r>
              <w:rPr/>
              <w:t>Tax considerations are as set forth in the section in the accompanying prospectus entitled Material U.S. Federal Income Tax Considerations or elsewhere, except that miscellaneous itemized deductions generally are not deductible by individuals, trusts or estates for taxable years beginning after December 31, 2017 and before January 1, 2026.</w:t>
            </w:r>
          </w:p>
        </w:tc>
      </w:tr>
      <w:tr>
        <w:trPr>
          <w:trHeight w:val="24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b/>
              </w:rPr>
            </w:pPr>
            <w:r>
              <w:rPr>
                <w:b/>
              </w:rPr>
              <w:t>Symbol on the New York Stock Exchange</w:t>
            </w:r>
          </w:p>
        </w:tc>
        <w:tc>
          <w:tcPr>
            <w:tcW w:w="203"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pPr>
            <w:r>
              <w:rPr/>
              <w:t>TSLX</w:t>
            </w:r>
          </w:p>
        </w:tc>
      </w:tr>
      <w:tr>
        <w:trPr>
          <w:trHeight w:val="24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b/>
              </w:rPr>
            </w:pPr>
            <w:r>
              <w:rPr>
                <w:b/>
              </w:rPr>
              <w:t>Risk Factors</w:t>
            </w:r>
          </w:p>
        </w:tc>
        <w:tc>
          <w:tcPr>
            <w:tcW w:w="203"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283"/>
              <w:rPr/>
            </w:pPr>
            <w:r>
              <w:rPr/>
              <w:t>See Risk Factors in this prospectus supplement, the accompanying prospectus and the documents incorporated by reference and other information in this prospectus supplement, the accompanying prospectus and the documents incorporated by reference for a discussion of factors you should carefully consider before you decide whether to make an investment in shares of our common stock.</w:t>
            </w:r>
          </w:p>
        </w:tc>
      </w:tr>
    </w:tbl>
    <w:p>
      <w:pPr>
        <w:pStyle w:val="TextBody"/>
        <w:spacing w:before="0" w:after="0"/>
        <w:jc w:val="left"/>
        <w:rPr>
          <w:bdr w:val="single" w:sz="8" w:space="1" w:color="000000"/>
        </w:rPr>
      </w:pPr>
      <w:r>
        <w:rPr>
          <w:bdr w:val="single" w:sz="8" w:space="1" w:color="000000"/>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6" w:name="supp451583_4"/>
      <w:bookmarkEnd w:id="6"/>
      <w:r>
        <w:rPr>
          <w:rFonts w:ascii="Times New Roman" w:hAnsi="Times New Roman"/>
          <w:b/>
          <w:sz w:val="20"/>
        </w:rPr>
        <w:t xml:space="preserve">RISK FACTORS </w:t>
      </w:r>
    </w:p>
    <w:p>
      <w:pPr>
        <w:pStyle w:val="TextBody"/>
        <w:spacing w:before="240" w:after="0"/>
        <w:jc w:val="left"/>
        <w:rPr>
          <w:rFonts w:ascii="Times New Roman" w:hAnsi="Times New Roman"/>
          <w:i/>
          <w:sz w:val="20"/>
        </w:rPr>
      </w:pPr>
      <w:r>
        <w:rPr>
          <w:rFonts w:ascii="Times New Roman" w:hAnsi="Times New Roman"/>
          <w:i/>
          <w:sz w:val="20"/>
        </w:rPr>
        <w:t xml:space="preserve">Investing in our securities involves a number of significant risks. You should carefully consider the risks described in Part I, Item 1A, Risk Factors, in our 2022 Annual Report and those set out in the accompanying prospectus before making a decision about investing in our securities. The risks and uncertainties described in Part I, Item 1A, Risk Factors, in our 2022 Annual Report and our 1Q 2023 Quarterly Report and discussed in the accompanying prospectus are not the only ones we face. Additional risks and uncertainties not presently known to us or not presently deemed material by us may also materially and adversely affect our business, financial condition and results of operations. In such case, our net asset value and the trading price of our securities could decline, and you may lose all or part of your investment. </w:t>
      </w:r>
    </w:p>
    <w:p>
      <w:pPr>
        <w:pStyle w:val="TextBody"/>
        <w:spacing w:before="360" w:after="0"/>
        <w:jc w:val="left"/>
        <w:rPr>
          <w:rFonts w:ascii="Times New Roman" w:hAnsi="Times New Roman"/>
          <w:b/>
          <w:sz w:val="20"/>
        </w:rPr>
      </w:pPr>
      <w:r>
        <w:rPr>
          <w:rFonts w:ascii="Times New Roman" w:hAnsi="Times New Roman"/>
          <w:b/>
          <w:sz w:val="20"/>
        </w:rPr>
        <w:t xml:space="preserve">Risks Related to Our Common Stock and This Offering </w:t>
      </w:r>
    </w:p>
    <w:p>
      <w:pPr>
        <w:pStyle w:val="TextBody"/>
        <w:spacing w:before="120" w:after="0"/>
        <w:jc w:val="left"/>
        <w:rPr>
          <w:rFonts w:ascii="Times New Roman" w:hAnsi="Times New Roman"/>
          <w:b/>
          <w:i/>
          <w:sz w:val="20"/>
        </w:rPr>
      </w:pPr>
      <w:r>
        <w:rPr>
          <w:rFonts w:ascii="Times New Roman" w:hAnsi="Times New Roman"/>
          <w:b/>
          <w:i/>
          <w:sz w:val="20"/>
        </w:rPr>
        <w:t xml:space="preserve">There is a risk that investors in our common stock may not receive dividends or that our dividends may not grow over time. </w:t>
      </w:r>
    </w:p>
    <w:p>
      <w:pPr>
        <w:pStyle w:val="TextBody"/>
        <w:spacing w:before="120" w:after="0"/>
        <w:jc w:val="left"/>
        <w:rPr>
          <w:rFonts w:ascii="Times New Roman" w:hAnsi="Times New Roman"/>
          <w:sz w:val="20"/>
        </w:rPr>
      </w:pPr>
      <w:r>
        <w:rPr>
          <w:rFonts w:ascii="Times New Roman" w:hAnsi="Times New Roman"/>
          <w:sz w:val="20"/>
        </w:rPr>
        <w:t xml:space="preserve">We intend to continue paying dividends on a quarterly basis to our stockholders out of assets legally available for distribution. We cannot assure you that we will achieve investment results or maintain a tax status that will allow or require any specified level of cash dividends or year-to-year increases in cash dividends. Our ability to pay dividends might be adversely affected by the impact of one or more of the risk factors described in this prospectus supplement. Due to the asset coverage test applicable to us under the 1940 Act as a BDC or restrictions under our credit facilities, we may be limited in our ability to pay dividends.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 </w:t>
      </w:r>
    </w:p>
    <w:p>
      <w:pPr>
        <w:pStyle w:val="TextBody"/>
        <w:spacing w:before="240" w:after="0"/>
        <w:jc w:val="left"/>
        <w:rPr>
          <w:rFonts w:ascii="Times New Roman" w:hAnsi="Times New Roman"/>
          <w:sz w:val="20"/>
        </w:rPr>
      </w:pPr>
      <w:r>
        <w:rPr>
          <w:rFonts w:ascii="Times New Roman" w:hAnsi="Times New Roman"/>
          <w:sz w:val="20"/>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w:t>
      </w:r>
      <w:r>
        <w:rPr>
          <w:rFonts w:ascii="Times New Roman" w:hAnsi="Times New Roman"/>
          <w:i/>
          <w:sz w:val="20"/>
        </w:rPr>
        <w:t>Risk FactorsRisks Related to Our Portfolio Company InvestmentsThere are certain risks associated with holding debt obligations that have original issue discount or payment-in-kind interest</w:t>
      </w:r>
      <w:r>
        <w:rPr>
          <w:rFonts w:ascii="Times New Roman" w:hAnsi="Times New Roman"/>
          <w:sz w:val="20"/>
        </w:rPr>
        <w:t xml:space="preserve"> in Part I, Item 1A of our 2022 Annual Report. </w:t>
      </w:r>
    </w:p>
    <w:p>
      <w:pPr>
        <w:pStyle w:val="TextBody"/>
        <w:spacing w:before="240" w:after="0"/>
        <w:jc w:val="left"/>
        <w:rPr>
          <w:rFonts w:ascii="Times New Roman" w:hAnsi="Times New Roman"/>
          <w:sz w:val="20"/>
        </w:rPr>
      </w:pPr>
      <w:r>
        <w:rPr>
          <w:rFonts w:ascii="Times New Roman" w:hAnsi="Times New Roman"/>
          <w:sz w:val="20"/>
        </w:rPr>
        <w:t xml:space="preserve">Therefore, we may be required to make a distribution to our stockholders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 </w:t>
      </w:r>
    </w:p>
    <w:p>
      <w:pPr>
        <w:pStyle w:val="TextBody"/>
        <w:spacing w:before="240" w:after="0"/>
        <w:jc w:val="left"/>
        <w:rPr>
          <w:rFonts w:ascii="Times New Roman" w:hAnsi="Times New Roman"/>
          <w:sz w:val="20"/>
        </w:rPr>
      </w:pPr>
      <w:r>
        <w:rPr>
          <w:rFonts w:ascii="Times New Roman" w:hAnsi="Times New Roman"/>
          <w:sz w:val="20"/>
        </w:rPr>
        <w:t xml:space="preserve">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 </w:t>
      </w:r>
    </w:p>
    <w:p>
      <w:pPr>
        <w:pStyle w:val="TextBody"/>
        <w:spacing w:before="240" w:after="0"/>
        <w:jc w:val="left"/>
        <w:rPr>
          <w:rFonts w:ascii="Times New Roman" w:hAnsi="Times New Roman"/>
          <w:sz w:val="20"/>
        </w:rPr>
      </w:pPr>
      <w:r>
        <w:rPr>
          <w:rFonts w:ascii="Times New Roman" w:hAnsi="Times New Roman"/>
          <w:sz w:val="20"/>
        </w:rPr>
        <w:t xml:space="preserve">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 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 </w:t>
      </w:r>
    </w:p>
    <w:p>
      <w:pPr>
        <w:pStyle w:val="TextBody"/>
        <w:spacing w:before="240" w:after="0"/>
        <w:jc w:val="left"/>
        <w:rPr>
          <w:rFonts w:ascii="Times New Roman" w:hAnsi="Times New Roman"/>
          <w:sz w:val="20"/>
        </w:rPr>
      </w:pPr>
      <w:r>
        <w:rPr>
          <w:rFonts w:ascii="Times New Roman" w:hAnsi="Times New Roman"/>
          <w:sz w:val="20"/>
        </w:rPr>
        <w:t xml:space="preserve">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Investing in our securities may involve a high degree of risk. </w:t>
      </w:r>
    </w:p>
    <w:p>
      <w:pPr>
        <w:pStyle w:val="TextBody"/>
        <w:spacing w:before="120" w:after="0"/>
        <w:jc w:val="left"/>
        <w:rPr>
          <w:rFonts w:ascii="Times New Roman" w:hAnsi="Times New Roman"/>
          <w:sz w:val="20"/>
        </w:rPr>
      </w:pPr>
      <w:r>
        <w:rPr>
          <w:rFonts w:ascii="Times New Roman" w:hAnsi="Times New Roman"/>
          <w:sz w:val="20"/>
        </w:rPr>
        <w:t xml:space="preserve">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securities may not be suitable for someone with lower risk tolerance. </w:t>
      </w:r>
    </w:p>
    <w:p>
      <w:pPr>
        <w:pStyle w:val="TextBody"/>
        <w:spacing w:before="360" w:after="0"/>
        <w:jc w:val="left"/>
        <w:rPr>
          <w:rFonts w:ascii="Times New Roman" w:hAnsi="Times New Roman"/>
          <w:b/>
          <w:i/>
          <w:sz w:val="20"/>
        </w:rPr>
      </w:pPr>
      <w:r>
        <w:rPr>
          <w:rFonts w:ascii="Times New Roman" w:hAnsi="Times New Roman"/>
          <w:b/>
          <w:i/>
          <w:sz w:val="20"/>
        </w:rPr>
        <w:t xml:space="preserve">The market price of our common stock may fluctuate significantly. </w:t>
      </w:r>
    </w:p>
    <w:p>
      <w:pPr>
        <w:pStyle w:val="TextBody"/>
        <w:spacing w:before="120" w:after="0"/>
        <w:jc w:val="left"/>
        <w:rPr>
          <w:rFonts w:ascii="Times New Roman" w:hAnsi="Times New Roman"/>
          <w:sz w:val="20"/>
        </w:rPr>
      </w:pPr>
      <w:r>
        <w:rPr>
          <w:rFonts w:ascii="Times New Roman" w:hAnsi="Times New Roman"/>
          <w:sz w:val="20"/>
        </w:rPr>
        <w:t xml:space="preserve">The market price and liquidity of the market for shares of our common stock may be significantly affected by numerous factors, some of which are beyond our control and may not be directly related to our operating performance. These factors include: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significant volatility in the market price and trading volume of securities of BDCs or other companies in our sector, which is not necessarily related to the operating performance of these companies;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regulatory policies or tax guidelines, particularly with respect to RICs or BDCs;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exclusion of BDC common stock from certain market indices, which could reduce the ability of certain investment funds to own our common stock and put short term selling pressure on our common stock;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loss of RIC or BDC status;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or perceived changes in earnings or variations in operating results;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our portfolio of investments;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or perceived changes in the value of our portfolio of investments;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accounting guidelines governing valuation of our investments;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shortfall in revenue or net income or any increase in losses from levels expected by investors or securities analysts;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downgrades to our credit rating or placement on a negative watch status by a credit rating agency;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departure of the Advisers or any of its affiliates key personnel;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operating performance of companies comparable to 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short-selling pressure with respect to shares of our common stock or BDCs generally;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future sales of our securities convertible into or exchangeable or exercisable for our common stock or the conversion of such securities;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uncertainty surrounding the strength of the U.S. economy;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concerns regarding European sovereign debt and Brexit;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concerns regarding volatility in the Chinese stock market and Chinese currency;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concerns regarding U.S. and global tariffs and trade policy;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impact of the large-scale invasion of Ukraine by Russia that began in February 2022, related sanctions and other potential retaliatory actions or responses;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fluctuations in base interest rates, such as LIBOR, SOFR, EURIBOR, SONIA, the Federal Funds Rate or the Prime Rate;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impact of public health epidemics on the global economy, such as the COVID-19 pandemic and its worldwide impact;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general economic trends and other external factors;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loss of a major funding source. </w:t>
            </w:r>
          </w:p>
        </w:tc>
      </w:tr>
    </w:tbl>
    <w:p>
      <w:pPr>
        <w:pStyle w:val="TextBody"/>
        <w:spacing w:before="240" w:after="0"/>
        <w:jc w:val="left"/>
        <w:rPr>
          <w:rFonts w:ascii="Times New Roman" w:hAnsi="Times New Roman"/>
          <w:sz w:val="20"/>
        </w:rPr>
      </w:pPr>
      <w:r>
        <w:rPr>
          <w:rFonts w:ascii="Times New Roman" w:hAnsi="Times New Roman"/>
          <w:sz w:val="20"/>
        </w:rPr>
        <w:t xml:space="preserve">In the past, following periods of volatility in the market price of a companys securities, securities class action litigation has often been brought against that company. If our stock price fluctuates significantly, we may be the target of securities litigation in the future. Securities litigation could result in substantial costs and divert managements attention and resources from our business. </w:t>
      </w:r>
    </w:p>
    <w:p>
      <w:pPr>
        <w:pStyle w:val="TextBody"/>
        <w:spacing w:before="360" w:after="0"/>
        <w:jc w:val="left"/>
        <w:rPr>
          <w:rFonts w:ascii="Times New Roman" w:hAnsi="Times New Roman"/>
          <w:b/>
          <w:i/>
          <w:sz w:val="20"/>
        </w:rPr>
      </w:pPr>
      <w:r>
        <w:rPr>
          <w:rFonts w:ascii="Times New Roman" w:hAnsi="Times New Roman"/>
          <w:b/>
          <w:i/>
          <w:sz w:val="20"/>
        </w:rPr>
        <w:t xml:space="preserve">We cannot assure you that the market price of shares of our common stock will not decline. </w:t>
      </w:r>
    </w:p>
    <w:p>
      <w:pPr>
        <w:pStyle w:val="TextBody"/>
        <w:spacing w:before="120" w:after="0"/>
        <w:jc w:val="left"/>
        <w:rPr>
          <w:rFonts w:ascii="Times New Roman" w:hAnsi="Times New Roman"/>
          <w:sz w:val="20"/>
        </w:rPr>
      </w:pPr>
      <w:r>
        <w:rPr>
          <w:rFonts w:ascii="Times New Roman" w:hAnsi="Times New Roman"/>
          <w:sz w:val="20"/>
        </w:rPr>
        <w:t xml:space="preserve">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In the past, shares of BDCs, including at times shares of our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common stock, have traded at prices per share below net asset value per share. We cannot predict whether our common stock will trade at a price per share above, at or below net asset value per share. In addition, if our common stock trades below its net asset value per share,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 See </w:t>
      </w:r>
      <w:r>
        <w:rPr>
          <w:rFonts w:ascii="Times New Roman" w:hAnsi="Times New Roman"/>
          <w:i/>
          <w:sz w:val="20"/>
        </w:rPr>
        <w:t>Risk FactorsRisks Related to Our Business and StructureRegulations governing our operation as a BDC affect our ability to, and the way in which we, raise additional capital</w:t>
      </w:r>
      <w:r>
        <w:rPr>
          <w:rFonts w:ascii="Times New Roman" w:hAnsi="Times New Roman"/>
          <w:sz w:val="20"/>
        </w:rPr>
        <w:t xml:space="preserve"> in Part I, Item 1A of our 2022 Annual Report. </w:t>
      </w:r>
    </w:p>
    <w:p>
      <w:pPr>
        <w:pStyle w:val="TextBody"/>
        <w:spacing w:before="360" w:after="0"/>
        <w:jc w:val="left"/>
        <w:rPr>
          <w:rFonts w:ascii="Times New Roman" w:hAnsi="Times New Roman"/>
          <w:b/>
          <w:i/>
          <w:sz w:val="20"/>
        </w:rPr>
      </w:pPr>
      <w:r>
        <w:rPr>
          <w:rFonts w:ascii="Times New Roman" w:hAnsi="Times New Roman"/>
          <w:b/>
          <w:i/>
          <w:sz w:val="20"/>
        </w:rPr>
        <w:t xml:space="preserve">Sales of substantial amounts of our common stock in the public market may have an adverse effect on the market price of our common stock. </w:t>
      </w:r>
    </w:p>
    <w:p>
      <w:pPr>
        <w:pStyle w:val="TextBody"/>
        <w:spacing w:before="120" w:after="0"/>
        <w:jc w:val="left"/>
        <w:rPr>
          <w:rFonts w:ascii="Times New Roman" w:hAnsi="Times New Roman"/>
          <w:sz w:val="20"/>
        </w:rPr>
      </w:pPr>
      <w:r>
        <w:rPr>
          <w:rFonts w:ascii="Times New Roman" w:hAnsi="Times New Roman"/>
          <w:sz w:val="20"/>
        </w:rPr>
        <w:t xml:space="preserve">Sales of substantial amounts of our common stock, the availability of such common stock for sale or the perception that such sales could occur could adversely affect the prevailing market prices for our common stock. If this occurs,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 </w:t>
      </w:r>
    </w:p>
    <w:p>
      <w:pPr>
        <w:pStyle w:val="TextBody"/>
        <w:spacing w:before="360" w:after="0"/>
        <w:jc w:val="left"/>
        <w:rPr>
          <w:rFonts w:ascii="Times New Roman" w:hAnsi="Times New Roman"/>
          <w:b/>
          <w:i/>
          <w:sz w:val="20"/>
        </w:rPr>
      </w:pPr>
      <w:r>
        <w:rPr>
          <w:rFonts w:ascii="Times New Roman" w:hAnsi="Times New Roman"/>
          <w:b/>
          <w:i/>
          <w:sz w:val="20"/>
        </w:rPr>
        <w:t xml:space="preserve">Our stockholders will experience dilution in their ownership percentage if they opt out of our dividend reinvestment plan. </w:t>
      </w:r>
    </w:p>
    <w:p>
      <w:pPr>
        <w:pStyle w:val="TextBody"/>
        <w:spacing w:before="120" w:after="0"/>
        <w:jc w:val="left"/>
        <w:rPr>
          <w:rFonts w:ascii="Times New Roman" w:hAnsi="Times New Roman"/>
          <w:sz w:val="20"/>
        </w:rPr>
      </w:pPr>
      <w:r>
        <w:rPr>
          <w:rFonts w:ascii="Times New Roman" w:hAnsi="Times New Roman"/>
          <w:sz w:val="20"/>
        </w:rPr>
        <w:t xml:space="preserve">We have adopted a dividend reinvestment plan, pursuant to which we will reinvest all cash dividends and distributions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w:t>
      </w:r>
      <w:r>
        <w:rPr>
          <w:rFonts w:ascii="Times New Roman" w:hAnsi="Times New Roman"/>
          <w:i/>
          <w:sz w:val="20"/>
        </w:rPr>
        <w:t>ITEM 1. BUSINESSDividend Policy</w:t>
      </w:r>
      <w:r>
        <w:rPr>
          <w:rFonts w:ascii="Times New Roman" w:hAnsi="Times New Roman"/>
          <w:sz w:val="20"/>
        </w:rPr>
        <w:t> and </w:t>
      </w:r>
      <w:r>
        <w:rPr>
          <w:rFonts w:ascii="Times New Roman" w:hAnsi="Times New Roman"/>
          <w:i/>
          <w:sz w:val="20"/>
        </w:rPr>
        <w:t>ITEM 1. BUSINESSDividend Reinvestment Plan</w:t>
      </w:r>
      <w:r>
        <w:rPr>
          <w:rFonts w:ascii="Times New Roman" w:hAnsi="Times New Roman"/>
          <w:sz w:val="20"/>
        </w:rPr>
        <w:t xml:space="preserve"> of our 2022 Annual Report for a description of our dividend policy and obligations. </w:t>
      </w:r>
    </w:p>
    <w:p>
      <w:pPr>
        <w:pStyle w:val="TextBody"/>
        <w:spacing w:before="240" w:after="0"/>
        <w:jc w:val="left"/>
        <w:rPr>
          <w:rFonts w:ascii="Times New Roman" w:hAnsi="Times New Roman"/>
          <w:sz w:val="20"/>
        </w:rPr>
      </w:pPr>
      <w:r>
        <w:rPr>
          <w:rFonts w:ascii="Times New Roman" w:hAnsi="Times New Roman"/>
          <w:sz w:val="20"/>
        </w:rPr>
        <w:t xml:space="preserve">In addition, the number of shares issued pursuant to the dividend reinvestment plan will be determined based on the market price of shares of our common stock, except in circumstances where the market price exceeds our most recently computed net asset value per share, in which case we will issue shares at the greater of (i)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of shares of our common stock than the number of shares associated with the market price of our common stock, resulting in dilution for other stockholders. Stockholders that opt out of our dividend reinvestment plan will experience dilution in their ownership percentage of our common stock over time. </w:t>
      </w:r>
    </w:p>
    <w:p>
      <w:pPr>
        <w:pStyle w:val="TextBody"/>
        <w:spacing w:before="360" w:after="0"/>
        <w:jc w:val="left"/>
        <w:rPr>
          <w:rFonts w:ascii="Times New Roman" w:hAnsi="Times New Roman"/>
          <w:b/>
          <w:i/>
          <w:sz w:val="20"/>
        </w:rPr>
      </w:pPr>
      <w:r>
        <w:rPr>
          <w:rFonts w:ascii="Times New Roman" w:hAnsi="Times New Roman"/>
          <w:b/>
          <w:i/>
          <w:sz w:val="20"/>
        </w:rPr>
        <w:t xml:space="preserve">Purchases of our common stock by us under the Company 10b5-1 Plan may result in the price of our common stock being higher than the price that otherwise might exist in the open market. </w:t>
      </w:r>
    </w:p>
    <w:p>
      <w:pPr>
        <w:pStyle w:val="TextBody"/>
        <w:spacing w:before="120" w:after="0"/>
        <w:jc w:val="left"/>
        <w:rPr>
          <w:rFonts w:ascii="Times New Roman" w:hAnsi="Times New Roman"/>
          <w:sz w:val="20"/>
        </w:rPr>
      </w:pPr>
      <w:r>
        <w:rPr>
          <w:rFonts w:ascii="Times New Roman" w:hAnsi="Times New Roman"/>
          <w:sz w:val="20"/>
        </w:rPr>
        <w:t xml:space="preserve">We have entered into an agreement with Goldman Sachs &amp; Co. LLC, which we refer to as the Company 10b5-1 Plan, in accordance with Rules 10b5-1 and 10b-18 under the Exchange Act, under which Goldman Sachs &amp; Co. LLC, as agent for us, may buy up to $50 million of our common stock in the aggregate during the period ending on the earlier of the date on which all the capital committed to the plan has been exhausted or May 31, 2023. </w:t>
      </w:r>
    </w:p>
    <w:p>
      <w:pPr>
        <w:pStyle w:val="TextBody"/>
        <w:spacing w:before="240" w:after="0"/>
        <w:jc w:val="left"/>
        <w:rPr>
          <w:rFonts w:ascii="Times New Roman" w:hAnsi="Times New Roman"/>
          <w:sz w:val="20"/>
        </w:rPr>
      </w:pPr>
      <w:r>
        <w:rPr>
          <w:rFonts w:ascii="Times New Roman" w:hAnsi="Times New Roman"/>
          <w:sz w:val="20"/>
        </w:rPr>
        <w:t xml:space="preserve">Whether purchases will be made under the Company 10b5-1 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 </w:t>
      </w:r>
    </w:p>
    <w:p>
      <w:pPr>
        <w:pStyle w:val="TextBody"/>
        <w:spacing w:before="360" w:after="0"/>
        <w:jc w:val="left"/>
        <w:rPr>
          <w:rFonts w:ascii="Times New Roman" w:hAnsi="Times New Roman"/>
          <w:b/>
          <w:i/>
          <w:sz w:val="20"/>
        </w:rPr>
      </w:pPr>
      <w:r>
        <w:rPr>
          <w:rFonts w:ascii="Times New Roman" w:hAnsi="Times New Roman"/>
          <w:b/>
          <w:i/>
          <w:sz w:val="20"/>
        </w:rPr>
        <w:t xml:space="preserve">Purchases of our common stock by us under the Company 10b5-1 Plan may result in dilution to our net asset value per share. </w:t>
      </w:r>
    </w:p>
    <w:p>
      <w:pPr>
        <w:pStyle w:val="TextBody"/>
        <w:spacing w:before="120" w:after="0"/>
        <w:jc w:val="left"/>
        <w:rPr>
          <w:rFonts w:ascii="Times New Roman" w:hAnsi="Times New Roman"/>
          <w:sz w:val="20"/>
        </w:rPr>
      </w:pPr>
      <w:r>
        <w:rPr>
          <w:rFonts w:ascii="Times New Roman" w:hAnsi="Times New Roman"/>
          <w:sz w:val="20"/>
        </w:rPr>
        <w:t xml:space="preserve">On August 4, 2015, the Board authorized us to acquire up to $50 million in aggregate of our common stock from time to time over an initial six month period, and has continued to authorize the refreshment of the $50 million amount authorized under and extension of the stock repurchase program prior to its expiration since that time, most recently as of November 1, 2022. Under the Company 10b5-1 Plan, the agent will increase the volume of purchases made as the price of our common stock declines, subject to volume restrictions. </w:t>
      </w:r>
    </w:p>
    <w:p>
      <w:pPr>
        <w:pStyle w:val="TextBody"/>
        <w:spacing w:before="240" w:after="0"/>
        <w:jc w:val="left"/>
        <w:rPr>
          <w:rFonts w:ascii="Times New Roman" w:hAnsi="Times New Roman"/>
          <w:sz w:val="20"/>
        </w:rPr>
      </w:pPr>
      <w:r>
        <w:rPr>
          <w:rFonts w:ascii="Times New Roman" w:hAnsi="Times New Roman"/>
          <w:sz w:val="20"/>
        </w:rPr>
        <w:t xml:space="preserve">Dilution to our net asset value per share will occur if we purchase shares of our common stock at a price above the net asset value per share, as it would cause a proportionately smaller increase in our stockholders interest in our earnings and assets and their voting interest in us than the decrease in our assets resulting from such repurchase. </w:t>
      </w:r>
    </w:p>
    <w:p>
      <w:pPr>
        <w:pStyle w:val="TextBody"/>
        <w:spacing w:before="240" w:after="0"/>
        <w:jc w:val="left"/>
        <w:rPr>
          <w:rFonts w:ascii="Times New Roman" w:hAnsi="Times New Roman"/>
          <w:sz w:val="20"/>
        </w:rPr>
      </w:pPr>
      <w:r>
        <w:rPr>
          <w:rFonts w:ascii="Times New Roman" w:hAnsi="Times New Roman"/>
          <w:sz w:val="20"/>
        </w:rPr>
        <w:t xml:space="preserve">As a result of any such dilution, our market price per share may decline. The actual dilutive effect will depend on the number of shares of common stock that could be so repurchased, the price and the timing of any repurchases under the Company 10b5-1 Plan.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7" w:name="supp451583_5"/>
      <w:bookmarkEnd w:id="7"/>
      <w:r>
        <w:rPr>
          <w:rFonts w:ascii="Times New Roman" w:hAnsi="Times New Roman"/>
          <w:b/>
          <w:sz w:val="20"/>
        </w:rPr>
        <w:t xml:space="preserve">FEES AND EXPENSES </w:t>
      </w:r>
    </w:p>
    <w:p>
      <w:pPr>
        <w:pStyle w:val="TextBody"/>
        <w:spacing w:before="240" w:after="0"/>
        <w:jc w:val="left"/>
        <w:rPr>
          <w:rFonts w:ascii="Times New Roman" w:hAnsi="Times New Roman"/>
          <w:sz w:val="20"/>
        </w:rPr>
      </w:pPr>
      <w:r>
        <w:rPr>
          <w:rFonts w:ascii="Times New Roman" w:hAnsi="Times New Roman"/>
          <w:sz w:val="20"/>
        </w:rPr>
        <w:t xml:space="preserve">The following table is intended to assist you in understanding the costs and expenses that an investor in our common stock will bear directly or indirectly in the twelve months after the date of this prospectus supplement, based on the assumptions set forth below. We caution you that some of the percentages indicated in the table below are estimates and may vary. The following table should not be considered a representation of our future expenses, which may be greater or less than shown. The offering expenses shown assume that we issue 4,500,000 shares of common stock in the offering at the May 9, 2023 closing price of $18.19 and that the underwriters do not exercise their option to purchase any additional shares. Future expenses will depend on many factors, including our use of leverage, which may vary periodically depending on market conditions, our portfolio composition and our Advisers assessment of risks and returns. However, our total borrowings are limited under the 1940 Act so that we may not incur any additional leverage if doing so would cause our asset coverage ratio to fall below 150%, as defined in the 1940 Act. Except where the context suggests otherwise, whenever this prospectus supplement or the accompanying prospectus contains a reference to fees or expenses paid by us, the Company or Sixth Street Specialty Lending, Inc. or says that we will pay fees or expenses, stockholders will indirectly bear these fees or expenses as investors in Sixth Street Specialty Lending, Inc.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7738"/>
        <w:gridCol w:w="473"/>
        <w:gridCol w:w="60"/>
        <w:gridCol w:w="563"/>
        <w:gridCol w:w="554"/>
      </w:tblGrid>
      <w:tr>
        <w:trPr/>
        <w:tc>
          <w:tcPr>
            <w:tcW w:w="7738" w:type="dxa"/>
            <w:tcBorders/>
            <w:shd w:fill="auto" w:val="clear"/>
            <w:vAlign w:val="center"/>
          </w:tcPr>
          <w:p>
            <w:pPr>
              <w:pStyle w:val="TableContents"/>
              <w:spacing w:before="0" w:after="283"/>
              <w:rPr>
                <w:sz w:val="4"/>
                <w:szCs w:val="4"/>
              </w:rPr>
            </w:pPr>
            <w:r>
              <w:rPr>
                <w:sz w:val="4"/>
                <w:szCs w:val="4"/>
              </w:rPr>
            </w:r>
          </w:p>
        </w:tc>
        <w:tc>
          <w:tcPr>
            <w:tcW w:w="47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r>
      <w:tr>
        <w:trPr/>
        <w:tc>
          <w:tcPr>
            <w:tcW w:w="7738" w:type="dxa"/>
            <w:tcBorders/>
            <w:shd w:fill="CCEEFF" w:val="clear"/>
          </w:tcPr>
          <w:p>
            <w:pPr>
              <w:pStyle w:val="TableContents"/>
              <w:spacing w:before="0" w:after="0"/>
              <w:rPr>
                <w:rFonts w:ascii="Times New Roman" w:hAnsi="Times New Roman"/>
                <w:b/>
                <w:sz w:val="20"/>
              </w:rPr>
            </w:pPr>
            <w:r>
              <w:rPr>
                <w:rFonts w:ascii="Times New Roman" w:hAnsi="Times New Roman"/>
                <w:b/>
                <w:sz w:val="20"/>
              </w:rPr>
              <w:t>Stockholder transaction expenses (as a percentage of the May 9, 2023 closing price of $18.19):</w:t>
            </w:r>
          </w:p>
        </w:tc>
        <w:tc>
          <w:tcPr>
            <w:tcW w:w="47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563" w:type="dxa"/>
            <w:tcBorders/>
            <w:shd w:fill="CCEEFF" w:val="clear"/>
            <w:vAlign w:val="bottom"/>
          </w:tcPr>
          <w:p>
            <w:pPr>
              <w:pStyle w:val="TableContents"/>
              <w:spacing w:before="0" w:after="283"/>
              <w:rPr>
                <w:sz w:val="4"/>
                <w:szCs w:val="4"/>
              </w:rPr>
            </w:pPr>
            <w:r>
              <w:rPr>
                <w:sz w:val="4"/>
                <w:szCs w:val="4"/>
              </w:rPr>
            </w:r>
          </w:p>
        </w:tc>
        <w:tc>
          <w:tcPr>
            <w:tcW w:w="554" w:type="dxa"/>
            <w:tcBorders/>
            <w:shd w:fill="CCEEFF" w:val="clear"/>
            <w:vAlign w:val="bottom"/>
          </w:tcPr>
          <w:p>
            <w:pPr>
              <w:pStyle w:val="TableContents"/>
              <w:spacing w:before="0" w:after="283"/>
              <w:rPr>
                <w:sz w:val="4"/>
                <w:szCs w:val="4"/>
              </w:rPr>
            </w:pPr>
            <w:r>
              <w:rPr>
                <w:sz w:val="4"/>
                <w:szCs w:val="4"/>
              </w:rPr>
            </w:r>
          </w:p>
        </w:tc>
      </w:tr>
      <w:tr>
        <w:trPr/>
        <w:tc>
          <w:tcPr>
            <w:tcW w:w="7738" w:type="dxa"/>
            <w:tcBorders/>
            <w:shd w:fill="auto" w:val="clear"/>
          </w:tcPr>
          <w:p>
            <w:pPr>
              <w:pStyle w:val="TableContents"/>
              <w:spacing w:before="0" w:after="0"/>
              <w:rPr>
                <w:rFonts w:ascii="Times New Roman" w:hAnsi="Times New Roman"/>
                <w:sz w:val="20"/>
              </w:rPr>
            </w:pPr>
            <w:r>
              <w:rPr>
                <w:rFonts w:ascii="Times New Roman" w:hAnsi="Times New Roman"/>
                <w:sz w:val="20"/>
              </w:rPr>
              <w:t>Sales load</w:t>
            </w:r>
          </w:p>
        </w:tc>
        <w:tc>
          <w:tcPr>
            <w:tcW w:w="4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rPr>
                <w:sz w:val="4"/>
                <w:szCs w:val="4"/>
              </w:rPr>
            </w:pPr>
            <w:r>
              <w:rPr>
                <w:sz w:val="4"/>
                <w:szCs w:val="4"/>
              </w:rPr>
            </w:r>
          </w:p>
        </w:tc>
        <w:tc>
          <w:tcPr>
            <w:tcW w:w="554" w:type="dxa"/>
            <w:tcBorders/>
            <w:shd w:fill="auto" w:val="clear"/>
            <w:vAlign w:val="bottom"/>
          </w:tcPr>
          <w:p>
            <w:pPr>
              <w:pStyle w:val="TableContents"/>
              <w:spacing w:before="0" w:after="283"/>
              <w:rPr/>
            </w:pPr>
            <w:r>
              <w:rPr/>
              <w:t>%(1) </w:t>
            </w:r>
          </w:p>
        </w:tc>
      </w:tr>
      <w:tr>
        <w:trPr/>
        <w:tc>
          <w:tcPr>
            <w:tcW w:w="7738" w:type="dxa"/>
            <w:tcBorders/>
            <w:shd w:fill="CCEEFF" w:val="clear"/>
          </w:tcPr>
          <w:p>
            <w:pPr>
              <w:pStyle w:val="TableContents"/>
              <w:spacing w:before="0" w:after="0"/>
              <w:rPr>
                <w:rFonts w:ascii="Times New Roman" w:hAnsi="Times New Roman"/>
                <w:sz w:val="20"/>
              </w:rPr>
            </w:pPr>
            <w:r>
              <w:rPr>
                <w:rFonts w:ascii="Times New Roman" w:hAnsi="Times New Roman"/>
                <w:sz w:val="20"/>
              </w:rPr>
              <w:t>Offering expenses</w:t>
            </w:r>
          </w:p>
        </w:tc>
        <w:tc>
          <w:tcPr>
            <w:tcW w:w="47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3" w:type="dxa"/>
            <w:tcBorders/>
            <w:shd w:fill="CCEEFF" w:val="clear"/>
            <w:vAlign w:val="bottom"/>
          </w:tcPr>
          <w:p>
            <w:pPr>
              <w:pStyle w:val="TableContents"/>
              <w:spacing w:before="0" w:after="283"/>
              <w:rPr>
                <w:sz w:val="4"/>
                <w:szCs w:val="4"/>
              </w:rPr>
            </w:pPr>
            <w:r>
              <w:rPr>
                <w:sz w:val="4"/>
                <w:szCs w:val="4"/>
              </w:rPr>
            </w:r>
          </w:p>
        </w:tc>
        <w:tc>
          <w:tcPr>
            <w:tcW w:w="554" w:type="dxa"/>
            <w:tcBorders/>
            <w:shd w:fill="CCEEFF" w:val="clear"/>
            <w:vAlign w:val="bottom"/>
          </w:tcPr>
          <w:p>
            <w:pPr>
              <w:pStyle w:val="TableContents"/>
              <w:spacing w:before="0" w:after="283"/>
              <w:rPr/>
            </w:pPr>
            <w:r>
              <w:rPr/>
              <w:t>%(2) </w:t>
            </w:r>
          </w:p>
        </w:tc>
      </w:tr>
      <w:tr>
        <w:trPr/>
        <w:tc>
          <w:tcPr>
            <w:tcW w:w="7738" w:type="dxa"/>
            <w:tcBorders/>
            <w:shd w:fill="auto" w:val="clear"/>
          </w:tcPr>
          <w:p>
            <w:pPr>
              <w:pStyle w:val="TableContents"/>
              <w:spacing w:before="0" w:after="0"/>
              <w:rPr>
                <w:rFonts w:ascii="Times New Roman" w:hAnsi="Times New Roman"/>
                <w:sz w:val="20"/>
              </w:rPr>
            </w:pPr>
            <w:r>
              <w:rPr>
                <w:rFonts w:ascii="Times New Roman" w:hAnsi="Times New Roman"/>
                <w:sz w:val="20"/>
              </w:rPr>
              <w:t>Dividend reinvestment plan expenses</w:t>
            </w:r>
          </w:p>
        </w:tc>
        <w:tc>
          <w:tcPr>
            <w:tcW w:w="4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pPr>
            <w:r>
              <w:rPr/>
              <w:t>None</w:t>
            </w:r>
          </w:p>
        </w:tc>
        <w:tc>
          <w:tcPr>
            <w:tcW w:w="554" w:type="dxa"/>
            <w:tcBorders/>
            <w:shd w:fill="auto" w:val="clear"/>
            <w:vAlign w:val="bottom"/>
          </w:tcPr>
          <w:p>
            <w:pPr>
              <w:pStyle w:val="TableContents"/>
              <w:spacing w:before="0" w:after="283"/>
              <w:rPr/>
            </w:pPr>
            <w:r>
              <w:rPr/>
              <w:t> </w:t>
            </w:r>
            <w:r>
              <w:rPr/>
              <w:t>(3) </w:t>
            </w:r>
          </w:p>
        </w:tc>
      </w:tr>
      <w:tr>
        <w:trPr/>
        <w:tc>
          <w:tcPr>
            <w:tcW w:w="7738" w:type="dxa"/>
            <w:tcBorders/>
            <w:shd w:fill="CCEEFF" w:val="clear"/>
          </w:tcPr>
          <w:p>
            <w:pPr>
              <w:pStyle w:val="TableContents"/>
              <w:spacing w:before="0" w:after="0"/>
              <w:rPr>
                <w:rFonts w:ascii="Times New Roman" w:hAnsi="Times New Roman"/>
                <w:b/>
                <w:sz w:val="20"/>
              </w:rPr>
            </w:pPr>
            <w:r>
              <w:rPr>
                <w:rFonts w:ascii="Times New Roman" w:hAnsi="Times New Roman"/>
                <w:b/>
                <w:sz w:val="20"/>
              </w:rPr>
              <w:t>Estimated annual expenses (as a percentage of net assets attributable to common stock)(4):</w:t>
            </w:r>
          </w:p>
        </w:tc>
        <w:tc>
          <w:tcPr>
            <w:tcW w:w="47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563" w:type="dxa"/>
            <w:tcBorders/>
            <w:shd w:fill="CCEEFF" w:val="clear"/>
            <w:vAlign w:val="bottom"/>
          </w:tcPr>
          <w:p>
            <w:pPr>
              <w:pStyle w:val="TableContents"/>
              <w:spacing w:before="0" w:after="283"/>
              <w:rPr>
                <w:sz w:val="4"/>
                <w:szCs w:val="4"/>
              </w:rPr>
            </w:pPr>
            <w:r>
              <w:rPr>
                <w:sz w:val="4"/>
                <w:szCs w:val="4"/>
              </w:rPr>
            </w:r>
          </w:p>
        </w:tc>
        <w:tc>
          <w:tcPr>
            <w:tcW w:w="554" w:type="dxa"/>
            <w:tcBorders/>
            <w:shd w:fill="CCEEFF" w:val="clear"/>
            <w:vAlign w:val="bottom"/>
          </w:tcPr>
          <w:p>
            <w:pPr>
              <w:pStyle w:val="TableContents"/>
              <w:spacing w:before="0" w:after="283"/>
              <w:rPr>
                <w:sz w:val="4"/>
                <w:szCs w:val="4"/>
              </w:rPr>
            </w:pPr>
            <w:r>
              <w:rPr>
                <w:sz w:val="4"/>
                <w:szCs w:val="4"/>
              </w:rPr>
            </w:r>
          </w:p>
        </w:tc>
      </w:tr>
      <w:tr>
        <w:trPr/>
        <w:tc>
          <w:tcPr>
            <w:tcW w:w="7738" w:type="dxa"/>
            <w:tcBorders/>
            <w:shd w:fill="auto" w:val="clear"/>
          </w:tcPr>
          <w:p>
            <w:pPr>
              <w:pStyle w:val="TableContents"/>
              <w:spacing w:before="0" w:after="0"/>
              <w:rPr>
                <w:rFonts w:ascii="Times New Roman" w:hAnsi="Times New Roman"/>
                <w:sz w:val="20"/>
              </w:rPr>
            </w:pPr>
            <w:r>
              <w:rPr>
                <w:rFonts w:ascii="Times New Roman" w:hAnsi="Times New Roman"/>
                <w:sz w:val="20"/>
              </w:rPr>
              <w:t>Management Fee payable under the Investment Advisory Agreement</w:t>
            </w:r>
          </w:p>
        </w:tc>
        <w:tc>
          <w:tcPr>
            <w:tcW w:w="4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pPr>
            <w:r>
              <w:rPr/>
              <w:t>3.17</w:t>
            </w:r>
          </w:p>
        </w:tc>
        <w:tc>
          <w:tcPr>
            <w:tcW w:w="554" w:type="dxa"/>
            <w:tcBorders/>
            <w:shd w:fill="auto" w:val="clear"/>
            <w:vAlign w:val="bottom"/>
          </w:tcPr>
          <w:p>
            <w:pPr>
              <w:pStyle w:val="TableContents"/>
              <w:spacing w:before="0" w:after="283"/>
              <w:rPr/>
            </w:pPr>
            <w:r>
              <w:rPr/>
              <w:t>%(5) </w:t>
            </w:r>
          </w:p>
        </w:tc>
      </w:tr>
      <w:tr>
        <w:trPr/>
        <w:tc>
          <w:tcPr>
            <w:tcW w:w="7738" w:type="dxa"/>
            <w:tcBorders/>
            <w:shd w:fill="CCEEFF" w:val="clear"/>
          </w:tcPr>
          <w:p>
            <w:pPr>
              <w:pStyle w:val="TableContents"/>
              <w:spacing w:before="0" w:after="0"/>
              <w:rPr>
                <w:rFonts w:ascii="Times New Roman" w:hAnsi="Times New Roman"/>
                <w:sz w:val="20"/>
              </w:rPr>
            </w:pPr>
            <w:r>
              <w:rPr>
                <w:rFonts w:ascii="Times New Roman" w:hAnsi="Times New Roman"/>
                <w:sz w:val="20"/>
              </w:rPr>
              <w:t>Incentive Fee payable under the Investment Advisory Agreement</w:t>
            </w:r>
          </w:p>
        </w:tc>
        <w:tc>
          <w:tcPr>
            <w:tcW w:w="47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3" w:type="dxa"/>
            <w:tcBorders/>
            <w:shd w:fill="CCEEFF" w:val="clear"/>
            <w:vAlign w:val="bottom"/>
          </w:tcPr>
          <w:p>
            <w:pPr>
              <w:pStyle w:val="TableContents"/>
              <w:spacing w:before="0" w:after="283"/>
              <w:jc w:val="right"/>
              <w:rPr/>
            </w:pPr>
            <w:r>
              <w:rPr/>
              <w:t>2.80</w:t>
            </w:r>
          </w:p>
        </w:tc>
        <w:tc>
          <w:tcPr>
            <w:tcW w:w="554" w:type="dxa"/>
            <w:tcBorders/>
            <w:shd w:fill="CCEEFF" w:val="clear"/>
            <w:vAlign w:val="bottom"/>
          </w:tcPr>
          <w:p>
            <w:pPr>
              <w:pStyle w:val="TableContents"/>
              <w:spacing w:before="0" w:after="283"/>
              <w:rPr/>
            </w:pPr>
            <w:r>
              <w:rPr/>
              <w:t>%(6) </w:t>
            </w:r>
          </w:p>
        </w:tc>
      </w:tr>
      <w:tr>
        <w:trPr/>
        <w:tc>
          <w:tcPr>
            <w:tcW w:w="7738" w:type="dxa"/>
            <w:tcBorders/>
            <w:shd w:fill="auto" w:val="clear"/>
          </w:tcPr>
          <w:p>
            <w:pPr>
              <w:pStyle w:val="TableContents"/>
              <w:spacing w:before="0" w:after="0"/>
              <w:rPr>
                <w:rFonts w:ascii="Times New Roman" w:hAnsi="Times New Roman"/>
                <w:sz w:val="20"/>
              </w:rPr>
            </w:pPr>
            <w:r>
              <w:rPr>
                <w:rFonts w:ascii="Times New Roman" w:hAnsi="Times New Roman"/>
                <w:sz w:val="20"/>
              </w:rPr>
              <w:t>Interest payments on borrowed funds</w:t>
            </w:r>
          </w:p>
        </w:tc>
        <w:tc>
          <w:tcPr>
            <w:tcW w:w="4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pPr>
            <w:r>
              <w:rPr/>
              <w:t>7.99</w:t>
            </w:r>
          </w:p>
        </w:tc>
        <w:tc>
          <w:tcPr>
            <w:tcW w:w="554" w:type="dxa"/>
            <w:tcBorders/>
            <w:shd w:fill="auto" w:val="clear"/>
            <w:vAlign w:val="bottom"/>
          </w:tcPr>
          <w:p>
            <w:pPr>
              <w:pStyle w:val="TableContents"/>
              <w:spacing w:before="0" w:after="283"/>
              <w:rPr/>
            </w:pPr>
            <w:r>
              <w:rPr/>
              <w:t>%(7) </w:t>
            </w:r>
          </w:p>
        </w:tc>
      </w:tr>
      <w:tr>
        <w:trPr/>
        <w:tc>
          <w:tcPr>
            <w:tcW w:w="7738" w:type="dxa"/>
            <w:tcBorders/>
            <w:shd w:fill="CCEEFF" w:val="clear"/>
          </w:tcPr>
          <w:p>
            <w:pPr>
              <w:pStyle w:val="TableContents"/>
              <w:spacing w:before="0" w:after="0"/>
              <w:rPr>
                <w:rFonts w:ascii="Times New Roman" w:hAnsi="Times New Roman"/>
                <w:sz w:val="20"/>
              </w:rPr>
            </w:pPr>
            <w:r>
              <w:rPr>
                <w:rFonts w:ascii="Times New Roman" w:hAnsi="Times New Roman"/>
                <w:sz w:val="20"/>
              </w:rPr>
              <w:t>Other expenses</w:t>
            </w:r>
          </w:p>
        </w:tc>
        <w:tc>
          <w:tcPr>
            <w:tcW w:w="47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563" w:type="dxa"/>
            <w:tcBorders/>
            <w:shd w:fill="CCEEFF" w:val="clear"/>
            <w:vAlign w:val="bottom"/>
          </w:tcPr>
          <w:p>
            <w:pPr>
              <w:pStyle w:val="TableContents"/>
              <w:spacing w:before="0" w:after="283"/>
              <w:jc w:val="right"/>
              <w:rPr/>
            </w:pPr>
            <w:r>
              <w:rPr/>
              <w:t>0.99</w:t>
            </w:r>
          </w:p>
        </w:tc>
        <w:tc>
          <w:tcPr>
            <w:tcW w:w="554" w:type="dxa"/>
            <w:tcBorders/>
            <w:shd w:fill="CCEEFF" w:val="clear"/>
            <w:vAlign w:val="bottom"/>
          </w:tcPr>
          <w:p>
            <w:pPr>
              <w:pStyle w:val="TableContents"/>
              <w:spacing w:before="0" w:after="283"/>
              <w:rPr/>
            </w:pPr>
            <w:r>
              <w:rPr/>
              <w:t>%(8) </w:t>
            </w:r>
          </w:p>
        </w:tc>
      </w:tr>
      <w:tr>
        <w:trPr/>
        <w:tc>
          <w:tcPr>
            <w:tcW w:w="7738" w:type="dxa"/>
            <w:tcBorders/>
            <w:shd w:fill="auto" w:val="clear"/>
          </w:tcPr>
          <w:p>
            <w:pPr>
              <w:pStyle w:val="TableContents"/>
              <w:spacing w:before="0" w:after="0"/>
              <w:rPr>
                <w:rFonts w:ascii="Times New Roman" w:hAnsi="Times New Roman"/>
                <w:sz w:val="20"/>
              </w:rPr>
            </w:pPr>
            <w:r>
              <w:rPr>
                <w:rFonts w:ascii="Times New Roman" w:hAnsi="Times New Roman"/>
                <w:sz w:val="20"/>
              </w:rPr>
              <w:t>Total annual expenses</w:t>
            </w:r>
          </w:p>
        </w:tc>
        <w:tc>
          <w:tcPr>
            <w:tcW w:w="47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3" w:type="dxa"/>
            <w:tcBorders/>
            <w:shd w:fill="auto" w:val="clear"/>
            <w:vAlign w:val="bottom"/>
          </w:tcPr>
          <w:p>
            <w:pPr>
              <w:pStyle w:val="TableContents"/>
              <w:spacing w:before="0" w:after="283"/>
              <w:jc w:val="right"/>
              <w:rPr/>
            </w:pPr>
            <w:r>
              <w:rPr/>
              <w:t>14.94</w:t>
            </w:r>
          </w:p>
        </w:tc>
        <w:tc>
          <w:tcPr>
            <w:tcW w:w="554" w:type="dxa"/>
            <w:tcBorders/>
            <w:shd w:fill="auto"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sales load (underwriting discount or commission) with respect to the shares of common stock sold in this offering, which is a one-time fee paid to the underwriters, is the only sales load paid in connection with this offering.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Amount reflects estimated offering expenses of approximately $             .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(3)</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expenses of the dividend reinvestment plan are included in Other expenses in the table above. The plan administrators fees will be paid by us. There are no brokerage charges or other charges to stockholders who participate in the plan, except that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 For additional information, see Dividend Reinvestment Plan, in the accompanying prospectus.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net assets attributable to common stock used to calculate the percentages in this table reflect our net assets of $1,356.0 million as of March 31, 2023.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Management Fee is 1.5% of the average value of our gross assets (including cash and cash equivalents and assets purchased with borrowed amounts) using the values at the end of the two most recently completed calendar quarters, adjusted for any share issuances or repurchases during the period. We may from time to time decide it is appropriate to change the terms of our Investment Advisory Agreement (as defined in the accompanying prospectus). Under the 1940 Act, any material change to our Investment Advisory Agreement must be submitted to stockholders for approval. See Management Agreements in Part I, Item 1 of our 2022 Annual Report and in Note 3 to our consolidated financial statements in our 2022 Annual Report and 1Q 2023 Quarterly Report. </w:t>
            </w:r>
          </w:p>
        </w:tc>
      </w:tr>
    </w:tbl>
    <w:p>
      <w:pPr>
        <w:pStyle w:val="TextBody"/>
        <w:spacing w:before="120" w:after="0"/>
        <w:jc w:val="left"/>
        <w:rPr>
          <w:rFonts w:ascii="Times New Roman" w:hAnsi="Times New Roman"/>
          <w:sz w:val="20"/>
        </w:rPr>
      </w:pPr>
      <w:r>
        <w:rPr>
          <w:rFonts w:ascii="Times New Roman" w:hAnsi="Times New Roman"/>
          <w:sz w:val="20"/>
        </w:rPr>
        <w:t xml:space="preserve">The Management Fee reflected in the table is calculated by determining the ratio that the Management Fee for the three months ended March 31, 2023 bears to our net assets attributable to common stock (rather than our gross assets). </w:t>
      </w:r>
    </w:p>
    <w:p>
      <w:pPr>
        <w:pStyle w:val="TextBody"/>
        <w:spacing w:before="120" w:after="0"/>
        <w:jc w:val="left"/>
        <w:rPr>
          <w:rFonts w:ascii="Times New Roman" w:hAnsi="Times New Roman"/>
          <w:sz w:val="20"/>
        </w:rPr>
      </w:pPr>
      <w:r>
        <w:rPr>
          <w:rFonts w:ascii="Times New Roman" w:hAnsi="Times New Roman"/>
          <w:sz w:val="20"/>
        </w:rPr>
        <w:t>From time to time, our Adviser voluntarily has waived certain Management Fees. See </w:t>
      </w:r>
      <w:r>
        <w:rPr>
          <w:rFonts w:ascii="Times New Roman" w:hAnsi="Times New Roman"/>
          <w:i/>
          <w:sz w:val="20"/>
        </w:rPr>
        <w:t>Managements Discussion and Analysis of Financial Condition and Results of OperationsResults of OperationsManagement Fees</w:t>
      </w:r>
      <w:r>
        <w:rPr>
          <w:rFonts w:ascii="Times New Roman" w:hAnsi="Times New Roman"/>
          <w:sz w:val="20"/>
        </w:rPr>
        <w:t xml:space="preserve"> in Part II, Item 2 of our 1Q 2023 Quarterly Report. The above estimates are based on our actual Management Fees for the three months ended March 31, 2023. For the three months ended March 31, 2023, Management Fees of $0.3 million were waived consisting solely of Management Fees pursuant to the Leverage Waiver. </w:t>
      </w:r>
    </w:p>
    <w:p>
      <w:pPr>
        <w:pStyle w:val="TextBody"/>
        <w:spacing w:before="120" w:after="0"/>
        <w:jc w:val="left"/>
        <w:rPr>
          <w:rFonts w:ascii="Times New Roman" w:hAnsi="Times New Roman"/>
          <w:sz w:val="20"/>
        </w:rPr>
      </w:pPr>
      <w:r>
        <w:rPr>
          <w:rFonts w:ascii="Times New Roman" w:hAnsi="Times New Roman"/>
          <w:sz w:val="20"/>
        </w:rPr>
        <w:t xml:space="preserve">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The Adviser waived Management Fees of $0.3 million for the three months ended March 31, 2023 pursuant to the Leverage Waiver. The Adviser did not waive Management Fees for the three months ended March 31, 2022.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(6)</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may have capital gains and interest income that could result in the payment of an Incentive Fee to the Adviser in the twelve months after the date of this prospectus supplement. The Incentive Fee payable in the example below is based upon our actual results for the three months ended March 31, 2023 and assumes that the Incentive Fee is 17.5% for all relevant periods. However, the Incentive Fee payable to the Adviser is based on our performance and will not be paid unless we achieve certain goals. </w:t>
            </w:r>
          </w:p>
        </w:tc>
      </w:tr>
    </w:tbl>
    <w:p>
      <w:pPr>
        <w:pStyle w:val="TextBody"/>
        <w:spacing w:before="240" w:after="0"/>
        <w:jc w:val="left"/>
        <w:rPr>
          <w:rFonts w:ascii="Times New Roman" w:hAnsi="Times New Roman"/>
          <w:sz w:val="20"/>
        </w:rPr>
      </w:pPr>
      <w:r>
        <w:rPr>
          <w:rFonts w:ascii="Times New Roman" w:hAnsi="Times New Roman"/>
          <w:sz w:val="20"/>
        </w:rPr>
        <w:t xml:space="preserve">The Incentive Fee consists of two parts, as follows: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(i)</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 </w:t>
            </w:r>
          </w:p>
        </w:tc>
      </w:tr>
    </w:tbl>
    <w:p>
      <w:pPr>
        <w:pStyle w:val="TextBody"/>
        <w:spacing w:before="120" w:after="0"/>
        <w:jc w:val="left"/>
        <w:rPr>
          <w:rFonts w:ascii="Times New Roman" w:hAnsi="Times New Roman"/>
          <w:sz w:val="20"/>
        </w:rPr>
      </w:pPr>
      <w:r>
        <w:rPr>
          <w:rFonts w:ascii="Times New Roman" w:hAnsi="Times New Roman"/>
          <w:sz w:val="20"/>
        </w:rPr>
        <w:t xml:space="preserve">Pre-Incentive Fee net investment income means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gains or losses.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(ii)</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capital gains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 As of March 31, 2020, there were no remaining investments that were made prior to April 1, 2014, and as a result, the Incentive Fee rate of 17.5% is applicable to any future realized capital gains. </w:t>
            </w:r>
          </w:p>
        </w:tc>
      </w:tr>
    </w:tbl>
    <w:p>
      <w:pPr>
        <w:pStyle w:val="TextBody"/>
        <w:spacing w:before="120" w:after="0"/>
        <w:jc w:val="left"/>
        <w:rPr>
          <w:rFonts w:ascii="Times New Roman" w:hAnsi="Times New Roman"/>
          <w:sz w:val="20"/>
        </w:rPr>
      </w:pPr>
      <w:r>
        <w:rPr>
          <w:rFonts w:ascii="Times New Roman" w:hAnsi="Times New Roman"/>
          <w:sz w:val="20"/>
        </w:rPr>
        <w:t xml:space="preserve">For purposes of determining whether pre-Incentive Fee net investment income exceeds the hurdle rate, pre-Incentive Fee net investment income is expressed as a rate of return on the value of our net assets at the end of the immediately preceding calendar quarter. </w:t>
      </w:r>
    </w:p>
    <w:p>
      <w:pPr>
        <w:pStyle w:val="TextBody"/>
        <w:spacing w:before="120" w:after="0"/>
        <w:jc w:val="left"/>
        <w:rPr>
          <w:rFonts w:ascii="Times New Roman" w:hAnsi="Times New Roman"/>
          <w:sz w:val="20"/>
        </w:rPr>
      </w:pPr>
      <w:r>
        <w:rPr>
          <w:rFonts w:ascii="Times New Roman" w:hAnsi="Times New Roman"/>
          <w:sz w:val="20"/>
        </w:rPr>
        <w:t xml:space="preserve">Pre-Incentive Fee net investment income does not include any realized capital gains, realized capital losses or unrealized capital gains or losses.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Section 205(b)(3) of the Advisers Act, as amended, prohibits the Adviser from receiving the payment of fees on unrealized gains until those gains are realized, if ever. There can be no assurance that such unrealized gains will be realized in the future. </w:t>
      </w:r>
    </w:p>
    <w:p>
      <w:pPr>
        <w:pStyle w:val="TextBody"/>
        <w:spacing w:before="120" w:after="0"/>
        <w:jc w:val="left"/>
        <w:rPr>
          <w:rFonts w:ascii="Times New Roman" w:hAnsi="Times New Roman"/>
          <w:sz w:val="20"/>
        </w:rPr>
      </w:pPr>
      <w:r>
        <w:rPr>
          <w:rFonts w:ascii="Times New Roman" w:hAnsi="Times New Roman"/>
          <w:sz w:val="20"/>
        </w:rPr>
        <w:t xml:space="preserve">See Note 3 to our consolidated financial statements in our 1Q 2023 Quarterly Report and Agreements and Related Party Transactions Administration Agreement; Investment Advisory Agreement; in Part I, Item 1 of our 1Q 2023 Quarterly Report. </w:t>
      </w:r>
    </w:p>
    <w:p>
      <w:pPr>
        <w:pStyle w:val="TextBody"/>
        <w:spacing w:before="120" w:after="0"/>
        <w:jc w:val="left"/>
        <w:rPr>
          <w:rFonts w:ascii="Times New Roman" w:hAnsi="Times New Roman"/>
          <w:sz w:val="20"/>
        </w:rPr>
      </w:pPr>
      <w:r>
        <w:rPr>
          <w:rFonts w:ascii="Times New Roman" w:hAnsi="Times New Roman"/>
          <w:sz w:val="20"/>
        </w:rPr>
        <w:t xml:space="preserve">From time to time, our Adviser has voluntarily waived certain Incentive Fees. See Managements Discussion and Analysis of Financial Condition and Results of OperationsResults of OperationsIncentive Fees in Part II, Item 2 of our 1Q 2023 Quarterly Report. The above estimates do not reflect or assume any such waivers.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(7)</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Interest payments on borrowed funds is based on our interest expense for the three months ended March 31, 2023 under our credit facilities excluding fees (such as fees on undrawn amounts and amortization of upfront fees) and including the swap-adjusted interest expense related to our 2024 Notes and 2026 Notes.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On October 8, 2018, our stockholders approved the application of the minimum asset coverage ratio of 150% to us, as set forth in Section 61(a)(2) of the 1940 Act, as amended by the SBCAA. Our stockholders indirectly bear the costs of borrowings under any debt instruments we may enter into.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(8)</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Includes our overhead expenses, such as payments under the Administration Agreement for certain expenses incurred by the Adviser, and excise taxes. See Agreements and Related Party Transactions Administration Agreement; Investment Advisory Agreement; in Part I, Item 1 of our 1Q 2023 Quarterly Report and Note 3 to our consolidated financial statements in our 1Q 2023 Annual Report. The expenses in this table are based on our actual other expenses and excise taxes for the year ended March 31, 2023. </w:t>
            </w:r>
          </w:p>
        </w:tc>
      </w:tr>
    </w:tbl>
    <w:p>
      <w:pPr>
        <w:pStyle w:val="TextBody"/>
        <w:spacing w:before="360" w:after="0"/>
        <w:jc w:val="left"/>
        <w:rPr>
          <w:rFonts w:ascii="Times New Roman" w:hAnsi="Times New Roman"/>
          <w:b/>
          <w:sz w:val="20"/>
        </w:rPr>
      </w:pPr>
      <w:r>
        <w:rPr>
          <w:rFonts w:ascii="Times New Roman" w:hAnsi="Times New Roman"/>
          <w:b/>
          <w:sz w:val="20"/>
        </w:rPr>
        <w:t xml:space="preserve">Example </w:t>
      </w:r>
    </w:p>
    <w:p>
      <w:pPr>
        <w:pStyle w:val="TextBody"/>
        <w:spacing w:before="120" w:after="0"/>
        <w:jc w:val="left"/>
        <w:rPr>
          <w:rFonts w:ascii="Times New Roman" w:hAnsi="Times New Roman"/>
          <w:sz w:val="20"/>
        </w:rPr>
      </w:pPr>
      <w:r>
        <w:rPr>
          <w:rFonts w:ascii="Times New Roman" w:hAnsi="Times New Roman"/>
          <w:sz w:val="20"/>
        </w:rPr>
        <w:t xml:space="preserve">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The Incentive Fee payable in the example below assumes that the Incentive Fee is 17.5% for all relevant periods. Transaction expenses are not included in the following example.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4576"/>
        <w:gridCol w:w="377"/>
        <w:gridCol w:w="227"/>
        <w:gridCol w:w="437"/>
        <w:gridCol w:w="60"/>
        <w:gridCol w:w="377"/>
        <w:gridCol w:w="199"/>
        <w:gridCol w:w="544"/>
        <w:gridCol w:w="60"/>
        <w:gridCol w:w="377"/>
        <w:gridCol w:w="199"/>
        <w:gridCol w:w="544"/>
        <w:gridCol w:w="60"/>
        <w:gridCol w:w="377"/>
        <w:gridCol w:w="231"/>
        <w:gridCol w:w="677"/>
        <w:gridCol w:w="66"/>
      </w:tblGrid>
      <w:tr>
        <w:trPr/>
        <w:tc>
          <w:tcPr>
            <w:tcW w:w="4576"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bottom"/>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bottom"/>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bottom"/>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bottom"/>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677"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r>
      <w:tr>
        <w:trPr/>
        <w:tc>
          <w:tcPr>
            <w:tcW w:w="4576"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66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1 year</w:t>
            </w:r>
          </w:p>
        </w:tc>
        <w:tc>
          <w:tcPr>
            <w:tcW w:w="60"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74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3 years</w:t>
            </w:r>
          </w:p>
        </w:tc>
        <w:tc>
          <w:tcPr>
            <w:tcW w:w="60"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74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5 years</w:t>
            </w:r>
          </w:p>
        </w:tc>
        <w:tc>
          <w:tcPr>
            <w:tcW w:w="60" w:type="dxa"/>
            <w:tcBorders/>
            <w:shd w:fill="auto" w:val="clear"/>
            <w:vAlign w:val="bottom"/>
          </w:tcPr>
          <w:p>
            <w:pPr>
              <w:pStyle w:val="TableContents"/>
              <w:spacing w:before="0" w:after="283"/>
              <w:rPr/>
            </w:pPr>
            <w:r>
              <w:rPr/>
              <w:t> </w:t>
            </w:r>
          </w:p>
        </w:tc>
        <w:tc>
          <w:tcPr>
            <w:tcW w:w="377" w:type="dxa"/>
            <w:tcBorders/>
            <w:shd w:fill="auto" w:val="clear"/>
            <w:vAlign w:val="bottom"/>
          </w:tcPr>
          <w:p>
            <w:pPr>
              <w:pStyle w:val="TableContents"/>
              <w:spacing w:before="0" w:after="283"/>
              <w:rPr/>
            </w:pPr>
            <w:r>
              <w:rPr/>
              <w:t>  </w:t>
            </w:r>
          </w:p>
        </w:tc>
        <w:tc>
          <w:tcPr>
            <w:tcW w:w="90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10 years</w:t>
            </w:r>
          </w:p>
        </w:tc>
        <w:tc>
          <w:tcPr>
            <w:tcW w:w="66" w:type="dxa"/>
            <w:tcBorders/>
            <w:shd w:fill="auto" w:val="clear"/>
            <w:vAlign w:val="bottom"/>
          </w:tcPr>
          <w:p>
            <w:pPr>
              <w:pStyle w:val="TableContents"/>
              <w:spacing w:before="0" w:after="283"/>
              <w:rPr/>
            </w:pPr>
            <w:r>
              <w:rPr/>
              <w:t> </w:t>
            </w:r>
          </w:p>
        </w:tc>
      </w:tr>
      <w:tr>
        <w:trPr/>
        <w:tc>
          <w:tcPr>
            <w:tcW w:w="4576" w:type="dxa"/>
            <w:tcBorders/>
            <w:shd w:fill="CCEEFF" w:val="clear"/>
          </w:tcPr>
          <w:p>
            <w:pPr>
              <w:pStyle w:val="TableContents"/>
              <w:spacing w:before="0" w:after="0"/>
              <w:rPr>
                <w:rFonts w:ascii="Times New Roman" w:hAnsi="Times New Roman"/>
                <w:sz w:val="20"/>
              </w:rPr>
            </w:pPr>
            <w:r>
              <w:rPr>
                <w:rFonts w:ascii="Times New Roman" w:hAnsi="Times New Roman"/>
                <w:sz w:val="20"/>
              </w:rPr>
              <w:t>You would pay the following expenses on a $1,000 common stock investment, assuming a 5% annual return from realized capital gains</w:t>
            </w:r>
          </w:p>
        </w:tc>
        <w:tc>
          <w:tcPr>
            <w:tcW w:w="377"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w:t>
            </w:r>
          </w:p>
        </w:tc>
        <w:tc>
          <w:tcPr>
            <w:tcW w:w="437" w:type="dxa"/>
            <w:tcBorders/>
            <w:shd w:fill="CCEEFF" w:val="clear"/>
            <w:vAlign w:val="bottom"/>
          </w:tcPr>
          <w:p>
            <w:pPr>
              <w:pStyle w:val="TableContents"/>
              <w:spacing w:before="0" w:after="283"/>
              <w:jc w:val="right"/>
              <w:rPr/>
            </w:pPr>
            <w:r>
              <w:rPr/>
              <w:t>88</w:t>
            </w:r>
          </w:p>
        </w:tc>
        <w:tc>
          <w:tcPr>
            <w:tcW w:w="60"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w:t>
            </w:r>
          </w:p>
        </w:tc>
        <w:tc>
          <w:tcPr>
            <w:tcW w:w="544" w:type="dxa"/>
            <w:tcBorders/>
            <w:shd w:fill="CCEEFF" w:val="clear"/>
            <w:vAlign w:val="bottom"/>
          </w:tcPr>
          <w:p>
            <w:pPr>
              <w:pStyle w:val="TableContents"/>
              <w:spacing w:before="0" w:after="283"/>
              <w:jc w:val="right"/>
              <w:rPr/>
            </w:pPr>
            <w:r>
              <w:rPr/>
              <w:t>253</w:t>
            </w:r>
          </w:p>
        </w:tc>
        <w:tc>
          <w:tcPr>
            <w:tcW w:w="60"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w:t>
            </w:r>
          </w:p>
        </w:tc>
        <w:tc>
          <w:tcPr>
            <w:tcW w:w="544" w:type="dxa"/>
            <w:tcBorders/>
            <w:shd w:fill="CCEEFF" w:val="clear"/>
            <w:vAlign w:val="bottom"/>
          </w:tcPr>
          <w:p>
            <w:pPr>
              <w:pStyle w:val="TableContents"/>
              <w:spacing w:before="0" w:after="283"/>
              <w:jc w:val="right"/>
              <w:rPr/>
            </w:pPr>
            <w:r>
              <w:rPr/>
              <w:t>407</w:t>
            </w:r>
          </w:p>
        </w:tc>
        <w:tc>
          <w:tcPr>
            <w:tcW w:w="60" w:type="dxa"/>
            <w:tcBorders/>
            <w:shd w:fill="CCEEFF" w:val="clear"/>
            <w:vAlign w:val="bottom"/>
          </w:tcPr>
          <w:p>
            <w:pPr>
              <w:pStyle w:val="TableContents"/>
              <w:spacing w:before="0" w:after="283"/>
              <w:rPr/>
            </w:pPr>
            <w:r>
              <w:rPr/>
              <w:t> </w:t>
            </w:r>
          </w:p>
        </w:tc>
        <w:tc>
          <w:tcPr>
            <w:tcW w:w="377"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w:t>
            </w:r>
          </w:p>
        </w:tc>
        <w:tc>
          <w:tcPr>
            <w:tcW w:w="677" w:type="dxa"/>
            <w:tcBorders/>
            <w:shd w:fill="CCEEFF" w:val="clear"/>
            <w:vAlign w:val="bottom"/>
          </w:tcPr>
          <w:p>
            <w:pPr>
              <w:pStyle w:val="TableContents"/>
              <w:spacing w:before="0" w:after="283"/>
              <w:jc w:val="right"/>
              <w:rPr/>
            </w:pPr>
            <w:r>
              <w:rPr/>
              <w:t>742</w:t>
            </w:r>
          </w:p>
        </w:tc>
        <w:tc>
          <w:tcPr>
            <w:tcW w:w="66" w:type="dxa"/>
            <w:tcBorders/>
            <w:shd w:fill="CCEEFF" w:val="clear"/>
            <w:vAlign w:val="bottom"/>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in the accompanying prospectus for additional information regarding our dividend reinvestment plan. </w:t>
      </w:r>
    </w:p>
    <w:p>
      <w:pPr>
        <w:pStyle w:val="TextBody"/>
        <w:spacing w:before="240" w:after="0"/>
        <w:jc w:val="left"/>
        <w:rPr>
          <w:rFonts w:ascii="Times New Roman" w:hAnsi="Times New Roman"/>
          <w:b/>
          <w:sz w:val="20"/>
        </w:rPr>
      </w:pPr>
      <w:r>
        <w:rPr>
          <w:rFonts w:ascii="Times New Roman" w:hAnsi="Times New Roman"/>
          <w:b/>
          <w:sz w:val="20"/>
        </w:rPr>
        <w:t xml:space="preserve">This example and the expenses in the table above should not be considered a representation of our future expenses, and actual expenses (including the cost of debt, if any, and other expenses) may be greater or less than those shown.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8" w:name="supp451583_6"/>
      <w:bookmarkEnd w:id="8"/>
      <w:r>
        <w:rPr>
          <w:rFonts w:ascii="Times New Roman" w:hAnsi="Times New Roman"/>
          <w:b/>
          <w:sz w:val="20"/>
        </w:rPr>
        <w:t xml:space="preserve">USE OF PROCEEDS </w:t>
      </w:r>
    </w:p>
    <w:p>
      <w:pPr>
        <w:pStyle w:val="TextBody"/>
        <w:spacing w:before="240" w:after="0"/>
        <w:jc w:val="left"/>
        <w:rPr>
          <w:rFonts w:ascii="Times New Roman" w:hAnsi="Times New Roman"/>
          <w:sz w:val="20"/>
        </w:rPr>
      </w:pPr>
      <w:r>
        <w:rPr>
          <w:rFonts w:ascii="Times New Roman" w:hAnsi="Times New Roman"/>
          <w:sz w:val="20"/>
        </w:rPr>
        <w:t xml:space="preserve">We estimate that the net proceeds we will receive from the sale of 4,500,000 shares of our common stock in this offering will be approximately $                million (or approximately $                million if the underwriters fully exercise their option to purchase additional shares), in each case after deducting the underwriting discounts and commissions and estimated offering expenses payable by us. </w:t>
      </w:r>
    </w:p>
    <w:p>
      <w:pPr>
        <w:pStyle w:val="TextBody"/>
        <w:spacing w:before="240" w:after="0"/>
        <w:jc w:val="left"/>
        <w:rPr>
          <w:rFonts w:ascii="Times New Roman" w:hAnsi="Times New Roman"/>
          <w:sz w:val="20"/>
        </w:rPr>
      </w:pPr>
      <w:r>
        <w:rPr>
          <w:rFonts w:ascii="Times New Roman" w:hAnsi="Times New Roman"/>
          <w:sz w:val="20"/>
        </w:rPr>
        <w:t xml:space="preserve">We intend to use 100% of the net proceeds of this offering to pay down a portion of the outstanding indebtedness on the Revolving Credit Facility on or about the date of the closing of this offering. As of March 31, 2023, aggregate commitments under the facility were $1.585 billion. However, through reborrowing under the Revolving Credit Facility, we intend to make new investments in accordance with our investment objective and strategies described in this prospectus supplement and the accompanying prospectus. The stated maturity date of the Revolving Credit Facility is April 23, 2027 with respect to $1.510 billion of commitments, January 31, 2025 for $25.0 million of commitments, and February 4, 2026 for $50.0 million of commitments. As of March 31, 2023, amounts drawn under the facility bear interest at either the applicable reference rate plus an applicable credit spread adjustment, plus a margin of either 1.75% or 1.875%, or the base rate plus a margin of either 0.75% or 0.875%. See Managements Discussion and Analysis of Financial Condition and Results of OperationsFinancial Condition, Liquidity and Capital ResourcesRevolving Credit Facility in Part II, Item 2 of our 1Q 2023 Quarterly Report. </w:t>
      </w:r>
    </w:p>
    <w:p>
      <w:pPr>
        <w:pStyle w:val="TextBody"/>
        <w:spacing w:before="240" w:after="0"/>
        <w:jc w:val="left"/>
        <w:rPr>
          <w:rFonts w:ascii="Times New Roman" w:hAnsi="Times New Roman"/>
          <w:sz w:val="20"/>
        </w:rPr>
      </w:pPr>
      <w:r>
        <w:rPr>
          <w:rFonts w:ascii="Times New Roman" w:hAnsi="Times New Roman"/>
          <w:sz w:val="20"/>
        </w:rPr>
        <w:t xml:space="preserve">Affiliates of certain underwriters are lenders under the Revolving Credit Facility. Accordingly, affiliates of certain of the underwriters may receive more than 5% of the proceeds of this offering to the extent the proceeds are used to pay down a portion of the outstanding indebtedness under the Revolving Credit Facility.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9" w:name="supp451583_7"/>
      <w:bookmarkEnd w:id="9"/>
      <w:r>
        <w:rPr>
          <w:rFonts w:ascii="Times New Roman" w:hAnsi="Times New Roman"/>
          <w:b/>
          <w:sz w:val="20"/>
        </w:rPr>
        <w:t xml:space="preserve">CAPITALIZATION </w:t>
      </w:r>
    </w:p>
    <w:p>
      <w:pPr>
        <w:pStyle w:val="TextBody"/>
        <w:spacing w:before="240" w:after="0"/>
        <w:jc w:val="left"/>
        <w:rPr>
          <w:rFonts w:ascii="Times New Roman" w:hAnsi="Times New Roman"/>
          <w:sz w:val="20"/>
        </w:rPr>
      </w:pPr>
      <w:r>
        <w:rPr>
          <w:rFonts w:ascii="Times New Roman" w:hAnsi="Times New Roman"/>
          <w:sz w:val="20"/>
        </w:rPr>
        <w:t xml:space="preserve">The following table sets forth our consolidated capitalization at March 31, 2023. You should read this table together with Use of Proceeds described in this prospectus supplement and our most recent balance sheet included in our 1Q 2023 Quarterly Report incorporated by reference in this prospectus supplement.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4023"/>
        <w:gridCol w:w="489"/>
        <w:gridCol w:w="274"/>
        <w:gridCol w:w="1995"/>
        <w:gridCol w:w="158"/>
      </w:tblGrid>
      <w:tr>
        <w:trPr/>
        <w:tc>
          <w:tcPr>
            <w:tcW w:w="4023"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bottom"/>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1995"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4023" w:type="dxa"/>
            <w:tcBorders/>
            <w:shd w:fill="auto" w:val="clear"/>
            <w:vAlign w:val="bottom"/>
          </w:tcPr>
          <w:p>
            <w:pPr>
              <w:pStyle w:val="TableContents"/>
              <w:spacing w:before="0" w:after="283"/>
              <w:rPr/>
            </w:pPr>
            <w:r>
              <w:rPr/>
              <w:t> </w:t>
            </w:r>
          </w:p>
        </w:tc>
        <w:tc>
          <w:tcPr>
            <w:tcW w:w="489" w:type="dxa"/>
            <w:tcBorders/>
            <w:shd w:fill="auto" w:val="clear"/>
            <w:vAlign w:val="bottom"/>
          </w:tcPr>
          <w:p>
            <w:pPr>
              <w:pStyle w:val="TableContents"/>
              <w:spacing w:before="0" w:after="283"/>
              <w:rPr/>
            </w:pPr>
            <w:r>
              <w:rPr/>
              <w:t>  </w:t>
            </w:r>
          </w:p>
        </w:tc>
        <w:tc>
          <w:tcPr>
            <w:tcW w:w="226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 of March 31, 2023</w:t>
            </w:r>
          </w:p>
        </w:tc>
        <w:tc>
          <w:tcPr>
            <w:tcW w:w="158" w:type="dxa"/>
            <w:tcBorders/>
            <w:shd w:fill="auto" w:val="clear"/>
            <w:vAlign w:val="bottom"/>
          </w:tcPr>
          <w:p>
            <w:pPr>
              <w:pStyle w:val="TableContents"/>
              <w:spacing w:before="0" w:after="283"/>
              <w:rPr/>
            </w:pPr>
            <w:r>
              <w:rPr/>
              <w:t> </w:t>
            </w:r>
          </w:p>
        </w:tc>
      </w:tr>
      <w:tr>
        <w:trPr/>
        <w:tc>
          <w:tcPr>
            <w:tcW w:w="4023" w:type="dxa"/>
            <w:tcBorders/>
            <w:shd w:fill="CCEEFF" w:val="clear"/>
          </w:tcPr>
          <w:p>
            <w:pPr>
              <w:pStyle w:val="TableContents"/>
              <w:spacing w:before="0" w:after="0"/>
              <w:rPr>
                <w:rFonts w:ascii="Times New Roman" w:hAnsi="Times New Roman"/>
                <w:b/>
                <w:sz w:val="20"/>
              </w:rPr>
            </w:pPr>
            <w:r>
              <w:rPr>
                <w:rFonts w:ascii="Times New Roman" w:hAnsi="Times New Roman"/>
                <w:b/>
                <w:sz w:val="20"/>
              </w:rPr>
              <w:t>(Amounts in thousands, except share and per share amounts)</w:t>
            </w:r>
          </w:p>
        </w:tc>
        <w:tc>
          <w:tcPr>
            <w:tcW w:w="489"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sz w:val="4"/>
                <w:szCs w:val="4"/>
              </w:rPr>
            </w:pPr>
            <w:r>
              <w:rPr>
                <w:sz w:val="4"/>
                <w:szCs w:val="4"/>
              </w:rPr>
            </w:r>
          </w:p>
        </w:tc>
        <w:tc>
          <w:tcPr>
            <w:tcW w:w="1995" w:type="dxa"/>
            <w:tcBorders/>
            <w:shd w:fill="CCEEFF" w:val="clear"/>
            <w:vAlign w:val="bottom"/>
          </w:tcPr>
          <w:p>
            <w:pPr>
              <w:pStyle w:val="TableContents"/>
              <w:spacing w:before="0" w:after="283"/>
              <w:rPr>
                <w:sz w:val="4"/>
                <w:szCs w:val="4"/>
              </w:rPr>
            </w:pPr>
            <w:r>
              <w:rPr>
                <w:sz w:val="4"/>
                <w:szCs w:val="4"/>
              </w:rPr>
            </w:r>
          </w:p>
        </w:tc>
        <w:tc>
          <w:tcPr>
            <w:tcW w:w="158" w:type="dxa"/>
            <w:tcBorders/>
            <w:shd w:fill="CCEEFF" w:val="clear"/>
            <w:vAlign w:val="bottom"/>
          </w:tcPr>
          <w:p>
            <w:pPr>
              <w:pStyle w:val="TableContents"/>
              <w:spacing w:before="0" w:after="283"/>
              <w:rPr>
                <w:sz w:val="4"/>
                <w:szCs w:val="4"/>
              </w:rPr>
            </w:pPr>
            <w:r>
              <w:rPr>
                <w:sz w:val="4"/>
                <w:szCs w:val="4"/>
              </w:rPr>
            </w:r>
          </w:p>
        </w:tc>
      </w:tr>
      <w:tr>
        <w:trPr/>
        <w:tc>
          <w:tcPr>
            <w:tcW w:w="4023" w:type="dxa"/>
            <w:tcBorders/>
            <w:shd w:fill="auto" w:val="clear"/>
          </w:tcPr>
          <w:p>
            <w:pPr>
              <w:pStyle w:val="TableContents"/>
              <w:spacing w:before="0" w:after="0"/>
              <w:rPr>
                <w:rFonts w:ascii="Times New Roman" w:hAnsi="Times New Roman"/>
                <w:sz w:val="20"/>
              </w:rPr>
            </w:pPr>
            <w:r>
              <w:rPr>
                <w:rFonts w:ascii="Times New Roman" w:hAnsi="Times New Roman"/>
                <w:sz w:val="20"/>
              </w:rPr>
              <w:t>Cash and cash equivalents</w:t>
            </w:r>
          </w:p>
        </w:tc>
        <w:tc>
          <w:tcPr>
            <w:tcW w:w="489"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w:t>
            </w:r>
          </w:p>
        </w:tc>
        <w:tc>
          <w:tcPr>
            <w:tcW w:w="1995" w:type="dxa"/>
            <w:tcBorders/>
            <w:shd w:fill="auto" w:val="clear"/>
            <w:vAlign w:val="bottom"/>
          </w:tcPr>
          <w:p>
            <w:pPr>
              <w:pStyle w:val="TableContents"/>
              <w:spacing w:before="0" w:after="283"/>
              <w:jc w:val="right"/>
              <w:rPr/>
            </w:pPr>
            <w:r>
              <w:rPr/>
              <w:t>25,737</w:t>
            </w:r>
          </w:p>
        </w:tc>
        <w:tc>
          <w:tcPr>
            <w:tcW w:w="158" w:type="dxa"/>
            <w:tcBorders/>
            <w:shd w:fill="auto" w:val="clear"/>
            <w:vAlign w:val="bottom"/>
          </w:tcPr>
          <w:p>
            <w:pPr>
              <w:pStyle w:val="TableContents"/>
              <w:spacing w:before="0" w:after="283"/>
              <w:rPr/>
            </w:pPr>
            <w:r>
              <w:rPr/>
              <w:t> </w:t>
            </w:r>
          </w:p>
        </w:tc>
      </w:tr>
      <w:tr>
        <w:trPr/>
        <w:tc>
          <w:tcPr>
            <w:tcW w:w="4023" w:type="dxa"/>
            <w:tcBorders/>
            <w:shd w:fill="CCEEFF" w:val="clear"/>
          </w:tcPr>
          <w:p>
            <w:pPr>
              <w:pStyle w:val="TableContents"/>
              <w:spacing w:before="0" w:after="0"/>
              <w:rPr>
                <w:rFonts w:ascii="Times New Roman" w:hAnsi="Times New Roman"/>
                <w:b/>
                <w:sz w:val="20"/>
              </w:rPr>
            </w:pPr>
            <w:r>
              <w:rPr>
                <w:rFonts w:ascii="Times New Roman" w:hAnsi="Times New Roman"/>
                <w:b/>
                <w:sz w:val="20"/>
              </w:rPr>
              <w:t>Debt(1)</w:t>
            </w:r>
          </w:p>
        </w:tc>
        <w:tc>
          <w:tcPr>
            <w:tcW w:w="489"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sz w:val="4"/>
                <w:szCs w:val="4"/>
              </w:rPr>
            </w:pPr>
            <w:r>
              <w:rPr>
                <w:sz w:val="4"/>
                <w:szCs w:val="4"/>
              </w:rPr>
            </w:r>
          </w:p>
        </w:tc>
        <w:tc>
          <w:tcPr>
            <w:tcW w:w="1995" w:type="dxa"/>
            <w:tcBorders/>
            <w:shd w:fill="CCEEFF" w:val="clear"/>
            <w:vAlign w:val="bottom"/>
          </w:tcPr>
          <w:p>
            <w:pPr>
              <w:pStyle w:val="TableContents"/>
              <w:spacing w:before="0" w:after="283"/>
              <w:rPr>
                <w:sz w:val="4"/>
                <w:szCs w:val="4"/>
              </w:rPr>
            </w:pPr>
            <w:r>
              <w:rPr>
                <w:sz w:val="4"/>
                <w:szCs w:val="4"/>
              </w:rPr>
            </w:r>
          </w:p>
        </w:tc>
        <w:tc>
          <w:tcPr>
            <w:tcW w:w="158" w:type="dxa"/>
            <w:tcBorders/>
            <w:shd w:fill="CCEEFF" w:val="clear"/>
            <w:vAlign w:val="bottom"/>
          </w:tcPr>
          <w:p>
            <w:pPr>
              <w:pStyle w:val="TableContents"/>
              <w:spacing w:before="0" w:after="283"/>
              <w:rPr>
                <w:sz w:val="4"/>
                <w:szCs w:val="4"/>
              </w:rPr>
            </w:pPr>
            <w:r>
              <w:rPr>
                <w:sz w:val="4"/>
                <w:szCs w:val="4"/>
              </w:rPr>
            </w:r>
          </w:p>
        </w:tc>
      </w:tr>
      <w:tr>
        <w:trPr/>
        <w:tc>
          <w:tcPr>
            <w:tcW w:w="4023" w:type="dxa"/>
            <w:tcBorders/>
            <w:shd w:fill="auto" w:val="clear"/>
          </w:tcPr>
          <w:p>
            <w:pPr>
              <w:pStyle w:val="TableContents"/>
              <w:spacing w:before="0" w:after="0"/>
              <w:rPr>
                <w:rFonts w:ascii="Times New Roman" w:hAnsi="Times New Roman"/>
                <w:sz w:val="20"/>
              </w:rPr>
            </w:pPr>
            <w:r>
              <w:rPr>
                <w:rFonts w:ascii="Times New Roman" w:hAnsi="Times New Roman"/>
                <w:sz w:val="20"/>
              </w:rPr>
              <w:t>Revolving Credit Facility</w:t>
            </w:r>
          </w:p>
        </w:tc>
        <w:tc>
          <w:tcPr>
            <w:tcW w:w="489"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995" w:type="dxa"/>
            <w:tcBorders/>
            <w:shd w:fill="auto" w:val="clear"/>
            <w:vAlign w:val="bottom"/>
          </w:tcPr>
          <w:p>
            <w:pPr>
              <w:pStyle w:val="TableContents"/>
              <w:spacing w:before="0" w:after="283"/>
              <w:jc w:val="right"/>
              <w:rPr/>
            </w:pPr>
            <w:r>
              <w:rPr/>
              <w:t>981,889</w:t>
            </w:r>
          </w:p>
        </w:tc>
        <w:tc>
          <w:tcPr>
            <w:tcW w:w="158" w:type="dxa"/>
            <w:tcBorders/>
            <w:shd w:fill="auto" w:val="clear"/>
            <w:vAlign w:val="bottom"/>
          </w:tcPr>
          <w:p>
            <w:pPr>
              <w:pStyle w:val="TableContents"/>
              <w:spacing w:before="0" w:after="283"/>
              <w:rPr/>
            </w:pPr>
            <w:r>
              <w:rPr/>
              <w:t> </w:t>
            </w:r>
          </w:p>
        </w:tc>
      </w:tr>
      <w:tr>
        <w:trPr/>
        <w:tc>
          <w:tcPr>
            <w:tcW w:w="4023" w:type="dxa"/>
            <w:tcBorders/>
            <w:shd w:fill="CCEEFF" w:val="clear"/>
          </w:tcPr>
          <w:p>
            <w:pPr>
              <w:pStyle w:val="TableContents"/>
              <w:spacing w:before="0" w:after="0"/>
              <w:rPr>
                <w:rFonts w:ascii="Times New Roman" w:hAnsi="Times New Roman"/>
                <w:sz w:val="20"/>
              </w:rPr>
            </w:pPr>
            <w:r>
              <w:rPr>
                <w:rFonts w:ascii="Times New Roman" w:hAnsi="Times New Roman"/>
                <w:sz w:val="20"/>
              </w:rPr>
              <w:t>2024 Notes</w:t>
            </w:r>
          </w:p>
        </w:tc>
        <w:tc>
          <w:tcPr>
            <w:tcW w:w="489"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1995" w:type="dxa"/>
            <w:tcBorders/>
            <w:shd w:fill="CCEEFF" w:val="clear"/>
            <w:vAlign w:val="bottom"/>
          </w:tcPr>
          <w:p>
            <w:pPr>
              <w:pStyle w:val="TableContents"/>
              <w:spacing w:before="0" w:after="283"/>
              <w:jc w:val="right"/>
              <w:rPr/>
            </w:pPr>
            <w:r>
              <w:rPr/>
              <w:t>347,500</w:t>
            </w:r>
          </w:p>
        </w:tc>
        <w:tc>
          <w:tcPr>
            <w:tcW w:w="158" w:type="dxa"/>
            <w:tcBorders/>
            <w:shd w:fill="CCEEFF" w:val="clear"/>
            <w:vAlign w:val="bottom"/>
          </w:tcPr>
          <w:p>
            <w:pPr>
              <w:pStyle w:val="TableContents"/>
              <w:spacing w:before="0" w:after="283"/>
              <w:rPr/>
            </w:pPr>
            <w:r>
              <w:rPr/>
              <w:t> </w:t>
            </w:r>
          </w:p>
        </w:tc>
      </w:tr>
      <w:tr>
        <w:trPr/>
        <w:tc>
          <w:tcPr>
            <w:tcW w:w="4023" w:type="dxa"/>
            <w:tcBorders/>
            <w:shd w:fill="auto" w:val="clear"/>
          </w:tcPr>
          <w:p>
            <w:pPr>
              <w:pStyle w:val="TableContents"/>
              <w:spacing w:before="0" w:after="0"/>
              <w:rPr>
                <w:rFonts w:ascii="Times New Roman" w:hAnsi="Times New Roman"/>
                <w:sz w:val="20"/>
              </w:rPr>
            </w:pPr>
            <w:r>
              <w:rPr>
                <w:rFonts w:ascii="Times New Roman" w:hAnsi="Times New Roman"/>
                <w:sz w:val="20"/>
              </w:rPr>
              <w:t>2026 Notes</w:t>
            </w:r>
          </w:p>
        </w:tc>
        <w:tc>
          <w:tcPr>
            <w:tcW w:w="489"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995" w:type="dxa"/>
            <w:tcBorders/>
            <w:shd w:fill="auto" w:val="clear"/>
            <w:vAlign w:val="bottom"/>
          </w:tcPr>
          <w:p>
            <w:pPr>
              <w:pStyle w:val="TableContents"/>
              <w:spacing w:before="0" w:after="283"/>
              <w:jc w:val="right"/>
              <w:rPr/>
            </w:pPr>
            <w:r>
              <w:rPr/>
              <w:t>300,000</w:t>
            </w:r>
          </w:p>
        </w:tc>
        <w:tc>
          <w:tcPr>
            <w:tcW w:w="158" w:type="dxa"/>
            <w:tcBorders/>
            <w:shd w:fill="auto" w:val="clear"/>
            <w:vAlign w:val="bottom"/>
          </w:tcPr>
          <w:p>
            <w:pPr>
              <w:pStyle w:val="TableContents"/>
              <w:spacing w:before="0" w:after="283"/>
              <w:rPr/>
            </w:pPr>
            <w:r>
              <w:rPr/>
              <w:t> </w:t>
            </w:r>
          </w:p>
        </w:tc>
      </w:tr>
      <w:tr>
        <w:trPr/>
        <w:tc>
          <w:tcPr>
            <w:tcW w:w="4023" w:type="dxa"/>
            <w:tcBorders/>
            <w:shd w:fill="CCEEFF" w:val="clear"/>
          </w:tcPr>
          <w:p>
            <w:pPr>
              <w:pStyle w:val="TableContents"/>
              <w:spacing w:before="0" w:after="0"/>
              <w:rPr>
                <w:rFonts w:ascii="Times New Roman" w:hAnsi="Times New Roman"/>
                <w:sz w:val="20"/>
              </w:rPr>
            </w:pPr>
            <w:r>
              <w:rPr>
                <w:rFonts w:ascii="Times New Roman" w:hAnsi="Times New Roman"/>
                <w:sz w:val="20"/>
              </w:rPr>
              <w:t>Total Debt</w:t>
            </w:r>
          </w:p>
        </w:tc>
        <w:tc>
          <w:tcPr>
            <w:tcW w:w="489"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1995" w:type="dxa"/>
            <w:tcBorders/>
            <w:shd w:fill="CCEEFF" w:val="clear"/>
            <w:vAlign w:val="bottom"/>
          </w:tcPr>
          <w:p>
            <w:pPr>
              <w:pStyle w:val="TableContents"/>
              <w:spacing w:before="0" w:after="283"/>
              <w:jc w:val="right"/>
              <w:rPr/>
            </w:pPr>
            <w:r>
              <w:rPr/>
              <w:t>1,629,389</w:t>
            </w:r>
          </w:p>
        </w:tc>
        <w:tc>
          <w:tcPr>
            <w:tcW w:w="158" w:type="dxa"/>
            <w:tcBorders/>
            <w:shd w:fill="CCEEFF" w:val="clear"/>
            <w:vAlign w:val="bottom"/>
          </w:tcPr>
          <w:p>
            <w:pPr>
              <w:pStyle w:val="TableContents"/>
              <w:spacing w:before="0" w:after="283"/>
              <w:rPr/>
            </w:pPr>
            <w:r>
              <w:rPr/>
              <w:t> </w:t>
            </w:r>
          </w:p>
        </w:tc>
      </w:tr>
      <w:tr>
        <w:trPr/>
        <w:tc>
          <w:tcPr>
            <w:tcW w:w="4023" w:type="dxa"/>
            <w:tcBorders/>
            <w:shd w:fill="auto" w:val="clear"/>
          </w:tcPr>
          <w:p>
            <w:pPr>
              <w:pStyle w:val="TableContents"/>
              <w:spacing w:before="0" w:after="0"/>
              <w:rPr>
                <w:rFonts w:ascii="Times New Roman" w:hAnsi="Times New Roman"/>
                <w:b/>
                <w:sz w:val="20"/>
              </w:rPr>
            </w:pPr>
            <w:r>
              <w:rPr>
                <w:rFonts w:ascii="Times New Roman" w:hAnsi="Times New Roman"/>
                <w:b/>
                <w:sz w:val="20"/>
              </w:rPr>
              <w:t>Stockholders Equity</w:t>
            </w:r>
          </w:p>
        </w:tc>
        <w:tc>
          <w:tcPr>
            <w:tcW w:w="489"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sz w:val="4"/>
                <w:szCs w:val="4"/>
              </w:rPr>
            </w:pPr>
            <w:r>
              <w:rPr>
                <w:sz w:val="4"/>
                <w:szCs w:val="4"/>
              </w:rPr>
            </w:r>
          </w:p>
        </w:tc>
        <w:tc>
          <w:tcPr>
            <w:tcW w:w="1995" w:type="dxa"/>
            <w:tcBorders/>
            <w:shd w:fill="auto" w:val="clear"/>
            <w:vAlign w:val="bottom"/>
          </w:tcPr>
          <w:p>
            <w:pPr>
              <w:pStyle w:val="TableContents"/>
              <w:spacing w:before="0" w:after="283"/>
              <w:rPr>
                <w:sz w:val="4"/>
                <w:szCs w:val="4"/>
              </w:rPr>
            </w:pPr>
            <w:r>
              <w:rPr>
                <w:sz w:val="4"/>
                <w:szCs w:val="4"/>
              </w:rPr>
            </w:r>
          </w:p>
        </w:tc>
        <w:tc>
          <w:tcPr>
            <w:tcW w:w="158" w:type="dxa"/>
            <w:tcBorders/>
            <w:shd w:fill="auto" w:val="clear"/>
            <w:vAlign w:val="bottom"/>
          </w:tcPr>
          <w:p>
            <w:pPr>
              <w:pStyle w:val="TableContents"/>
              <w:spacing w:before="0" w:after="283"/>
              <w:rPr>
                <w:sz w:val="4"/>
                <w:szCs w:val="4"/>
              </w:rPr>
            </w:pPr>
            <w:r>
              <w:rPr>
                <w:sz w:val="4"/>
                <w:szCs w:val="4"/>
              </w:rPr>
            </w:r>
          </w:p>
        </w:tc>
      </w:tr>
      <w:tr>
        <w:trPr/>
        <w:tc>
          <w:tcPr>
            <w:tcW w:w="4023" w:type="dxa"/>
            <w:tcBorders/>
            <w:shd w:fill="CCEEFF" w:val="clear"/>
          </w:tcPr>
          <w:p>
            <w:pPr>
              <w:pStyle w:val="TableContents"/>
              <w:spacing w:before="0" w:after="0"/>
              <w:rPr>
                <w:rFonts w:ascii="Times New Roman" w:hAnsi="Times New Roman"/>
                <w:sz w:val="20"/>
              </w:rPr>
            </w:pPr>
            <w:r>
              <w:rPr>
                <w:rFonts w:ascii="Times New Roman" w:hAnsi="Times New Roman"/>
                <w:sz w:val="20"/>
              </w:rPr>
              <w:t>Preferred stock, $0.01 par value; 100,000,000 shares authorized; no shares issued and outstanding</w:t>
            </w:r>
          </w:p>
        </w:tc>
        <w:tc>
          <w:tcPr>
            <w:tcW w:w="489"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w:t>
            </w:r>
          </w:p>
        </w:tc>
        <w:tc>
          <w:tcPr>
            <w:tcW w:w="1995" w:type="dxa"/>
            <w:tcBorders/>
            <w:shd w:fill="CCEEFF" w:val="clear"/>
            <w:vAlign w:val="bottom"/>
          </w:tcPr>
          <w:p>
            <w:pPr>
              <w:pStyle w:val="TableContents"/>
              <w:spacing w:before="0" w:after="283"/>
              <w:jc w:val="right"/>
              <w:rPr/>
            </w:pPr>
            <w:r>
              <w:rPr/>
              <w:t>  </w:t>
            </w:r>
          </w:p>
        </w:tc>
        <w:tc>
          <w:tcPr>
            <w:tcW w:w="158" w:type="dxa"/>
            <w:tcBorders/>
            <w:shd w:fill="CCEEFF" w:val="clear"/>
            <w:vAlign w:val="bottom"/>
          </w:tcPr>
          <w:p>
            <w:pPr>
              <w:pStyle w:val="TableContents"/>
              <w:spacing w:before="0" w:after="283"/>
              <w:rPr>
                <w:sz w:val="4"/>
                <w:szCs w:val="4"/>
              </w:rPr>
            </w:pPr>
            <w:r>
              <w:rPr>
                <w:sz w:val="4"/>
                <w:szCs w:val="4"/>
              </w:rPr>
            </w:r>
          </w:p>
        </w:tc>
      </w:tr>
      <w:tr>
        <w:trPr/>
        <w:tc>
          <w:tcPr>
            <w:tcW w:w="4023" w:type="dxa"/>
            <w:tcBorders/>
            <w:shd w:fill="auto" w:val="clear"/>
          </w:tcPr>
          <w:p>
            <w:pPr>
              <w:pStyle w:val="TableContents"/>
              <w:spacing w:before="0" w:after="0"/>
              <w:rPr>
                <w:rFonts w:ascii="Times New Roman" w:hAnsi="Times New Roman"/>
                <w:sz w:val="20"/>
              </w:rPr>
            </w:pPr>
            <w:r>
              <w:rPr>
                <w:rFonts w:ascii="Times New Roman" w:hAnsi="Times New Roman"/>
                <w:sz w:val="20"/>
              </w:rPr>
              <w:t>Common stock, $0.01 par value; 400,000,000 shares authorized; 82,416,115 shares issued and 81,751,865 shares outstanding</w:t>
            </w:r>
          </w:p>
        </w:tc>
        <w:tc>
          <w:tcPr>
            <w:tcW w:w="489"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995" w:type="dxa"/>
            <w:tcBorders/>
            <w:shd w:fill="auto" w:val="clear"/>
            <w:vAlign w:val="bottom"/>
          </w:tcPr>
          <w:p>
            <w:pPr>
              <w:pStyle w:val="TableContents"/>
              <w:spacing w:before="0" w:after="283"/>
              <w:jc w:val="right"/>
              <w:rPr/>
            </w:pPr>
            <w:r>
              <w:rPr/>
              <w:t>824</w:t>
            </w:r>
          </w:p>
        </w:tc>
        <w:tc>
          <w:tcPr>
            <w:tcW w:w="158" w:type="dxa"/>
            <w:tcBorders/>
            <w:shd w:fill="auto" w:val="clear"/>
            <w:vAlign w:val="bottom"/>
          </w:tcPr>
          <w:p>
            <w:pPr>
              <w:pStyle w:val="TableContents"/>
              <w:spacing w:before="0" w:after="283"/>
              <w:rPr/>
            </w:pPr>
            <w:r>
              <w:rPr/>
              <w:t> </w:t>
            </w:r>
          </w:p>
        </w:tc>
      </w:tr>
      <w:tr>
        <w:trPr/>
        <w:tc>
          <w:tcPr>
            <w:tcW w:w="4023" w:type="dxa"/>
            <w:tcBorders/>
            <w:shd w:fill="CCEEFF" w:val="clear"/>
          </w:tcPr>
          <w:p>
            <w:pPr>
              <w:pStyle w:val="TableContents"/>
              <w:spacing w:before="0" w:after="0"/>
              <w:rPr>
                <w:rFonts w:ascii="Times New Roman" w:hAnsi="Times New Roman"/>
                <w:sz w:val="20"/>
              </w:rPr>
            </w:pPr>
            <w:r>
              <w:rPr>
                <w:rFonts w:ascii="Times New Roman" w:hAnsi="Times New Roman"/>
                <w:sz w:val="20"/>
              </w:rPr>
              <w:t>Additional paid-in capital</w:t>
            </w:r>
          </w:p>
        </w:tc>
        <w:tc>
          <w:tcPr>
            <w:tcW w:w="489"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1995" w:type="dxa"/>
            <w:tcBorders/>
            <w:shd w:fill="CCEEFF" w:val="clear"/>
            <w:vAlign w:val="bottom"/>
          </w:tcPr>
          <w:p>
            <w:pPr>
              <w:pStyle w:val="TableContents"/>
              <w:spacing w:before="0" w:after="283"/>
              <w:jc w:val="right"/>
              <w:rPr/>
            </w:pPr>
            <w:r>
              <w:rPr/>
              <w:t>1,300,593</w:t>
            </w:r>
          </w:p>
        </w:tc>
        <w:tc>
          <w:tcPr>
            <w:tcW w:w="158" w:type="dxa"/>
            <w:tcBorders/>
            <w:shd w:fill="CCEEFF" w:val="clear"/>
            <w:vAlign w:val="bottom"/>
          </w:tcPr>
          <w:p>
            <w:pPr>
              <w:pStyle w:val="TableContents"/>
              <w:spacing w:before="0" w:after="283"/>
              <w:rPr/>
            </w:pPr>
            <w:r>
              <w:rPr/>
              <w:t> </w:t>
            </w:r>
          </w:p>
        </w:tc>
      </w:tr>
      <w:tr>
        <w:trPr/>
        <w:tc>
          <w:tcPr>
            <w:tcW w:w="4023" w:type="dxa"/>
            <w:tcBorders/>
            <w:shd w:fill="auto" w:val="clear"/>
          </w:tcPr>
          <w:p>
            <w:pPr>
              <w:pStyle w:val="TableContents"/>
              <w:spacing w:before="0" w:after="0"/>
              <w:rPr>
                <w:rFonts w:ascii="Times New Roman" w:hAnsi="Times New Roman"/>
                <w:sz w:val="20"/>
              </w:rPr>
            </w:pPr>
            <w:r>
              <w:rPr>
                <w:rFonts w:ascii="Times New Roman" w:hAnsi="Times New Roman"/>
                <w:sz w:val="20"/>
              </w:rPr>
              <w:t>Treasury stock at cost, 664,250 shares</w:t>
            </w:r>
          </w:p>
        </w:tc>
        <w:tc>
          <w:tcPr>
            <w:tcW w:w="489"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 </w:t>
            </w:r>
          </w:p>
        </w:tc>
        <w:tc>
          <w:tcPr>
            <w:tcW w:w="1995" w:type="dxa"/>
            <w:tcBorders/>
            <w:shd w:fill="auto" w:val="clear"/>
            <w:vAlign w:val="bottom"/>
          </w:tcPr>
          <w:p>
            <w:pPr>
              <w:pStyle w:val="TableContents"/>
              <w:spacing w:before="0" w:after="283"/>
              <w:jc w:val="right"/>
              <w:rPr/>
            </w:pPr>
            <w:r>
              <w:rPr/>
              <w:t>(10,459</w:t>
            </w:r>
          </w:p>
        </w:tc>
        <w:tc>
          <w:tcPr>
            <w:tcW w:w="158" w:type="dxa"/>
            <w:tcBorders/>
            <w:shd w:fill="auto" w:val="clear"/>
            <w:vAlign w:val="bottom"/>
          </w:tcPr>
          <w:p>
            <w:pPr>
              <w:pStyle w:val="TableContents"/>
              <w:spacing w:before="0" w:after="283"/>
              <w:rPr/>
            </w:pPr>
            <w:r>
              <w:rPr/>
              <w:t>) </w:t>
            </w:r>
          </w:p>
        </w:tc>
      </w:tr>
      <w:tr>
        <w:trPr/>
        <w:tc>
          <w:tcPr>
            <w:tcW w:w="4023" w:type="dxa"/>
            <w:tcBorders/>
            <w:shd w:fill="CCEEFF" w:val="clear"/>
          </w:tcPr>
          <w:p>
            <w:pPr>
              <w:pStyle w:val="TableContents"/>
              <w:spacing w:before="0" w:after="0"/>
              <w:rPr>
                <w:rFonts w:ascii="Times New Roman" w:hAnsi="Times New Roman"/>
                <w:sz w:val="20"/>
              </w:rPr>
            </w:pPr>
            <w:r>
              <w:rPr>
                <w:rFonts w:ascii="Times New Roman" w:hAnsi="Times New Roman"/>
                <w:sz w:val="20"/>
              </w:rPr>
              <w:t>Distributable earnings</w:t>
            </w:r>
          </w:p>
        </w:tc>
        <w:tc>
          <w:tcPr>
            <w:tcW w:w="489"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 </w:t>
            </w:r>
          </w:p>
        </w:tc>
        <w:tc>
          <w:tcPr>
            <w:tcW w:w="1995" w:type="dxa"/>
            <w:tcBorders/>
            <w:shd w:fill="CCEEFF" w:val="clear"/>
            <w:vAlign w:val="bottom"/>
          </w:tcPr>
          <w:p>
            <w:pPr>
              <w:pStyle w:val="TableContents"/>
              <w:spacing w:before="0" w:after="283"/>
              <w:jc w:val="right"/>
              <w:rPr/>
            </w:pPr>
            <w:r>
              <w:rPr/>
              <w:t>65,047</w:t>
            </w:r>
          </w:p>
        </w:tc>
        <w:tc>
          <w:tcPr>
            <w:tcW w:w="158" w:type="dxa"/>
            <w:tcBorders/>
            <w:shd w:fill="CCEEFF" w:val="clear"/>
            <w:vAlign w:val="bottom"/>
          </w:tcPr>
          <w:p>
            <w:pPr>
              <w:pStyle w:val="TableContents"/>
              <w:spacing w:before="0" w:after="283"/>
              <w:rPr/>
            </w:pPr>
            <w:r>
              <w:rPr/>
              <w:t> </w:t>
            </w:r>
          </w:p>
        </w:tc>
      </w:tr>
      <w:tr>
        <w:trPr/>
        <w:tc>
          <w:tcPr>
            <w:tcW w:w="4023" w:type="dxa"/>
            <w:tcBorders/>
            <w:shd w:fill="auto" w:val="clear"/>
          </w:tcPr>
          <w:p>
            <w:pPr>
              <w:pStyle w:val="TableContents"/>
              <w:spacing w:before="0" w:after="0"/>
              <w:rPr>
                <w:rFonts w:ascii="Times New Roman" w:hAnsi="Times New Roman"/>
                <w:sz w:val="20"/>
              </w:rPr>
            </w:pPr>
            <w:r>
              <w:rPr>
                <w:rFonts w:ascii="Times New Roman" w:hAnsi="Times New Roman"/>
                <w:sz w:val="20"/>
              </w:rPr>
              <w:t>Total stockholders equity</w:t>
            </w:r>
          </w:p>
        </w:tc>
        <w:tc>
          <w:tcPr>
            <w:tcW w:w="489" w:type="dxa"/>
            <w:tcBorders/>
            <w:shd w:fill="auto" w:val="clear"/>
            <w:vAlign w:val="bottom"/>
          </w:tcPr>
          <w:p>
            <w:pPr>
              <w:pStyle w:val="TableContents"/>
              <w:spacing w:before="0" w:after="283"/>
              <w:rPr/>
            </w:pPr>
            <w:r>
              <w:rPr/>
              <w:t>  </w:t>
            </w:r>
          </w:p>
        </w:tc>
        <w:tc>
          <w:tcPr>
            <w:tcW w:w="274" w:type="dxa"/>
            <w:tcBorders/>
            <w:shd w:fill="auto" w:val="clear"/>
            <w:vAlign w:val="bottom"/>
          </w:tcPr>
          <w:p>
            <w:pPr>
              <w:pStyle w:val="TableContents"/>
              <w:spacing w:before="0" w:after="283"/>
              <w:rPr/>
            </w:pPr>
            <w:r>
              <w:rPr/>
              <w:t>$</w:t>
            </w:r>
          </w:p>
        </w:tc>
        <w:tc>
          <w:tcPr>
            <w:tcW w:w="1995" w:type="dxa"/>
            <w:tcBorders/>
            <w:shd w:fill="auto" w:val="clear"/>
            <w:vAlign w:val="bottom"/>
          </w:tcPr>
          <w:p>
            <w:pPr>
              <w:pStyle w:val="TableContents"/>
              <w:spacing w:before="0" w:after="283"/>
              <w:jc w:val="right"/>
              <w:rPr/>
            </w:pPr>
            <w:r>
              <w:rPr/>
              <w:t>1,356,005</w:t>
            </w:r>
          </w:p>
        </w:tc>
        <w:tc>
          <w:tcPr>
            <w:tcW w:w="158" w:type="dxa"/>
            <w:tcBorders/>
            <w:shd w:fill="auto" w:val="clear"/>
            <w:vAlign w:val="bottom"/>
          </w:tcPr>
          <w:p>
            <w:pPr>
              <w:pStyle w:val="TableContents"/>
              <w:spacing w:before="0" w:after="283"/>
              <w:rPr/>
            </w:pPr>
            <w:r>
              <w:rPr/>
              <w:t> </w:t>
            </w:r>
          </w:p>
        </w:tc>
      </w:tr>
      <w:tr>
        <w:trPr/>
        <w:tc>
          <w:tcPr>
            <w:tcW w:w="4023"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 capitalization</w:t>
            </w:r>
          </w:p>
        </w:tc>
        <w:tc>
          <w:tcPr>
            <w:tcW w:w="489" w:type="dxa"/>
            <w:tcBorders/>
            <w:shd w:fill="CCEEFF" w:val="clear"/>
            <w:vAlign w:val="bottom"/>
          </w:tcPr>
          <w:p>
            <w:pPr>
              <w:pStyle w:val="TableContents"/>
              <w:spacing w:before="0" w:after="283"/>
              <w:rPr/>
            </w:pPr>
            <w:r>
              <w:rPr/>
              <w:t>  </w:t>
            </w:r>
          </w:p>
        </w:tc>
        <w:tc>
          <w:tcPr>
            <w:tcW w:w="274" w:type="dxa"/>
            <w:tcBorders/>
            <w:shd w:fill="CCEEFF" w:val="clear"/>
            <w:vAlign w:val="bottom"/>
          </w:tcPr>
          <w:p>
            <w:pPr>
              <w:pStyle w:val="TableContents"/>
              <w:spacing w:before="0" w:after="283"/>
              <w:rPr/>
            </w:pPr>
            <w:r>
              <w:rPr/>
              <w:t>$</w:t>
            </w:r>
          </w:p>
        </w:tc>
        <w:tc>
          <w:tcPr>
            <w:tcW w:w="1995" w:type="dxa"/>
            <w:tcBorders/>
            <w:shd w:fill="CCEEFF" w:val="clear"/>
            <w:vAlign w:val="bottom"/>
          </w:tcPr>
          <w:p>
            <w:pPr>
              <w:pStyle w:val="TableContents"/>
              <w:spacing w:before="0" w:after="283"/>
              <w:jc w:val="right"/>
              <w:rPr/>
            </w:pPr>
            <w:r>
              <w:rPr/>
              <w:t>3,011,131</w:t>
            </w:r>
          </w:p>
        </w:tc>
        <w:tc>
          <w:tcPr>
            <w:tcW w:w="158" w:type="dxa"/>
            <w:tcBorders/>
            <w:shd w:fill="CCEEFF" w:val="cle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(1)</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above table reflects the principal amount of indebtedness outstanding as of March 31, 2023.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0" w:name="supp451583_8"/>
      <w:bookmarkEnd w:id="10"/>
      <w:r>
        <w:rPr>
          <w:rFonts w:ascii="Times New Roman" w:hAnsi="Times New Roman"/>
          <w:b/>
          <w:sz w:val="20"/>
        </w:rPr>
        <w:t xml:space="preserve">UNDERWRITING </w:t>
      </w:r>
    </w:p>
    <w:p>
      <w:pPr>
        <w:pStyle w:val="TextBody"/>
        <w:spacing w:before="240" w:after="0"/>
        <w:jc w:val="left"/>
        <w:rPr>
          <w:rFonts w:ascii="Times New Roman" w:hAnsi="Times New Roman"/>
          <w:sz w:val="20"/>
        </w:rPr>
      </w:pPr>
      <w:r>
        <w:rPr>
          <w:rFonts w:ascii="Times New Roman" w:hAnsi="Times New Roman"/>
          <w:sz w:val="20"/>
        </w:rPr>
        <w:t xml:space="preserve">Wells Fargo Securities, LLC is acting as representative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shares of common stock set forth opposite its name below. </w:t>
      </w:r>
    </w:p>
    <w:p>
      <w:pPr>
        <w:pStyle w:val="TextBody"/>
        <w:spacing w:before="0" w:after="0"/>
        <w:jc w:val="left"/>
        <w:rPr/>
      </w:pPr>
      <w:r>
        <w:rPr/>
        <w:t> </w:t>
      </w:r>
    </w:p>
    <w:tbl>
      <w:tblPr>
        <w:tblW w:w="3400" w:type="pct"/>
        <w:jc w:val="center"/>
        <w:tblInd w:w="0" w:type="dxa"/>
        <w:tblCellMar>
          <w:top w:w="0" w:type="dxa"/>
          <w:left w:w="0" w:type="dxa"/>
          <w:bottom w:w="0" w:type="dxa"/>
          <w:right w:w="0" w:type="dxa"/>
        </w:tblCellMar>
      </w:tblPr>
      <w:tblGrid>
        <w:gridCol w:w="4500"/>
        <w:gridCol w:w="480"/>
        <w:gridCol w:w="89"/>
        <w:gridCol w:w="1807"/>
        <w:gridCol w:w="63"/>
      </w:tblGrid>
      <w:tr>
        <w:trPr/>
        <w:tc>
          <w:tcPr>
            <w:tcW w:w="4500" w:type="dxa"/>
            <w:tcBorders/>
            <w:shd w:fill="auto" w:val="clear"/>
            <w:vAlign w:val="center"/>
          </w:tcPr>
          <w:p>
            <w:pPr>
              <w:pStyle w:val="TableContents"/>
              <w:spacing w:before="0" w:after="283"/>
              <w:rPr>
                <w:sz w:val="4"/>
                <w:szCs w:val="4"/>
              </w:rPr>
            </w:pPr>
            <w:r>
              <w:rPr>
                <w:sz w:val="4"/>
                <w:szCs w:val="4"/>
              </w:rPr>
            </w:r>
          </w:p>
        </w:tc>
        <w:tc>
          <w:tcPr>
            <w:tcW w:w="480" w:type="dxa"/>
            <w:tcBorders/>
            <w:shd w:fill="auto" w:val="clear"/>
            <w:vAlign w:val="bottom"/>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1807"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4500"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Underwriter</w:t>
            </w:r>
          </w:p>
        </w:tc>
        <w:tc>
          <w:tcPr>
            <w:tcW w:w="480" w:type="dxa"/>
            <w:tcBorders/>
            <w:shd w:fill="auto" w:val="clear"/>
            <w:vAlign w:val="bottom"/>
          </w:tcPr>
          <w:p>
            <w:pPr>
              <w:pStyle w:val="TableContents"/>
              <w:spacing w:before="0" w:after="283"/>
              <w:rPr/>
            </w:pPr>
            <w:r>
              <w:rPr/>
              <w:t>  </w:t>
            </w:r>
          </w:p>
        </w:tc>
        <w:tc>
          <w:tcPr>
            <w:tcW w:w="189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Number of Shares</w:t>
            </w:r>
          </w:p>
        </w:tc>
        <w:tc>
          <w:tcPr>
            <w:tcW w:w="63" w:type="dxa"/>
            <w:tcBorders/>
            <w:shd w:fill="auto" w:val="clear"/>
            <w:vAlign w:val="bottom"/>
          </w:tcPr>
          <w:p>
            <w:pPr>
              <w:pStyle w:val="TableContents"/>
              <w:spacing w:before="0" w:after="283"/>
              <w:rPr/>
            </w:pPr>
            <w:r>
              <w:rPr/>
              <w:t> </w:t>
            </w:r>
          </w:p>
        </w:tc>
      </w:tr>
      <w:tr>
        <w:trPr/>
        <w:tc>
          <w:tcPr>
            <w:tcW w:w="4500" w:type="dxa"/>
            <w:tcBorders/>
            <w:shd w:fill="CCEEFF" w:val="clear"/>
          </w:tcPr>
          <w:p>
            <w:pPr>
              <w:pStyle w:val="TableContents"/>
              <w:spacing w:before="0" w:after="0"/>
              <w:rPr>
                <w:rFonts w:ascii="Times New Roman" w:hAnsi="Times New Roman"/>
                <w:sz w:val="20"/>
              </w:rPr>
            </w:pPr>
            <w:r>
              <w:rPr>
                <w:rFonts w:ascii="Times New Roman" w:hAnsi="Times New Roman"/>
                <w:sz w:val="20"/>
              </w:rPr>
              <w:t>Wells Fargo Securities, LLC</w:t>
            </w:r>
          </w:p>
        </w:tc>
        <w:tc>
          <w:tcPr>
            <w:tcW w:w="480"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pPr>
            <w:r>
              <w:rPr/>
              <w:t> </w:t>
            </w:r>
          </w:p>
        </w:tc>
        <w:tc>
          <w:tcPr>
            <w:tcW w:w="1807" w:type="dxa"/>
            <w:tcBorders/>
            <w:shd w:fill="CCEEFF" w:val="clear"/>
            <w:vAlign w:val="bottom"/>
          </w:tcPr>
          <w:p>
            <w:pPr>
              <w:pStyle w:val="TableContents"/>
              <w:spacing w:before="0" w:after="283"/>
              <w:jc w:val="right"/>
              <w:rPr/>
            </w:pPr>
            <w:r>
              <w:rPr/>
              <w:t>                    </w:t>
            </w:r>
          </w:p>
        </w:tc>
        <w:tc>
          <w:tcPr>
            <w:tcW w:w="63" w:type="dxa"/>
            <w:tcBorders/>
            <w:shd w:fill="CCEEFF" w:val="clear"/>
            <w:vAlign w:val="bottom"/>
          </w:tcPr>
          <w:p>
            <w:pPr>
              <w:pStyle w:val="TableContents"/>
              <w:spacing w:before="0" w:after="283"/>
              <w:rPr/>
            </w:pPr>
            <w:r>
              <w:rPr/>
              <w:t> </w:t>
            </w:r>
          </w:p>
        </w:tc>
      </w:tr>
      <w:tr>
        <w:trPr/>
        <w:tc>
          <w:tcPr>
            <w:tcW w:w="4500" w:type="dxa"/>
            <w:tcBorders/>
            <w:shd w:fill="auto" w:val="clear"/>
          </w:tcPr>
          <w:p>
            <w:pPr>
              <w:pStyle w:val="TableContents"/>
              <w:spacing w:before="0" w:after="0"/>
              <w:rPr>
                <w:rFonts w:ascii="Times New Roman" w:hAnsi="Times New Roman"/>
                <w:sz w:val="20"/>
              </w:rPr>
            </w:pPr>
            <w:r>
              <w:rPr>
                <w:rFonts w:ascii="Times New Roman" w:hAnsi="Times New Roman"/>
                <w:sz w:val="20"/>
              </w:rPr>
              <w:t>Morgan Stanley &amp; Co. LLC</w:t>
            </w:r>
          </w:p>
        </w:tc>
        <w:tc>
          <w:tcPr>
            <w:tcW w:w="48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sz w:val="4"/>
                <w:szCs w:val="4"/>
              </w:rPr>
            </w:pPr>
            <w:r>
              <w:rPr>
                <w:sz w:val="4"/>
                <w:szCs w:val="4"/>
              </w:rPr>
            </w:r>
          </w:p>
        </w:tc>
        <w:tc>
          <w:tcPr>
            <w:tcW w:w="1807"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r>
      <w:tr>
        <w:trPr/>
        <w:tc>
          <w:tcPr>
            <w:tcW w:w="4500" w:type="dxa"/>
            <w:tcBorders/>
            <w:shd w:fill="CCEEFF" w:val="clear"/>
          </w:tcPr>
          <w:p>
            <w:pPr>
              <w:pStyle w:val="TableContents"/>
              <w:spacing w:before="0" w:after="0"/>
              <w:rPr>
                <w:rFonts w:ascii="Times New Roman" w:hAnsi="Times New Roman"/>
                <w:sz w:val="20"/>
              </w:rPr>
            </w:pPr>
            <w:r>
              <w:rPr>
                <w:rFonts w:ascii="Times New Roman" w:hAnsi="Times New Roman"/>
                <w:sz w:val="20"/>
              </w:rPr>
              <w:t>BofA Securities, Inc.</w:t>
            </w:r>
          </w:p>
        </w:tc>
        <w:tc>
          <w:tcPr>
            <w:tcW w:w="480"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sz w:val="4"/>
                <w:szCs w:val="4"/>
              </w:rPr>
            </w:pPr>
            <w:r>
              <w:rPr>
                <w:sz w:val="4"/>
                <w:szCs w:val="4"/>
              </w:rPr>
            </w:r>
          </w:p>
        </w:tc>
        <w:tc>
          <w:tcPr>
            <w:tcW w:w="1807" w:type="dxa"/>
            <w:tcBorders/>
            <w:shd w:fill="CCEEFF" w:val="clear"/>
            <w:vAlign w:val="bottom"/>
          </w:tcPr>
          <w:p>
            <w:pPr>
              <w:pStyle w:val="TableContents"/>
              <w:spacing w:before="0" w:after="283"/>
              <w:rPr>
                <w:sz w:val="4"/>
                <w:szCs w:val="4"/>
              </w:rPr>
            </w:pPr>
            <w:r>
              <w:rPr>
                <w:sz w:val="4"/>
                <w:szCs w:val="4"/>
              </w:rPr>
            </w:r>
          </w:p>
        </w:tc>
        <w:tc>
          <w:tcPr>
            <w:tcW w:w="63" w:type="dxa"/>
            <w:tcBorders/>
            <w:shd w:fill="CCEEFF" w:val="clear"/>
            <w:vAlign w:val="bottom"/>
          </w:tcPr>
          <w:p>
            <w:pPr>
              <w:pStyle w:val="TableContents"/>
              <w:spacing w:before="0" w:after="283"/>
              <w:rPr>
                <w:sz w:val="4"/>
                <w:szCs w:val="4"/>
              </w:rPr>
            </w:pPr>
            <w:r>
              <w:rPr>
                <w:sz w:val="4"/>
                <w:szCs w:val="4"/>
              </w:rPr>
            </w:r>
          </w:p>
        </w:tc>
      </w:tr>
      <w:tr>
        <w:trPr/>
        <w:tc>
          <w:tcPr>
            <w:tcW w:w="4500" w:type="dxa"/>
            <w:tcBorders/>
            <w:shd w:fill="auto" w:val="clear"/>
          </w:tcPr>
          <w:p>
            <w:pPr>
              <w:pStyle w:val="TableContents"/>
              <w:spacing w:before="0" w:after="0"/>
              <w:rPr>
                <w:rFonts w:ascii="Times New Roman" w:hAnsi="Times New Roman"/>
                <w:sz w:val="20"/>
              </w:rPr>
            </w:pPr>
            <w:r>
              <w:rPr>
                <w:rFonts w:ascii="Times New Roman" w:hAnsi="Times New Roman"/>
                <w:sz w:val="20"/>
              </w:rPr>
              <w:t>RBC Capital Markets, LLC</w:t>
            </w:r>
          </w:p>
        </w:tc>
        <w:tc>
          <w:tcPr>
            <w:tcW w:w="48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sz w:val="4"/>
                <w:szCs w:val="4"/>
              </w:rPr>
            </w:pPr>
            <w:r>
              <w:rPr>
                <w:sz w:val="4"/>
                <w:szCs w:val="4"/>
              </w:rPr>
            </w:r>
          </w:p>
        </w:tc>
        <w:tc>
          <w:tcPr>
            <w:tcW w:w="1807"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r>
      <w:tr>
        <w:trPr/>
        <w:tc>
          <w:tcPr>
            <w:tcW w:w="4500" w:type="dxa"/>
            <w:tcBorders/>
            <w:shd w:fill="CCEEFF" w:val="clear"/>
          </w:tcPr>
          <w:p>
            <w:pPr>
              <w:pStyle w:val="TableContents"/>
              <w:spacing w:before="0" w:after="0"/>
              <w:rPr>
                <w:rFonts w:ascii="Times New Roman" w:hAnsi="Times New Roman"/>
                <w:sz w:val="20"/>
              </w:rPr>
            </w:pPr>
            <w:r>
              <w:rPr>
                <w:rFonts w:ascii="Times New Roman" w:hAnsi="Times New Roman"/>
                <w:sz w:val="20"/>
              </w:rPr>
              <w:t>Keefe, Bruyette &amp; Woods, Inc.</w:t>
            </w:r>
          </w:p>
        </w:tc>
        <w:tc>
          <w:tcPr>
            <w:tcW w:w="480"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sz w:val="4"/>
                <w:szCs w:val="4"/>
              </w:rPr>
            </w:pPr>
            <w:r>
              <w:rPr>
                <w:sz w:val="4"/>
                <w:szCs w:val="4"/>
              </w:rPr>
            </w:r>
          </w:p>
        </w:tc>
        <w:tc>
          <w:tcPr>
            <w:tcW w:w="1807" w:type="dxa"/>
            <w:tcBorders/>
            <w:shd w:fill="CCEEFF" w:val="clear"/>
            <w:vAlign w:val="bottom"/>
          </w:tcPr>
          <w:p>
            <w:pPr>
              <w:pStyle w:val="TableContents"/>
              <w:spacing w:before="0" w:after="283"/>
              <w:rPr>
                <w:sz w:val="4"/>
                <w:szCs w:val="4"/>
              </w:rPr>
            </w:pPr>
            <w:r>
              <w:rPr>
                <w:sz w:val="4"/>
                <w:szCs w:val="4"/>
              </w:rPr>
            </w:r>
          </w:p>
        </w:tc>
        <w:tc>
          <w:tcPr>
            <w:tcW w:w="63" w:type="dxa"/>
            <w:tcBorders/>
            <w:shd w:fill="CCEEFF" w:val="clear"/>
            <w:vAlign w:val="bottom"/>
          </w:tcPr>
          <w:p>
            <w:pPr>
              <w:pStyle w:val="TableContents"/>
              <w:spacing w:before="0" w:after="283"/>
              <w:rPr>
                <w:sz w:val="4"/>
                <w:szCs w:val="4"/>
              </w:rPr>
            </w:pPr>
            <w:r>
              <w:rPr>
                <w:sz w:val="4"/>
                <w:szCs w:val="4"/>
              </w:rPr>
            </w:r>
          </w:p>
        </w:tc>
      </w:tr>
      <w:tr>
        <w:trPr/>
        <w:tc>
          <w:tcPr>
            <w:tcW w:w="4500" w:type="dxa"/>
            <w:tcBorders/>
            <w:shd w:fill="auto" w:val="clear"/>
          </w:tcPr>
          <w:p>
            <w:pPr>
              <w:pStyle w:val="TableContents"/>
              <w:spacing w:before="0" w:after="0"/>
              <w:rPr>
                <w:rFonts w:ascii="Times New Roman" w:hAnsi="Times New Roman"/>
                <w:sz w:val="20"/>
              </w:rPr>
            </w:pPr>
            <w:r>
              <w:rPr>
                <w:rFonts w:ascii="Times New Roman" w:hAnsi="Times New Roman"/>
                <w:sz w:val="20"/>
              </w:rPr>
              <w:t>Raymond James &amp; Associates, Inc</w:t>
            </w:r>
          </w:p>
        </w:tc>
        <w:tc>
          <w:tcPr>
            <w:tcW w:w="48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sz w:val="4"/>
                <w:szCs w:val="4"/>
              </w:rPr>
            </w:pPr>
            <w:r>
              <w:rPr>
                <w:sz w:val="4"/>
                <w:szCs w:val="4"/>
              </w:rPr>
            </w:r>
          </w:p>
        </w:tc>
        <w:tc>
          <w:tcPr>
            <w:tcW w:w="1807"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r>
      <w:tr>
        <w:trPr/>
        <w:tc>
          <w:tcPr>
            <w:tcW w:w="4500" w:type="dxa"/>
            <w:tcBorders/>
            <w:shd w:fill="CCEEFF" w:val="clear"/>
          </w:tcPr>
          <w:p>
            <w:pPr>
              <w:pStyle w:val="TableContents"/>
              <w:spacing w:before="0" w:after="0"/>
              <w:rPr>
                <w:rFonts w:ascii="Times New Roman" w:hAnsi="Times New Roman"/>
                <w:sz w:val="20"/>
              </w:rPr>
            </w:pPr>
            <w:r>
              <w:rPr>
                <w:rFonts w:ascii="Times New Roman" w:hAnsi="Times New Roman"/>
                <w:sz w:val="20"/>
              </w:rPr>
              <w:t>Goldman Sachs &amp; Co. LLC</w:t>
            </w:r>
          </w:p>
        </w:tc>
        <w:tc>
          <w:tcPr>
            <w:tcW w:w="480"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sz w:val="4"/>
                <w:szCs w:val="4"/>
              </w:rPr>
            </w:pPr>
            <w:r>
              <w:rPr>
                <w:sz w:val="4"/>
                <w:szCs w:val="4"/>
              </w:rPr>
            </w:r>
          </w:p>
        </w:tc>
        <w:tc>
          <w:tcPr>
            <w:tcW w:w="1807" w:type="dxa"/>
            <w:tcBorders/>
            <w:shd w:fill="CCEEFF" w:val="clear"/>
            <w:vAlign w:val="bottom"/>
          </w:tcPr>
          <w:p>
            <w:pPr>
              <w:pStyle w:val="TableContents"/>
              <w:spacing w:before="0" w:after="283"/>
              <w:rPr>
                <w:sz w:val="4"/>
                <w:szCs w:val="4"/>
              </w:rPr>
            </w:pPr>
            <w:r>
              <w:rPr>
                <w:sz w:val="4"/>
                <w:szCs w:val="4"/>
              </w:rPr>
            </w:r>
          </w:p>
        </w:tc>
        <w:tc>
          <w:tcPr>
            <w:tcW w:w="63" w:type="dxa"/>
            <w:tcBorders/>
            <w:shd w:fill="CCEEFF" w:val="clear"/>
            <w:vAlign w:val="bottom"/>
          </w:tcPr>
          <w:p>
            <w:pPr>
              <w:pStyle w:val="TableContents"/>
              <w:spacing w:before="0" w:after="283"/>
              <w:rPr>
                <w:sz w:val="4"/>
                <w:szCs w:val="4"/>
              </w:rPr>
            </w:pPr>
            <w:r>
              <w:rPr>
                <w:sz w:val="4"/>
                <w:szCs w:val="4"/>
              </w:rPr>
            </w:r>
          </w:p>
        </w:tc>
      </w:tr>
      <w:tr>
        <w:trPr/>
        <w:tc>
          <w:tcPr>
            <w:tcW w:w="4500" w:type="dxa"/>
            <w:tcBorders/>
            <w:shd w:fill="auto" w:val="clear"/>
          </w:tcPr>
          <w:p>
            <w:pPr>
              <w:pStyle w:val="TableContents"/>
              <w:spacing w:before="0" w:after="0"/>
              <w:rPr>
                <w:rFonts w:ascii="Times New Roman" w:hAnsi="Times New Roman"/>
                <w:sz w:val="20"/>
              </w:rPr>
            </w:pPr>
            <w:r>
              <w:rPr>
                <w:rFonts w:ascii="Times New Roman" w:hAnsi="Times New Roman"/>
                <w:sz w:val="20"/>
              </w:rPr>
              <w:t>J.P. Morgan Securities LLC</w:t>
            </w:r>
          </w:p>
        </w:tc>
        <w:tc>
          <w:tcPr>
            <w:tcW w:w="48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spacing w:before="0" w:after="283"/>
              <w:rPr>
                <w:sz w:val="4"/>
                <w:szCs w:val="4"/>
              </w:rPr>
            </w:pPr>
            <w:r>
              <w:rPr>
                <w:sz w:val="4"/>
                <w:szCs w:val="4"/>
              </w:rPr>
            </w:r>
          </w:p>
        </w:tc>
        <w:tc>
          <w:tcPr>
            <w:tcW w:w="1807"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bottom"/>
          </w:tcPr>
          <w:p>
            <w:pPr>
              <w:pStyle w:val="TableContents"/>
              <w:spacing w:before="0" w:after="283"/>
              <w:rPr>
                <w:sz w:val="4"/>
                <w:szCs w:val="4"/>
              </w:rPr>
            </w:pPr>
            <w:r>
              <w:rPr>
                <w:sz w:val="4"/>
                <w:szCs w:val="4"/>
              </w:rPr>
            </w:r>
          </w:p>
        </w:tc>
      </w:tr>
      <w:tr>
        <w:trPr/>
        <w:tc>
          <w:tcPr>
            <w:tcW w:w="4500" w:type="dxa"/>
            <w:tcBorders/>
            <w:shd w:fill="auto" w:val="clear"/>
            <w:vAlign w:val="bottom"/>
          </w:tcPr>
          <w:p>
            <w:pPr>
              <w:pStyle w:val="TableContents"/>
              <w:spacing w:before="0" w:after="283"/>
              <w:rPr>
                <w:sz w:val="4"/>
                <w:szCs w:val="4"/>
              </w:rPr>
            </w:pPr>
            <w:r>
              <w:rPr>
                <w:sz w:val="4"/>
                <w:szCs w:val="4"/>
              </w:rPr>
            </w:r>
          </w:p>
        </w:tc>
        <w:tc>
          <w:tcPr>
            <w:tcW w:w="48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pBdr>
                <w:top w:val="single" w:sz="2" w:space="1" w:color="000000"/>
              </w:pBdr>
              <w:spacing w:before="0" w:after="0"/>
              <w:rPr/>
            </w:pPr>
            <w:r>
              <w:rPr/>
              <w:t> </w:t>
            </w:r>
          </w:p>
        </w:tc>
        <w:tc>
          <w:tcPr>
            <w:tcW w:w="1807"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r>
        <w:trPr/>
        <w:tc>
          <w:tcPr>
            <w:tcW w:w="4500" w:type="dxa"/>
            <w:tcBorders/>
            <w:shd w:fill="CCEEFF" w:val="clear"/>
          </w:tcPr>
          <w:p>
            <w:pPr>
              <w:pStyle w:val="TableContents"/>
              <w:spacing w:before="0" w:after="0"/>
              <w:rPr>
                <w:rFonts w:ascii="Times New Roman" w:hAnsi="Times New Roman"/>
                <w:sz w:val="20"/>
              </w:rPr>
            </w:pPr>
            <w:r>
              <w:rPr>
                <w:rFonts w:ascii="Times New Roman" w:hAnsi="Times New Roman"/>
                <w:sz w:val="20"/>
              </w:rPr>
              <w:t>Total</w:t>
            </w:r>
          </w:p>
        </w:tc>
        <w:tc>
          <w:tcPr>
            <w:tcW w:w="480" w:type="dxa"/>
            <w:tcBorders/>
            <w:shd w:fill="CCEEFF" w:val="clear"/>
            <w:vAlign w:val="bottom"/>
          </w:tcPr>
          <w:p>
            <w:pPr>
              <w:pStyle w:val="TableContents"/>
              <w:spacing w:before="0" w:after="283"/>
              <w:rPr/>
            </w:pPr>
            <w:r>
              <w:rPr/>
              <w:t>  </w:t>
            </w:r>
          </w:p>
        </w:tc>
        <w:tc>
          <w:tcPr>
            <w:tcW w:w="89" w:type="dxa"/>
            <w:tcBorders/>
            <w:shd w:fill="CCEEFF" w:val="clear"/>
            <w:vAlign w:val="bottom"/>
          </w:tcPr>
          <w:p>
            <w:pPr>
              <w:pStyle w:val="TableContents"/>
              <w:spacing w:before="0" w:after="283"/>
              <w:rPr>
                <w:sz w:val="4"/>
                <w:szCs w:val="4"/>
              </w:rPr>
            </w:pPr>
            <w:r>
              <w:rPr>
                <w:sz w:val="4"/>
                <w:szCs w:val="4"/>
              </w:rPr>
            </w:r>
          </w:p>
        </w:tc>
        <w:tc>
          <w:tcPr>
            <w:tcW w:w="1807" w:type="dxa"/>
            <w:tcBorders/>
            <w:shd w:fill="CCEEFF" w:val="clear"/>
            <w:vAlign w:val="bottom"/>
          </w:tcPr>
          <w:p>
            <w:pPr>
              <w:pStyle w:val="TableContents"/>
              <w:spacing w:before="0" w:after="283"/>
              <w:rPr>
                <w:sz w:val="4"/>
                <w:szCs w:val="4"/>
              </w:rPr>
            </w:pPr>
            <w:r>
              <w:rPr>
                <w:sz w:val="4"/>
                <w:szCs w:val="4"/>
              </w:rPr>
            </w:r>
          </w:p>
        </w:tc>
        <w:tc>
          <w:tcPr>
            <w:tcW w:w="63" w:type="dxa"/>
            <w:tcBorders/>
            <w:shd w:fill="CCEEFF" w:val="clear"/>
            <w:vAlign w:val="bottom"/>
          </w:tcPr>
          <w:p>
            <w:pPr>
              <w:pStyle w:val="TableContents"/>
              <w:spacing w:before="0" w:after="283"/>
              <w:rPr>
                <w:sz w:val="4"/>
                <w:szCs w:val="4"/>
              </w:rPr>
            </w:pPr>
            <w:r>
              <w:rPr>
                <w:sz w:val="4"/>
                <w:szCs w:val="4"/>
              </w:rPr>
            </w:r>
          </w:p>
        </w:tc>
      </w:tr>
      <w:tr>
        <w:trPr/>
        <w:tc>
          <w:tcPr>
            <w:tcW w:w="4500" w:type="dxa"/>
            <w:tcBorders/>
            <w:shd w:fill="auto" w:val="clear"/>
            <w:vAlign w:val="bottom"/>
          </w:tcPr>
          <w:p>
            <w:pPr>
              <w:pStyle w:val="TableContents"/>
              <w:spacing w:before="0" w:after="283"/>
              <w:rPr>
                <w:sz w:val="4"/>
                <w:szCs w:val="4"/>
              </w:rPr>
            </w:pPr>
            <w:r>
              <w:rPr>
                <w:sz w:val="4"/>
                <w:szCs w:val="4"/>
              </w:rPr>
            </w:r>
          </w:p>
        </w:tc>
        <w:tc>
          <w:tcPr>
            <w:tcW w:w="480" w:type="dxa"/>
            <w:tcBorders/>
            <w:shd w:fill="auto" w:val="clear"/>
            <w:vAlign w:val="bottom"/>
          </w:tcPr>
          <w:p>
            <w:pPr>
              <w:pStyle w:val="TableContents"/>
              <w:spacing w:before="0" w:after="283"/>
              <w:rPr/>
            </w:pPr>
            <w:r>
              <w:rPr/>
              <w:t>  </w:t>
            </w:r>
          </w:p>
        </w:tc>
        <w:tc>
          <w:tcPr>
            <w:tcW w:w="89" w:type="dxa"/>
            <w:tcBorders/>
            <w:shd w:fill="auto" w:val="clear"/>
            <w:vAlign w:val="bottom"/>
          </w:tcPr>
          <w:p>
            <w:pPr>
              <w:pStyle w:val="TableContents"/>
              <w:pBdr>
                <w:top w:val="single" w:sz="2" w:space="1" w:color="000000"/>
              </w:pBdr>
              <w:spacing w:before="0" w:after="0"/>
              <w:rPr/>
            </w:pPr>
            <w:r>
              <w:rPr/>
              <w:t> </w:t>
            </w:r>
          </w:p>
        </w:tc>
        <w:tc>
          <w:tcPr>
            <w:tcW w:w="1807" w:type="dxa"/>
            <w:tcBorders/>
            <w:shd w:fill="auto" w:val="clear"/>
            <w:vAlign w:val="bottom"/>
          </w:tcPr>
          <w:p>
            <w:pPr>
              <w:pStyle w:val="TableContents"/>
              <w:pBdr>
                <w:top w:val="single" w:sz="2" w:space="1" w:color="000000"/>
              </w:pBdr>
              <w:spacing w:before="0" w:after="0"/>
              <w:rPr/>
            </w:pPr>
            <w:r>
              <w:rPr/>
              <w:t> </w:t>
            </w:r>
          </w:p>
        </w:tc>
        <w:tc>
          <w:tcPr>
            <w:tcW w:w="63" w:type="dxa"/>
            <w:tcBorders/>
            <w:shd w:fill="auto" w:val="clear"/>
            <w:vAlign w:val="center"/>
          </w:tcPr>
          <w:p>
            <w:pPr>
              <w:pStyle w:val="TableContents"/>
              <w:spacing w:before="0" w:after="283"/>
              <w:rPr/>
            </w:pPr>
            <w:r>
              <w:rPr/>
              <w:t> </w:t>
            </w:r>
          </w:p>
        </w:tc>
      </w:tr>
    </w:tbl>
    <w:p>
      <w:pPr>
        <w:pStyle w:val="TextBody"/>
        <w:spacing w:before="240" w:after="0"/>
        <w:jc w:val="left"/>
        <w:rPr>
          <w:rFonts w:ascii="Times New Roman" w:hAnsi="Times New Roman"/>
          <w:sz w:val="20"/>
        </w:rPr>
      </w:pPr>
      <w:r>
        <w:rPr>
          <w:rFonts w:ascii="Times New Roman" w:hAnsi="Times New Roman"/>
          <w:sz w:val="20"/>
        </w:rPr>
        <w:t xml:space="preserve">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 </w:t>
      </w:r>
    </w:p>
    <w:p>
      <w:pPr>
        <w:pStyle w:val="TextBody"/>
        <w:spacing w:before="240" w:after="0"/>
        <w:jc w:val="left"/>
        <w:rPr>
          <w:rFonts w:ascii="Times New Roman" w:hAnsi="Times New Roman"/>
          <w:sz w:val="20"/>
        </w:rPr>
      </w:pPr>
      <w:r>
        <w:rPr>
          <w:rFonts w:ascii="Times New Roman" w:hAnsi="Times New Roman"/>
          <w:sz w:val="20"/>
        </w:rPr>
        <w:t xml:space="preserve">We have agreed to indemnify the underwriters against certain liabilities, including liabilities under the Securities Act of 1933, as amended (the Securities Act), or to contribute to payments the underwriters may be required to make in respect of those liabilities. </w:t>
      </w:r>
    </w:p>
    <w:p>
      <w:pPr>
        <w:pStyle w:val="TextBody"/>
        <w:spacing w:before="240" w:after="0"/>
        <w:jc w:val="left"/>
        <w:rPr>
          <w:rFonts w:ascii="Times New Roman" w:hAnsi="Times New Roman"/>
          <w:sz w:val="20"/>
        </w:rPr>
      </w:pPr>
      <w:r>
        <w:rPr>
          <w:rFonts w:ascii="Times New Roman" w:hAnsi="Times New Roman"/>
          <w:sz w:val="20"/>
        </w:rPr>
        <w:t xml:space="preserve">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 </w:t>
      </w:r>
    </w:p>
    <w:p>
      <w:pPr>
        <w:pStyle w:val="TextBody"/>
        <w:spacing w:before="240" w:after="0"/>
        <w:jc w:val="left"/>
        <w:rPr>
          <w:rFonts w:ascii="Times New Roman" w:hAnsi="Times New Roman"/>
          <w:sz w:val="20"/>
        </w:rPr>
      </w:pPr>
      <w:r>
        <w:rPr>
          <w:rFonts w:ascii="Times New Roman" w:hAnsi="Times New Roman"/>
          <w:sz w:val="20"/>
        </w:rPr>
        <w:t xml:space="preserve">The underwriters may offer the shares of common stock from time to time for sale in one or more transactions on the NYSE, in the over-the-counter market, through negotiated transactions or otherwise at market prices prevailing at the time of sale, at prices related to prevailing market prices or at negotiated prices. The underwriters may effect such transactions by selling shares of common stock to or through dealers, and such dealers may receive compensation in the form of discounts, concessions or commissions from the underwriters and/or purchasers of shares of common stock for whom they may act as agents or to whom they may sell as principal. </w:t>
      </w:r>
    </w:p>
    <w:p>
      <w:pPr>
        <w:pStyle w:val="TextBody"/>
        <w:spacing w:before="240" w:after="0"/>
        <w:jc w:val="left"/>
        <w:rPr>
          <w:rFonts w:ascii="Times New Roman" w:hAnsi="Times New Roman"/>
          <w:sz w:val="20"/>
        </w:rPr>
      </w:pPr>
      <w:r>
        <w:rPr>
          <w:rFonts w:ascii="Times New Roman" w:hAnsi="Times New Roman"/>
          <w:sz w:val="20"/>
        </w:rPr>
        <w:t xml:space="preserve">The expenses of the offering, not including the underwriting discount, are estimated at $     and are payable by us. </w:t>
      </w:r>
    </w:p>
    <w:p>
      <w:pPr>
        <w:pStyle w:val="TextBody"/>
        <w:spacing w:before="360" w:after="0"/>
        <w:jc w:val="left"/>
        <w:rPr>
          <w:rFonts w:ascii="Times New Roman" w:hAnsi="Times New Roman"/>
          <w:b/>
          <w:sz w:val="20"/>
        </w:rPr>
      </w:pPr>
      <w:r>
        <w:rPr>
          <w:rFonts w:ascii="Times New Roman" w:hAnsi="Times New Roman"/>
          <w:b/>
          <w:sz w:val="20"/>
        </w:rPr>
        <w:t xml:space="preserve">Underwriters Option </w:t>
      </w:r>
    </w:p>
    <w:p>
      <w:pPr>
        <w:pStyle w:val="TextBody"/>
        <w:spacing w:before="120" w:after="0"/>
        <w:jc w:val="left"/>
        <w:rPr>
          <w:rFonts w:ascii="Times New Roman" w:hAnsi="Times New Roman"/>
          <w:sz w:val="20"/>
        </w:rPr>
      </w:pPr>
      <w:r>
        <w:rPr>
          <w:rFonts w:ascii="Times New Roman" w:hAnsi="Times New Roman"/>
          <w:sz w:val="20"/>
        </w:rPr>
        <w:t xml:space="preserve">We have granted the underwriters an option to buy, within 30 days from the date of this prospectus supplement, up to 675,000 additional shares of common stock. If any shares are purchased pursuant to this option, the underwriters will purchase shares in approximately the same proportion as shown in the table above. If any additional shares of common stock are purchased, the underwriters will offer the additional shares on the same terms as those on which the shares are being offered. </w:t>
      </w:r>
    </w:p>
    <w:p>
      <w:pPr>
        <w:pStyle w:val="TextBody"/>
        <w:spacing w:before="360" w:after="0"/>
        <w:jc w:val="left"/>
        <w:rPr>
          <w:rFonts w:ascii="Times New Roman" w:hAnsi="Times New Roman"/>
          <w:b/>
          <w:sz w:val="20"/>
        </w:rPr>
      </w:pPr>
      <w:r>
        <w:rPr>
          <w:rFonts w:ascii="Times New Roman" w:hAnsi="Times New Roman"/>
          <w:b/>
          <w:sz w:val="20"/>
        </w:rPr>
        <w:t xml:space="preserve">No Sales of Similar Securities </w:t>
      </w:r>
    </w:p>
    <w:p>
      <w:pPr>
        <w:pStyle w:val="TextBody"/>
        <w:spacing w:before="120" w:after="0"/>
        <w:jc w:val="left"/>
        <w:rPr>
          <w:rFonts w:ascii="Times New Roman" w:hAnsi="Times New Roman"/>
          <w:sz w:val="20"/>
        </w:rPr>
      </w:pPr>
      <w:r>
        <w:rPr>
          <w:rFonts w:ascii="Times New Roman" w:hAnsi="Times New Roman"/>
          <w:sz w:val="20"/>
        </w:rPr>
        <w:t xml:space="preserve">Subject to certain exceptions, we have agreed not to directly or indirectly, (i) offer, pledge, sell, contract to sell, grant any option for the sale of or otherwise transfer or dispose of, directly or indirectly, or file with the SEC a registration statement under the Securities Act relating to, any shares of our common stock or securities convertible into or exchangeable or exercisable for any shares of our common stock (except for any shelf registration statements filed by us), or publicly disclose the intention to make any offer, sale, pledge, disposition or filing, or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Wells Fargo Securities, LLC for a period of 30 days after the date of this prospectus supplement. </w:t>
      </w:r>
    </w:p>
    <w:p>
      <w:pPr>
        <w:pStyle w:val="TextBody"/>
        <w:spacing w:before="240" w:after="0"/>
        <w:jc w:val="left"/>
        <w:rPr>
          <w:rFonts w:ascii="Times New Roman" w:hAnsi="Times New Roman"/>
          <w:sz w:val="20"/>
        </w:rPr>
      </w:pPr>
      <w:r>
        <w:rPr>
          <w:rFonts w:ascii="Times New Roman" w:hAnsi="Times New Roman"/>
          <w:sz w:val="20"/>
        </w:rPr>
        <w:t xml:space="preserve">Our Adviser, our directors and certain of our executive officers have entered into lock-up agreements with the underwriters prior to the commencement of this offering pursuant to which each of these persons or entities, with limited exceptions, for a period of 30 days after the date of this prospectus supplement, may not, subject to certain exceptions, without the prior written consent of Wells Fargo Securities, LLC, (1) offer, pledge,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directors, executive officers, managers and members in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accordance with the rules and regulations of the SEC and securities which may be issued upon exercise of a stock option or warrant), or publicly disclose the intention to make any offer, sale, pledge or disposition, or (2) enter into any swap or other agreement that transfers, in whole or in part, any of the economic consequences of ownership of the common stock or such other securities, whether any such transaction described in clause (1) or (2) above is to be settled by delivery of common stock or such other securities, in cash or otherwise, or (3) make any demand for or exercise any right with respect to the registration of any shares of our common stock or any security convertible into or exercisable or exchangeable for our common stock. </w:t>
      </w:r>
    </w:p>
    <w:p>
      <w:pPr>
        <w:pStyle w:val="TextBody"/>
        <w:spacing w:before="360" w:after="0"/>
        <w:jc w:val="left"/>
        <w:rPr>
          <w:rFonts w:ascii="Times New Roman" w:hAnsi="Times New Roman"/>
          <w:b/>
          <w:sz w:val="20"/>
        </w:rPr>
      </w:pPr>
      <w:r>
        <w:rPr>
          <w:rFonts w:ascii="Times New Roman" w:hAnsi="Times New Roman"/>
          <w:b/>
          <w:sz w:val="20"/>
        </w:rPr>
        <w:t xml:space="preserve">NYSE Listing </w:t>
      </w:r>
    </w:p>
    <w:p>
      <w:pPr>
        <w:pStyle w:val="TextBody"/>
        <w:spacing w:before="120" w:after="0"/>
        <w:jc w:val="left"/>
        <w:rPr>
          <w:rFonts w:ascii="Times New Roman" w:hAnsi="Times New Roman"/>
          <w:sz w:val="20"/>
        </w:rPr>
      </w:pPr>
      <w:r>
        <w:rPr>
          <w:rFonts w:ascii="Times New Roman" w:hAnsi="Times New Roman"/>
          <w:sz w:val="20"/>
        </w:rPr>
        <w:t xml:space="preserve">The shares are listed on the NYSE under the symbol TSLX. </w:t>
      </w:r>
    </w:p>
    <w:p>
      <w:pPr>
        <w:pStyle w:val="TextBody"/>
        <w:spacing w:before="360" w:after="0"/>
        <w:jc w:val="left"/>
        <w:rPr>
          <w:rFonts w:ascii="Times New Roman" w:hAnsi="Times New Roman"/>
          <w:b/>
          <w:sz w:val="20"/>
        </w:rPr>
      </w:pPr>
      <w:r>
        <w:rPr>
          <w:rFonts w:ascii="Times New Roman" w:hAnsi="Times New Roman"/>
          <w:b/>
          <w:sz w:val="20"/>
        </w:rPr>
        <w:t xml:space="preserve">Price Stabilization, Short Positions </w:t>
      </w:r>
    </w:p>
    <w:p>
      <w:pPr>
        <w:pStyle w:val="TextBody"/>
        <w:spacing w:before="120" w:after="0"/>
        <w:jc w:val="left"/>
        <w:rPr>
          <w:rFonts w:ascii="Times New Roman" w:hAnsi="Times New Roman"/>
          <w:sz w:val="20"/>
        </w:rPr>
      </w:pPr>
      <w:r>
        <w:rPr>
          <w:rFonts w:ascii="Times New Roman" w:hAnsi="Times New Roman"/>
          <w:sz w:val="20"/>
        </w:rPr>
        <w:t xml:space="preserve">In connection with this offering, the underwriters may engage in stabilizing transactions, which may involve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underwriters of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from us,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their option.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 </w:t>
      </w:r>
    </w:p>
    <w:p>
      <w:pPr>
        <w:pStyle w:val="TextBody"/>
        <w:spacing w:before="240" w:after="0"/>
        <w:jc w:val="left"/>
        <w:rPr>
          <w:rFonts w:ascii="Times New Roman" w:hAnsi="Times New Roman"/>
          <w:sz w:val="20"/>
        </w:rPr>
      </w:pPr>
      <w:r>
        <w:rPr>
          <w:rFonts w:ascii="Times New Roman" w:hAnsi="Times New Roman"/>
          <w:sz w:val="20"/>
        </w:rPr>
        <w:t xml:space="preserve">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sales load received by them. </w:t>
      </w:r>
    </w:p>
    <w:p>
      <w:pPr>
        <w:pStyle w:val="TextBody"/>
        <w:spacing w:before="240" w:after="0"/>
        <w:jc w:val="left"/>
        <w:rPr>
          <w:rFonts w:ascii="Times New Roman" w:hAnsi="Times New Roman"/>
          <w:sz w:val="20"/>
        </w:rPr>
      </w:pPr>
      <w:r>
        <w:rPr>
          <w:rFonts w:ascii="Times New Roman" w:hAnsi="Times New Roman"/>
          <w:sz w:val="20"/>
        </w:rPr>
        <w:t xml:space="preserve">These activities may have the effect of raising or maintaining the market price of our common stock or preventing or retarding a decline in the market price of our common stock, and, as a result, the price of our common stock may be higher than the price that otherwise might exist in the open market. If the underwriters commence these activities, they may discontinue them at any time. The underwriters may carry out these transactions on the NYSE, in the over-the-counter market or otherwise. </w:t>
      </w:r>
    </w:p>
    <w:p>
      <w:pPr>
        <w:pStyle w:val="TextBody"/>
        <w:spacing w:before="240" w:after="0"/>
        <w:jc w:val="left"/>
        <w:rPr>
          <w:rFonts w:ascii="Times New Roman" w:hAnsi="Times New Roman"/>
          <w:sz w:val="20"/>
        </w:rPr>
      </w:pPr>
      <w:r>
        <w:rPr>
          <w:rFonts w:ascii="Times New Roman" w:hAnsi="Times New Roman"/>
          <w:sz w:val="20"/>
        </w:rPr>
        <w:t xml:space="preserve">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 </w:t>
      </w:r>
    </w:p>
    <w:p>
      <w:pPr>
        <w:pStyle w:val="TextBody"/>
        <w:spacing w:before="360" w:after="0"/>
        <w:jc w:val="left"/>
        <w:rPr>
          <w:rFonts w:ascii="Times New Roman" w:hAnsi="Times New Roman"/>
          <w:b/>
          <w:sz w:val="20"/>
        </w:rPr>
      </w:pPr>
      <w:r>
        <w:rPr>
          <w:rFonts w:ascii="Times New Roman" w:hAnsi="Times New Roman"/>
          <w:b/>
          <w:sz w:val="20"/>
        </w:rPr>
        <w:t xml:space="preserve">Electronic Distribution </w:t>
      </w:r>
    </w:p>
    <w:p>
      <w:pPr>
        <w:pStyle w:val="TextBody"/>
        <w:spacing w:before="120" w:after="0"/>
        <w:jc w:val="left"/>
        <w:rPr>
          <w:rFonts w:ascii="Times New Roman" w:hAnsi="Times New Roman"/>
          <w:sz w:val="20"/>
        </w:rPr>
      </w:pPr>
      <w:r>
        <w:rPr>
          <w:rFonts w:ascii="Times New Roman" w:hAnsi="Times New Roman"/>
          <w:sz w:val="20"/>
        </w:rPr>
        <w:t xml:space="preserve">The underwriters may make prospectuses available in electronic (PDF) format. A prospectus in electronic (PDF) format may be made available on a web site maintained by the underwriters, and the underwriters may distribute such prospectuses electronically. The underwriters may allocate a limited number of shares for sale to their online brokerage customers. </w:t>
      </w:r>
    </w:p>
    <w:p>
      <w:pPr>
        <w:pStyle w:val="TextBody"/>
        <w:spacing w:before="360" w:after="0"/>
        <w:jc w:val="left"/>
        <w:rPr>
          <w:rFonts w:ascii="Times New Roman" w:hAnsi="Times New Roman"/>
          <w:b/>
          <w:sz w:val="20"/>
        </w:rPr>
      </w:pPr>
      <w:r>
        <w:rPr>
          <w:rFonts w:ascii="Times New Roman" w:hAnsi="Times New Roman"/>
          <w:b/>
          <w:sz w:val="20"/>
        </w:rPr>
        <w:t xml:space="preserve">Other Relationships </w:t>
      </w:r>
    </w:p>
    <w:p>
      <w:pPr>
        <w:pStyle w:val="TextBody"/>
        <w:spacing w:before="120" w:after="0"/>
        <w:jc w:val="left"/>
        <w:rPr>
          <w:rFonts w:ascii="Times New Roman" w:hAnsi="Times New Roman"/>
          <w:sz w:val="20"/>
        </w:rPr>
      </w:pPr>
      <w:r>
        <w:rPr>
          <w:rFonts w:ascii="Times New Roman" w:hAnsi="Times New Roman"/>
          <w:sz w:val="20"/>
        </w:rPr>
        <w:t xml:space="preserve">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valuation services and other financial and non-financial activities and services. Certain of the underwriters and their respective affiliates have provided, currently provide, and may in the future provide, a variety of these services to us and to persons and entities with relationships with us, for which they received or will receive customary fees and expenses. Certain of the underwriters and their affiliates were underwriters in connection with our IPO and our subsequent debt and equity offerings, for which they received customary fees. Additionally, affiliates of certain underwriters are lenders under the Revolving Credit Facility.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sz w:val="20"/>
        </w:rPr>
      </w:pPr>
      <w:r>
        <w:rPr>
          <w:rFonts w:ascii="Times New Roman" w:hAnsi="Times New Roman"/>
          <w:sz w:val="20"/>
        </w:rPr>
        <w:t xml:space="preserve">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or instruments (directly, as collateral securing other obligations or otherwise) or persons and entities with relationships with us. Certain of the underwriters and their affiliates that have a lending relationship with us routinely hedge their credit exposure to us consistent with their customary risk management policies. Typically, such underwriters and their affiliates would hedge such exposure by entering into transactions which consist of either the purchase of credit default swaps or the creation of short positions in our securities. Any such credit default swaps or short positions could adversely affect future trading prices of our securities. The underwriters and their respective affiliates may also communicate independent investment recommendations, market color or trading ideas or publish or express independent research views in respect of such assets, securities or instruments and may at any time hold, or recommend to clients that they should acquire, long or short positions in such assets, securities and instruments. </w:t>
      </w:r>
    </w:p>
    <w:p>
      <w:pPr>
        <w:pStyle w:val="TextBody"/>
        <w:spacing w:before="240" w:after="0"/>
        <w:jc w:val="left"/>
        <w:rPr>
          <w:rFonts w:ascii="Times New Roman" w:hAnsi="Times New Roman"/>
          <w:sz w:val="20"/>
        </w:rPr>
      </w:pPr>
      <w:r>
        <w:rPr>
          <w:rFonts w:ascii="Times New Roman" w:hAnsi="Times New Roman"/>
          <w:sz w:val="20"/>
        </w:rPr>
        <w:t xml:space="preserve">We intend to use the net proceeds of this offering to pay down a portion of the outstanding indebtedness under the Revolving Credit Facility and for general corporate purposes. Affiliates of certain underwriters are lenders under the Revolving Credit Facility. Accordingly, affiliates of certain of the underwriters may receive more than 5% of the proceeds of this offering to the extent the proceeds are used to pay down a portion of the outstanding indebtedness under the Revolving Credit Facility. </w:t>
      </w:r>
    </w:p>
    <w:p>
      <w:pPr>
        <w:pStyle w:val="TextBody"/>
        <w:spacing w:before="240" w:after="0"/>
        <w:jc w:val="left"/>
        <w:rPr>
          <w:rFonts w:ascii="Times New Roman" w:hAnsi="Times New Roman"/>
          <w:sz w:val="20"/>
        </w:rPr>
      </w:pPr>
      <w:r>
        <w:rPr>
          <w:rFonts w:ascii="Times New Roman" w:hAnsi="Times New Roman"/>
          <w:sz w:val="20"/>
        </w:rPr>
        <w:t xml:space="preserve">Goldman Sachs &amp; Co. LLC is also acting as our agent for the Company stock repurchase 10b5-1 Plan. </w:t>
      </w:r>
    </w:p>
    <w:p>
      <w:pPr>
        <w:pStyle w:val="TextBody"/>
        <w:spacing w:before="360" w:after="0"/>
        <w:jc w:val="left"/>
        <w:rPr>
          <w:rFonts w:ascii="Times New Roman" w:hAnsi="Times New Roman"/>
          <w:b/>
          <w:sz w:val="20"/>
        </w:rPr>
      </w:pPr>
      <w:r>
        <w:rPr>
          <w:rFonts w:ascii="Times New Roman" w:hAnsi="Times New Roman"/>
          <w:b/>
          <w:sz w:val="20"/>
        </w:rPr>
        <w:t xml:space="preserve">Principal Business Addresses </w:t>
      </w:r>
    </w:p>
    <w:p>
      <w:pPr>
        <w:pStyle w:val="TextBody"/>
        <w:spacing w:before="120" w:after="0"/>
        <w:jc w:val="left"/>
        <w:rPr>
          <w:rFonts w:ascii="Times New Roman" w:hAnsi="Times New Roman"/>
          <w:sz w:val="20"/>
        </w:rPr>
      </w:pPr>
      <w:r>
        <w:rPr>
          <w:rFonts w:ascii="Times New Roman" w:hAnsi="Times New Roman"/>
          <w:sz w:val="20"/>
        </w:rPr>
        <w:t xml:space="preserve">The principal business address of Wells Fargo Securities, LLC is 550 South Tryon Street, Charlotte, North Carolina 28202. </w:t>
      </w:r>
    </w:p>
    <w:p>
      <w:pPr>
        <w:pStyle w:val="TextBody"/>
        <w:spacing w:before="360" w:after="0"/>
        <w:jc w:val="left"/>
        <w:rPr>
          <w:rFonts w:ascii="Times New Roman" w:hAnsi="Times New Roman"/>
          <w:b/>
          <w:sz w:val="20"/>
        </w:rPr>
      </w:pPr>
      <w:r>
        <w:rPr>
          <w:rFonts w:ascii="Times New Roman" w:hAnsi="Times New Roman"/>
          <w:b/>
          <w:sz w:val="20"/>
        </w:rPr>
        <w:t xml:space="preserve">Other Jurisdictions </w:t>
      </w:r>
    </w:p>
    <w:p>
      <w:pPr>
        <w:pStyle w:val="TextBody"/>
        <w:spacing w:before="120" w:after="0"/>
        <w:jc w:val="left"/>
        <w:rPr>
          <w:rFonts w:ascii="Times New Roman" w:hAnsi="Times New Roman"/>
          <w:sz w:val="20"/>
        </w:rPr>
      </w:pPr>
      <w:r>
        <w:rPr>
          <w:rFonts w:ascii="Times New Roman" w:hAnsi="Times New Roman"/>
          <w:sz w:val="20"/>
        </w:rPr>
        <w:t xml:space="preserve">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 </w:t>
      </w:r>
    </w:p>
    <w:p>
      <w:pPr>
        <w:pStyle w:val="TextBody"/>
        <w:spacing w:before="360" w:after="0"/>
        <w:jc w:val="left"/>
        <w:rPr>
          <w:rFonts w:ascii="Times New Roman" w:hAnsi="Times New Roman"/>
          <w:b/>
          <w:sz w:val="20"/>
        </w:rPr>
      </w:pPr>
      <w:r>
        <w:rPr>
          <w:rFonts w:ascii="Times New Roman" w:hAnsi="Times New Roman"/>
          <w:b/>
          <w:sz w:val="20"/>
        </w:rPr>
        <w:t xml:space="preserve">Notice to Prospective Investors in the Dubai International Financial Centre </w:t>
      </w:r>
    </w:p>
    <w:p>
      <w:pPr>
        <w:pStyle w:val="TextBody"/>
        <w:spacing w:before="120" w:after="0"/>
        <w:jc w:val="left"/>
        <w:rPr>
          <w:rFonts w:ascii="Times New Roman" w:hAnsi="Times New Roman"/>
          <w:sz w:val="20"/>
        </w:rPr>
      </w:pPr>
      <w:r>
        <w:rPr>
          <w:rFonts w:ascii="Times New Roman" w:hAnsi="Times New Roman"/>
          <w:sz w:val="20"/>
        </w:rPr>
        <w:t xml:space="preserve">This prospectus supplement relates to an Exempt Offer in accordance with the Offered Securities Rules of the Dubai Financial Services Authority, or DFSA. This prospectus supplement is intended for distribution only to persons in the in the Dubai International Financial Centre, or DIFC of a type specified in the Offered Securities Rules of the DFSA. It must not be delivered to, or relied on by, any other person in the DIFC. The DFSA has no responsibility for reviewing or verifying any documents in connection with Exempt Offers. The DFSA has not approved this prospectus supplement nor taken steps to verify the information set forth herein and has no responsibility for the prospectus supplement. The common stock to which this prospectus supplement relates may be illiquid or subject to restrictions on their resale. Prospective purchasers of the common stock offered should conduct their own due diligence on the common stock. If you do not understand the contents of this prospectus supplement you should consult an authorized financial advisor. </w:t>
      </w:r>
    </w:p>
    <w:p>
      <w:pPr>
        <w:pStyle w:val="TextBody"/>
        <w:spacing w:before="360" w:after="0"/>
        <w:jc w:val="left"/>
        <w:rPr>
          <w:rFonts w:ascii="Times New Roman" w:hAnsi="Times New Roman"/>
          <w:b/>
          <w:sz w:val="20"/>
        </w:rPr>
      </w:pPr>
      <w:r>
        <w:rPr>
          <w:rFonts w:ascii="Times New Roman" w:hAnsi="Times New Roman"/>
          <w:b/>
          <w:sz w:val="20"/>
        </w:rPr>
        <w:t xml:space="preserve">Notice to Prospective Investors in Hong Kong </w:t>
      </w:r>
    </w:p>
    <w:p>
      <w:pPr>
        <w:pStyle w:val="TextBody"/>
        <w:spacing w:before="120" w:after="0"/>
        <w:jc w:val="left"/>
        <w:rPr>
          <w:rFonts w:ascii="Times New Roman" w:hAnsi="Times New Roman"/>
          <w:sz w:val="20"/>
        </w:rPr>
      </w:pPr>
      <w:r>
        <w:rPr>
          <w:rFonts w:ascii="Times New Roman" w:hAnsi="Times New Roman"/>
          <w:sz w:val="20"/>
        </w:rPr>
        <w:t xml:space="preserve">The common stock has not been offered or sold and will not be offered or sold in Hong Kong, by means of any document, other than (a) to professional investors as defined in the Securities and Futures Ordinance (Cap. 571 of the Laws of Hong Kong) (Securities and Futures Ordinance) and any rules made thereunder; or (b) in other circumstances which do not result in the document being a prospectus as defined in the Companies (Winding Up and Miscellaneous Provisions) Ordinance (Cap. 32 of the Laws of Hong Kong) (Companies (Winding Up and Miscellaneous Provisions) Ordinance) or which do not constitute an offer to the public within the meaning of the Companies (Winding Up and Miscellaneous Provisions) Ordinance. No advertisement, invitation or document relating to the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common stock which are or are intended to be disposed of only to persons outside Hong Kong or only to professional investors as defined in the Securities and Futures Ordinance and any rules made thereunder.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sz w:val="20"/>
        </w:rPr>
      </w:pPr>
      <w:r>
        <w:rPr>
          <w:rFonts w:ascii="Times New Roman" w:hAnsi="Times New Roman"/>
          <w:b/>
          <w:sz w:val="20"/>
        </w:rPr>
        <w:t xml:space="preserve">Notice to Prospective Investors in Canada </w:t>
      </w:r>
    </w:p>
    <w:p>
      <w:pPr>
        <w:pStyle w:val="TextBody"/>
        <w:spacing w:before="120" w:after="0"/>
        <w:jc w:val="left"/>
        <w:rPr>
          <w:rFonts w:ascii="Times New Roman" w:hAnsi="Times New Roman"/>
          <w:sz w:val="20"/>
        </w:rPr>
      </w:pPr>
      <w:r>
        <w:rPr>
          <w:rFonts w:ascii="Times New Roman" w:hAnsi="Times New Roman"/>
          <w:sz w:val="20"/>
        </w:rPr>
        <w:t xml:space="preserve">This prospectus constitutes an exempt offering document as defined in and for the purposes of applicable Canadian securities laws. No prospectus has been filed with any securities commission or similar regulatory authority in Canada in connection with the offer and sale of the shares. No securities commission or similar regulatory authority in Canada has reviewed or in any way passed upon this prospectus or on the merits of the shares and any representation to the contrary is an offence. </w:t>
      </w:r>
    </w:p>
    <w:p>
      <w:pPr>
        <w:pStyle w:val="TextBody"/>
        <w:spacing w:before="240" w:after="0"/>
        <w:jc w:val="left"/>
        <w:rPr>
          <w:rFonts w:ascii="Times New Roman" w:hAnsi="Times New Roman"/>
          <w:sz w:val="20"/>
        </w:rPr>
      </w:pPr>
      <w:r>
        <w:rPr>
          <w:rFonts w:ascii="Times New Roman" w:hAnsi="Times New Roman"/>
          <w:b/>
          <w:sz w:val="20"/>
        </w:rPr>
        <w:t>Canadian investors are advised that this prospectus has been prepared in reliance on section 3A.3 of National Instrument 33-105</w:t>
      </w:r>
      <w:r>
        <w:rPr>
          <w:rFonts w:ascii="Times New Roman" w:hAnsi="Times New Roman"/>
          <w:sz w:val="20"/>
        </w:rPr>
        <w:t xml:space="preserve"> </w:t>
      </w:r>
      <w:r>
        <w:rPr>
          <w:rFonts w:ascii="Times New Roman" w:hAnsi="Times New Roman"/>
          <w:b/>
          <w:i/>
          <w:sz w:val="20"/>
        </w:rPr>
        <w:t>Underwriting Conflicts</w:t>
      </w:r>
      <w:r>
        <w:rPr>
          <w:rFonts w:ascii="Times New Roman" w:hAnsi="Times New Roman"/>
          <w:sz w:val="20"/>
        </w:rPr>
        <w:t xml:space="preserve"> </w:t>
      </w:r>
      <w:r>
        <w:rPr>
          <w:rFonts w:ascii="Times New Roman" w:hAnsi="Times New Roman"/>
          <w:b/>
          <w:sz w:val="20"/>
        </w:rPr>
        <w:t xml:space="preserve">(NI 33-105). Pursuant to section 3A.3 of NI 33-105, the company and the underwriters in the offering are exempt from the requirement to provide Canadian investors with certain conflicts of interest disclosure pertaining to connected issuer and/or related issuer relationships as would otherwise be required pursuant to subsection 2.1(1) of NI 33-105. </w:t>
      </w:r>
    </w:p>
    <w:p>
      <w:pPr>
        <w:pStyle w:val="TextBody"/>
        <w:spacing w:before="360" w:after="0"/>
        <w:jc w:val="left"/>
        <w:rPr>
          <w:rFonts w:ascii="Times New Roman" w:hAnsi="Times New Roman"/>
          <w:b/>
          <w:i/>
          <w:sz w:val="20"/>
        </w:rPr>
      </w:pPr>
      <w:r>
        <w:rPr>
          <w:rFonts w:ascii="Times New Roman" w:hAnsi="Times New Roman"/>
          <w:b/>
          <w:i/>
          <w:sz w:val="20"/>
        </w:rPr>
        <w:t xml:space="preserve">Resale Restrictions </w:t>
      </w:r>
    </w:p>
    <w:p>
      <w:pPr>
        <w:pStyle w:val="TextBody"/>
        <w:spacing w:before="120" w:after="0"/>
        <w:jc w:val="left"/>
        <w:rPr>
          <w:rFonts w:ascii="Times New Roman" w:hAnsi="Times New Roman"/>
          <w:sz w:val="20"/>
        </w:rPr>
      </w:pPr>
      <w:r>
        <w:rPr>
          <w:rFonts w:ascii="Times New Roman" w:hAnsi="Times New Roman"/>
          <w:sz w:val="20"/>
        </w:rPr>
        <w:t xml:space="preserve">The offer and sale of the shares in Canada is being made on a private placement basis only and is exempt from the requirement that the company prepares and files a prospectus under applicable Canadian securities laws. Any resale of shares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shares outside of Canada. </w:t>
      </w:r>
    </w:p>
    <w:p>
      <w:pPr>
        <w:pStyle w:val="TextBody"/>
        <w:spacing w:before="360" w:after="0"/>
        <w:jc w:val="left"/>
        <w:rPr>
          <w:rFonts w:ascii="Times New Roman" w:hAnsi="Times New Roman"/>
          <w:b/>
          <w:i/>
          <w:sz w:val="20"/>
        </w:rPr>
      </w:pPr>
      <w:r>
        <w:rPr>
          <w:rFonts w:ascii="Times New Roman" w:hAnsi="Times New Roman"/>
          <w:b/>
          <w:i/>
          <w:sz w:val="20"/>
        </w:rPr>
        <w:t xml:space="preserve">Representations of Purchasers </w:t>
      </w:r>
    </w:p>
    <w:p>
      <w:pPr>
        <w:pStyle w:val="TextBody"/>
        <w:spacing w:before="120" w:after="0"/>
        <w:jc w:val="left"/>
        <w:rPr>
          <w:rFonts w:ascii="Times New Roman" w:hAnsi="Times New Roman"/>
          <w:sz w:val="20"/>
        </w:rPr>
      </w:pPr>
      <w:r>
        <w:rPr>
          <w:rFonts w:ascii="Times New Roman" w:hAnsi="Times New Roman"/>
          <w:sz w:val="20"/>
        </w:rPr>
        <w:t xml:space="preserve">Each Canadian investor who purchases the shares will be deemed to have represented to the company, the underwriters and to each dealer from whom a purchase confirmation is received, as applicable, that the investor is (i) purchasing as principal, or is deemed to be purchasing as principal in accordance with applicable Canadian securities laws; (ii) an accredited investor as such term is defined in section 1.1 of National Instrument 45-106 </w:t>
      </w:r>
      <w:r>
        <w:rPr>
          <w:rFonts w:ascii="Times New Roman" w:hAnsi="Times New Roman"/>
          <w:i/>
          <w:sz w:val="20"/>
        </w:rPr>
        <w:t>Prospectus Exemptions</w:t>
      </w:r>
      <w:r>
        <w:rPr>
          <w:rFonts w:ascii="Times New Roman" w:hAnsi="Times New Roman"/>
          <w:sz w:val="20"/>
        </w:rPr>
        <w:t xml:space="preserve"> or, in Ontario, as such term is defined in section 73.3(1) of the </w:t>
      </w:r>
      <w:r>
        <w:rPr>
          <w:rFonts w:ascii="Times New Roman" w:hAnsi="Times New Roman"/>
          <w:i/>
          <w:sz w:val="20"/>
        </w:rPr>
        <w:t>Securities Act</w:t>
      </w:r>
      <w:r>
        <w:rPr>
          <w:rFonts w:ascii="Times New Roman" w:hAnsi="Times New Roman"/>
          <w:sz w:val="20"/>
        </w:rPr>
        <w:t xml:space="preserve"> (Ontario); and (iii) a permitted client as such term is defined in section 1.1 of National Instrument 31-103 </w:t>
      </w:r>
      <w:r>
        <w:rPr>
          <w:rFonts w:ascii="Times New Roman" w:hAnsi="Times New Roman"/>
          <w:i/>
          <w:sz w:val="20"/>
        </w:rPr>
        <w:t>Registration Requirements, Exemptions and Ongoing Registrant Obligations</w:t>
      </w:r>
      <w:r>
        <w:rPr>
          <w:rFonts w:ascii="Times New Roman" w:hAnsi="Times New Roman"/>
          <w:sz w:val="20"/>
        </w:rPr>
        <w:t xml:space="preserve">. </w:t>
      </w:r>
    </w:p>
    <w:p>
      <w:pPr>
        <w:pStyle w:val="TextBody"/>
        <w:spacing w:before="360" w:after="0"/>
        <w:jc w:val="left"/>
        <w:rPr>
          <w:rFonts w:ascii="Times New Roman" w:hAnsi="Times New Roman"/>
          <w:b/>
          <w:i/>
          <w:sz w:val="20"/>
        </w:rPr>
      </w:pPr>
      <w:r>
        <w:rPr>
          <w:rFonts w:ascii="Times New Roman" w:hAnsi="Times New Roman"/>
          <w:b/>
          <w:i/>
          <w:sz w:val="20"/>
        </w:rPr>
        <w:t xml:space="preserve">Taxation and Eligibility for Investment </w:t>
      </w:r>
    </w:p>
    <w:p>
      <w:pPr>
        <w:pStyle w:val="TextBody"/>
        <w:spacing w:before="120" w:after="0"/>
        <w:jc w:val="left"/>
        <w:rPr>
          <w:rFonts w:ascii="Times New Roman" w:hAnsi="Times New Roman"/>
          <w:sz w:val="20"/>
        </w:rPr>
      </w:pPr>
      <w:r>
        <w:rPr>
          <w:rFonts w:ascii="Times New Roman" w:hAnsi="Times New Roman"/>
          <w:sz w:val="20"/>
        </w:rPr>
        <w:t xml:space="preserve">Any discussion of taxation and related matters contained in this prospectus does not purport to be a comprehensive description of all of the tax considerations that may be relevant to a Canadian investor when deciding to purchase the shares and, in particular, does not address any Canadian tax considerations. No representation or warranty is hereby made as to the tax consequences to a resident, or deemed resident, of Canada of an investment in the shares or with respect to the eligibility of the Notes for investment by such investor under relevant Canadian federal and provincial legislation and regulations. </w:t>
      </w:r>
    </w:p>
    <w:p>
      <w:pPr>
        <w:pStyle w:val="TextBody"/>
        <w:spacing w:before="360" w:after="0"/>
        <w:jc w:val="left"/>
        <w:rPr>
          <w:rFonts w:ascii="Times New Roman" w:hAnsi="Times New Roman"/>
          <w:b/>
          <w:i/>
          <w:sz w:val="20"/>
        </w:rPr>
      </w:pPr>
      <w:r>
        <w:rPr>
          <w:rFonts w:ascii="Times New Roman" w:hAnsi="Times New Roman"/>
          <w:b/>
          <w:i/>
          <w:sz w:val="20"/>
        </w:rPr>
        <w:t xml:space="preserve">Rights of Action for Damages or Rescission </w:t>
      </w:r>
    </w:p>
    <w:p>
      <w:pPr>
        <w:pStyle w:val="TextBody"/>
        <w:spacing w:before="120" w:after="0"/>
        <w:jc w:val="left"/>
        <w:rPr>
          <w:rFonts w:ascii="Times New Roman" w:hAnsi="Times New Roman"/>
          <w:sz w:val="20"/>
        </w:rPr>
      </w:pPr>
      <w:r>
        <w:rPr>
          <w:rFonts w:ascii="Times New Roman" w:hAnsi="Times New Roman"/>
          <w:sz w:val="20"/>
        </w:rPr>
        <w:t xml:space="preserve">Securities legislation in certain of the Canadian jurisdictions provides certain purchasers of securities pursuant to an offering memorandum (such as this prospectus), including where the distribution involves an eligible foreign security as such term is defined in Ontario Securities Commission Rule 45-501 </w:t>
      </w:r>
      <w:r>
        <w:rPr>
          <w:rFonts w:ascii="Times New Roman" w:hAnsi="Times New Roman"/>
          <w:i/>
          <w:sz w:val="20"/>
        </w:rPr>
        <w:t>Ontario Prospectus and Registration Exemptions</w:t>
      </w:r>
      <w:r>
        <w:rPr>
          <w:rFonts w:ascii="Times New Roman" w:hAnsi="Times New Roman"/>
          <w:sz w:val="20"/>
        </w:rPr>
        <w:t xml:space="preserve"> and in Multilateral Instrument 45-107 </w:t>
      </w:r>
      <w:r>
        <w:rPr>
          <w:rFonts w:ascii="Times New Roman" w:hAnsi="Times New Roman"/>
          <w:i/>
          <w:sz w:val="20"/>
        </w:rPr>
        <w:t>Listing Representation and Statutory Rights of Action Disclosure Exemptions</w:t>
      </w:r>
      <w:r>
        <w:rPr>
          <w:rFonts w:ascii="Times New Roman" w:hAnsi="Times New Roman"/>
          <w:sz w:val="20"/>
        </w:rPr>
        <w:t xml:space="preserve">, as applicable, with a remedy for damages or rescission, or 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defences under, applicable Canadian securities legislation. In addition, these remedies are in addition to and without derogation from any other right or remedy available at law to the investor.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Times New Roman" w:hAnsi="Times New Roman"/>
          <w:b/>
          <w:i/>
          <w:sz w:val="20"/>
        </w:rPr>
      </w:pPr>
      <w:r>
        <w:rPr>
          <w:rFonts w:ascii="Times New Roman" w:hAnsi="Times New Roman"/>
          <w:b/>
          <w:i/>
          <w:sz w:val="20"/>
        </w:rPr>
        <w:t xml:space="preserve">Language of Documents </w:t>
      </w:r>
    </w:p>
    <w:p>
      <w:pPr>
        <w:pStyle w:val="TextBody"/>
        <w:spacing w:before="120" w:after="0"/>
        <w:jc w:val="left"/>
        <w:rPr>
          <w:rFonts w:ascii="Times New Roman" w:hAnsi="Times New Roman"/>
          <w:sz w:val="20"/>
        </w:rPr>
      </w:pPr>
      <w:r>
        <w:rPr>
          <w:rFonts w:ascii="Times New Roman" w:hAnsi="Times New Roman"/>
          <w:sz w:val="20"/>
        </w:rPr>
        <w:t>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w:t>
      </w:r>
      <w:r>
        <w:rPr>
          <w:rFonts w:ascii="Times New Roman" w:hAnsi="Times New Roman"/>
          <w:i/>
          <w:sz w:val="20"/>
        </w:rPr>
        <w:t>Par la réception de ce document, chaque investisseur canadien confirme par les présentes quil a expressément exigé que tous les documents faisant foi ou se rapportant de quelque manière que ce soit à la vente des valeurs mobilières décrites aux présentes (incluant, pour plus de certitude, toute confirmation dachat ou tout avis) soient rédigés en anglais seulement.</w:t>
      </w:r>
      <w:r>
        <w:rPr>
          <w:rFonts w:ascii="Times New Roman" w:hAnsi="Times New Roman"/>
          <w:sz w:val="20"/>
        </w:rPr>
        <w:t xml:space="preserve"> </w:t>
      </w:r>
    </w:p>
    <w:p>
      <w:pPr>
        <w:pStyle w:val="TextBody"/>
        <w:spacing w:before="480" w:after="0"/>
        <w:jc w:val="center"/>
        <w:rPr>
          <w:rFonts w:ascii="Times New Roman" w:hAnsi="Times New Roman"/>
          <w:b/>
          <w:sz w:val="20"/>
        </w:rPr>
      </w:pPr>
      <w:bookmarkStart w:id="11" w:name="supp451583_9"/>
      <w:bookmarkEnd w:id="11"/>
      <w:r>
        <w:rPr>
          <w:rFonts w:ascii="Times New Roman" w:hAnsi="Times New Roman"/>
          <w:b/>
          <w:sz w:val="20"/>
        </w:rPr>
        <w:t xml:space="preserve">LEGAL MATTERS </w:t>
      </w:r>
    </w:p>
    <w:p>
      <w:pPr>
        <w:pStyle w:val="TextBody"/>
        <w:spacing w:before="240" w:after="0"/>
        <w:jc w:val="left"/>
        <w:rPr>
          <w:rFonts w:ascii="Times New Roman" w:hAnsi="Times New Roman"/>
          <w:sz w:val="20"/>
        </w:rPr>
      </w:pPr>
      <w:r>
        <w:rPr>
          <w:rFonts w:ascii="Times New Roman" w:hAnsi="Times New Roman"/>
          <w:sz w:val="20"/>
        </w:rPr>
        <w:t xml:space="preserve">Certain legal matters in connection with the offering will be passed upon for us by Cleary Gottlieb Steen &amp; Hamilton LLP, New York, New York. In addition, Proskauer Rose LLP and Morris, Nichols, Arsht &amp; Tunnell LLP will pass on certain legal matters for us. Cleary Gottlieb Steen &amp; Hamilton LLP and Proskauer Rose LLP also represent the Adviser. Certain legal matters in connection with the offering will be passed upon for the underwriters by Ropes &amp; Gray LLP.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2" w:name="supp451583_10"/>
      <w:bookmarkEnd w:id="12"/>
      <w:r>
        <w:rPr>
          <w:rFonts w:ascii="Times New Roman" w:hAnsi="Times New Roman"/>
          <w:b/>
          <w:sz w:val="20"/>
        </w:rPr>
        <w:t xml:space="preserve">INFORMATION INCORPORATED BY REFERENCE </w:t>
      </w:r>
    </w:p>
    <w:p>
      <w:pPr>
        <w:pStyle w:val="TextBody"/>
        <w:spacing w:before="240" w:after="0"/>
        <w:jc w:val="left"/>
        <w:rPr>
          <w:rFonts w:ascii="Times New Roman" w:hAnsi="Times New Roman"/>
          <w:sz w:val="20"/>
        </w:rPr>
      </w:pPr>
      <w:r>
        <w:rPr>
          <w:rFonts w:ascii="Times New Roman" w:hAnsi="Times New Roman"/>
          <w:sz w:val="20"/>
        </w:rPr>
        <w:t xml:space="preserve">This prospectus supplement is part of a registration statement that we have filed with the SEC. Pursuant to the Small Business Credit Availability Act, we are allowed to incorporate by reference the information that we file with the SEC, which means that we can disclose important information to you by referring you to those documents. The information incorporated by reference is considered to comprise a part of this prospectus supplement from the date we file that document. Any reports filed by us with the SEC before the date that any offering of any securities by means of this prospectus supplement and the accompanying prospectus is terminated will automatically update and, where applicable, supersede any information contained in this prospectus supplement or incorporated by reference in this prospectus supplement. This prospectus supplement incorporates by reference the documents listed below: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fiscal year ended December 31, 2022, filed with the SEC on February 16, 2023 (the 2022 Annual Report);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pPr>
            <w:r>
              <w:rPr>
                <w:rFonts w:ascii="Times New Roman" w:hAnsi="Times New Roman"/>
                <w:sz w:val="20"/>
              </w:rPr>
              <w:t xml:space="preserve">our Quarterly Report on </w:t>
            </w:r>
            <w:hyperlink r:id="rId4">
              <w:r>
                <w:rPr>
                  <w:rStyle w:val="InternetLink"/>
                  <w:rFonts w:ascii="Times New Roman" w:hAnsi="Times New Roman"/>
                  <w:sz w:val="20"/>
                </w:rPr>
                <w:t>Form 10-Q</w:t>
              </w:r>
            </w:hyperlink>
            <w:r>
              <w:rPr>
                <w:rFonts w:ascii="Times New Roman" w:hAnsi="Times New Roman"/>
                <w:sz w:val="20"/>
              </w:rPr>
              <w:t xml:space="preserve"> for the three months ended March 31, 2023, filed with the SEC on May 8, 2023 (the 1Q 2023 Quarterly Report); and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pPr>
            <w:r>
              <w:rPr>
                <w:rFonts w:ascii="Times New Roman" w:hAnsi="Times New Roman"/>
                <w:sz w:val="20"/>
              </w:rPr>
              <w:t xml:space="preserve">the information specifically incorporated by reference into the Annual Report on </w:t>
            </w:r>
            <w:hyperlink r:id="rId5">
              <w:r>
                <w:rPr>
                  <w:rStyle w:val="InternetLink"/>
                  <w:rFonts w:ascii="Times New Roman" w:hAnsi="Times New Roman"/>
                  <w:sz w:val="20"/>
                </w:rPr>
                <w:t>Form 10-K</w:t>
              </w:r>
            </w:hyperlink>
            <w:r>
              <w:rPr>
                <w:rFonts w:ascii="Times New Roman" w:hAnsi="Times New Roman"/>
                <w:sz w:val="20"/>
              </w:rPr>
              <w:t xml:space="preserve"> for the fiscal year ended December 31, 2022, filed with the SEC on February  16, 2023 from our Definitive Proxy Statement on </w:t>
            </w:r>
            <w:hyperlink r:id="rId6">
              <w:r>
                <w:rPr>
                  <w:rStyle w:val="InternetLink"/>
                  <w:rFonts w:ascii="Times New Roman" w:hAnsi="Times New Roman"/>
                  <w:sz w:val="20"/>
                </w:rPr>
                <w:t>Schedule 14A</w:t>
              </w:r>
            </w:hyperlink>
            <w:r>
              <w:rPr>
                <w:rFonts w:ascii="Times New Roman" w:hAnsi="Times New Roman"/>
                <w:sz w:val="20"/>
              </w:rPr>
              <w:t xml:space="preserve"> relating to our 2023 Annual Meeting of Stockholders, filed with the SEC on April 13, 2023. </w:t>
            </w:r>
          </w:p>
        </w:tc>
      </w:tr>
    </w:tbl>
    <w:p>
      <w:pPr>
        <w:pStyle w:val="TextBody"/>
        <w:spacing w:before="240" w:after="0"/>
        <w:jc w:val="left"/>
        <w:rPr>
          <w:rFonts w:ascii="Times New Roman" w:hAnsi="Times New Roman"/>
          <w:sz w:val="20"/>
        </w:rPr>
      </w:pPr>
      <w:r>
        <w:rPr>
          <w:rFonts w:ascii="Times New Roman" w:hAnsi="Times New Roman"/>
          <w:sz w:val="20"/>
        </w:rPr>
        <w:t xml:space="preserve">We incorporate by reference into this prospectus supplement additional documents that we may file with the SEC under Sections 13(a), 13(c), 14 or 15(d) of the Securities Exchange Act of 1934, as amended, or the Exchange Act, until all of the securities offered by this prospectus supplement and the accompanying prospectus have been sold or we otherwise terminate the offering of these securities; provided, however, the information furnished under Item 2.02 or Item 7.01 of Form 8-K or other information furnished to the SEC which is not deemed filed is not incorporated by reference in this prospectus supplement and any accompanying prospectus. Information that we file with the SEC will automatically update and may supersede information in this prospectus supplement, the accompanying prospectus and information previously filed with the SEC. </w:t>
      </w:r>
    </w:p>
    <w:p>
      <w:pPr>
        <w:pStyle w:val="TextBody"/>
        <w:spacing w:before="240" w:after="0"/>
        <w:jc w:val="left"/>
        <w:rPr>
          <w:rFonts w:ascii="Times New Roman" w:hAnsi="Times New Roman"/>
          <w:sz w:val="20"/>
        </w:rPr>
      </w:pPr>
      <w:r>
        <w:rPr>
          <w:rFonts w:ascii="Times New Roman" w:hAnsi="Times New Roman"/>
          <w:sz w:val="20"/>
        </w:rPr>
        <w:t xml:space="preserve">We will provide without charge to each person, including any beneficial owner, to whom a copy of this prospectus supplement is delivered, upon written request of any such person, a copy of any or all of the documents that has been or may be incorporated by reference into this prospectus supplement (excluding certain exhibits to the documents) at no cost. Any such request may be made by contacting us in writing at the following address: </w:t>
      </w:r>
    </w:p>
    <w:p>
      <w:pPr>
        <w:pStyle w:val="TextBody"/>
        <w:spacing w:before="240" w:after="0"/>
        <w:jc w:val="center"/>
        <w:rPr>
          <w:rFonts w:ascii="Times New Roman" w:hAnsi="Times New Roman"/>
          <w:sz w:val="20"/>
        </w:rPr>
      </w:pPr>
      <w:r>
        <w:rPr>
          <w:rFonts w:ascii="Times New Roman" w:hAnsi="Times New Roman"/>
          <w:sz w:val="20"/>
        </w:rPr>
        <w:t xml:space="preserve">Sixth Street Specialty Lending, Inc. </w:t>
      </w:r>
    </w:p>
    <w:p>
      <w:pPr>
        <w:pStyle w:val="TextBody"/>
        <w:spacing w:before="0" w:after="0"/>
        <w:jc w:val="center"/>
        <w:rPr>
          <w:rFonts w:ascii="Times New Roman" w:hAnsi="Times New Roman"/>
          <w:sz w:val="20"/>
        </w:rPr>
      </w:pPr>
      <w:r>
        <w:rPr>
          <w:rFonts w:ascii="Times New Roman" w:hAnsi="Times New Roman"/>
          <w:sz w:val="20"/>
        </w:rPr>
        <w:t xml:space="preserve">888 7th Avenue, 41st Floor </w:t>
      </w:r>
    </w:p>
    <w:p>
      <w:pPr>
        <w:pStyle w:val="TextBody"/>
        <w:spacing w:before="0" w:after="0"/>
        <w:jc w:val="center"/>
        <w:rPr>
          <w:rFonts w:ascii="Times New Roman" w:hAnsi="Times New Roman"/>
          <w:sz w:val="20"/>
        </w:rPr>
      </w:pPr>
      <w:r>
        <w:rPr>
          <w:rFonts w:ascii="Times New Roman" w:hAnsi="Times New Roman"/>
          <w:sz w:val="20"/>
        </w:rPr>
        <w:t xml:space="preserve">New York, NY 10106 </w:t>
      </w:r>
    </w:p>
    <w:p>
      <w:pPr>
        <w:pStyle w:val="TextBody"/>
        <w:spacing w:before="0" w:after="0"/>
        <w:jc w:val="center"/>
        <w:rPr>
          <w:rFonts w:ascii="Times New Roman" w:hAnsi="Times New Roman"/>
          <w:sz w:val="20"/>
        </w:rPr>
      </w:pPr>
      <w:r>
        <w:rPr>
          <w:rFonts w:ascii="Times New Roman" w:hAnsi="Times New Roman"/>
          <w:sz w:val="20"/>
        </w:rPr>
        <w:t xml:space="preserve">Attention: TSLXInvestor Relations </w:t>
      </w:r>
    </w:p>
    <w:p>
      <w:pPr>
        <w:pStyle w:val="TextBody"/>
        <w:spacing w:before="0" w:after="0"/>
        <w:jc w:val="center"/>
        <w:rPr>
          <w:rFonts w:ascii="Times New Roman" w:hAnsi="Times New Roman"/>
          <w:sz w:val="20"/>
        </w:rPr>
      </w:pPr>
      <w:r>
        <w:rPr>
          <w:rFonts w:ascii="Times New Roman" w:hAnsi="Times New Roman"/>
          <w:sz w:val="20"/>
        </w:rPr>
        <w:t xml:space="preserve">Email: IRTSLX@sixthstreet.com. </w:t>
      </w:r>
    </w:p>
    <w:p>
      <w:pPr>
        <w:pStyle w:val="TextBody"/>
        <w:spacing w:before="240" w:after="0"/>
        <w:jc w:val="left"/>
        <w:rPr>
          <w:rFonts w:ascii="Times New Roman" w:hAnsi="Times New Roman"/>
          <w:sz w:val="20"/>
        </w:rPr>
      </w:pPr>
      <w:r>
        <w:rPr>
          <w:rFonts w:ascii="Times New Roman" w:hAnsi="Times New Roman"/>
          <w:sz w:val="20"/>
        </w:rPr>
        <w:t xml:space="preserve">You should rely only on the information incorporated by reference or provided in this prospectus supplement or accompanying prospectus.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supplement or in the documents incorporated by reference is accurate as of any date other than the date on the front of this prospectus supplement or those documents.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u w:val="single"/>
        </w:rPr>
      </w:pPr>
      <w:r>
        <w:rPr>
          <w:rFonts w:ascii="Times New Roman" w:hAnsi="Times New Roman"/>
          <w:b/>
          <w:sz w:val="20"/>
          <w:u w:val="single"/>
        </w:rPr>
        <w:t xml:space="preserve">PROSPECTUS </w:t>
      </w:r>
    </w:p>
    <w:p>
      <w:pPr>
        <w:pStyle w:val="TextBody"/>
        <w:spacing w:before="0" w:after="0"/>
        <w:rPr/>
      </w:pPr>
      <w:r>
        <w:rPr/>
        <w:t> </w:t>
      </w:r>
    </w:p>
    <w:p>
      <w:pPr>
        <w:pStyle w:val="TextBody"/>
        <w:spacing w:before="0" w:after="0"/>
        <w:jc w:val="center"/>
        <w:rPr/>
      </w:pPr>
      <w:r>
        <w:rPr/>
        <w:drawing>
          <wp:inline distT="0" distB="0" distL="0" distR="0">
            <wp:extent cx="191770" cy="571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7"/>
                    <a:stretch>
                      <a:fillRect/>
                    </a:stretch>
                  </pic:blipFill>
                  <pic:spPr bwMode="auto">
                    <a:xfrm>
                      <a:off x="0" y="0"/>
                      <a:ext cx="191770" cy="57150"/>
                    </a:xfrm>
                    <a:prstGeom prst="rect">
                      <a:avLst/>
                    </a:prstGeom>
                  </pic:spPr>
                </pic:pic>
              </a:graphicData>
            </a:graphic>
          </wp:inline>
        </w:drawing>
      </w:r>
      <w:r>
        <w:rPr/>
        <w:t xml:space="preserve"> </w:t>
      </w:r>
    </w:p>
    <w:p>
      <w:pPr>
        <w:pStyle w:val="TextBody"/>
        <w:spacing w:before="80" w:after="0"/>
        <w:jc w:val="center"/>
        <w:rPr>
          <w:rFonts w:ascii="Times New Roman" w:hAnsi="Times New Roman"/>
          <w:b/>
          <w:sz w:val="48"/>
        </w:rPr>
      </w:pPr>
      <w:r>
        <w:rPr>
          <w:rFonts w:ascii="Times New Roman" w:hAnsi="Times New Roman"/>
          <w:b/>
          <w:sz w:val="48"/>
        </w:rPr>
        <w:t xml:space="preserve">Sixth Street Specialty Lending, Inc. </w:t>
      </w:r>
    </w:p>
    <w:p>
      <w:pPr>
        <w:pStyle w:val="TextBody"/>
        <w:spacing w:before="160" w:after="0"/>
        <w:jc w:val="center"/>
        <w:rPr>
          <w:rFonts w:ascii="Times New Roman" w:hAnsi="Times New Roman"/>
          <w:b/>
          <w:sz w:val="28"/>
        </w:rPr>
      </w:pPr>
      <w:r>
        <w:rPr>
          <w:rFonts w:ascii="Times New Roman" w:hAnsi="Times New Roman"/>
          <w:b/>
          <w:sz w:val="28"/>
        </w:rPr>
        <w:t xml:space="preserve">Common Stock </w:t>
      </w:r>
    </w:p>
    <w:p>
      <w:pPr>
        <w:pStyle w:val="TextBody"/>
        <w:spacing w:before="0" w:after="0"/>
        <w:jc w:val="center"/>
        <w:rPr>
          <w:rFonts w:ascii="Times New Roman" w:hAnsi="Times New Roman"/>
          <w:b/>
          <w:sz w:val="28"/>
        </w:rPr>
      </w:pPr>
      <w:r>
        <w:rPr>
          <w:rFonts w:ascii="Times New Roman" w:hAnsi="Times New Roman"/>
          <w:b/>
          <w:sz w:val="28"/>
        </w:rPr>
        <w:t xml:space="preserve">Preferred Stock </w:t>
      </w:r>
    </w:p>
    <w:p>
      <w:pPr>
        <w:pStyle w:val="TextBody"/>
        <w:spacing w:before="0" w:after="0"/>
        <w:jc w:val="center"/>
        <w:rPr>
          <w:rFonts w:ascii="Times New Roman" w:hAnsi="Times New Roman"/>
          <w:b/>
          <w:sz w:val="28"/>
        </w:rPr>
      </w:pPr>
      <w:r>
        <w:rPr>
          <w:rFonts w:ascii="Times New Roman" w:hAnsi="Times New Roman"/>
          <w:b/>
          <w:sz w:val="28"/>
        </w:rPr>
        <w:t xml:space="preserve">Subscription Rights </w:t>
      </w:r>
    </w:p>
    <w:p>
      <w:pPr>
        <w:pStyle w:val="TextBody"/>
        <w:spacing w:before="0" w:after="0"/>
        <w:jc w:val="center"/>
        <w:rPr>
          <w:rFonts w:ascii="Times New Roman" w:hAnsi="Times New Roman"/>
          <w:b/>
          <w:sz w:val="28"/>
        </w:rPr>
      </w:pPr>
      <w:r>
        <w:rPr>
          <w:rFonts w:ascii="Times New Roman" w:hAnsi="Times New Roman"/>
          <w:b/>
          <w:sz w:val="28"/>
        </w:rPr>
        <w:t xml:space="preserve">Warrants </w:t>
      </w:r>
    </w:p>
    <w:p>
      <w:pPr>
        <w:pStyle w:val="TextBody"/>
        <w:spacing w:before="0" w:after="0"/>
        <w:jc w:val="center"/>
        <w:rPr>
          <w:rFonts w:ascii="Times New Roman" w:hAnsi="Times New Roman"/>
          <w:b/>
          <w:sz w:val="28"/>
        </w:rPr>
      </w:pPr>
      <w:r>
        <w:rPr>
          <w:rFonts w:ascii="Times New Roman" w:hAnsi="Times New Roman"/>
          <w:b/>
          <w:sz w:val="28"/>
        </w:rPr>
        <w:t xml:space="preserve">Debt Securities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80" w:after="0"/>
        <w:rPr>
          <w:rFonts w:ascii="Times New Roman" w:hAnsi="Times New Roman"/>
          <w:sz w:val="14"/>
        </w:rPr>
      </w:pPr>
      <w:r>
        <w:rPr>
          <w:rFonts w:ascii="Times New Roman" w:hAnsi="Times New Roman"/>
          <w:sz w:val="14"/>
        </w:rPr>
        <w:t xml:space="preserve">We are a specialty finance company focused on lending to middle-market companies that has elected to be regulated as a business development company under the Investment Company Act of 1940. We seek to generate current income primarily in U.S.-domiciled middle-market companies through direct originations of senior secured loans and, to a lesser extent, originations of mezzanine and unsecured loans and investments in corporate bonds and equity securities. By middle-market companies, we mean companies that have annual EBITDA, which we believe is a useful proxy for cash flow, of $10 million to $250 million, although we may invest in larger or smaller companies on occasion </w:t>
      </w:r>
    </w:p>
    <w:p>
      <w:pPr>
        <w:pStyle w:val="TextBody"/>
        <w:spacing w:before="80" w:after="0"/>
        <w:rPr>
          <w:rFonts w:ascii="Times New Roman" w:hAnsi="Times New Roman"/>
          <w:sz w:val="14"/>
        </w:rPr>
      </w:pPr>
      <w:r>
        <w:rPr>
          <w:rFonts w:ascii="Times New Roman" w:hAnsi="Times New Roman"/>
          <w:sz w:val="14"/>
        </w:rPr>
        <w:t xml:space="preserve">As of September 30, 2022 , our investment portfolio consisted of investments in 118 portfolio investments with an aggregate fair value of $2,806.1 million. We intend to continue to pursue an investment strategy focused primarily on direct origination of loans to middle-market companies domiciled in the United States. </w:t>
      </w:r>
    </w:p>
    <w:p>
      <w:pPr>
        <w:pStyle w:val="TextBody"/>
        <w:spacing w:before="80" w:after="0"/>
        <w:rPr>
          <w:rFonts w:ascii="Times New Roman" w:hAnsi="Times New Roman"/>
          <w:sz w:val="14"/>
        </w:rPr>
      </w:pPr>
      <w:r>
        <w:rPr>
          <w:rFonts w:ascii="Times New Roman" w:hAnsi="Times New Roman"/>
          <w:sz w:val="14"/>
        </w:rPr>
        <w:t xml:space="preserve">We are an externally-managed, closed-end, non-diversified management investment company. Sixth Street Specialty Lending Advisers, LLC, or the Adviser, acts as our investment adviser and administrator. Our investment decisions are made by our Investment Review Committee, which includes senior personnel of our Adviser and Sixth Street Partners, LLC or Sixth Street. Sixth Street is a global investment business with over $60 billion of assets under management as of September 30,2022. </w:t>
      </w:r>
    </w:p>
    <w:p>
      <w:pPr>
        <w:pStyle w:val="TextBody"/>
        <w:spacing w:before="80" w:after="0"/>
        <w:rPr>
          <w:rFonts w:ascii="Times New Roman" w:hAnsi="Times New Roman"/>
          <w:sz w:val="14"/>
        </w:rPr>
      </w:pPr>
      <w:r>
        <w:rPr>
          <w:rFonts w:ascii="Times New Roman" w:hAnsi="Times New Roman"/>
          <w:sz w:val="14"/>
        </w:rPr>
        <w:t xml:space="preserve">The companies in our investment portfolio are typically highly leveraged, and, in many cases, our investments in these companies are not rated by any rating agency. If these investments were rated, we believe that most would likely receive a rating of below investment grade (that is, below BBB- or Baa3, which is often referred to as junk). Our exposure to below investment grade instruments involves certain risks, including speculation with respect to the borrowers capacity to pay interest and repay principal. The debt investments in our portfolio generally have a significant portion of principal due at the maturity of the investment, which would result in a substantial loss to us if such borrowers are unable to refinance or repay their debt at maturity. </w:t>
      </w:r>
    </w:p>
    <w:p>
      <w:pPr>
        <w:pStyle w:val="TextBody"/>
        <w:spacing w:before="80" w:after="0"/>
        <w:rPr>
          <w:rFonts w:ascii="Times New Roman" w:hAnsi="Times New Roman"/>
          <w:sz w:val="14"/>
        </w:rPr>
      </w:pPr>
      <w:r>
        <w:rPr>
          <w:rFonts w:ascii="Times New Roman" w:hAnsi="Times New Roman"/>
          <w:sz w:val="14"/>
        </w:rPr>
        <w:t xml:space="preserve">Substantially all of our debt investments have variable interest rates that reset periodically based on interest rate benchmarks such as the London Interbank Offered Rate, the Euro Interbank Offered Rate, the Secured Overnight Financing Rate, the Sterling Overnight Interbank Average Rate, the Federal Funds Effective Rate or the Prime Rate. As a result, significant increases in such interest rate benchmarks in the future would make it more difficult for these borrowers to service their obligations under the debt investments that we hold. </w:t>
      </w:r>
    </w:p>
    <w:p>
      <w:pPr>
        <w:pStyle w:val="TextBody"/>
        <w:spacing w:before="80" w:after="0"/>
        <w:rPr>
          <w:rFonts w:ascii="Times New Roman" w:hAnsi="Times New Roman"/>
          <w:sz w:val="14"/>
        </w:rPr>
      </w:pPr>
      <w:r>
        <w:rPr>
          <w:rFonts w:ascii="Times New Roman" w:hAnsi="Times New Roman"/>
          <w:sz w:val="14"/>
        </w:rPr>
        <w:t xml:space="preserve">We may offer, from time to time, in one or more offerings or series, our common stock, preferred stock, debt securities, subscription rights to purchase shares of our common stock or warrants representing rights to purchase shares of our common stock, preferred stock or debt securities, which we refer to, collectively, as the securities. The preferred stock, debt securities, subscription rights and warrants offered hereby may be convertible or exchangeable into shares of our common stock. The securities may be offered at prices and on terms to be described in one or more supplements to this prospectus. </w:t>
      </w:r>
    </w:p>
    <w:p>
      <w:pPr>
        <w:pStyle w:val="TextBody"/>
        <w:spacing w:before="80" w:after="0"/>
        <w:rPr>
          <w:rFonts w:ascii="Times New Roman" w:hAnsi="Times New Roman"/>
          <w:sz w:val="14"/>
        </w:rPr>
      </w:pPr>
      <w:r>
        <w:rPr>
          <w:rFonts w:ascii="Times New Roman" w:hAnsi="Times New Roman"/>
          <w:sz w:val="14"/>
        </w:rPr>
        <w:t xml:space="preserve">In the event we offer common stock, the offering price per share of our common stock less any underwriting discounts or commissions will generally not be less than the net asset value per share of our common stock at the time we make the offering. However, we may issue shares of our common stock pursuant to this prospectus at a price per share that is less than our net asset value per share (i) in connection with a rights offering to our existing stockholders, (ii) with the prior approval of the majority of our outstanding voting securities or (iii) under such other circumstances as the Securities and Exchange Commission may permit. </w:t>
      </w:r>
    </w:p>
    <w:p>
      <w:pPr>
        <w:pStyle w:val="TextBody"/>
        <w:spacing w:before="80" w:after="0"/>
        <w:rPr>
          <w:rFonts w:ascii="Times New Roman" w:hAnsi="Times New Roman"/>
          <w:sz w:val="14"/>
        </w:rPr>
      </w:pPr>
      <w:r>
        <w:rPr>
          <w:rFonts w:ascii="Times New Roman" w:hAnsi="Times New Roman"/>
          <w:sz w:val="14"/>
        </w:rPr>
        <w:t xml:space="preserve">The securities may be offered directly to one or more purchasers,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Plan of Distribution. We will not sell any of the securities pursuant to this registration statement through agents, underwriters or dealers without delivery of this prospectus and a prospectus supplement describing the method and terms of the offering of such securities. </w:t>
      </w:r>
    </w:p>
    <w:p>
      <w:pPr>
        <w:pStyle w:val="TextBody"/>
        <w:spacing w:before="80" w:after="0"/>
        <w:rPr>
          <w:rFonts w:ascii="Times New Roman" w:hAnsi="Times New Roman"/>
          <w:sz w:val="14"/>
        </w:rPr>
      </w:pPr>
      <w:r>
        <w:rPr>
          <w:rFonts w:ascii="Times New Roman" w:hAnsi="Times New Roman"/>
          <w:sz w:val="14"/>
        </w:rPr>
        <w:t xml:space="preserve">Our common stock is traded on the New York Stock Exchange, or NYSE, under the symbol TSLX. On January 12, 2023, the last reported sales price of our common stock on the NYSE was $18.94 per share. The net asset value per share of our common stock at September 30, 2022 (the last date prior to the date of this prospectus for which we reported net asset value) was $16.36. </w:t>
      </w:r>
    </w:p>
    <w:p>
      <w:pPr>
        <w:pStyle w:val="TextBody"/>
        <w:spacing w:before="80" w:after="0"/>
        <w:rPr/>
      </w:pPr>
      <w:r>
        <w:rPr>
          <w:rFonts w:ascii="Times New Roman" w:hAnsi="Times New Roman"/>
          <w:b/>
          <w:sz w:val="16"/>
        </w:rPr>
        <w:t>Investing in our securities involves a high degree of risk. Shares of closed-end investment companies, including business development companies, frequently trade at a discount to their net asset values. If our shares trade at a discount to our net asset value, purchasers in any offering will face increased risk of loss. In addition, the companies in which we invest are subject to special risks. Before buying any securities, you should read the discussion of the material risks of investing in our securities, including the risk of leverage, in </w:t>
      </w:r>
      <w:hyperlink w:anchor="rom451583_7">
        <w:r>
          <w:rPr>
            <w:rStyle w:val="InternetLink"/>
            <w:rFonts w:ascii="Times New Roman" w:hAnsi="Times New Roman"/>
            <w:b/>
            <w:sz w:val="16"/>
          </w:rPr>
          <w:t>Risk Factors</w:t>
        </w:r>
      </w:hyperlink>
      <w:r>
        <w:rPr>
          <w:rFonts w:ascii="Times New Roman" w:hAnsi="Times New Roman"/>
          <w:b/>
          <w:sz w:val="16"/>
        </w:rPr>
        <w:t> beginning on page 22</w:t>
      </w:r>
      <w:r>
        <w:rPr>
          <w:rFonts w:ascii="Times New Roman" w:hAnsi="Times New Roman"/>
          <w:sz w:val="16"/>
        </w:rPr>
        <w:t xml:space="preserve"> </w:t>
      </w:r>
      <w:r>
        <w:rPr>
          <w:rFonts w:ascii="Times New Roman" w:hAnsi="Times New Roman"/>
          <w:b/>
          <w:sz w:val="16"/>
        </w:rPr>
        <w:t xml:space="preserve">of this prospectus and in the documents incorporated by reference herein. </w:t>
      </w:r>
    </w:p>
    <w:p>
      <w:pPr>
        <w:pStyle w:val="TextBody"/>
        <w:spacing w:before="80" w:after="0"/>
        <w:rPr>
          <w:rFonts w:ascii="Times New Roman" w:hAnsi="Times New Roman"/>
          <w:b/>
          <w:sz w:val="14"/>
        </w:rPr>
      </w:pPr>
      <w:r>
        <w:rPr>
          <w:rFonts w:ascii="Times New Roman" w:hAnsi="Times New Roman"/>
          <w:b/>
          <w:sz w:val="14"/>
        </w:rPr>
        <w:t xml:space="preserve">This prospectus may not be used to consummate sales of our securities unless accompanied by a prospectus supplement. </w:t>
      </w:r>
    </w:p>
    <w:p>
      <w:pPr>
        <w:pStyle w:val="TextBody"/>
        <w:spacing w:before="80" w:after="0"/>
        <w:rPr>
          <w:rFonts w:ascii="Times New Roman" w:hAnsi="Times New Roman"/>
          <w:sz w:val="14"/>
        </w:rPr>
      </w:pPr>
      <w:r>
        <w:rPr>
          <w:rFonts w:ascii="Times New Roman" w:hAnsi="Times New Roman"/>
          <w:sz w:val="14"/>
        </w:rPr>
        <w:t xml:space="preserve">Please read this prospectus and any accompanying prospectus supplements, including any information incorporated by reference herein or therein, before investing and keep such documents for future reference. This prospectus and any accompanying prospectus supplements, and the documents incorporated by reference herein or therein, contain important information about us that a prospective investor ought to know before investing in our securities. Information required to be included in a Statement of Additional Information may be found in this prospectus and an accompanying prospectus supplement, as applicable. We also file periodic and current reports, proxy statements and other information about us with the Securities and Exchange Commission. This information is available free of charge by contacting us at 888 7th Avenue, 41st Floor, New York, NY 10106, Attention: TSLX Investor Relations, by emailing us at IRTSLX@sixthstreet.com or visiting our website at https://sixthstreetspecialtylending.gcs-web.com/. Information on our website is not incorporated into or a part of this prospectus or any prospectus supplement. The Securities and Exchange Commission also maintains a website at http://www.sec.gov that contains this information. </w:t>
      </w:r>
    </w:p>
    <w:p>
      <w:pPr>
        <w:pStyle w:val="TextBody"/>
        <w:spacing w:before="80" w:after="0"/>
        <w:rPr>
          <w:rFonts w:ascii="Times New Roman" w:hAnsi="Times New Roman"/>
          <w:b/>
          <w:sz w:val="14"/>
        </w:rPr>
      </w:pPr>
      <w:r>
        <w:rPr>
          <w:rFonts w:ascii="Times New Roman" w:hAnsi="Times New Roman"/>
          <w:b/>
          <w:sz w:val="14"/>
        </w:rPr>
        <w:t xml:space="preserve">The Securities and Exchange Commission has not approved or disapproved of these securities or determined if this prospectus is truthful or complete. Any representation to the contrary is a criminal offense. </w:t>
      </w:r>
    </w:p>
    <w:p>
      <w:pPr>
        <w:pStyle w:val="TextBody"/>
        <w:spacing w:before="0" w:after="0"/>
        <w:rPr/>
      </w:pPr>
      <w:r>
        <w:rPr/>
        <w:t> </w:t>
      </w:r>
    </w:p>
    <w:p>
      <w:pPr>
        <w:pStyle w:val="TextBody"/>
        <w:pBdr>
          <w:bottom w:val="single" w:sz="8" w:space="1" w:color="000000"/>
        </w:pBdr>
        <w:spacing w:lineRule="atLeast" w:line="141" w:before="0" w:after="40"/>
        <w:jc w:val="center"/>
        <w:rPr/>
      </w:pPr>
      <w:r>
        <w:rPr/>
        <w:t> </w:t>
      </w:r>
    </w:p>
    <w:p>
      <w:pPr>
        <w:pStyle w:val="TextBody"/>
        <w:spacing w:before="80" w:after="0"/>
        <w:jc w:val="center"/>
        <w:rPr>
          <w:rFonts w:ascii="Times New Roman" w:hAnsi="Times New Roman"/>
          <w:b/>
          <w:sz w:val="16"/>
        </w:rPr>
      </w:pPr>
      <w:r>
        <w:rPr>
          <w:rFonts w:ascii="Times New Roman" w:hAnsi="Times New Roman"/>
          <w:b/>
          <w:sz w:val="16"/>
        </w:rPr>
        <w:t xml:space="preserve">The date of this prospectus is January 13, 2023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r>
        <w:rPr>
          <w:rFonts w:ascii="Times New Roman" w:hAnsi="Times New Roman"/>
          <w:b/>
          <w:sz w:val="20"/>
        </w:rPr>
        <w:t xml:space="preserve">TABLE OF CONTENTS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9654"/>
        <w:gridCol w:w="167"/>
        <w:gridCol w:w="60"/>
        <w:gridCol w:w="261"/>
        <w:gridCol w:w="63"/>
      </w:tblGrid>
      <w:tr>
        <w:trPr/>
        <w:tc>
          <w:tcPr>
            <w:tcW w:w="9654"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9654" w:type="dxa"/>
            <w:tcBorders/>
            <w:shd w:fill="auto" w:val="clear"/>
          </w:tcPr>
          <w:p>
            <w:pPr>
              <w:pStyle w:val="TableContents"/>
              <w:spacing w:before="0" w:after="0"/>
              <w:rPr/>
            </w:pPr>
            <w:hyperlink w:anchor="rom451583_1">
              <w:r>
                <w:rPr>
                  <w:rStyle w:val="InternetLink"/>
                  <w:rFonts w:ascii="Times New Roman" w:hAnsi="Times New Roman"/>
                  <w:sz w:val="20"/>
                </w:rPr>
                <w:t>ABOUT THIS PROSPECTUS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ii</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2">
              <w:r>
                <w:rPr>
                  <w:rStyle w:val="InternetLink"/>
                  <w:rFonts w:ascii="Times New Roman" w:hAnsi="Times New Roman"/>
                  <w:sz w:val="20"/>
                </w:rPr>
                <w:t>SUMMARY</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1</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3">
              <w:r>
                <w:rPr>
                  <w:rStyle w:val="InternetLink"/>
                  <w:rFonts w:ascii="Times New Roman" w:hAnsi="Times New Roman"/>
                  <w:sz w:val="20"/>
                </w:rPr>
                <w:t>THE OFFERING</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14</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4">
              <w:r>
                <w:rPr>
                  <w:rStyle w:val="InternetLink"/>
                  <w:rFonts w:ascii="Times New Roman" w:hAnsi="Times New Roman"/>
                  <w:sz w:val="20"/>
                </w:rPr>
                <w:t>FEES AND EXPENSES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18</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7">
              <w:r>
                <w:rPr>
                  <w:rStyle w:val="InternetLink"/>
                  <w:rFonts w:ascii="Times New Roman" w:hAnsi="Times New Roman"/>
                  <w:sz w:val="20"/>
                </w:rPr>
                <w:t>RISK FACTORS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22</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8">
              <w:r>
                <w:rPr>
                  <w:rStyle w:val="InternetLink"/>
                  <w:rFonts w:ascii="Times New Roman" w:hAnsi="Times New Roman"/>
                  <w:sz w:val="20"/>
                </w:rPr>
                <w:t>SPECIAL NOTE REGARDING FORWARD-LOOKING STATEMENTS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28</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9">
              <w:r>
                <w:rPr>
                  <w:rStyle w:val="InternetLink"/>
                  <w:rFonts w:ascii="Times New Roman" w:hAnsi="Times New Roman"/>
                  <w:sz w:val="20"/>
                </w:rPr>
                <w:t>USE OF PROCEEDS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29</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10">
              <w:r>
                <w:rPr>
                  <w:rStyle w:val="InternetLink"/>
                  <w:rFonts w:ascii="Times New Roman" w:hAnsi="Times New Roman"/>
                  <w:sz w:val="20"/>
                </w:rPr>
                <w:t>PRICE RANGE OF COMMON STOCK AND DISTRIBUTIONS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30</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12">
              <w:r>
                <w:rPr>
                  <w:rStyle w:val="InternetLink"/>
                  <w:rFonts w:ascii="Times New Roman" w:hAnsi="Times New Roman"/>
                  <w:sz w:val="20"/>
                </w:rPr>
                <w:t>SENIOR SECURITIES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33</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14">
              <w:r>
                <w:rPr>
                  <w:rStyle w:val="InternetLink"/>
                  <w:rFonts w:ascii="Times New Roman" w:hAnsi="Times New Roman"/>
                  <w:sz w:val="20"/>
                </w:rPr>
                <w:t>PORTFOLIO COMPANIES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35</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19">
              <w:r>
                <w:rPr>
                  <w:rStyle w:val="InternetLink"/>
                  <w:rFonts w:ascii="Times New Roman" w:hAnsi="Times New Roman"/>
                  <w:sz w:val="20"/>
                </w:rPr>
                <w:t>DETERMINATION OF NET ASSET VALUE</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42</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20">
              <w:r>
                <w:rPr>
                  <w:rStyle w:val="InternetLink"/>
                  <w:rFonts w:ascii="Times New Roman" w:hAnsi="Times New Roman"/>
                  <w:sz w:val="20"/>
                </w:rPr>
                <w:t>SALES OF COMMON STOCK BELOW NET ASSET VALUE</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43</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21">
              <w:r>
                <w:rPr>
                  <w:rStyle w:val="InternetLink"/>
                  <w:rFonts w:ascii="Times New Roman" w:hAnsi="Times New Roman"/>
                  <w:sz w:val="20"/>
                </w:rPr>
                <w:t>DIVIDEND REINVESTMENT PLAN</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48</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22">
              <w:r>
                <w:rPr>
                  <w:rStyle w:val="InternetLink"/>
                  <w:rFonts w:ascii="Times New Roman" w:hAnsi="Times New Roman"/>
                  <w:sz w:val="20"/>
                </w:rPr>
                <w:t>MATERIAL U.S. FEDERAL INCOME TAX CONSIDERATIONS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49</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23">
              <w:r>
                <w:rPr>
                  <w:rStyle w:val="InternetLink"/>
                  <w:rFonts w:ascii="Times New Roman" w:hAnsi="Times New Roman"/>
                  <w:sz w:val="20"/>
                </w:rPr>
                <w:t>DESCRIPTION OF OUR SECURITIES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57</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24">
              <w:r>
                <w:rPr>
                  <w:rStyle w:val="InternetLink"/>
                  <w:rFonts w:ascii="Times New Roman" w:hAnsi="Times New Roman"/>
                  <w:sz w:val="20"/>
                </w:rPr>
                <w:t>DESCRIPTION OF OUR CAPITAL STOCK</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57</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25">
              <w:r>
                <w:rPr>
                  <w:rStyle w:val="InternetLink"/>
                  <w:rFonts w:ascii="Times New Roman" w:hAnsi="Times New Roman"/>
                  <w:sz w:val="20"/>
                </w:rPr>
                <w:t>DESCRIPTION OF OUR PREFERRED STOCK</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62</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26">
              <w:r>
                <w:rPr>
                  <w:rStyle w:val="InternetLink"/>
                  <w:rFonts w:ascii="Times New Roman" w:hAnsi="Times New Roman"/>
                  <w:sz w:val="20"/>
                </w:rPr>
                <w:t>DESCRIPTION OF OUR SUBSCRIPTION RIGHTS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63</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27">
              <w:r>
                <w:rPr>
                  <w:rStyle w:val="InternetLink"/>
                  <w:rFonts w:ascii="Times New Roman" w:hAnsi="Times New Roman"/>
                  <w:sz w:val="20"/>
                </w:rPr>
                <w:t>DESCRIPTION OF OUR WARRANTS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65</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28">
              <w:r>
                <w:rPr>
                  <w:rStyle w:val="InternetLink"/>
                  <w:rFonts w:ascii="Times New Roman" w:hAnsi="Times New Roman"/>
                  <w:sz w:val="20"/>
                </w:rPr>
                <w:t>DESCRIPTION OF OUR DEBT SECURITIES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67</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31">
              <w:r>
                <w:rPr>
                  <w:rStyle w:val="InternetLink"/>
                  <w:rFonts w:ascii="Times New Roman" w:hAnsi="Times New Roman"/>
                  <w:sz w:val="20"/>
                </w:rPr>
                <w:t>CUSTODIAN, TRANSFER AND DIVIDEND PAYING AGENT AND REGISTRAR</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80</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32">
              <w:r>
                <w:rPr>
                  <w:rStyle w:val="InternetLink"/>
                  <w:rFonts w:ascii="Times New Roman" w:hAnsi="Times New Roman"/>
                  <w:sz w:val="20"/>
                </w:rPr>
                <w:t>BROKERAGE ALLOCATION AND OTHER PRACTICES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80</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33">
              <w:r>
                <w:rPr>
                  <w:rStyle w:val="InternetLink"/>
                  <w:rFonts w:ascii="Times New Roman" w:hAnsi="Times New Roman"/>
                  <w:sz w:val="20"/>
                </w:rPr>
                <w:t>PLAN OF DISTRIBUTION</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81</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34">
              <w:r>
                <w:rPr>
                  <w:rStyle w:val="InternetLink"/>
                  <w:rFonts w:ascii="Times New Roman" w:hAnsi="Times New Roman"/>
                  <w:sz w:val="20"/>
                </w:rPr>
                <w:t>LEGAL MATTERS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83</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35">
              <w:r>
                <w:rPr>
                  <w:rStyle w:val="InternetLink"/>
                  <w:rFonts w:ascii="Times New Roman" w:hAnsi="Times New Roman"/>
                  <w:sz w:val="20"/>
                </w:rPr>
                <w:t>EXPERTS</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83</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36">
              <w:r>
                <w:rPr>
                  <w:rStyle w:val="InternetLink"/>
                  <w:rFonts w:ascii="Times New Roman" w:hAnsi="Times New Roman"/>
                  <w:sz w:val="20"/>
                </w:rPr>
                <w:t>AVAILABLE INFORMATION</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83</w:t>
            </w:r>
          </w:p>
        </w:tc>
        <w:tc>
          <w:tcPr>
            <w:tcW w:w="63" w:type="dxa"/>
            <w:tcBorders/>
            <w:shd w:fill="auto" w:val="clear"/>
            <w:vAlign w:val="bottom"/>
          </w:tcPr>
          <w:p>
            <w:pPr>
              <w:pStyle w:val="TableContents"/>
              <w:spacing w:before="0" w:after="283"/>
              <w:rPr/>
            </w:pPr>
            <w:r>
              <w:rPr/>
              <w:t> </w:t>
            </w:r>
          </w:p>
        </w:tc>
      </w:tr>
      <w:tr>
        <w:trPr/>
        <w:tc>
          <w:tcPr>
            <w:tcW w:w="9654" w:type="dxa"/>
            <w:tcBorders/>
            <w:shd w:fill="auto" w:val="clear"/>
          </w:tcPr>
          <w:p>
            <w:pPr>
              <w:pStyle w:val="TableContents"/>
              <w:spacing w:before="0" w:after="0"/>
              <w:rPr/>
            </w:pPr>
            <w:hyperlink w:anchor="rom451583_37">
              <w:r>
                <w:rPr>
                  <w:rStyle w:val="InternetLink"/>
                  <w:rFonts w:ascii="Times New Roman" w:hAnsi="Times New Roman"/>
                  <w:sz w:val="20"/>
                </w:rPr>
                <w:t>INFORMATION INCORPORATED BY REFERENCE</w:t>
              </w:r>
            </w:hyperlink>
          </w:p>
        </w:tc>
        <w:tc>
          <w:tcPr>
            <w:tcW w:w="16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 w:type="dxa"/>
            <w:tcBorders/>
            <w:shd w:fill="auto" w:val="clear"/>
            <w:vAlign w:val="bottom"/>
          </w:tcPr>
          <w:p>
            <w:pPr>
              <w:pStyle w:val="TableContents"/>
              <w:spacing w:before="0" w:after="283"/>
              <w:jc w:val="right"/>
              <w:rPr/>
            </w:pPr>
            <w:r>
              <w:rPr/>
              <w:t>84</w:t>
            </w:r>
          </w:p>
        </w:tc>
        <w:tc>
          <w:tcPr>
            <w:tcW w:w="63" w:type="dxa"/>
            <w:tcBorders/>
            <w:shd w:fill="auto" w:val="clear"/>
            <w:vAlign w:val="bottom"/>
          </w:tcPr>
          <w:p>
            <w:pPr>
              <w:pStyle w:val="TableContents"/>
              <w:spacing w:before="0" w:after="283"/>
              <w:rPr/>
            </w:pPr>
            <w:r>
              <w:rPr/>
              <w:t> </w:t>
            </w:r>
          </w:p>
        </w:tc>
      </w:tr>
    </w:tbl>
    <w:p>
      <w:pPr>
        <w:pStyle w:val="TextBody"/>
        <w:spacing w:before="240" w:after="0"/>
        <w:rPr>
          <w:rFonts w:ascii="Times New Roman" w:hAnsi="Times New Roman"/>
          <w:sz w:val="20"/>
        </w:rPr>
      </w:pPr>
      <w:r>
        <w:rPr>
          <w:rFonts w:ascii="Times New Roman" w:hAnsi="Times New Roman"/>
          <w:sz w:val="20"/>
        </w:rPr>
        <w:t xml:space="preserve">We have not authorized any dealer, salesman or other person to give any information or to make any representation other than those contained in this prospectus, any prospectus supplement to this prospectus or any information that we have incorporated by reference herein or therein. This prospectus and any such supplements do not constitute an offer to sell or a solicitation of any offer to buy any security other than the registered securities to which they relate, nor do they constitute an offer to sell or a solicitation of an offer to buy any securities in any jurisdiction to any person to whom it is unlawful to make such an offer or solicitation in such jurisdiction. The information contained in this prospectus and any such supplements is accurate only as of the dates on their respective covers unless the information specifically indicates that another date applies. Our business, financial condition, results of operations and prospects may have changed since then. We will update these documents to reflect material changes only as required by law.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3" w:name="rom451583_1"/>
      <w:bookmarkEnd w:id="13"/>
      <w:r>
        <w:rPr>
          <w:rFonts w:ascii="Times New Roman" w:hAnsi="Times New Roman"/>
          <w:b/>
          <w:sz w:val="20"/>
        </w:rPr>
        <w:t xml:space="preserve">ABOUT THIS PROSPECTUS </w:t>
      </w:r>
    </w:p>
    <w:p>
      <w:pPr>
        <w:pStyle w:val="TextBody"/>
        <w:spacing w:before="240" w:after="0"/>
        <w:rPr>
          <w:rFonts w:ascii="Times New Roman" w:hAnsi="Times New Roman"/>
          <w:sz w:val="20"/>
        </w:rPr>
      </w:pPr>
      <w:r>
        <w:rPr>
          <w:rFonts w:ascii="Times New Roman" w:hAnsi="Times New Roman"/>
          <w:sz w:val="20"/>
        </w:rPr>
        <w:t xml:space="preserve">This prospectus is part of an automatic shelf registration statement that we filed with the U.S. Securities and Exchange Commission, or SEC, as a well-known seasoned issuer as defined in Rule 405 under the Securities Act of 1933, as amended (the Securities Act). Under the shelf registration process, which constitutes a delayed offering in reliance on Rule 415 under the Securities Act, we may offer, from time to time, in one or more offerings of our common stock, preferred stock, debt securities, subscription rights to purchase shares of our common stock, or warrants representing rights to purchase shares of our common stock, preferred stock or debt securities, on terms to be determined at the time of the offering. </w:t>
      </w:r>
    </w:p>
    <w:p>
      <w:pPr>
        <w:pStyle w:val="TextBody"/>
        <w:spacing w:before="240" w:after="0"/>
        <w:rPr>
          <w:rFonts w:ascii="Times New Roman" w:hAnsi="Times New Roman"/>
          <w:sz w:val="20"/>
        </w:rPr>
      </w:pPr>
      <w:r>
        <w:rPr>
          <w:rFonts w:ascii="Times New Roman" w:hAnsi="Times New Roman"/>
          <w:sz w:val="20"/>
        </w:rPr>
        <w:t xml:space="preserve">The securities may be offered at prices and on terms described in one or more supplements to this prospectus. This prospectus provides you with a general description of the offerings of securities that we may conduct pursuant to this prospectus. Each time we use this prospectus to sell securities, we will provide a prospectus supplement that will contain specific information about the terms of that offering. A prospectus supplement may also add, update or change information contained in this prospectus. </w:t>
      </w:r>
    </w:p>
    <w:p>
      <w:pPr>
        <w:pStyle w:val="TextBody"/>
        <w:spacing w:before="240" w:after="0"/>
        <w:rPr>
          <w:rFonts w:ascii="Times New Roman" w:hAnsi="Times New Roman"/>
          <w:sz w:val="20"/>
        </w:rPr>
      </w:pPr>
      <w:r>
        <w:rPr>
          <w:rFonts w:ascii="Times New Roman" w:hAnsi="Times New Roman"/>
          <w:sz w:val="20"/>
        </w:rPr>
        <w:t xml:space="preserve">Please read this prospectus and the accompanying prospectus supplement, including any information incorporated herein or therein by reference, before you make an investment decision. You should also read the documents we have referred you to in Available Information and Information Incorporated by Reference below for information on our company and our consolidated financial statements.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bookmarkStart w:id="14" w:name="rom451583_2"/>
      <w:bookmarkEnd w:id="14"/>
      <w:r>
        <w:rPr>
          <w:rFonts w:ascii="Times New Roman" w:hAnsi="Times New Roman"/>
          <w:b/>
          <w:sz w:val="20"/>
          <w:bdr w:val="single" w:sz="8" w:space="1" w:color="000000"/>
        </w:rPr>
        <w:t xml:space="preserve">SUMMARY </w:t>
      </w:r>
    </w:p>
    <w:p>
      <w:pPr>
        <w:pStyle w:val="TextBody"/>
        <w:spacing w:before="240" w:after="0"/>
        <w:rPr>
          <w:rFonts w:ascii="Times New Roman" w:hAnsi="Times New Roman"/>
          <w:sz w:val="20"/>
          <w:bdr w:val="single" w:sz="8" w:space="1" w:color="000000"/>
        </w:rPr>
      </w:pPr>
      <w:r>
        <w:rPr>
          <w:rFonts w:ascii="Times New Roman" w:hAnsi="Times New Roman"/>
          <w:sz w:val="20"/>
          <w:bdr w:val="single" w:sz="8" w:space="1" w:color="000000"/>
        </w:rPr>
        <w:t xml:space="preserve">This summary highlights some of the information in this prospectus. It is not complete and may not contain all of the information that you may want to consider. You should read this entire prospectus and any accompanying prospectus supplement, including any information incorporated herein or therein by reference, carefully. In particular, you should read the more detailed information set forth under Risk Factors and the consolidated financial statements and the related notes included elsewhere in this prospectus and any accompanying prospectus supplement or incorporated by reference herein or therein. </w:t>
      </w:r>
    </w:p>
    <w:p>
      <w:pPr>
        <w:pStyle w:val="TextBody"/>
        <w:spacing w:before="240" w:after="0"/>
        <w:rPr>
          <w:rFonts w:ascii="Times New Roman" w:hAnsi="Times New Roman"/>
          <w:sz w:val="20"/>
          <w:bdr w:val="single" w:sz="8" w:space="1" w:color="000000"/>
        </w:rPr>
      </w:pPr>
      <w:r>
        <w:rPr>
          <w:rFonts w:ascii="Times New Roman" w:hAnsi="Times New Roman"/>
          <w:sz w:val="20"/>
          <w:bdr w:val="single" w:sz="8" w:space="1" w:color="000000"/>
        </w:rPr>
        <w:t xml:space="preserve">As used in the prospectus, except where the context suggests otherwise, references to: </w:t>
      </w:r>
    </w:p>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TSLX, Sixth Street Specialty Lending, we, us, our, the Company, and the Registrant refer to Sixth Street Specialty Lending, Inc., a Delaware corporation, and its consolidated subsidiaries;</w:t>
            </w:r>
            <w:r>
              <w:rPr>
                <w:rFonts w:ascii="Times New Roman" w:hAnsi="Times New Roman"/>
                <w:sz w:val="20"/>
              </w:rPr>
              <w:t xml:space="preserve">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i/>
                <w:sz w:val="20"/>
              </w:rPr>
            </w:pPr>
            <w:r>
              <w:rPr>
                <w:rFonts w:ascii="Times New Roman" w:hAnsi="Times New Roman"/>
                <w:i/>
                <w:sz w:val="20"/>
              </w:rPr>
              <w:t xml:space="preserve">the consolidated subsidiaries of Sixth Street Specialty Lending, Inc. refers to TC Lending, LLC, Sixth Street SL SPV, LLC and Sixth Street SL Holding, LLC, each a Delaware limited liability company, and Sixth Street Specialty Lending Sub, LLC, a Cayman Islands limited liability company;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Adviser refers to Sixth Street Specialty Lending Advisers, LLC, a Delaware limited liability company; and</w:t>
            </w:r>
            <w:r>
              <w:rPr>
                <w:rFonts w:ascii="Times New Roman" w:hAnsi="Times New Roman"/>
                <w:sz w:val="20"/>
              </w:rPr>
              <w:t xml:space="preserve">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i/>
                <w:sz w:val="20"/>
              </w:rPr>
            </w:pPr>
            <w:r>
              <w:rPr>
                <w:rFonts w:ascii="Times New Roman" w:hAnsi="Times New Roman"/>
                <w:i/>
                <w:sz w:val="20"/>
              </w:rPr>
              <w:t xml:space="preserve">Sixth Street refers to Sixth Street Partners, LLC. </w:t>
            </w:r>
          </w:p>
        </w:tc>
      </w:tr>
    </w:tbl>
    <w:p>
      <w:pPr>
        <w:pStyle w:val="TextBody"/>
        <w:spacing w:before="240" w:after="0"/>
        <w:rPr>
          <w:rFonts w:ascii="Times New Roman" w:hAnsi="Times New Roman"/>
          <w:sz w:val="20"/>
          <w:bdr w:val="single" w:sz="8" w:space="1" w:color="000000"/>
        </w:rPr>
      </w:pPr>
      <w:r>
        <w:rPr>
          <w:rFonts w:ascii="Times New Roman" w:hAnsi="Times New Roman"/>
          <w:sz w:val="20"/>
          <w:bdr w:val="single" w:sz="8" w:space="1" w:color="000000"/>
        </w:rPr>
        <w:t xml:space="preserve">We have elected to be regulated as a business development company, or BDC, under the Investment Company Act of 1940, as amended, or the 1940 Act. In addition, for U.S. federal income tax purposes we have elected to be treated as a regulated investment company, or RIC, under the Internal Revenue Code of 1986, as amended, or the Code. </w:t>
      </w:r>
    </w:p>
    <w:p>
      <w:pPr>
        <w:pStyle w:val="TextBody"/>
        <w:spacing w:before="360" w:after="0"/>
        <w:rPr>
          <w:rFonts w:ascii="Times New Roman" w:hAnsi="Times New Roman"/>
          <w:b/>
          <w:sz w:val="20"/>
          <w:bdr w:val="single" w:sz="8" w:space="1" w:color="000000"/>
        </w:rPr>
      </w:pPr>
      <w:r>
        <w:rPr>
          <w:rFonts w:ascii="Times New Roman" w:hAnsi="Times New Roman"/>
          <w:b/>
          <w:sz w:val="20"/>
          <w:bdr w:val="single" w:sz="8" w:space="1" w:color="000000"/>
        </w:rPr>
        <w:t xml:space="preserve">Sixth Street Specialty Lending </w:t>
      </w:r>
    </w:p>
    <w:p>
      <w:pPr>
        <w:pStyle w:val="TextBody"/>
        <w:spacing w:before="120" w:after="0"/>
        <w:rPr>
          <w:rFonts w:ascii="Times New Roman" w:hAnsi="Times New Roman"/>
          <w:sz w:val="20"/>
          <w:bdr w:val="single" w:sz="8" w:space="1" w:color="000000"/>
        </w:rPr>
      </w:pPr>
      <w:r>
        <w:rPr>
          <w:rFonts w:ascii="Times New Roman" w:hAnsi="Times New Roman"/>
          <w:sz w:val="20"/>
          <w:bdr w:val="single" w:sz="8" w:space="1" w:color="000000"/>
        </w:rPr>
        <w:t xml:space="preserve">We are a specialty finance company focused on lending to middle-market companies. Since we began our investment activities in July 2011, through September 30, 2022, we have originated approximately $23.9 billion aggregate principal amount of investments and retained approximately $9.0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 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September 30, 2022 our core portfolio companies, which excludes certain investments that fall outside of our typical borrower profile and represent 87.3% of our total investments based on fair value, had weighted average annual revenue of $149.4 million and weighted average annual EBITDA of $43.8 million. </w:t>
      </w:r>
    </w:p>
    <w:p>
      <w:pPr>
        <w:pStyle w:val="TextBody"/>
        <w:spacing w:before="240" w:after="0"/>
        <w:rPr>
          <w:rFonts w:ascii="Times New Roman" w:hAnsi="Times New Roman"/>
          <w:sz w:val="20"/>
          <w:bdr w:val="single" w:sz="8" w:space="1" w:color="000000"/>
        </w:rPr>
      </w:pPr>
      <w:r>
        <w:rPr>
          <w:rFonts w:ascii="Times New Roman" w:hAnsi="Times New Roman"/>
          <w:sz w:val="20"/>
          <w:bdr w:val="single" w:sz="8" w:space="1" w:color="000000"/>
        </w:rPr>
        <w:t xml:space="preserve">We generate revenues primarily in the form of interest income from the investments we hold. In addition, we may generate income from dividends on direct equity investments, capital gains on the sale of investments and various loan origination and other fees. </w:t>
      </w:r>
    </w:p>
    <w:p>
      <w:pPr>
        <w:pStyle w:val="TextBody"/>
        <w:spacing w:before="240" w:after="0"/>
        <w:rPr>
          <w:rFonts w:ascii="Times New Roman" w:hAnsi="Times New Roman"/>
          <w:sz w:val="20"/>
          <w:bdr w:val="single" w:sz="8" w:space="1" w:color="000000"/>
        </w:rPr>
      </w:pPr>
      <w:r>
        <w:rPr>
          <w:rFonts w:ascii="Times New Roman" w:hAnsi="Times New Roman"/>
          <w:sz w:val="20"/>
          <w:bdr w:val="single" w:sz="8" w:space="1" w:color="000000"/>
        </w:rPr>
        <w:t xml:space="preserve">We have operated as a BDC since we began our investment activities in July 2011, and we are currently one of the largest BDCs by total assets. In conducting our investment activities, we believe that we benefit from the significant scale and resources of our Adviser and its affiliates.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rPr>
          <w:rFonts w:ascii="Times New Roman" w:hAnsi="Times New Roman"/>
          <w:b/>
          <w:sz w:val="20"/>
          <w:bdr w:val="single" w:sz="8" w:space="1" w:color="000000"/>
        </w:rPr>
      </w:pPr>
      <w:r>
        <w:rPr>
          <w:rFonts w:ascii="Times New Roman" w:hAnsi="Times New Roman"/>
          <w:b/>
          <w:sz w:val="20"/>
          <w:bdr w:val="single" w:sz="8" w:space="1" w:color="000000"/>
        </w:rPr>
        <w:t xml:space="preserve">Investment Portfolio </w:t>
      </w:r>
    </w:p>
    <w:p>
      <w:pPr>
        <w:pStyle w:val="TextBody"/>
        <w:spacing w:before="120" w:after="0"/>
        <w:rPr>
          <w:rFonts w:ascii="Times New Roman" w:hAnsi="Times New Roman"/>
          <w:sz w:val="20"/>
          <w:bdr w:val="single" w:sz="8" w:space="1" w:color="000000"/>
        </w:rPr>
      </w:pPr>
      <w:r>
        <w:rPr>
          <w:rFonts w:ascii="Times New Roman" w:hAnsi="Times New Roman"/>
          <w:sz w:val="20"/>
          <w:bdr w:val="single" w:sz="8" w:space="1" w:color="000000"/>
        </w:rPr>
        <w:t xml:space="preserve">The companies in which we invest use our capital to support organic growth, acquisitions, market or product expansion and recapitalizations (including restructurings). 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 </w:t>
      </w:r>
    </w:p>
    <w:p>
      <w:pPr>
        <w:pStyle w:val="TextBody"/>
        <w:spacing w:before="240" w:after="0"/>
        <w:rPr>
          <w:rFonts w:ascii="Times New Roman" w:hAnsi="Times New Roman"/>
          <w:sz w:val="20"/>
          <w:bdr w:val="single" w:sz="8" w:space="1" w:color="000000"/>
        </w:rPr>
      </w:pPr>
      <w:r>
        <w:rPr>
          <w:rFonts w:ascii="Times New Roman" w:hAnsi="Times New Roman"/>
          <w:sz w:val="20"/>
          <w:bdr w:val="single" w:sz="8" w:space="1" w:color="000000"/>
        </w:rPr>
        <w:t xml:space="preserve">As of September 30, 2022, based on fair value our portfolio consisted of 90.4% first-lien debt investments, 1.5% second-lien debt investments, 0.4% mezzanine debt investments, and 7.7% equity and other investments. As of September 30, 2022, 98.9% of our debt investments based on fair value bore interest at floating rates, with 100.0% of these subject to interest rate floors, which we believe helps act as a portfolio-wide hedge against inflation. </w:t>
      </w:r>
    </w:p>
    <w:p>
      <w:pPr>
        <w:pStyle w:val="TextBody"/>
        <w:spacing w:before="240" w:after="0"/>
        <w:rPr>
          <w:rFonts w:ascii="Times New Roman" w:hAnsi="Times New Roman"/>
          <w:sz w:val="20"/>
          <w:bdr w:val="single" w:sz="8" w:space="1" w:color="000000"/>
        </w:rPr>
      </w:pPr>
      <w:r>
        <w:rPr>
          <w:rFonts w:ascii="Times New Roman" w:hAnsi="Times New Roman"/>
          <w:sz w:val="20"/>
          <w:bdr w:val="single" w:sz="8" w:space="1" w:color="000000"/>
        </w:rPr>
        <w:t xml:space="preserve">As of September 30, 2022, we had investments in 118 portfolio companies with an aggregate fair value of $2,806.1 million. For the three months ended September 30, 2022, the principal amount of new investments funded was $274.4 million in twenty-five new portfolio companies and six existing portfolio companies. For this period, we had $15.8 million aggregate principal amount in exits and repayments. </w:t>
      </w:r>
    </w:p>
    <w:p>
      <w:pPr>
        <w:pStyle w:val="TextBody"/>
        <w:spacing w:before="240" w:after="0"/>
        <w:rPr>
          <w:rFonts w:ascii="Times New Roman" w:hAnsi="Times New Roman"/>
          <w:sz w:val="20"/>
          <w:bdr w:val="single" w:sz="8" w:space="1" w:color="000000"/>
        </w:rPr>
      </w:pPr>
      <w:r>
        <w:rPr>
          <w:rFonts w:ascii="Times New Roman" w:hAnsi="Times New Roman"/>
          <w:sz w:val="20"/>
          <w:bdr w:val="single" w:sz="8" w:space="1" w:color="000000"/>
        </w:rPr>
        <w:t xml:space="preserve">As of December 31, 2021, we had investments in 72 portfolio companies with an aggregate fair value of $2,521.6 million. For the three months ended September 30, 2021, the principal amount of new investments funded was $65.4 million in one new portfolio company and four existing portfolio companies. For this period, we had $283.7 million aggregate principal amount in exits and repayments. </w:t>
      </w:r>
    </w:p>
    <w:p>
      <w:pPr>
        <w:pStyle w:val="TextBody"/>
        <w:spacing w:before="240" w:after="0"/>
        <w:rPr>
          <w:rFonts w:ascii="Times New Roman" w:hAnsi="Times New Roman"/>
          <w:sz w:val="20"/>
          <w:bdr w:val="single" w:sz="8" w:space="1" w:color="000000"/>
        </w:rPr>
      </w:pPr>
      <w:r>
        <w:rPr>
          <w:rFonts w:ascii="Times New Roman" w:hAnsi="Times New Roman"/>
          <w:sz w:val="20"/>
          <w:bdr w:val="single" w:sz="8" w:space="1" w:color="000000"/>
        </w:rPr>
        <w:t xml:space="preserve">As of September 30, 2022, the largest single investment based on fair value represented 3.1% of our total investment portfolio. As of September 30, 2022, the average investment size in each of our portfolio companies was approximately $23.8 million based on fair value. Portfolio companies includes investments in structured products including each series of collateralized loan obligation as a portfolio company investment. When excluding investments in structured products the average investment in our remaining portfolio companies was approximately $36.7 million as of September 30, 2022. As of September 30, 2022, the largest industry represented 14.0% of our total portfolio based on fair value. </w:t>
      </w:r>
    </w:p>
    <w:p>
      <w:pPr>
        <w:pStyle w:val="TextBody"/>
        <w:spacing w:before="240" w:after="0"/>
        <w:rPr>
          <w:rFonts w:ascii="Times New Roman" w:hAnsi="Times New Roman"/>
          <w:sz w:val="20"/>
          <w:bdr w:val="single" w:sz="8" w:space="1" w:color="000000"/>
        </w:rPr>
      </w:pPr>
      <w:r>
        <w:rPr>
          <w:rFonts w:ascii="Times New Roman" w:hAnsi="Times New Roman"/>
          <w:sz w:val="20"/>
          <w:bdr w:val="single" w:sz="8" w:space="1" w:color="000000"/>
        </w:rPr>
        <w:t xml:space="preserve">Since we began investing in 2011 through September 30, 2022, weighted by capital invested, our exited investments have generated an average realized gross internal rate of return to us of 17.8% (based on total capital invested of $6.4 billion and total proceeds from these exited investments of $8.0 billion). Ninety-one percent of these exited investments resulted in a realized gross internal rate of return to us of 10% or greater. For a description of how we calculate gross internal rates of return, see the section entitled Managements Discussion and Analysis of Financial Condition and Results of OperationsResults of OperationsRealized Gross Internal Rate of Return in Part I, Item 2 of our Quarterly Report on Form 10-Q for the three months ended September 30, 2022, which is incorporated by reference in this prospectus. </w:t>
      </w:r>
    </w:p>
    <w:p>
      <w:pPr>
        <w:pStyle w:val="TextBody"/>
        <w:spacing w:before="360" w:after="0"/>
        <w:rPr>
          <w:rFonts w:ascii="Times New Roman" w:hAnsi="Times New Roman"/>
          <w:b/>
          <w:sz w:val="20"/>
          <w:bdr w:val="single" w:sz="8" w:space="1" w:color="000000"/>
        </w:rPr>
      </w:pPr>
      <w:r>
        <w:rPr>
          <w:rFonts w:ascii="Times New Roman" w:hAnsi="Times New Roman"/>
          <w:b/>
          <w:sz w:val="20"/>
          <w:bdr w:val="single" w:sz="8" w:space="1" w:color="000000"/>
        </w:rPr>
        <w:t xml:space="preserve">Corporate Structure </w:t>
      </w:r>
    </w:p>
    <w:p>
      <w:pPr>
        <w:pStyle w:val="TextBody"/>
        <w:spacing w:before="120" w:after="0"/>
        <w:rPr>
          <w:rFonts w:ascii="Times New Roman" w:hAnsi="Times New Roman"/>
          <w:sz w:val="20"/>
          <w:bdr w:val="single" w:sz="8" w:space="1" w:color="000000"/>
        </w:rPr>
      </w:pPr>
      <w:r>
        <w:rPr>
          <w:rFonts w:ascii="Times New Roman" w:hAnsi="Times New Roman"/>
          <w:sz w:val="20"/>
          <w:bdr w:val="single" w:sz="8" w:space="1" w:color="000000"/>
        </w:rPr>
        <w:t xml:space="preserve">Sixth Street Specialty Lending, Inc. is a Delaware corporation formed on July 21, 2010. Sixth Street Specialty Lending Advisers, LLC is our external manager. </w:t>
      </w:r>
    </w:p>
    <w:p>
      <w:pPr>
        <w:pStyle w:val="TextBody"/>
        <w:spacing w:before="240" w:after="0"/>
        <w:rPr>
          <w:rFonts w:ascii="Times New Roman" w:hAnsi="Times New Roman"/>
          <w:sz w:val="20"/>
          <w:bdr w:val="single" w:sz="8" w:space="1" w:color="000000"/>
        </w:rPr>
      </w:pPr>
      <w:r>
        <w:rPr>
          <w:rFonts w:ascii="Times New Roman" w:hAnsi="Times New Roman"/>
          <w:sz w:val="20"/>
          <w:bdr w:val="single" w:sz="8" w:space="1" w:color="000000"/>
        </w:rPr>
        <w:t xml:space="preserve">Our portfolio is subject to diversification and other requirements because we elected to be regulated as a BDC under the 1940 Act and treated as a RIC for U.S. federal income tax purposes. We made our BDC election on April 15, 2011. We intend to maintain these elections. See Regulation as a Business Development Company in Part I, Item 1 of our Annual Report on Form 10-K for the year ended December 31, 2021 (the 2021 Annual Report) for more information on these requirements.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rPr>
          <w:rFonts w:ascii="Times New Roman" w:hAnsi="Times New Roman"/>
          <w:b/>
          <w:sz w:val="20"/>
          <w:bdr w:val="single" w:sz="8" w:space="1" w:color="000000"/>
        </w:rPr>
      </w:pPr>
      <w:r>
        <w:rPr>
          <w:rFonts w:ascii="Times New Roman" w:hAnsi="Times New Roman"/>
          <w:b/>
          <w:sz w:val="20"/>
          <w:bdr w:val="single" w:sz="8" w:space="1" w:color="000000"/>
        </w:rPr>
        <w:t xml:space="preserve">About Our Adviser </w:t>
      </w:r>
    </w:p>
    <w:p>
      <w:pPr>
        <w:pStyle w:val="TextBody"/>
        <w:spacing w:before="120" w:after="0"/>
        <w:rPr>
          <w:rFonts w:ascii="Times New Roman" w:hAnsi="Times New Roman"/>
          <w:sz w:val="20"/>
          <w:bdr w:val="single" w:sz="8" w:space="1" w:color="000000"/>
        </w:rPr>
      </w:pPr>
      <w:r>
        <w:rPr>
          <w:rFonts w:ascii="Times New Roman" w:hAnsi="Times New Roman"/>
          <w:sz w:val="20"/>
          <w:bdr w:val="single" w:sz="8" w:space="1" w:color="000000"/>
        </w:rPr>
        <w:t xml:space="preserve">Our Adviser is a Delaware limited liability company. Our Adviser acts as our investment adviser and administrator and is a registered investment adviser with the Securities and Exchange Commission (the SEC) under the Investment Advisers Act of 1940, as amended, or the Advisers Act. </w:t>
      </w:r>
    </w:p>
    <w:p>
      <w:pPr>
        <w:pStyle w:val="TextBody"/>
        <w:spacing w:before="240" w:after="0"/>
        <w:rPr>
          <w:rFonts w:ascii="Times New Roman" w:hAnsi="Times New Roman"/>
          <w:sz w:val="20"/>
          <w:bdr w:val="single" w:sz="8" w:space="1" w:color="000000"/>
        </w:rPr>
      </w:pPr>
      <w:r>
        <w:rPr>
          <w:rFonts w:ascii="Times New Roman" w:hAnsi="Times New Roman"/>
          <w:sz w:val="20"/>
          <w:bdr w:val="single" w:sz="8" w:space="1" w:color="000000"/>
        </w:rPr>
        <w:t xml:space="preserve">Our Adviser sources and manages our portfolio through our Investment Team, a dedicated team of investment professionals predominately focused on us.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Sixth Street Partners, LLC or Sixth Street. </w:t>
      </w:r>
    </w:p>
    <w:p>
      <w:pPr>
        <w:pStyle w:val="TextBody"/>
        <w:spacing w:before="240" w:after="0"/>
        <w:rPr>
          <w:rFonts w:ascii="Times New Roman" w:hAnsi="Times New Roman"/>
          <w:sz w:val="20"/>
          <w:bdr w:val="single" w:sz="8" w:space="1" w:color="000000"/>
        </w:rPr>
      </w:pPr>
      <w:r>
        <w:rPr>
          <w:rFonts w:ascii="Times New Roman" w:hAnsi="Times New Roman"/>
          <w:sz w:val="20"/>
          <w:bdr w:val="single" w:sz="8" w:space="1" w:color="000000"/>
        </w:rPr>
        <w:t xml:space="preserve">Sixth Street is a global investment business with approximately $60 billion of assets under management as of September 30, 2022. Sixth Streets core platforms include Sixth Street Specialty Lending, Sixth Street Specialty Lending Europe, which is aimed at European middle-market loan originations,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460 investment and operating professionals. As of September 30, 2022, forty-one (41) of these personnel are dedicated to our business, including thirty-three (33) investment professionals. </w:t>
      </w:r>
    </w:p>
    <w:p>
      <w:pPr>
        <w:pStyle w:val="TextBody"/>
        <w:spacing w:before="240" w:after="0"/>
        <w:rPr>
          <w:rFonts w:ascii="Times New Roman" w:hAnsi="Times New Roman"/>
          <w:sz w:val="20"/>
          <w:bdr w:val="single" w:sz="8" w:space="1" w:color="000000"/>
        </w:rPr>
      </w:pPr>
      <w:r>
        <w:rPr>
          <w:rFonts w:ascii="Times New Roman" w:hAnsi="Times New Roman"/>
          <w:sz w:val="20"/>
          <w:bdr w:val="single" w:sz="8" w:space="1" w:color="000000"/>
        </w:rPr>
        <w:t xml:space="preserve">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w:t>
      </w:r>
    </w:p>
    <w:p>
      <w:pPr>
        <w:pStyle w:val="TextBody"/>
        <w:spacing w:before="240" w:after="0"/>
        <w:rPr>
          <w:rFonts w:ascii="Times New Roman" w:hAnsi="Times New Roman"/>
          <w:sz w:val="20"/>
          <w:bdr w:val="single" w:sz="8" w:space="1" w:color="000000"/>
        </w:rPr>
      </w:pPr>
      <w:r>
        <w:rPr>
          <w:rFonts w:ascii="Times New Roman" w:hAnsi="Times New Roman"/>
          <w:sz w:val="20"/>
          <w:bdr w:val="single" w:sz="8" w:space="1" w:color="000000"/>
        </w:rPr>
        <w:t xml:space="preserve">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 </w:t>
      </w:r>
    </w:p>
    <w:p>
      <w:pPr>
        <w:pStyle w:val="TextBody"/>
        <w:spacing w:before="360" w:after="0"/>
        <w:rPr>
          <w:rFonts w:ascii="Times New Roman" w:hAnsi="Times New Roman"/>
          <w:b/>
          <w:sz w:val="20"/>
          <w:bdr w:val="single" w:sz="8" w:space="1" w:color="000000"/>
        </w:rPr>
      </w:pPr>
      <w:r>
        <w:rPr>
          <w:rFonts w:ascii="Times New Roman" w:hAnsi="Times New Roman"/>
          <w:b/>
          <w:sz w:val="20"/>
          <w:bdr w:val="single" w:sz="8" w:space="1" w:color="000000"/>
        </w:rPr>
        <w:t xml:space="preserve">About Our Administrator </w:t>
      </w:r>
    </w:p>
    <w:p>
      <w:pPr>
        <w:pStyle w:val="TextBody"/>
        <w:spacing w:before="120" w:after="0"/>
        <w:rPr>
          <w:rFonts w:ascii="Times New Roman" w:hAnsi="Times New Roman"/>
          <w:sz w:val="20"/>
          <w:bdr w:val="single" w:sz="8" w:space="1" w:color="000000"/>
        </w:rPr>
      </w:pPr>
      <w:r>
        <w:rPr>
          <w:rFonts w:ascii="Times New Roman" w:hAnsi="Times New Roman"/>
          <w:sz w:val="20"/>
          <w:bdr w:val="single" w:sz="8" w:space="1" w:color="000000"/>
        </w:rPr>
        <w:t xml:space="preserve">On March 15, 2011, we entered into the Administration Agreement with our Adviser (the Administration Agreement). Under the terms of the Administration Agreement, the Adviser acts as our administrator and provides administrative services to us. These services include providing office space, equipment and office services, maintaining financial records, preparing reports to stockholders and reports filed with the SEC, and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rPr>
          <w:rFonts w:ascii="Times New Roman" w:hAnsi="Times New Roman"/>
          <w:sz w:val="20"/>
          <w:bdr w:val="single" w:sz="8" w:space="1" w:color="000000"/>
        </w:rPr>
      </w:pPr>
      <w:r>
        <w:rPr>
          <w:rFonts w:ascii="Times New Roman" w:hAnsi="Times New Roman"/>
          <w:sz w:val="20"/>
          <w:bdr w:val="single" w:sz="8" w:space="1" w:color="000000"/>
        </w:rPr>
        <w:t xml:space="preserve">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we pay or reimburse the Adviser for certain expenses incurred by any such affiliates or third parties for work done on our behalf. </w:t>
      </w:r>
    </w:p>
    <w:p>
      <w:pPr>
        <w:pStyle w:val="TextBody"/>
        <w:spacing w:before="240" w:after="0"/>
        <w:rPr>
          <w:rFonts w:ascii="Times New Roman" w:hAnsi="Times New Roman"/>
          <w:sz w:val="20"/>
          <w:bdr w:val="single" w:sz="8" w:space="1" w:color="000000"/>
        </w:rPr>
      </w:pPr>
      <w:r>
        <w:rPr>
          <w:rFonts w:ascii="Times New Roman" w:hAnsi="Times New Roman"/>
          <w:sz w:val="20"/>
          <w:bdr w:val="single" w:sz="8" w:space="1" w:color="000000"/>
        </w:rPr>
        <w:t xml:space="preserve">In February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 </w:t>
      </w:r>
    </w:p>
    <w:p>
      <w:pPr>
        <w:pStyle w:val="TextBody"/>
        <w:spacing w:before="240" w:after="0"/>
        <w:rPr>
          <w:rFonts w:ascii="Times New Roman" w:hAnsi="Times New Roman"/>
          <w:sz w:val="20"/>
          <w:bdr w:val="single" w:sz="8" w:space="1" w:color="000000"/>
        </w:rPr>
      </w:pPr>
      <w:r>
        <w:rPr>
          <w:rFonts w:ascii="Times New Roman" w:hAnsi="Times New Roman"/>
          <w:sz w:val="20"/>
          <w:bdr w:val="single" w:sz="8" w:space="1" w:color="000000"/>
        </w:rPr>
        <w:t xml:space="preserve">In November 2022, the Board renewed the Administration Agreement. Unless earlier terminated as described below, the Administration Agreement will remain in effect until November 2023, and may be extended subject to required approvals. The Administration Agreement may be terminated by either party without penalty on 60 days written notice to the other party. </w:t>
      </w:r>
    </w:p>
    <w:p>
      <w:pPr>
        <w:pStyle w:val="TextBody"/>
        <w:spacing w:before="240" w:after="0"/>
        <w:rPr>
          <w:rFonts w:ascii="Times New Roman" w:hAnsi="Times New Roman"/>
          <w:sz w:val="20"/>
          <w:bdr w:val="single" w:sz="8" w:space="1" w:color="000000"/>
        </w:rPr>
      </w:pPr>
      <w:r>
        <w:rPr>
          <w:rFonts w:ascii="Times New Roman" w:hAnsi="Times New Roman"/>
          <w:sz w:val="20"/>
          <w:bdr w:val="single" w:sz="8" w:space="1" w:color="000000"/>
        </w:rPr>
        <w:t xml:space="preserve">See the section entitled Administration Agreement in Note 3 to our consolidated financial statements in our 3Q 2022 Quarterly Report. </w:t>
      </w:r>
    </w:p>
    <w:p>
      <w:pPr>
        <w:pStyle w:val="TextBody"/>
        <w:spacing w:before="360" w:after="0"/>
        <w:rPr>
          <w:rFonts w:ascii="Times New Roman" w:hAnsi="Times New Roman"/>
          <w:b/>
          <w:sz w:val="20"/>
          <w:bdr w:val="single" w:sz="8" w:space="1" w:color="000000"/>
        </w:rPr>
      </w:pPr>
      <w:r>
        <w:rPr>
          <w:rFonts w:ascii="Times New Roman" w:hAnsi="Times New Roman"/>
          <w:b/>
          <w:sz w:val="20"/>
          <w:bdr w:val="single" w:sz="8" w:space="1" w:color="000000"/>
        </w:rPr>
        <w:t xml:space="preserve">Market Opportunity </w:t>
      </w:r>
    </w:p>
    <w:p>
      <w:pPr>
        <w:pStyle w:val="TextBody"/>
        <w:spacing w:before="120" w:after="0"/>
        <w:rPr>
          <w:rFonts w:ascii="Times New Roman" w:hAnsi="Times New Roman"/>
          <w:sz w:val="20"/>
          <w:bdr w:val="single" w:sz="8" w:space="1" w:color="000000"/>
        </w:rPr>
      </w:pPr>
      <w:r>
        <w:rPr>
          <w:rFonts w:ascii="Times New Roman" w:hAnsi="Times New Roman"/>
          <w:sz w:val="20"/>
          <w:bdr w:val="single" w:sz="8" w:space="1" w:color="000000"/>
        </w:rPr>
        <w:t xml:space="preserve">Our investment objective is to generate current income by targeting investments with favorable risk-adjusted returns. We believe the middle-market lending environment provides opportunities for us to meet this objective as a result of a combination of the following factors: </w:t>
      </w:r>
    </w:p>
    <w:p>
      <w:pPr>
        <w:pStyle w:val="TextBody"/>
        <w:spacing w:before="240" w:after="0"/>
        <w:rPr>
          <w:rFonts w:ascii="Times New Roman" w:hAnsi="Times New Roman"/>
          <w:sz w:val="20"/>
          <w:bdr w:val="single" w:sz="8" w:space="1" w:color="000000"/>
        </w:rPr>
      </w:pPr>
      <w:r>
        <w:rPr>
          <w:rFonts w:ascii="Times New Roman" w:hAnsi="Times New Roman"/>
          <w:i/>
          <w:sz w:val="20"/>
          <w:bdr w:val="single" w:sz="8" w:space="1" w:color="000000"/>
        </w:rPr>
        <w:t>Limited availability of capital for middle-market companies</w:t>
      </w:r>
      <w:r>
        <w:rPr>
          <w:rFonts w:ascii="Times New Roman" w:hAnsi="Times New Roman"/>
          <w:sz w:val="20"/>
          <w:bdr w:val="single" w:sz="8" w:space="1" w:color="000000"/>
        </w:rPr>
        <w:t xml:space="preserve">. We believe that certain structural changes in the market have reduced the amount of capital available to middle-market companies. In particular, we believe there are currently fewer providers of capital to middle-market companies. Traditional middle-market lenders, such as commercial and regional banks and commercial finance companies, have contracted their origination activities and are focusing on more liquid asset classes. At the same time, institutional investors have sought to invest in larger, more liquid offerings, limiting the ability of middle-market companies to raise debt capital through public capital markets. We believe the Basel III Accord and regulations imposed by the Federal Reserve, the Office of the Comptroller of the Currency and the Federal Deposit Insurance Corporation, or FDIC, significantly increase capital and liquidity requirements for banks, decreasing their capacity to hold non-investment grade leveraged loans on their balance sheets. We believe these factors reduce the capacity of traditional lenders to serve this market segment and, as a result, increase the cost of borrowing for middle-market companies. </w:t>
      </w:r>
    </w:p>
    <w:p>
      <w:pPr>
        <w:pStyle w:val="TextBody"/>
        <w:spacing w:before="240" w:after="0"/>
        <w:rPr>
          <w:rFonts w:ascii="Times New Roman" w:hAnsi="Times New Roman"/>
          <w:sz w:val="20"/>
          <w:bdr w:val="single" w:sz="8" w:space="1" w:color="000000"/>
        </w:rPr>
      </w:pPr>
      <w:r>
        <w:rPr>
          <w:rFonts w:ascii="Times New Roman" w:hAnsi="Times New Roman"/>
          <w:i/>
          <w:sz w:val="20"/>
          <w:bdr w:val="single" w:sz="8" w:space="1" w:color="000000"/>
        </w:rPr>
        <w:t>Strong demand for debt capital</w:t>
      </w:r>
      <w:r>
        <w:rPr>
          <w:rFonts w:ascii="Times New Roman" w:hAnsi="Times New Roman"/>
          <w:sz w:val="20"/>
          <w:bdr w:val="single" w:sz="8" w:space="1" w:color="000000"/>
        </w:rPr>
        <w:t xml:space="preserve">. We believe middle-market companies will continue to require access to debt capital to refinance existing debt, support growth and finance acquisitions. In addition, we believe the large amount of uninvested capital held by funds of private equity firms, estimated by Preqin Ltd., an alternative assets industry data and research company, at over $2.4 trillion as of December 1, 2022, will continue to drive deal activity. We expect that private equity firms will continue to pursue acquisitions and to seek to leverage their equity investments with secured loans provided by companies such as ours. </w:t>
      </w:r>
    </w:p>
    <w:p>
      <w:pPr>
        <w:pStyle w:val="TextBody"/>
        <w:spacing w:before="240" w:after="0"/>
        <w:rPr>
          <w:rFonts w:ascii="Times New Roman" w:hAnsi="Times New Roman"/>
          <w:sz w:val="20"/>
          <w:bdr w:val="single" w:sz="8" w:space="1" w:color="000000"/>
        </w:rPr>
      </w:pPr>
      <w:r>
        <w:rPr>
          <w:rFonts w:ascii="Times New Roman" w:hAnsi="Times New Roman"/>
          <w:i/>
          <w:sz w:val="20"/>
          <w:bdr w:val="single" w:sz="8" w:space="1" w:color="000000"/>
        </w:rPr>
        <w:t>Attractive investment dynamics</w:t>
      </w:r>
      <w:r>
        <w:rPr>
          <w:rFonts w:ascii="Times New Roman" w:hAnsi="Times New Roman"/>
          <w:sz w:val="20"/>
          <w:bdr w:val="single" w:sz="8" w:space="1" w:color="000000"/>
        </w:rPr>
        <w:t xml:space="preserve">. An imbalance between the supply of, and demand for, middle-market debt capital creates attractive pricing dynamics. The directly negotiated nature of middle-market financings also generally provides more favorable terms to the lender, including stronger covenant and reporting packages, better call protection, and lender-protective change of control provisions. Additionally, we believe BDC managers expertise in credit selection and ability to manage through credit cycles has generally resulted in BDCs experiencing lower loss rates than U.S. commercial banks through credit cycles. Further, we believe that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rPr>
          <w:rFonts w:ascii="Times New Roman" w:hAnsi="Times New Roman"/>
          <w:sz w:val="20"/>
          <w:bdr w:val="single" w:sz="8" w:space="1" w:color="000000"/>
        </w:rPr>
      </w:pPr>
      <w:r>
        <w:rPr>
          <w:rFonts w:ascii="Times New Roman" w:hAnsi="Times New Roman"/>
          <w:sz w:val="20"/>
          <w:bdr w:val="single" w:sz="8" w:space="1" w:color="000000"/>
        </w:rPr>
        <w:t xml:space="preserve">historical middle-market default rates have been lower, and recovery rates have been higher, as compared to the larger market capitalization, broadly distributed market, leading to lower cumulative losses. </w:t>
      </w:r>
    </w:p>
    <w:p>
      <w:pPr>
        <w:pStyle w:val="TextBody"/>
        <w:spacing w:before="240" w:after="0"/>
        <w:rPr>
          <w:rFonts w:ascii="Times New Roman" w:hAnsi="Times New Roman"/>
          <w:sz w:val="20"/>
          <w:bdr w:val="single" w:sz="8" w:space="1" w:color="000000"/>
        </w:rPr>
      </w:pPr>
      <w:r>
        <w:rPr>
          <w:rFonts w:ascii="Times New Roman" w:hAnsi="Times New Roman"/>
          <w:i/>
          <w:sz w:val="20"/>
          <w:bdr w:val="single" w:sz="8" w:space="1" w:color="000000"/>
        </w:rPr>
        <w:t>Conservative capital structures</w:t>
      </w:r>
      <w:r>
        <w:rPr>
          <w:rFonts w:ascii="Times New Roman" w:hAnsi="Times New Roman"/>
          <w:sz w:val="20"/>
          <w:bdr w:val="single" w:sz="8" w:space="1" w:color="000000"/>
        </w:rPr>
        <w:t xml:space="preserve">. Following the credit crisis, which we define broadly as occurring between mid-2007 and mid-2009, borrowers have generally been required to maintain more equity as a percentage of their total capitalization, specifically to protect lenders during periods of economic downturns. With more conservative capital structures, middle-market companies have exhibited higher levels of cash flows available to service their debt. In addition, middle-market companies often are characterized by simpler capital structures than larger borrowers, which facilitates a streamlined underwriting process and improves returns to lenders during a restructuring process. </w:t>
      </w:r>
    </w:p>
    <w:p>
      <w:pPr>
        <w:pStyle w:val="TextBody"/>
        <w:spacing w:before="240" w:after="0"/>
        <w:rPr>
          <w:rFonts w:ascii="Times New Roman" w:hAnsi="Times New Roman"/>
          <w:sz w:val="20"/>
          <w:bdr w:val="single" w:sz="8" w:space="1" w:color="000000"/>
        </w:rPr>
      </w:pPr>
      <w:r>
        <w:rPr>
          <w:rFonts w:ascii="Times New Roman" w:hAnsi="Times New Roman"/>
          <w:i/>
          <w:sz w:val="20"/>
          <w:bdr w:val="single" w:sz="8" w:space="1" w:color="000000"/>
        </w:rPr>
        <w:t>Specialized lending requirements</w:t>
      </w:r>
      <w:r>
        <w:rPr>
          <w:rFonts w:ascii="Times New Roman" w:hAnsi="Times New Roman"/>
          <w:sz w:val="20"/>
          <w:bdr w:val="single" w:sz="8" w:space="1" w:color="000000"/>
        </w:rPr>
        <w:t xml:space="preserve">. Lending to middle-market companies requires specialized due diligence and underwriting capabilities, as well as extensive ongoing monitoring. Middle-market lending also is generally more labor-intensive than lending to larger companies due to smaller investment sizes and the lack of publicly available information on these companies. We believe the experience and resources of our Adviser and Sixth Street position us more strongly than many capital providers to lend to middle-market companies. </w:t>
      </w:r>
    </w:p>
    <w:p>
      <w:pPr>
        <w:pStyle w:val="TextBody"/>
        <w:spacing w:before="240" w:after="0"/>
        <w:rPr>
          <w:rFonts w:ascii="Times New Roman" w:hAnsi="Times New Roman"/>
          <w:sz w:val="20"/>
          <w:bdr w:val="single" w:sz="8" w:space="1" w:color="000000"/>
        </w:rPr>
      </w:pPr>
      <w:r>
        <w:rPr>
          <w:rFonts w:ascii="Times New Roman" w:hAnsi="Times New Roman"/>
          <w:i/>
          <w:sz w:val="20"/>
          <w:bdr w:val="single" w:sz="8" w:space="1" w:color="000000"/>
        </w:rPr>
        <w:t>Desirability of partnering with BDCs</w:t>
      </w:r>
      <w:r>
        <w:rPr>
          <w:rFonts w:ascii="Times New Roman" w:hAnsi="Times New Roman"/>
          <w:sz w:val="20"/>
          <w:bdr w:val="single" w:sz="8" w:space="1" w:color="000000"/>
        </w:rPr>
        <w:t xml:space="preserve">. We believe middle-market companies see advantages in raising capital from BDCs. BDCs have the ability to offer attractive financing structures, including unitranche loans and one-stop financings and can provide a valuable combination of flexibility to develop loans that reflect each borrowers distinct situation, long-term relationship focus and reliability as a potential source of future capital. </w:t>
      </w:r>
    </w:p>
    <w:p>
      <w:pPr>
        <w:pStyle w:val="TextBody"/>
        <w:spacing w:before="360" w:after="0"/>
        <w:rPr>
          <w:rFonts w:ascii="Times New Roman" w:hAnsi="Times New Roman"/>
          <w:b/>
          <w:sz w:val="20"/>
          <w:bdr w:val="single" w:sz="8" w:space="1" w:color="000000"/>
        </w:rPr>
      </w:pPr>
      <w:r>
        <w:rPr>
          <w:rFonts w:ascii="Times New Roman" w:hAnsi="Times New Roman"/>
          <w:b/>
          <w:sz w:val="20"/>
          <w:bdr w:val="single" w:sz="8" w:space="1" w:color="000000"/>
        </w:rPr>
        <w:t xml:space="preserve">Competitive Strengths and Core Competencies </w:t>
      </w:r>
    </w:p>
    <w:p>
      <w:pPr>
        <w:pStyle w:val="TextBody"/>
        <w:spacing w:before="120" w:after="0"/>
        <w:rPr>
          <w:rFonts w:ascii="Times New Roman" w:hAnsi="Times New Roman"/>
          <w:sz w:val="20"/>
          <w:bdr w:val="single" w:sz="8" w:space="1" w:color="000000"/>
        </w:rPr>
      </w:pPr>
      <w:r>
        <w:rPr>
          <w:rFonts w:ascii="Times New Roman" w:hAnsi="Times New Roman"/>
          <w:i/>
          <w:sz w:val="20"/>
          <w:bdr w:val="single" w:sz="8" w:space="1" w:color="000000"/>
        </w:rPr>
        <w:t>Leading platform and access to proprietary deal flow</w:t>
      </w:r>
      <w:r>
        <w:rPr>
          <w:rFonts w:ascii="Times New Roman" w:hAnsi="Times New Roman"/>
          <w:sz w:val="20"/>
          <w:bdr w:val="single" w:sz="8" w:space="1" w:color="000000"/>
        </w:rPr>
        <w:t xml:space="preserve">. The substantial majority of our investments are not intermediated and are originated without the assistance of investment banks or other traditional Wall Street sources. Our Adviser has a dedicated team of 33 investment professionals responsible for originating, underwriting, executing and managing the assets of our direct lending transactions. This team is responsible for sourcing and executing opportunities directly, while leveraging the resources and expertise of the Sixth Street platform. The senior members of our Investment Team have over 360 years of collective experience as commercial dealmakers. </w:t>
      </w:r>
    </w:p>
    <w:p>
      <w:pPr>
        <w:pStyle w:val="TextBody"/>
        <w:spacing w:before="240" w:after="0"/>
        <w:rPr>
          <w:rFonts w:ascii="Times New Roman" w:hAnsi="Times New Roman"/>
          <w:sz w:val="20"/>
          <w:bdr w:val="single" w:sz="8" w:space="1" w:color="000000"/>
        </w:rPr>
      </w:pPr>
      <w:r>
        <w:rPr>
          <w:rFonts w:ascii="Times New Roman" w:hAnsi="Times New Roman"/>
          <w:sz w:val="20"/>
          <w:bdr w:val="single" w:sz="8" w:space="1" w:color="000000"/>
        </w:rPr>
        <w:t xml:space="preserve">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lending opportunities. By sourcing through multiple channels, we believe we are able to generate investment opportunities that have more attractive risk-adjusted return characteristics than by relying solely on origination flow from investment banks or other intermediaries. </w:t>
      </w:r>
    </w:p>
    <w:p>
      <w:pPr>
        <w:pStyle w:val="TextBody"/>
        <w:spacing w:before="240" w:after="0"/>
        <w:rPr>
          <w:rFonts w:ascii="Times New Roman" w:hAnsi="Times New Roman"/>
          <w:sz w:val="20"/>
          <w:bdr w:val="single" w:sz="8" w:space="1" w:color="000000"/>
        </w:rPr>
      </w:pPr>
      <w:r>
        <w:rPr>
          <w:rFonts w:ascii="Times New Roman" w:hAnsi="Times New Roman"/>
          <w:sz w:val="20"/>
          <w:bdr w:val="single" w:sz="8" w:space="1" w:color="000000"/>
        </w:rPr>
        <w:t xml:space="preserve">In addition, our Adviser draws upon the resources of Sixth Street in underwriting transactions, performing due diligence, managing assets and optimizing our operations as a public company. Access to Sixth Street resources complements our Advisers view of markets and provides insight into important cyclical patterns. </w:t>
      </w:r>
    </w:p>
    <w:p>
      <w:pPr>
        <w:pStyle w:val="TextBody"/>
        <w:spacing w:before="240" w:after="0"/>
        <w:rPr>
          <w:rFonts w:ascii="Times New Roman" w:hAnsi="Times New Roman"/>
          <w:sz w:val="20"/>
          <w:bdr w:val="single" w:sz="8" w:space="1" w:color="000000"/>
        </w:rPr>
      </w:pPr>
      <w:r>
        <w:rPr>
          <w:rFonts w:ascii="Times New Roman" w:hAnsi="Times New Roman"/>
          <w:i/>
          <w:sz w:val="20"/>
          <w:bdr w:val="single" w:sz="8" w:space="1" w:color="000000"/>
        </w:rPr>
        <w:t>Disciplined investment and underwriting process</w:t>
      </w:r>
      <w:r>
        <w:rPr>
          <w:rFonts w:ascii="Times New Roman" w:hAnsi="Times New Roman"/>
          <w:sz w:val="20"/>
          <w:bdr w:val="single" w:sz="8" w:space="1" w:color="000000"/>
        </w:rPr>
        <w:t xml:space="preserve">. Through our Adviser, we seek to achieve the highest risk-adjusted returns available as opposed to the highest absolute return available. Our investment approach seeks to combine a rigorous analysis of macroeconomic and market factors with a deep understanding of individual companies and their assets, management and prospects. We believe four factors distinguish our investment approach: </w:t>
      </w:r>
    </w:p>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Flexibility</w:t>
            </w:r>
            <w:r>
              <w:rPr>
                <w:rFonts w:ascii="Times New Roman" w:hAnsi="Times New Roman"/>
                <w:sz w:val="20"/>
              </w:rPr>
              <w:t xml:space="preserve">. Our broad middle-market focus and our Advisers integrated position within Sixth Street allow us to determine current market opportunities and identify relative value.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Risk</w:t>
            </w:r>
            <w:r>
              <w:rPr>
                <w:rFonts w:ascii="Times New Roman" w:hAnsi="Times New Roman"/>
                <w:sz w:val="20"/>
              </w:rPr>
              <w:t xml:space="preserve"> </w:t>
            </w:r>
            <w:r>
              <w:rPr>
                <w:rFonts w:ascii="Times New Roman" w:hAnsi="Times New Roman"/>
                <w:i/>
                <w:sz w:val="20"/>
              </w:rPr>
              <w:t>pricing</w:t>
            </w:r>
            <w:r>
              <w:rPr>
                <w:rFonts w:ascii="Times New Roman" w:hAnsi="Times New Roman"/>
                <w:sz w:val="20"/>
              </w:rPr>
              <w:t xml:space="preserve">. The risk profile of our portfolio evolves across credit cycles as credit tightens and loosens. During periods when risk premiums are tight and pricing alone may not reflect the possibility for volatility, we typically focus on investing at a senior position in deals that permit us to control duration (that is, price sensitivity as a function of time and changes in interest rates, expressed as a number of years). Conversely, during periods when risk premiums are wide, we seek to capture an incremental risk premium by offering more junior instruments that have higher rates and longer durations.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Disciplined four-tiered investment framework</w:t>
            </w:r>
            <w:r>
              <w:rPr>
                <w:rFonts w:ascii="Times New Roman" w:hAnsi="Times New Roman"/>
                <w:sz w:val="20"/>
              </w:rPr>
              <w:t xml:space="preserve">. Through our Adviser, we perform detailed company-specific analysis focusing on a four-tiered investment framework: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1019"/>
        <w:gridCol w:w="204"/>
        <w:gridCol w:w="101"/>
        <w:gridCol w:w="8881"/>
      </w:tblGrid>
      <w:tr>
        <w:trPr/>
        <w:tc>
          <w:tcPr>
            <w:tcW w:w="101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Business and sector selection</w:t>
            </w:r>
            <w:r>
              <w:rPr>
                <w:rFonts w:ascii="Times New Roman" w:hAnsi="Times New Roman"/>
                <w:sz w:val="20"/>
              </w:rPr>
              <w:t xml:space="preserve">. We focus on companies with enterprise value between $50 million and $1 billion. When reviewing potential 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 We currently do not limit our focus to any specific industry and we may invest in larger or smaller companies.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1019"/>
        <w:gridCol w:w="204"/>
        <w:gridCol w:w="102"/>
        <w:gridCol w:w="8880"/>
      </w:tblGrid>
      <w:tr>
        <w:trPr/>
        <w:tc>
          <w:tcPr>
            <w:tcW w:w="1019" w:type="dxa"/>
            <w:tcBorders/>
            <w:shd w:fill="auto" w:val="clear"/>
            <w:vAlign w:val="center"/>
          </w:tcPr>
          <w:p>
            <w:pPr>
              <w:pStyle w:val="TableContents"/>
              <w:spacing w:before="0" w:after="283"/>
              <w:rPr/>
            </w:pPr>
            <w:r>
              <w:rPr/>
              <w:t> </w:t>
            </w:r>
          </w:p>
        </w:tc>
        <w:tc>
          <w:tcPr>
            <w:tcW w:w="204"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Investment structuring</w:t>
            </w:r>
            <w:r>
              <w:rPr>
                <w:rFonts w:ascii="Times New Roman" w:hAnsi="Times New Roman"/>
                <w:sz w:val="20"/>
              </w:rPr>
              <w:t xml:space="preserve">. We focus on investing at the top of the capital structure and protecting that position. We carefully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1017"/>
        <w:gridCol w:w="208"/>
        <w:gridCol w:w="102"/>
        <w:gridCol w:w="8878"/>
      </w:tblGrid>
      <w:tr>
        <w:trPr/>
        <w:tc>
          <w:tcPr>
            <w:tcW w:w="1017"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78"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Deal dynamics</w:t>
            </w:r>
            <w:r>
              <w:rPr>
                <w:rFonts w:ascii="Times New Roman" w:hAnsi="Times New Roman"/>
                <w:sz w:val="20"/>
              </w:rPr>
              <w:t xml:space="preserve">. We focus on, among other deal dynamics, direct origination of investments, where we identify and lead the investment transaction. We seek transactions that are too small for the traditional high yield market. We look to invest in companies that value our commitment and ability to originate an investment that meets their goals and fits within their existing capital structure.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1014"/>
        <w:gridCol w:w="210"/>
        <w:gridCol w:w="103"/>
        <w:gridCol w:w="8878"/>
      </w:tblGrid>
      <w:tr>
        <w:trPr/>
        <w:tc>
          <w:tcPr>
            <w:tcW w:w="1014"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878"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Risk Mitigation</w:t>
            </w:r>
            <w:r>
              <w:rPr>
                <w:rFonts w:ascii="Times New Roman" w:hAnsi="Times New Roman"/>
                <w:sz w:val="20"/>
              </w:rPr>
              <w:t xml:space="preserve">. We seek to mitigate non-credit-related risk on our returns in several ways, including call protection provisions to protect future payment income. In addition, most of our investments are floating rate in nature, which we believe helps act as a portfolio-wide hedge against inflation.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Robust and active investment management</w:t>
            </w:r>
            <w:r>
              <w:rPr>
                <w:rFonts w:ascii="Times New Roman" w:hAnsi="Times New Roman"/>
                <w:sz w:val="20"/>
              </w:rPr>
              <w:t xml:space="preserve">. Our Adviser rigorously monitors the credit profile of portfolio investments, with the aim of proactively identifying sector and operational issues and carefully managing risks. The information gathered on market trends through this process also informs our underwriting for new loans. </w:t>
            </w:r>
          </w:p>
        </w:tc>
      </w:tr>
    </w:tbl>
    <w:p>
      <w:pPr>
        <w:pStyle w:val="TextBody"/>
        <w:spacing w:before="240" w:after="0"/>
        <w:rPr>
          <w:rFonts w:ascii="Times New Roman" w:hAnsi="Times New Roman"/>
          <w:sz w:val="20"/>
          <w:bdr w:val="single" w:sz="8" w:space="1" w:color="000000"/>
        </w:rPr>
      </w:pPr>
      <w:r>
        <w:rPr>
          <w:rFonts w:ascii="Times New Roman" w:hAnsi="Times New Roman"/>
          <w:sz w:val="20"/>
          <w:bdr w:val="single" w:sz="8" w:space="1" w:color="000000"/>
        </w:rPr>
        <w:t xml:space="preserve">We tailor investments rather than focusing only on driving investment volume. </w:t>
      </w:r>
    </w:p>
    <w:p>
      <w:pPr>
        <w:pStyle w:val="TextBody"/>
        <w:spacing w:before="240" w:after="0"/>
        <w:rPr>
          <w:rFonts w:ascii="Times New Roman" w:hAnsi="Times New Roman"/>
          <w:sz w:val="20"/>
          <w:bdr w:val="single" w:sz="8" w:space="1" w:color="000000"/>
        </w:rPr>
      </w:pPr>
      <w:r>
        <w:rPr>
          <w:rFonts w:ascii="Times New Roman" w:hAnsi="Times New Roman"/>
          <w:i/>
          <w:sz w:val="20"/>
          <w:bdr w:val="single" w:sz="8" w:space="1" w:color="000000"/>
        </w:rPr>
        <w:t>Carefully constructed, existing portfolio consisting of predominantly senior, floating rate loans across a broad range of industries and borrowers.</w:t>
      </w:r>
      <w:r>
        <w:rPr>
          <w:rFonts w:ascii="Times New Roman" w:hAnsi="Times New Roman"/>
          <w:sz w:val="20"/>
          <w:bdr w:val="single" w:sz="8" w:space="1" w:color="000000"/>
        </w:rPr>
        <w:t xml:space="preserve"> Since we began investing in July 2011, we have originated more than $23.9 billion aggregate principal amount of investments. As of September 30, 2022, we had a portfolio of investments in 118 portfolio investments with an aggregate fair value of $2,806.1 million that we believe exhibits strong credit quality and broad industry composition. As of September 30, 2022, 98.9% of our debt investments based on fair value bore interest at floating rates, with 100.0% of these subject to interest rate floors, and 90.4% of the fair value of our portfolio was invested in first-lien debt investments. We believe this portfolio will allow us to generate meaningful investment income, and consequently dividend income, for our stockholders.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rPr>
          <w:rFonts w:ascii="Times New Roman" w:hAnsi="Times New Roman"/>
          <w:sz w:val="20"/>
          <w:bdr w:val="single" w:sz="8" w:space="1" w:color="000000"/>
        </w:rPr>
      </w:pPr>
      <w:r>
        <w:rPr>
          <w:rFonts w:ascii="Times New Roman" w:hAnsi="Times New Roman"/>
          <w:i/>
          <w:sz w:val="20"/>
          <w:bdr w:val="single" w:sz="8" w:space="1" w:color="000000"/>
        </w:rPr>
        <w:t>Experienced management team</w:t>
      </w:r>
      <w:r>
        <w:rPr>
          <w:rFonts w:ascii="Times New Roman" w:hAnsi="Times New Roman"/>
          <w:sz w:val="20"/>
          <w:bdr w:val="single" w:sz="8" w:space="1" w:color="000000"/>
        </w:rPr>
        <w:t xml:space="preserve">. The Adviser has a highly experienced management team consisting of seven Sixth Street Partners and eight Sixth Street Managing Directors, with deep experience identifying and executing transactions across a broad range of industries and types of financings. Over their careers, our team has developed unique relationships and access to proprietary sourcing and servicing channels. The team includes the founder of the Goldman Sachs Specialty Lending Group, Alan Waxman, who managed the group from its inception in 2003 through 2009, and other senior members, such as Joshua Easterly, who was Co-head from 2006 through 2010. The team also includes Michael Fishman, who, as National Director of Loan Originations at Wells Fargo Capital Finance, oversaw primary and secondary lending, loan distribution and syndications, strategic transactions and new lending products from 2000 to 2011, and Bo Stanley, who brings expertise in the software, payment systems, data infrastructure and business services sectors. Our Advisers senior team also has experience managing us as a BDC since we began our investment activities in July 2011. We believe that the broad knowledge of this group from investing across asset classes through numerous credit cycles provides us with sound decision-making and invaluable insights into the investment process. </w:t>
      </w:r>
    </w:p>
    <w:p>
      <w:pPr>
        <w:pStyle w:val="TextBody"/>
        <w:spacing w:before="240" w:after="0"/>
        <w:rPr>
          <w:rFonts w:ascii="Times New Roman" w:hAnsi="Times New Roman"/>
          <w:sz w:val="20"/>
          <w:bdr w:val="single" w:sz="8" w:space="1" w:color="000000"/>
        </w:rPr>
      </w:pPr>
      <w:r>
        <w:rPr>
          <w:rFonts w:ascii="Times New Roman" w:hAnsi="Times New Roman"/>
          <w:i/>
          <w:sz w:val="20"/>
          <w:bdr w:val="single" w:sz="8" w:space="1" w:color="000000"/>
        </w:rPr>
        <w:t>Aligned investment professionals</w:t>
      </w:r>
      <w:r>
        <w:rPr>
          <w:rFonts w:ascii="Times New Roman" w:hAnsi="Times New Roman"/>
          <w:sz w:val="20"/>
          <w:bdr w:val="single" w:sz="8" w:space="1" w:color="000000"/>
        </w:rPr>
        <w:t xml:space="preserve">. We believe our investment professionals are aligned with our investment objective. The compensation structure for our investment professionals is based on our returns, as opposed to transaction volume, which we believe fosters a focus on credit quality when originating investments. </w:t>
      </w:r>
    </w:p>
    <w:p>
      <w:pPr>
        <w:pStyle w:val="TextBody"/>
        <w:spacing w:before="360" w:after="0"/>
        <w:rPr>
          <w:rFonts w:ascii="Times New Roman" w:hAnsi="Times New Roman"/>
          <w:b/>
          <w:sz w:val="20"/>
          <w:bdr w:val="single" w:sz="8" w:space="1" w:color="000000"/>
        </w:rPr>
      </w:pPr>
      <w:r>
        <w:rPr>
          <w:rFonts w:ascii="Times New Roman" w:hAnsi="Times New Roman"/>
          <w:b/>
          <w:sz w:val="20"/>
          <w:bdr w:val="single" w:sz="8" w:space="1" w:color="000000"/>
        </w:rPr>
        <w:t xml:space="preserve">Operating and Regulatory Structure </w:t>
      </w:r>
    </w:p>
    <w:p>
      <w:pPr>
        <w:pStyle w:val="TextBody"/>
        <w:spacing w:before="120" w:after="0"/>
        <w:rPr>
          <w:rFonts w:ascii="Times New Roman" w:hAnsi="Times New Roman"/>
          <w:sz w:val="20"/>
          <w:bdr w:val="single" w:sz="8" w:space="1" w:color="000000"/>
        </w:rPr>
      </w:pPr>
      <w:r>
        <w:rPr>
          <w:rFonts w:ascii="Times New Roman" w:hAnsi="Times New Roman"/>
          <w:sz w:val="20"/>
          <w:bdr w:val="single" w:sz="8" w:space="1" w:color="000000"/>
        </w:rPr>
        <w:t xml:space="preserve">The Adviser manages our investment activities under the direction of our board of directors, or the Board. A majority of our Board members are not interested persons of us, the Adviser and our respective affiliates, as such term is defined under Section 2(a)(19) of the 1940 Act. </w:t>
      </w:r>
    </w:p>
    <w:p>
      <w:pPr>
        <w:pStyle w:val="TextBody"/>
        <w:spacing w:before="240" w:after="0"/>
        <w:rPr>
          <w:rFonts w:ascii="Times New Roman" w:hAnsi="Times New Roman"/>
          <w:sz w:val="20"/>
          <w:bdr w:val="single" w:sz="8" w:space="1" w:color="000000"/>
        </w:rPr>
      </w:pPr>
      <w:r>
        <w:rPr>
          <w:rFonts w:ascii="Times New Roman" w:hAnsi="Times New Roman"/>
          <w:sz w:val="20"/>
          <w:bdr w:val="single" w:sz="8" w:space="1" w:color="000000"/>
        </w:rPr>
        <w:t xml:space="preserve">As a BDC, we are required to comply with numerous regulatory requirements: </w:t>
      </w:r>
    </w:p>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Leverage</w:t>
            </w:r>
            <w:r>
              <w:rPr>
                <w:rFonts w:ascii="Times New Roman" w:hAnsi="Times New Roman"/>
                <w:sz w:val="20"/>
              </w:rPr>
              <w:t xml:space="preserve">. Regulations under the 1940 Act limit our ability to use borrowing, also known as leverage, in significant respects. In accordance with the 1940 Act, with certain limitations, we are allowed to borrow amounts such that our asset coverage, as defined in the 1940 Act, is at least 150% after such borrowing. 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See Regulation as a Business Development Company in Part I, Item 1 of our 2021 Annual Report.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Investment Allocation</w:t>
            </w:r>
            <w:r>
              <w:rPr>
                <w:rFonts w:ascii="Times New Roman" w:hAnsi="Times New Roman"/>
                <w:sz w:val="20"/>
              </w:rPr>
              <w:t xml:space="preserve">. As a BDC, we are required to invest at least 70% of our total assets in qualifying assets, which generally include securities of eligible portfolio companies, cash, cash equivalents, U.S. government securities and high-quality debt instruments maturing in one year or less from the time of investment. Eligible portfolio companies are defined in the 1940 Act as: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1020"/>
        <w:gridCol w:w="203"/>
        <w:gridCol w:w="101"/>
        <w:gridCol w:w="8881"/>
      </w:tblGrid>
      <w:tr>
        <w:trPr/>
        <w:tc>
          <w:tcPr>
            <w:tcW w:w="102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private domestic operating companies;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1020"/>
        <w:gridCol w:w="203"/>
        <w:gridCol w:w="101"/>
        <w:gridCol w:w="8881"/>
      </w:tblGrid>
      <w:tr>
        <w:trPr/>
        <w:tc>
          <w:tcPr>
            <w:tcW w:w="102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888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public domestic operating companies whose securities are not listed on a national securities exchange (e.g., the NYSE Amex Equities and The NASDAQ Global Market) or registered under the Securities Exchange Act of 1934, as amended, or the Exchange Act; and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1016"/>
        <w:gridCol w:w="208"/>
        <w:gridCol w:w="102"/>
        <w:gridCol w:w="8879"/>
      </w:tblGrid>
      <w:tr>
        <w:trPr/>
        <w:tc>
          <w:tcPr>
            <w:tcW w:w="1016" w:type="dxa"/>
            <w:tcBorders/>
            <w:shd w:fill="auto" w:val="clear"/>
            <w:vAlign w:val="center"/>
          </w:tcPr>
          <w:p>
            <w:pPr>
              <w:pStyle w:val="TableContents"/>
              <w:spacing w:before="0" w:after="283"/>
              <w:rPr/>
            </w:pPr>
            <w:r>
              <w:rPr/>
              <w:t> </w:t>
            </w:r>
          </w:p>
        </w:tc>
        <w:tc>
          <w:tcPr>
            <w:tcW w:w="208"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7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public domestic operating companies having a market capitalization of less than $250 million.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rPr>
          <w:rFonts w:ascii="Times New Roman" w:hAnsi="Times New Roman"/>
          <w:sz w:val="20"/>
          <w:bdr w:val="single" w:sz="8" w:space="1" w:color="000000"/>
        </w:rPr>
      </w:pPr>
      <w:r>
        <w:rPr>
          <w:rFonts w:ascii="Times New Roman" w:hAnsi="Times New Roman"/>
          <w:sz w:val="20"/>
          <w:bdr w:val="single" w:sz="8" w:space="1" w:color="000000"/>
        </w:rPr>
        <w:t xml:space="preserve">Public domestic operating companies whose securities are quoted on the over-the-counter bulletin board and through OTC Markets Group, Inc. are not listed on a national securities exchange and, as a result, are eligible portfolio companies. </w:t>
      </w:r>
    </w:p>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i/>
                <w:sz w:val="20"/>
              </w:rPr>
              <w:t>RIC Status</w:t>
            </w:r>
            <w:r>
              <w:rPr>
                <w:rFonts w:ascii="Times New Roman" w:hAnsi="Times New Roman"/>
                <w:sz w:val="20"/>
              </w:rPr>
              <w:t xml:space="preserve">. We have elected to be treated as a RIC for U.S. federal income tax purposes. To maintain our status as a RIC and to avoid having our earnings subject to corporate-level U.S. federal income taxation, we must satisfy certain source of income, asset diversification and distribution requirements. </w:t>
            </w:r>
          </w:p>
        </w:tc>
      </w:tr>
    </w:tbl>
    <w:p>
      <w:pPr>
        <w:pStyle w:val="TextBody"/>
        <w:spacing w:before="240" w:after="0"/>
        <w:rPr>
          <w:rFonts w:ascii="Times New Roman" w:hAnsi="Times New Roman"/>
          <w:sz w:val="20"/>
          <w:bdr w:val="single" w:sz="8" w:space="1" w:color="000000"/>
        </w:rPr>
      </w:pPr>
      <w:r>
        <w:rPr>
          <w:rFonts w:ascii="Times New Roman" w:hAnsi="Times New Roman"/>
          <w:sz w:val="20"/>
          <w:bdr w:val="single" w:sz="8" w:space="1" w:color="000000"/>
        </w:rPr>
        <w:t xml:space="preserve">See Material U.S. Federal Income Tax Considerations. </w:t>
      </w:r>
    </w:p>
    <w:p>
      <w:pPr>
        <w:pStyle w:val="TextBody"/>
        <w:spacing w:before="360" w:after="0"/>
        <w:rPr>
          <w:rFonts w:ascii="Times New Roman" w:hAnsi="Times New Roman"/>
          <w:b/>
          <w:sz w:val="20"/>
          <w:bdr w:val="single" w:sz="8" w:space="1" w:color="000000"/>
        </w:rPr>
      </w:pPr>
      <w:r>
        <w:rPr>
          <w:rFonts w:ascii="Times New Roman" w:hAnsi="Times New Roman"/>
          <w:b/>
          <w:sz w:val="20"/>
          <w:bdr w:val="single" w:sz="8" w:space="1" w:color="000000"/>
        </w:rPr>
        <w:t xml:space="preserve">Use of Leverage </w:t>
      </w:r>
    </w:p>
    <w:p>
      <w:pPr>
        <w:pStyle w:val="TextBody"/>
        <w:spacing w:before="120" w:after="0"/>
        <w:rPr>
          <w:rFonts w:ascii="Times New Roman" w:hAnsi="Times New Roman"/>
          <w:sz w:val="20"/>
          <w:bdr w:val="single" w:sz="8" w:space="1" w:color="000000"/>
        </w:rPr>
      </w:pPr>
      <w:r>
        <w:rPr>
          <w:rFonts w:ascii="Times New Roman" w:hAnsi="Times New Roman"/>
          <w:sz w:val="20"/>
          <w:bdr w:val="single" w:sz="8" w:space="1" w:color="000000"/>
        </w:rPr>
        <w:t xml:space="preserve">Leverage increases the potential for gain and loss on amounts invested and, as a result, increases the risks associated with investing in our securities.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 </w:t>
      </w:r>
    </w:p>
    <w:p>
      <w:pPr>
        <w:pStyle w:val="TextBody"/>
        <w:spacing w:before="240" w:after="0"/>
        <w:rPr>
          <w:rFonts w:ascii="Times New Roman" w:hAnsi="Times New Roman"/>
          <w:sz w:val="20"/>
          <w:bdr w:val="single" w:sz="8" w:space="1" w:color="000000"/>
        </w:rPr>
      </w:pPr>
      <w:r>
        <w:rPr>
          <w:rFonts w:ascii="Times New Roman" w:hAnsi="Times New Roman"/>
          <w:sz w:val="20"/>
          <w:bdr w:val="single" w:sz="8" w:space="1" w:color="000000"/>
        </w:rPr>
        <w:t xml:space="preserve">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 </w:t>
      </w:r>
    </w:p>
    <w:p>
      <w:pPr>
        <w:pStyle w:val="TextBody"/>
        <w:spacing w:before="240" w:after="0"/>
        <w:rPr>
          <w:rFonts w:ascii="Times New Roman" w:hAnsi="Times New Roman"/>
          <w:sz w:val="20"/>
          <w:bdr w:val="single" w:sz="8" w:space="1" w:color="000000"/>
        </w:rPr>
      </w:pPr>
      <w:r>
        <w:rPr>
          <w:rFonts w:ascii="Times New Roman" w:hAnsi="Times New Roman"/>
          <w:sz w:val="20"/>
          <w:bdr w:val="single" w:sz="8" w:space="1" w:color="000000"/>
        </w:rPr>
        <w:t xml:space="preserve">The Adviser intends to waive a portion of the Management Fee payable under the Investment Advisory Agreement by reducing the Management Fee on assets financed using leverage over 200% asset coverage (in other words, over 1.0x debt to equity). Pursuant to the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 For the three and nine months ended September 30, 2022, Management Fees of $0.2 million have been waived pursuant to the Leverage Waiver. For the three and nine months ended September 30, 2021, Management Fees of $0.1 million and $0.2 million have been waived pursuant to the Leverage Waiver. </w:t>
      </w:r>
    </w:p>
    <w:p>
      <w:pPr>
        <w:pStyle w:val="TextBody"/>
        <w:spacing w:before="240" w:after="0"/>
        <w:rPr>
          <w:rFonts w:ascii="Times New Roman" w:hAnsi="Times New Roman"/>
          <w:sz w:val="20"/>
          <w:bdr w:val="single" w:sz="8" w:space="1" w:color="000000"/>
        </w:rPr>
      </w:pPr>
      <w:r>
        <w:rPr>
          <w:rFonts w:ascii="Times New Roman" w:hAnsi="Times New Roman"/>
          <w:sz w:val="20"/>
          <w:bdr w:val="single" w:sz="8" w:space="1" w:color="000000"/>
        </w:rPr>
        <w:t xml:space="preserve">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 </w:t>
      </w:r>
    </w:p>
    <w:p>
      <w:pPr>
        <w:pStyle w:val="TextBody"/>
        <w:spacing w:before="240" w:after="0"/>
        <w:rPr>
          <w:rFonts w:ascii="Times New Roman" w:hAnsi="Times New Roman"/>
          <w:sz w:val="20"/>
          <w:bdr w:val="single" w:sz="8" w:space="1" w:color="000000"/>
        </w:rPr>
      </w:pPr>
      <w:r>
        <w:rPr>
          <w:rFonts w:ascii="Times New Roman" w:hAnsi="Times New Roman"/>
          <w:sz w:val="20"/>
          <w:bdr w:val="single" w:sz="8" w:space="1" w:color="000000"/>
        </w:rPr>
        <w:t xml:space="preserve">See BusinessGeneralOur Company; and BusinessGeneralRegulation as a Business Development Company in Part I, Item 1 of our 2021 Annual Report, as well as Risk FactorsLegislation allows us to incur additional leverage, Risk FactorsWe borrow money, which magnifies the potential for gain or loss and increases the risk of investing in us and Risk FactorsRisks Regulations governing our operation as a BDC affect our ability to, and the way in which we, raise additional capital in Part II, Item 1A of our 3Q 2022 Quarterly Report.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rPr>
          <w:rFonts w:ascii="Times New Roman" w:hAnsi="Times New Roman"/>
          <w:b/>
          <w:sz w:val="20"/>
          <w:bdr w:val="single" w:sz="8" w:space="1" w:color="000000"/>
        </w:rPr>
      </w:pPr>
      <w:r>
        <w:rPr>
          <w:rFonts w:ascii="Times New Roman" w:hAnsi="Times New Roman"/>
          <w:b/>
          <w:sz w:val="20"/>
          <w:bdr w:val="single" w:sz="8" w:space="1" w:color="000000"/>
        </w:rPr>
        <w:t xml:space="preserve">Conflicts of Interests </w:t>
      </w:r>
    </w:p>
    <w:p>
      <w:pPr>
        <w:pStyle w:val="TextBody"/>
        <w:spacing w:before="120" w:after="0"/>
        <w:rPr>
          <w:rFonts w:ascii="Times New Roman" w:hAnsi="Times New Roman"/>
          <w:sz w:val="20"/>
          <w:bdr w:val="single" w:sz="8" w:space="1" w:color="000000"/>
        </w:rPr>
      </w:pPr>
      <w:r>
        <w:rPr>
          <w:rFonts w:ascii="Times New Roman" w:hAnsi="Times New Roman"/>
          <w:sz w:val="20"/>
          <w:bdr w:val="single" w:sz="8" w:space="1" w:color="000000"/>
        </w:rPr>
        <w:t xml:space="preserve">Certain members of the Advisers senior management and the Investment Review Committee are and will continue to be active in other investment funds affiliated with Sixth Street and its affiliates that pursue investment opportunities that could overlap with those pursued by us. However, the Adviser and its affiliates intend to allocate investment opportunities in a fair and equitable manner in accordance with their allocation principles and are obligated to refer any investments to us, by means of our Adviser, that fit within certain criteria that our Board may establish from time to time (such criteria, the Board Established Criteria). If no Board Established Criteria are in effect, then we will be notified of all such potential investment opportunities that fall within our current investment objective and principal investment strategies. The Adviser will determine whether it would be permissible, advisable or otherwise appropriate for us to pursue a particular investment opportunity referred to us for inclusion in our portfolio. For example, certain investment opportunities which otherwise fit within our investment strategies and objectives and any Board Established Criteria may not be suitable for us if they would cause us to violate asset coverage or concentration limitations imposed by the 1940 Act, the Code or the Amended Order (as defined below),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referred to us to be appropriate, it will determine an appropriate size for our investment. If the aggregate interest in an investment opportunity across Sixth Street funds or investment vehicles, including us, exceeds the size of the opportunity, the Adviser would allocate to us our pro-rata share of the investment opportunity based on the size of each respective participating Sixth Street funds or investment vehicles demand for such opportunity. </w:t>
      </w:r>
    </w:p>
    <w:p>
      <w:pPr>
        <w:pStyle w:val="TextBody"/>
        <w:spacing w:before="240" w:after="0"/>
        <w:rPr>
          <w:rFonts w:ascii="Times New Roman" w:hAnsi="Times New Roman"/>
          <w:sz w:val="20"/>
          <w:bdr w:val="single" w:sz="8" w:space="1" w:color="000000"/>
        </w:rPr>
      </w:pPr>
      <w:r>
        <w:rPr>
          <w:rFonts w:ascii="Times New Roman" w:hAnsi="Times New Roman"/>
          <w:sz w:val="20"/>
          <w:bdr w:val="single" w:sz="8" w:space="1" w:color="000000"/>
        </w:rPr>
        <w:t xml:space="preserve">While we seek to generate current income primarily in U.S.-domiciled middle-market companies through direct originations of senior secured loans, we may also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 $250 million or more, certain high yield bonds and other instruments or assets (including consumer and commercial loans). Many of these opportunities may be required to be offered to, or may be otherwise suitable for, other Sixth Street funds or investment vehicles, in which case the scope or size of opportunities otherwise available to us may be adversely affected or reduced. In the event that an investment opportunity falls outside of our Board Established Criteria and Sixth Street is not required to, and otherwise determines not to, direct these investment opportunities to an affiliated fund, we may be permitted to take them. The decision to allocate an opportunity as between us and other Sixth Street vehicles will take into account various factors that Sixth Street and our Adviser deem appropriate. </w:t>
      </w:r>
    </w:p>
    <w:p>
      <w:pPr>
        <w:pStyle w:val="TextBody"/>
        <w:spacing w:before="240" w:after="0"/>
        <w:rPr>
          <w:rFonts w:ascii="Times New Roman" w:hAnsi="Times New Roman"/>
          <w:sz w:val="20"/>
          <w:bdr w:val="single" w:sz="8" w:space="1" w:color="000000"/>
        </w:rPr>
      </w:pPr>
      <w:r>
        <w:rPr>
          <w:rFonts w:ascii="Times New Roman" w:hAnsi="Times New Roman"/>
          <w:sz w:val="20"/>
          <w:bdr w:val="single" w:sz="8" w:space="1" w:color="000000"/>
        </w:rPr>
        <w:t xml:space="preserve">Our ability to pursue investment opportunities other than those that meet our Board Established Criteria is subject to the allocation decisions by Sixth Street senior professionals. Such opportunities may be required to be offered to, or may be otherwise suitable for, other Sixth Street funds or investment vehicles. As a result, the Adviser and its affiliates may face conflicts in allocating investment opportunities between us and those other entities. It is possible that we may not be given the opportunity to participate in certain investments made by Sixth Street vehicles that would otherwise be suitable for us if the investment falls outside of our Board Established Criteria. Sixth Street has organized separate investment vehicles, aimed specifically at middle-market loan originations and may in the future organize vehicles aimed at other loan origination opportunities outside our primary focus (for example, based on opportunity size or geography). </w:t>
      </w:r>
    </w:p>
    <w:p>
      <w:pPr>
        <w:pStyle w:val="TextBody"/>
        <w:spacing w:before="240" w:after="0"/>
        <w:rPr>
          <w:rFonts w:ascii="Times New Roman" w:hAnsi="Times New Roman"/>
          <w:sz w:val="20"/>
          <w:bdr w:val="single" w:sz="8" w:space="1" w:color="000000"/>
        </w:rPr>
      </w:pPr>
      <w:r>
        <w:rPr>
          <w:rFonts w:ascii="Times New Roman" w:hAnsi="Times New Roman"/>
          <w:sz w:val="20"/>
          <w:bdr w:val="single" w:sz="8" w:space="1" w:color="000000"/>
        </w:rPr>
        <w:t xml:space="preserve">See Certain Relationships and Related Party Transactions in our Definitive Proxy Statement on Schedule 14A relating to our 2022 Annual Meeting of Stockholders filed with the SEC on April 13, 2022, and such section is incorporated by reference in this prospectus.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rPr>
          <w:rFonts w:ascii="Times New Roman" w:hAnsi="Times New Roman"/>
          <w:b/>
          <w:sz w:val="20"/>
          <w:bdr w:val="single" w:sz="8" w:space="1" w:color="000000"/>
        </w:rPr>
      </w:pPr>
      <w:r>
        <w:rPr>
          <w:rFonts w:ascii="Times New Roman" w:hAnsi="Times New Roman"/>
          <w:b/>
          <w:sz w:val="20"/>
          <w:bdr w:val="single" w:sz="8" w:space="1" w:color="000000"/>
        </w:rPr>
        <w:t xml:space="preserve">Exemptive Order </w:t>
      </w:r>
    </w:p>
    <w:p>
      <w:pPr>
        <w:pStyle w:val="TextBody"/>
        <w:spacing w:before="120" w:after="0"/>
        <w:rPr>
          <w:rFonts w:ascii="Times New Roman" w:hAnsi="Times New Roman"/>
          <w:sz w:val="20"/>
          <w:bdr w:val="single" w:sz="8" w:space="1" w:color="000000"/>
        </w:rPr>
      </w:pPr>
      <w:r>
        <w:rPr>
          <w:rFonts w:ascii="Times New Roman" w:hAnsi="Times New Roman"/>
          <w:sz w:val="20"/>
          <w:bdr w:val="single" w:sz="8" w:space="1" w:color="000000"/>
        </w:rPr>
        <w:t xml:space="preserve">On December 16, 2014, we were granted an exemptive order from the SEC (the Prior Order) that allows us to co-invest, subject to certain conditions and to the extent the size of an investment opportunity exceeds the amount our Adviser has independently determined is appropriate to invest, with certain of our affiliates (including affiliates of Sixth Street). </w:t>
      </w:r>
    </w:p>
    <w:p>
      <w:pPr>
        <w:pStyle w:val="TextBody"/>
        <w:spacing w:before="240" w:after="0"/>
        <w:rPr>
          <w:rFonts w:ascii="Times New Roman" w:hAnsi="Times New Roman"/>
          <w:sz w:val="20"/>
          <w:bdr w:val="single" w:sz="8" w:space="1" w:color="000000"/>
        </w:rPr>
      </w:pPr>
      <w:r>
        <w:rPr>
          <w:rFonts w:ascii="Times New Roman" w:hAnsi="Times New Roman"/>
          <w:sz w:val="20"/>
          <w:bdr w:val="single" w:sz="8" w:space="1" w:color="000000"/>
        </w:rPr>
        <w:t xml:space="preserve">On January 16, 2020, we filed a further application for co-investment exemptive relief with the SEC to better align our existing co-investment relief with more recent SEC exemptive orders. On August 3, 2022, the SEC granted the new order (the Amended Order) in response to our application. The Amended Order superseded the Prior Order, and updated the conditions pursuant to which we could co-invest with certain of our affiliates (including affiliates of Sixth Street) in investment opportunities that fall within our Board Established Criteria. </w:t>
      </w:r>
    </w:p>
    <w:p>
      <w:pPr>
        <w:pStyle w:val="TextBody"/>
        <w:spacing w:before="240" w:after="0"/>
        <w:rPr>
          <w:rFonts w:ascii="Times New Roman" w:hAnsi="Times New Roman"/>
          <w:sz w:val="20"/>
          <w:bdr w:val="single" w:sz="8" w:space="1" w:color="000000"/>
        </w:rPr>
      </w:pPr>
      <w:r>
        <w:rPr>
          <w:rFonts w:ascii="Times New Roman" w:hAnsi="Times New Roman"/>
          <w:sz w:val="20"/>
          <w:bdr w:val="single" w:sz="8" w:space="1" w:color="000000"/>
        </w:rPr>
        <w:t xml:space="preserve">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 </w:t>
      </w:r>
    </w:p>
    <w:p>
      <w:pPr>
        <w:pStyle w:val="TextBody"/>
        <w:spacing w:before="240" w:after="0"/>
        <w:rPr>
          <w:rFonts w:ascii="Times New Roman" w:hAnsi="Times New Roman"/>
          <w:sz w:val="20"/>
          <w:bdr w:val="single" w:sz="8" w:space="1" w:color="000000"/>
        </w:rPr>
      </w:pPr>
      <w:r>
        <w:rPr>
          <w:rFonts w:ascii="Times New Roman" w:hAnsi="Times New Roman"/>
          <w:sz w:val="20"/>
          <w:bdr w:val="single" w:sz="8" w:space="1" w:color="000000"/>
        </w:rPr>
        <w:t xml:space="preserve">See Regulation as a Business Development CompanyTransactions with our Affiliates in our 2021 Annual Report, and such section is incorporated by reference in this prospectus. </w:t>
      </w:r>
    </w:p>
    <w:p>
      <w:pPr>
        <w:pStyle w:val="TextBody"/>
        <w:spacing w:before="240" w:after="0"/>
        <w:rPr>
          <w:rFonts w:ascii="Times New Roman" w:hAnsi="Times New Roman"/>
          <w:sz w:val="20"/>
          <w:bdr w:val="single" w:sz="8" w:space="1" w:color="000000"/>
        </w:rPr>
      </w:pPr>
      <w:r>
        <w:rPr>
          <w:rFonts w:ascii="Times New Roman" w:hAnsi="Times New Roman"/>
          <w:sz w:val="20"/>
          <w:bdr w:val="single" w:sz="8" w:space="1" w:color="000000"/>
        </w:rPr>
        <w:t xml:space="preserve">See Certain Relationships and Related Party TransactionsExemptive Order in our 2022 Annual Proxy, and such section is incorporated by reference in this prospectus. </w:t>
      </w:r>
    </w:p>
    <w:p>
      <w:pPr>
        <w:pStyle w:val="TextBody"/>
        <w:spacing w:before="360" w:after="0"/>
        <w:rPr>
          <w:rFonts w:ascii="Times New Roman" w:hAnsi="Times New Roman"/>
          <w:b/>
          <w:sz w:val="20"/>
          <w:bdr w:val="single" w:sz="8" w:space="1" w:color="000000"/>
        </w:rPr>
      </w:pPr>
      <w:r>
        <w:rPr>
          <w:rFonts w:ascii="Times New Roman" w:hAnsi="Times New Roman"/>
          <w:b/>
          <w:sz w:val="20"/>
          <w:bdr w:val="single" w:sz="8" w:space="1" w:color="000000"/>
        </w:rPr>
        <w:t xml:space="preserve">Stock Repurchase Plan </w:t>
      </w:r>
    </w:p>
    <w:p>
      <w:pPr>
        <w:pStyle w:val="TextBody"/>
        <w:spacing w:before="120" w:after="0"/>
        <w:rPr>
          <w:rFonts w:ascii="Times New Roman" w:hAnsi="Times New Roman"/>
          <w:sz w:val="20"/>
          <w:bdr w:val="single" w:sz="8" w:space="1" w:color="000000"/>
        </w:rPr>
      </w:pPr>
      <w:r>
        <w:rPr>
          <w:rFonts w:ascii="Times New Roman" w:hAnsi="Times New Roman"/>
          <w:sz w:val="20"/>
          <w:bdr w:val="single" w:sz="8" w:space="1" w:color="000000"/>
        </w:rPr>
        <w:t xml:space="preserve">On August 4, 2015, the Companys Board authorized the Company to acquire up to $50 million in aggregate of the Companys common stock from time to time over an initial six month period, and has continued to authorize the refreshment of the $50 million amount authorized under and extension of the stock repurchase program prior to its expiration since that time, most recently as of November 1, 2022. The amount and timing of stock repurchases under the program may vary depending on market conditions, and no assurance can be given that any particular amount of common stock will be repurchased. </w:t>
      </w:r>
    </w:p>
    <w:p>
      <w:pPr>
        <w:pStyle w:val="TextBody"/>
        <w:spacing w:before="360" w:after="0"/>
        <w:rPr>
          <w:rFonts w:ascii="Times New Roman" w:hAnsi="Times New Roman"/>
          <w:b/>
          <w:sz w:val="20"/>
          <w:bdr w:val="single" w:sz="8" w:space="1" w:color="000000"/>
        </w:rPr>
      </w:pPr>
      <w:r>
        <w:rPr>
          <w:rFonts w:ascii="Times New Roman" w:hAnsi="Times New Roman"/>
          <w:b/>
          <w:sz w:val="20"/>
          <w:bdr w:val="single" w:sz="8" w:space="1" w:color="000000"/>
        </w:rPr>
        <w:t xml:space="preserve">Summary of Risk Factors </w:t>
      </w:r>
    </w:p>
    <w:p>
      <w:pPr>
        <w:pStyle w:val="TextBody"/>
        <w:spacing w:before="120" w:after="0"/>
        <w:rPr>
          <w:rFonts w:ascii="Times New Roman" w:hAnsi="Times New Roman"/>
          <w:sz w:val="20"/>
          <w:bdr w:val="single" w:sz="8" w:space="1" w:color="000000"/>
        </w:rPr>
      </w:pPr>
      <w:r>
        <w:rPr>
          <w:rFonts w:ascii="Times New Roman" w:hAnsi="Times New Roman"/>
          <w:sz w:val="20"/>
          <w:bdr w:val="single" w:sz="8" w:space="1" w:color="000000"/>
        </w:rPr>
        <w:t xml:space="preserve">Potential investors should be aware that an investment in our securities involves risk. We cannot assure you that our objectives will be achieved or guarantee a return on invested capital. In addition, there will be occasions when the Adviser and its affiliates may encounter potential conflicts of interest. See Risk Factors in this prospectus, our 2021 Annual Report and our 3Q 2022 Quarterly Report, as well as the other documents that are incorporated by reference in this prospectus or in any prospectus supplement, for a description of these and other risks relating to our business and investments in our securities, including that: </w:t>
      </w:r>
    </w:p>
    <w:p>
      <w:pPr>
        <w:pStyle w:val="TextBody"/>
        <w:spacing w:before="360" w:after="0"/>
        <w:rPr>
          <w:rFonts w:ascii="Times New Roman" w:hAnsi="Times New Roman"/>
          <w:i/>
          <w:sz w:val="20"/>
          <w:bdr w:val="single" w:sz="8" w:space="1" w:color="000000"/>
        </w:rPr>
      </w:pPr>
      <w:r>
        <w:rPr>
          <w:rFonts w:ascii="Times New Roman" w:hAnsi="Times New Roman"/>
          <w:i/>
          <w:sz w:val="20"/>
          <w:bdr w:val="single" w:sz="8" w:space="1" w:color="000000"/>
        </w:rPr>
        <w:t xml:space="preserve">Risks Related to Our Business and Structure </w:t>
      </w:r>
    </w:p>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are dependent upon management personnel of the Adviser, Sixth Street and their affiliates for our future success.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are subject to significant regulations governing our operation as a BDC, which affect our ability to, and the way in which we, raise additional capital. Changes in regulation could adversely affect our business.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borrow money, which magnifies the potential for gain or loss and increases the risk of investing in us.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operate in a highly competitive market for investment opportunities.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we are unable to source investments, access financing or manage future growth effectively, we may be unable to achieve our investment objective.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Even in the event the value of your investment declines, the Management Fee and, in certain circumstances, the Incentive Fee will still be payable to the Adviser.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 the extent that we do not realize income or choose not to retain after-tax realized net capital gains, we will have a greater need for additional capital to fund our investments and operating expenses.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will be subject to corporate-level U.S. federal income tax if we are unable to maintain our qualification as a RIC under Subchapter M of the Code, including as a result of our failure to satisfy the RIC distribution requirements.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can be expected to retain some income and capital gains in excess of what is permissible for excise tax purposes and such amounts will be subject to 4% U.S. federal excise tax.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Adviser and its affiliates, officers and employees may face certain conflicts of interest.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Adviser can resign on 60 days notice. We may not be able to find a suitable replacement within that time, resulting in a disruption in our operations and a loss of the benefits from our relationship with Sixth Street. Any new investment advisory agreement would require stockholder approval.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Advisers liability is limited under the Investment Advisory Agreement, and we are required to indemnify the Adviser against certain liabilities, which may lead the Adviser to act in a riskier manner on our behalf than it would when acting for its own account.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failure to maintain our status as a BDC would reduce our operating flexibility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incur significant costs as a result of being a publicly traded company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Provisions of the General Corporation Law of the State of Delaware and our certificate of incorporation and bylaws could deter takeover attempts and have an adverse effect on the price of our common stock.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Certain investors are limited in their ability to make significant investments in us.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Cybersecurity risks and cyber incidents may adversely affect our business or those of our portfolio companies.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Board may change our investment objective, operating policies and strategies without prior notice or stockholder approval.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interest rates of our debt investments to our portfolio companies and our indebtedness that extend beyond 2023 might be subject to change based on recent regulatory changes. </w:t>
            </w:r>
          </w:p>
        </w:tc>
      </w:tr>
    </w:tbl>
    <w:p>
      <w:pPr>
        <w:pStyle w:val="TextBody"/>
        <w:spacing w:before="360" w:after="0"/>
        <w:rPr>
          <w:rFonts w:ascii="Times New Roman" w:hAnsi="Times New Roman"/>
          <w:i/>
          <w:sz w:val="20"/>
          <w:bdr w:val="single" w:sz="8" w:space="1" w:color="000000"/>
        </w:rPr>
      </w:pPr>
      <w:r>
        <w:rPr>
          <w:rFonts w:ascii="Times New Roman" w:hAnsi="Times New Roman"/>
          <w:i/>
          <w:sz w:val="20"/>
          <w:bdr w:val="single" w:sz="8" w:space="1" w:color="000000"/>
        </w:rPr>
        <w:t xml:space="preserve">Risks Related to Economic Conditions </w:t>
      </w:r>
    </w:p>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COVID-19 pandemic has materially and adversely affected, and is likely to continue to materially and adversely affect, our portfolio companies and the results of our operations, including our financial results.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current state of the economy and financial markets increases the likelihood of adverse effects on our financial position and results of operations.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Uncertainty about financial stability could have a significant adverse effect on our business, results of operations and financial condition.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Economic recessions or downturns could impair our portfolio companies and harm our operating results. </w:t>
            </w:r>
          </w:p>
        </w:tc>
      </w:tr>
    </w:tbl>
    <w:p>
      <w:pPr>
        <w:pStyle w:val="TextBody"/>
        <w:spacing w:before="360" w:after="0"/>
        <w:rPr>
          <w:rFonts w:ascii="Times New Roman" w:hAnsi="Times New Roman"/>
          <w:i/>
          <w:sz w:val="20"/>
          <w:bdr w:val="single" w:sz="8" w:space="1" w:color="000000"/>
        </w:rPr>
      </w:pPr>
      <w:r>
        <w:rPr>
          <w:rFonts w:ascii="Times New Roman" w:hAnsi="Times New Roman"/>
          <w:i/>
          <w:sz w:val="20"/>
          <w:bdr w:val="single" w:sz="8" w:space="1" w:color="000000"/>
        </w:rPr>
        <w:t xml:space="preserve">Risks Related to Our Portfolio Company Investments </w:t>
      </w:r>
    </w:p>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investments are very risky and highly speculative.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value of most of our portfolio securities will not have a readily available market price and we value these securities at fair value as determined in good faith by our Board, which valuation is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1"/>
        <w:gridCol w:w="9294"/>
      </w:tblGrid>
      <w:tr>
        <w:trPr/>
        <w:tc>
          <w:tcPr>
            <w:tcW w:w="911" w:type="dxa"/>
            <w:tcBorders/>
            <w:shd w:fill="auto" w:val="clear"/>
            <w:vAlign w:val="center"/>
          </w:tcPr>
          <w:p>
            <w:pPr>
              <w:pStyle w:val="TableContents"/>
              <w:spacing w:before="0" w:after="283"/>
              <w:rPr/>
            </w:pPr>
            <w:r>
              <w:rPr/>
              <w:t> </w:t>
            </w:r>
          </w:p>
        </w:tc>
        <w:tc>
          <w:tcPr>
            <w:tcW w:w="9294"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inherently subjective, may not reflect what we may actually realize for the sale of the investment and could result in a conflict of interest with the Adviser.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lack of liquidity in our investments may adversely affect our business.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portfolio may be focused on a limited number of portfolio companies or industries, which will subject us to a risk of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significant loss if any of these companies defaults on its obligations under any of its debt instruments or if there is a downturn in a particular industry.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may securitize certain of our investments, which may subject us to certain structured financing risks.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Because we generally do not hold controlling interests in our portfolio companies, we may not be in a position to exercise control over those portfolio companies or prevent decisions by management of those portfolio companies that could decrease the value of our investments.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are exposed to risks associated with changes in interest rates.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8"/>
        <w:gridCol w:w="306"/>
        <w:gridCol w:w="101"/>
        <w:gridCol w:w="9290"/>
      </w:tblGrid>
      <w:tr>
        <w:trPr/>
        <w:tc>
          <w:tcPr>
            <w:tcW w:w="5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may not be able to realize expected returns on our invested capital.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By originating loans to companies that are experiencing significant financial or business difficulties, we may be exposed to distressed lending risks.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portfolio companies in some cases may incur debt or issue equity securities that rank equally with, or senior to, our investments in those companies.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may be exposed to special risks associated with bankruptcy cases.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failure to make follow-on investments in our portfolio companies could impair the value of our investments.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ability to enter into transactions with our affiliates is restricted.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acquisitions or strategic investments that we pursue are subject to risks and uncertainties.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cannot guarantee that we will be able to obtain various required licenses in U.S. states or in any other jurisdiction where they may be required in the future.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investments in foreign companies may involve significant risks in addition to the risks inherent in U.S. investments.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expose ourselves to risks when we engage in hedging transactions.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new market structure applicable to derivatives imposed by the Dodd-Frank Act may affect our ability to use over-the-counter (OTC) derivatives for hedging purposes.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we cease to be eligible for an exemption from regulation as a commodity pool operator, our compliance expenses could increase substantially.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portfolio investments may present special tax issues.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we are not treated as a publicly offered regulated investment company, certain U.S. stockholders will be treated as having received a dividend from us in the amount of such U.S. stockholders allocable share of the Management and Incentive Fees paid to our investment adviser and certain of our other expenses, and these fees and expenses will be treated as miscellaneous itemized deductions of such U.S. stockholders.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There are certain risks associated with holding debt obligations that have original issue discount or payment-in-kind interest.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rPr>
          <w:rFonts w:ascii="Times New Roman" w:hAnsi="Times New Roman"/>
          <w:i/>
          <w:sz w:val="20"/>
          <w:bdr w:val="single" w:sz="8" w:space="1" w:color="000000"/>
        </w:rPr>
      </w:pPr>
      <w:r>
        <w:rPr>
          <w:rFonts w:ascii="Times New Roman" w:hAnsi="Times New Roman"/>
          <w:i/>
          <w:sz w:val="20"/>
          <w:bdr w:val="single" w:sz="8" w:space="1" w:color="000000"/>
        </w:rPr>
        <w:t xml:space="preserve">Risks Related to Our Securities </w:t>
      </w:r>
    </w:p>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There is a risk that investors in our common stock may not receive dividends or that our dividends may not grow over time.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Investing in our securities may involve a high degree of risk.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market price of our common stock may fluctuate significantly and could decline.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stockholders will experience dilution in their ownership percentage if they opt out of our dividend reinvestment plan.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Purchases of our common stock by us under the Company 10b5-1 Plan may result in dilution to our net asset value per share and the price of our common stock being higher than the price that otherwise might exist in the open market. </w:t>
            </w:r>
          </w:p>
        </w:tc>
      </w:tr>
    </w:tbl>
    <w:p>
      <w:pPr>
        <w:pStyle w:val="TextBody"/>
        <w:spacing w:before="360" w:after="0"/>
        <w:rPr>
          <w:rFonts w:ascii="Times New Roman" w:hAnsi="Times New Roman"/>
          <w:i/>
          <w:sz w:val="20"/>
          <w:bdr w:val="single" w:sz="8" w:space="1" w:color="000000"/>
        </w:rPr>
      </w:pPr>
      <w:r>
        <w:rPr>
          <w:rFonts w:ascii="Times New Roman" w:hAnsi="Times New Roman"/>
          <w:i/>
          <w:sz w:val="20"/>
          <w:bdr w:val="single" w:sz="8" w:space="1" w:color="000000"/>
        </w:rPr>
        <w:t xml:space="preserve">General Risk Factors </w:t>
      </w:r>
    </w:p>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are highly dependent on information systems and systems failures could significantly disrupt our business, which may, in turn, negatively affect the market price of our common stock and our ability to pay dividend.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laws or regulations governing our operations may adversely affect our business.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effect of global climate change may impact the operations of our portfolio companies. </w:t>
            </w:r>
          </w:p>
        </w:tc>
      </w:tr>
    </w:tbl>
    <w:p>
      <w:pPr>
        <w:pStyle w:val="TextBody"/>
        <w:spacing w:before="360" w:after="0"/>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spacing w:before="120" w:after="0"/>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offices are located at 2100 McKinney Avenue, Suite 1500, Dallas, TX 75201 and our telephone number is (469) 621-3001. Our corporate website is located at https://sixthstreetspecialtylending.com. Information on our website is not incorporated into or a part of this prospectus.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bookmarkStart w:id="15" w:name="rom451583_3"/>
      <w:bookmarkEnd w:id="15"/>
      <w:r>
        <w:rPr>
          <w:rFonts w:ascii="Times New Roman" w:hAnsi="Times New Roman"/>
          <w:b/>
          <w:sz w:val="20"/>
          <w:bdr w:val="single" w:sz="8" w:space="1" w:color="000000"/>
        </w:rPr>
        <w:t xml:space="preserve">THE OFFERING </w:t>
      </w:r>
    </w:p>
    <w:p>
      <w:pPr>
        <w:pStyle w:val="TextBody"/>
        <w:spacing w:before="240" w:after="0"/>
        <w:rPr>
          <w:rFonts w:ascii="Times New Roman" w:hAnsi="Times New Roman"/>
          <w:sz w:val="20"/>
          <w:bdr w:val="single" w:sz="8" w:space="1" w:color="000000"/>
        </w:rPr>
      </w:pPr>
      <w:r>
        <w:rPr>
          <w:rFonts w:ascii="Times New Roman" w:hAnsi="Times New Roman"/>
          <w:sz w:val="20"/>
          <w:bdr w:val="single" w:sz="8" w:space="1" w:color="000000"/>
        </w:rPr>
        <w:t xml:space="preserve">We may offer, from time to time, in one or more offerings or series, our common stock, preferred stock, debt securities, subscription rights to purchase shares of our common stock, or warrants representing rights to purchase shares of our common stock, preferred stock or debt securities, on terms to be determined at the time of the offering. We will offer our securities at prices and on terms to be set forth in one or more supplements to this prospectus. The offering price per share of our common stock, less any underwriting commissions or discounts, generally will not be less than the net asset value per share of our common stock at the time of an offering. However, we may issue shares of our common stock pursuant to this prospectus at a price per share that is less than our net asset value per share (a) in connection with a rights offering to our existing stockholders, (b) with the prior approval of the majority of our outstanding voting securities or (c) under such other circumstances as the SEC may permit. Any such issuance of shares of our common stock at a price per share below the net asset value per share of our common stock may be dilutive to the net asset value of our common stock. See Risk FactorsRisks Related to Offerings Pursuant to This Prospectus. </w:t>
      </w:r>
    </w:p>
    <w:p>
      <w:pPr>
        <w:pStyle w:val="TextBody"/>
        <w:spacing w:before="240" w:after="0"/>
        <w:rPr>
          <w:rFonts w:ascii="Times New Roman" w:hAnsi="Times New Roman"/>
          <w:sz w:val="20"/>
          <w:bdr w:val="single" w:sz="8" w:space="1" w:color="000000"/>
        </w:rPr>
      </w:pPr>
      <w:r>
        <w:rPr>
          <w:rFonts w:ascii="Times New Roman" w:hAnsi="Times New Roman"/>
          <w:sz w:val="20"/>
          <w:bdr w:val="single" w:sz="8" w:space="1" w:color="000000"/>
        </w:rPr>
        <w:t xml:space="preserve">Pursuant to approval granted at a special meeting of stockholders held on May 26, 2022, we are currently permitted to sell or otherwise issue shares of our common stock at a price below our then-current net asset value per share, subject to the approval of our Board and certain other conditions. Such stockholder approval expires on May 26, 2023. We intend to propose the extension of this approval in future years. </w:t>
      </w:r>
    </w:p>
    <w:p>
      <w:pPr>
        <w:pStyle w:val="TextBody"/>
        <w:spacing w:before="240" w:after="0"/>
        <w:rPr>
          <w:rFonts w:ascii="Times New Roman" w:hAnsi="Times New Roman"/>
          <w:sz w:val="20"/>
          <w:bdr w:val="single" w:sz="8" w:space="1" w:color="000000"/>
        </w:rPr>
      </w:pPr>
      <w:r>
        <w:rPr>
          <w:rFonts w:ascii="Times New Roman" w:hAnsi="Times New Roman"/>
          <w:sz w:val="20"/>
          <w:bdr w:val="single" w:sz="8" w:space="1" w:color="000000"/>
        </w:rPr>
        <w:t xml:space="preserve">We may offer our securities directly to one or more purchasers, including existing stockholders in a rights offering by us, through agents that we designate from time to time or to or through underwriters or dealers. The prospectus supplement relating to each offering will identify any agents or underwriters involved in the sale of our securities, and will set forth any applicable purchase price, fee, commission or discount arrangement between us and the agents or underwriters or among the underwriters or the basis upon which such amount may be calculated. See Plan of Distribution. We may not sell any of the securities pursuant to this registration statement through agents, underwriters or dealers without delivery of this prospectus and a prospectus supplement describing the method and terms of the offering of our securities. </w:t>
      </w:r>
    </w:p>
    <w:p>
      <w:pPr>
        <w:pStyle w:val="TextBody"/>
        <w:spacing w:before="240" w:after="0"/>
        <w:rPr>
          <w:rFonts w:ascii="Times New Roman" w:hAnsi="Times New Roman"/>
          <w:sz w:val="20"/>
          <w:bdr w:val="single" w:sz="8" w:space="1" w:color="000000"/>
        </w:rPr>
      </w:pPr>
      <w:r>
        <w:rPr>
          <w:rFonts w:ascii="Times New Roman" w:hAnsi="Times New Roman"/>
          <w:sz w:val="20"/>
          <w:bdr w:val="single" w:sz="8" w:space="1" w:color="000000"/>
        </w:rPr>
        <w:t xml:space="preserve">Set forth below is additional information regarding offerings of our securities: </w:t>
      </w:r>
    </w:p>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9"/>
        <w:gridCol w:w="6326"/>
      </w:tblGrid>
      <w:tr>
        <w:trPr/>
        <w:tc>
          <w:tcPr>
            <w:tcW w:w="3879" w:type="dxa"/>
            <w:tcBorders/>
            <w:shd w:fill="auto" w:val="clear"/>
          </w:tcPr>
          <w:p>
            <w:pPr>
              <w:pStyle w:val="TableContents"/>
              <w:spacing w:before="0" w:after="20"/>
              <w:rPr>
                <w:rFonts w:ascii="Times New Roman" w:hAnsi="Times New Roman"/>
                <w:b/>
                <w:sz w:val="20"/>
              </w:rPr>
            </w:pPr>
            <w:r>
              <w:rPr>
                <w:rFonts w:ascii="Times New Roman" w:hAnsi="Times New Roman"/>
                <w:b/>
                <w:sz w:val="20"/>
              </w:rPr>
              <w:t xml:space="preserve">Use of Proceeds </w:t>
            </w:r>
          </w:p>
        </w:tc>
        <w:tc>
          <w:tcPr>
            <w:tcW w:w="6326" w:type="dxa"/>
            <w:tcBorders/>
            <w:shd w:fill="auto" w:val="clear"/>
          </w:tcPr>
          <w:p>
            <w:pPr>
              <w:pStyle w:val="TableContents"/>
              <w:spacing w:before="0" w:after="283"/>
              <w:rPr/>
            </w:pPr>
            <w:r>
              <w:rPr/>
              <w:t xml:space="preserve">Unless otherwise specified in a prospectus supplement, we intend to use the net proceeds from the sale of our securities for general corporate purposes, which may include, among other things, investing in portfolio companies in accordance with our investment objective and repaying indebtedness (which will be subject to reborrowing).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vAlign w:val="center"/>
          </w:tcPr>
          <w:p>
            <w:pPr>
              <w:pStyle w:val="TableContents"/>
              <w:spacing w:before="0" w:after="283"/>
              <w:rPr/>
            </w:pPr>
            <w:r>
              <w:rPr/>
              <w:t> </w:t>
            </w:r>
          </w:p>
        </w:tc>
        <w:tc>
          <w:tcPr>
            <w:tcW w:w="6327" w:type="dxa"/>
            <w:tcBorders/>
            <w:shd w:fill="auto" w:val="clear"/>
          </w:tcPr>
          <w:p>
            <w:pPr>
              <w:pStyle w:val="TableContents"/>
              <w:spacing w:before="0" w:after="283"/>
              <w:jc w:val="left"/>
              <w:rPr/>
            </w:pPr>
            <w:r>
              <w:rPr/>
              <w:t xml:space="preserve">Each supplement to this prospectus relating to an offering will more fully identify the use of the proceeds from such offering. See Use of Proceeds.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b/>
                <w:sz w:val="20"/>
              </w:rPr>
            </w:pPr>
            <w:r>
              <w:rPr>
                <w:rFonts w:ascii="Times New Roman" w:hAnsi="Times New Roman"/>
                <w:b/>
                <w:sz w:val="20"/>
              </w:rPr>
              <w:t xml:space="preserve">Symbol on the NYSE </w:t>
            </w:r>
          </w:p>
        </w:tc>
        <w:tc>
          <w:tcPr>
            <w:tcW w:w="6329" w:type="dxa"/>
            <w:tcBorders/>
            <w:shd w:fill="auto" w:val="clear"/>
          </w:tcPr>
          <w:p>
            <w:pPr>
              <w:pStyle w:val="TableContents"/>
              <w:spacing w:before="0" w:after="283"/>
              <w:rPr/>
            </w:pPr>
            <w:r>
              <w:rPr/>
              <w:t xml:space="preserve">TSLX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b/>
                <w:sz w:val="20"/>
              </w:rPr>
            </w:pPr>
            <w:r>
              <w:rPr>
                <w:rFonts w:ascii="Times New Roman" w:hAnsi="Times New Roman"/>
                <w:b/>
                <w:sz w:val="20"/>
              </w:rPr>
              <w:t xml:space="preserve">Distributions </w:t>
            </w:r>
          </w:p>
        </w:tc>
        <w:tc>
          <w:tcPr>
            <w:tcW w:w="6329" w:type="dxa"/>
            <w:tcBorders/>
            <w:shd w:fill="auto" w:val="clear"/>
          </w:tcPr>
          <w:p>
            <w:pPr>
              <w:pStyle w:val="TableContents"/>
              <w:spacing w:before="0" w:after="283"/>
              <w:rPr/>
            </w:pPr>
            <w:r>
              <w:rPr/>
              <w:t xml:space="preserve">To the extent we have earnings available for distribution, we expect to continue distributing quarterly dividends to our stockholders. The specific tax characteristics of our distributions will be reported to stockholders after the end of the calendar year. Future quarterly dividends, if any, will be determined by our Board. See Price Range of Common Stock and Distributions.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vAlign w:val="center"/>
          </w:tcPr>
          <w:p>
            <w:pPr>
              <w:pStyle w:val="TableContents"/>
              <w:spacing w:before="0" w:after="283"/>
              <w:rPr/>
            </w:pPr>
            <w:r>
              <w:rPr/>
              <w:t> </w:t>
            </w:r>
          </w:p>
        </w:tc>
        <w:tc>
          <w:tcPr>
            <w:tcW w:w="6328" w:type="dxa"/>
            <w:tcBorders/>
            <w:shd w:fill="auto" w:val="clear"/>
          </w:tcPr>
          <w:p>
            <w:pPr>
              <w:pStyle w:val="TableContents"/>
              <w:spacing w:before="0" w:after="283"/>
              <w:jc w:val="left"/>
              <w:rPr/>
            </w:pPr>
            <w:r>
              <w:rPr/>
              <w:t xml:space="preserve">To maintain our tax treatment as a RIC, we must make certain distributions. See Material U.S. Federal Income Tax ConsiderationsRegulated Investment Company Classification.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b/>
                <w:sz w:val="20"/>
              </w:rPr>
            </w:pPr>
            <w:r>
              <w:rPr>
                <w:rFonts w:ascii="Times New Roman" w:hAnsi="Times New Roman"/>
                <w:b/>
                <w:sz w:val="20"/>
              </w:rPr>
              <w:t xml:space="preserve">Anti-Takeover Provisions </w:t>
            </w:r>
          </w:p>
        </w:tc>
        <w:tc>
          <w:tcPr>
            <w:tcW w:w="6328" w:type="dxa"/>
            <w:tcBorders/>
            <w:shd w:fill="auto" w:val="clear"/>
          </w:tcPr>
          <w:p>
            <w:pPr>
              <w:pStyle w:val="TableContents"/>
              <w:spacing w:before="0" w:after="283"/>
              <w:rPr/>
            </w:pPr>
            <w:r>
              <w:rPr/>
              <w:t xml:space="preserve">Our Board is divided into three classes of directors serving staggered three-year terms. This structure is intended to provide us with a greater likelihood of continuity of management, which may be necessary for us to realize the full value of our investments. A staggered board of directors also may serve to deter hostile takeovers or proxy contests, as may certain other measures adopted by us. See Description of Our Capital StockAnti-Takeover Provisions.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b/>
                <w:sz w:val="20"/>
              </w:rPr>
            </w:pPr>
            <w:r>
              <w:rPr>
                <w:rFonts w:ascii="Times New Roman" w:hAnsi="Times New Roman"/>
                <w:b/>
                <w:sz w:val="20"/>
              </w:rPr>
              <w:t xml:space="preserve">Leverage </w:t>
            </w:r>
          </w:p>
        </w:tc>
        <w:tc>
          <w:tcPr>
            <w:tcW w:w="6328" w:type="dxa"/>
            <w:tcBorders/>
            <w:shd w:fill="auto" w:val="clear"/>
          </w:tcPr>
          <w:p>
            <w:pPr>
              <w:pStyle w:val="TableContents"/>
              <w:spacing w:before="0" w:after="283"/>
              <w:rPr/>
            </w:pPr>
            <w:r>
              <w:rPr/>
              <w:t xml:space="preserve">As a BDC, we are permitted under the 1940 Act to borrow funds or issue senior securities to finance a portion of our investments. As a result, we are exposed to the risks of leverage, which may be considered a speculative investment technique.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vAlign w:val="center"/>
          </w:tcPr>
          <w:p>
            <w:pPr>
              <w:pStyle w:val="TableContents"/>
              <w:spacing w:before="0" w:after="283"/>
              <w:rPr/>
            </w:pPr>
            <w:r>
              <w:rPr/>
              <w:t> </w:t>
            </w:r>
          </w:p>
        </w:tc>
        <w:tc>
          <w:tcPr>
            <w:tcW w:w="6328" w:type="dxa"/>
            <w:tcBorders/>
            <w:shd w:fill="auto" w:val="clear"/>
          </w:tcPr>
          <w:p>
            <w:pPr>
              <w:pStyle w:val="TableContents"/>
              <w:spacing w:before="0" w:after="283"/>
              <w:jc w:val="left"/>
              <w:rPr/>
            </w:pPr>
            <w:r>
              <w:rPr/>
              <w:t xml:space="preserve">Leverage increases the potential for gain and loss on amounts invested and, as a result, increases the risks associated with investing in our securities. The costs associated with our borrowings, including any increase in the fees payable to the Adviser, are borne by our stockholders. Any decision on our part to use borrowings depends upon our assessment of the attractiveness of available investment opportunities in relation to the costs and perceived risks of such leverage. See Regulation as a Business Development Company in Part I, Item 1 of our 2021 Annual Report.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b/>
                <w:sz w:val="20"/>
              </w:rPr>
            </w:pPr>
            <w:r>
              <w:rPr>
                <w:rFonts w:ascii="Times New Roman" w:hAnsi="Times New Roman"/>
                <w:b/>
                <w:sz w:val="20"/>
              </w:rPr>
              <w:t xml:space="preserve">Dividend Reinvestment Plan </w:t>
            </w:r>
          </w:p>
        </w:tc>
        <w:tc>
          <w:tcPr>
            <w:tcW w:w="6328" w:type="dxa"/>
            <w:tcBorders/>
            <w:shd w:fill="auto" w:val="clear"/>
          </w:tcPr>
          <w:p>
            <w:pPr>
              <w:pStyle w:val="TableContents"/>
              <w:spacing w:before="0" w:after="283"/>
              <w:rPr/>
            </w:pPr>
            <w:r>
              <w:rPr/>
              <w:t xml:space="preserve">We have adopted a dividend reinvestment plan for our stockholders, which is an opt out dividend reinvestment plan. Under this plan, if we declare a cash dividend or other distribution, our stockholders who have not elected to opt out of our dividend reinvestment plan will have their cash distribution automatically reinvested in additional shares of our common stock, rather than receiving the cash distribution. If a stockholder elects to opt out, that stockholder will receive cash dividends or other distributions.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b/>
                <w:sz w:val="20"/>
              </w:rPr>
            </w:pPr>
            <w:r>
              <w:rPr>
                <w:rFonts w:ascii="Times New Roman" w:hAnsi="Times New Roman"/>
                <w:b/>
                <w:sz w:val="20"/>
              </w:rPr>
              <w:t xml:space="preserve">Taxation </w:t>
            </w:r>
          </w:p>
        </w:tc>
        <w:tc>
          <w:tcPr>
            <w:tcW w:w="6329" w:type="dxa"/>
            <w:tcBorders/>
            <w:shd w:fill="auto" w:val="clear"/>
          </w:tcPr>
          <w:p>
            <w:pPr>
              <w:pStyle w:val="TableContents"/>
              <w:spacing w:before="0" w:after="283"/>
              <w:rPr/>
            </w:pPr>
            <w:r>
              <w:rPr/>
              <w:t xml:space="preserve">We have elected to be treated as a RIC for U.S. federal income tax purposes. Our status as a RIC will enable us to deduct qualifying distributions to our stockholders, so that we will be subject to corporate-level U.S. federal income taxation only in respect of earnings that we retain and do not distribute.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vAlign w:val="center"/>
          </w:tcPr>
          <w:p>
            <w:pPr>
              <w:pStyle w:val="TableContents"/>
              <w:spacing w:before="0" w:after="283"/>
              <w:rPr/>
            </w:pPr>
            <w:r>
              <w:rPr/>
              <w:t> </w:t>
            </w:r>
          </w:p>
        </w:tc>
        <w:tc>
          <w:tcPr>
            <w:tcW w:w="6329" w:type="dxa"/>
            <w:tcBorders/>
            <w:shd w:fill="auto" w:val="clear"/>
          </w:tcPr>
          <w:p>
            <w:pPr>
              <w:pStyle w:val="TableContents"/>
              <w:spacing w:before="0" w:after="283"/>
              <w:jc w:val="left"/>
              <w:rPr/>
            </w:pPr>
            <w:r>
              <w:rPr/>
              <w:t xml:space="preserve">To maintain our status as a RIC and to avoid being subject to corporate-level U.S. federal income taxation on our earnings, we must, among other things: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184"/>
        <w:gridCol w:w="306"/>
        <w:gridCol w:w="101"/>
        <w:gridCol w:w="5614"/>
      </w:tblGrid>
      <w:tr>
        <w:trPr/>
        <w:tc>
          <w:tcPr>
            <w:tcW w:w="4184"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561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maintain our election under the 1940 Act to be treated as a BDC;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184"/>
        <w:gridCol w:w="306"/>
        <w:gridCol w:w="101"/>
        <w:gridCol w:w="5614"/>
      </w:tblGrid>
      <w:tr>
        <w:trPr/>
        <w:tc>
          <w:tcPr>
            <w:tcW w:w="4184"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561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derive in each taxable year at least 90% of our gross income from dividends, interest, gains from the sale or other disposition of stock or securities and other specified categories of investment income; and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184"/>
        <w:gridCol w:w="305"/>
        <w:gridCol w:w="102"/>
        <w:gridCol w:w="5614"/>
      </w:tblGrid>
      <w:tr>
        <w:trPr/>
        <w:tc>
          <w:tcPr>
            <w:tcW w:w="4184"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561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maintain diversified holdings.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vAlign w:val="center"/>
          </w:tcPr>
          <w:p>
            <w:pPr>
              <w:pStyle w:val="TableContents"/>
              <w:spacing w:before="0" w:after="283"/>
              <w:rPr/>
            </w:pPr>
            <w:r>
              <w:rPr/>
              <w:t> </w:t>
            </w:r>
          </w:p>
        </w:tc>
        <w:tc>
          <w:tcPr>
            <w:tcW w:w="6329" w:type="dxa"/>
            <w:tcBorders/>
            <w:shd w:fill="auto" w:val="clear"/>
          </w:tcPr>
          <w:p>
            <w:pPr>
              <w:pStyle w:val="TableContents"/>
              <w:spacing w:before="0" w:after="283"/>
              <w:jc w:val="left"/>
              <w:rPr/>
            </w:pPr>
            <w:r>
              <w:rPr/>
              <w:t xml:space="preserve">In addition, we must distribute (or be treated as distributing) in each taxable year dividends for tax purposes equal to at least 90% of our investment company taxable income and net tax-exempt income for that taxable year.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vAlign w:val="center"/>
          </w:tcPr>
          <w:p>
            <w:pPr>
              <w:pStyle w:val="TableContents"/>
              <w:spacing w:before="0" w:after="283"/>
              <w:rPr/>
            </w:pPr>
            <w:r>
              <w:rPr/>
              <w:t> </w:t>
            </w:r>
          </w:p>
        </w:tc>
        <w:tc>
          <w:tcPr>
            <w:tcW w:w="6328" w:type="dxa"/>
            <w:tcBorders/>
            <w:shd w:fill="auto" w:val="clear"/>
          </w:tcPr>
          <w:p>
            <w:pPr>
              <w:pStyle w:val="TableContents"/>
              <w:spacing w:before="0" w:after="283"/>
              <w:jc w:val="left"/>
              <w:rPr/>
            </w:pPr>
            <w:r>
              <w:rPr/>
              <w:t xml:space="preserve">As a RIC, we generally will not be subject to corporate-level U.S. federal income tax on our investment company taxable income and net capital gains that we distribute to stockholders. If we fail to distribute our investment company taxable income or net capital gains on a timely basis, we will be subject to a nondeductible 4% U.S. federal excise tax. We can be expected to carry forward investment company taxable income in excess of current year distributions into the next tax year and pay a 4% excise tax on such income. We elected to retain a portion of income and capital gains for the nine months ended September 30, 2022. For the three and nine months ended September 30, 2022 we recorded a net expense of $0.4 million and $1.5 million, respectively, for U.S. federal excise tax and other taxes. For the three and nine months ended September 30, 2021, the Company recorded a net expense of $0.1 million and $0.7 million, respectively, for U.S. federal excise tax and other taxes and for the calendar years ended December 31, 2021 and 2020 and we recorded a net expense of, $0.4 million and $5.8 million, respectively, for U.S. federal excise tax as a result. Any carryover of investment company taxable income or net capital gains must be timely declared and distributed as a dividend in the taxable year following the taxable year in which the income or gains were earned. See Price Range of Common Stock and Distributions and Material U.S. Federal Income Tax Considerations.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8"/>
        <w:gridCol w:w="6327"/>
      </w:tblGrid>
      <w:tr>
        <w:trPr/>
        <w:tc>
          <w:tcPr>
            <w:tcW w:w="3878" w:type="dxa"/>
            <w:tcBorders/>
            <w:shd w:fill="auto" w:val="clear"/>
          </w:tcPr>
          <w:p>
            <w:pPr>
              <w:pStyle w:val="TableContents"/>
              <w:spacing w:before="0" w:after="283"/>
              <w:rPr/>
            </w:pPr>
            <w:r>
              <w:rPr/>
              <w:t> </w:t>
            </w:r>
          </w:p>
        </w:tc>
        <w:tc>
          <w:tcPr>
            <w:tcW w:w="6327" w:type="dxa"/>
            <w:tcBorders/>
            <w:shd w:fill="auto" w:val="clear"/>
          </w:tcPr>
          <w:p>
            <w:pPr>
              <w:pStyle w:val="TableContents"/>
              <w:spacing w:before="0" w:after="283"/>
              <w:rPr/>
            </w:pPr>
            <w:r>
              <w:rPr/>
              <w:t xml:space="preserve">Stockholders who receive dividends and other distributions in the form of shares of common stock generally are subject to the same U.S. federal tax consequences as stockholders who elect to receive their distributions in cash; however, since their cash dividends will be reinvested, those stockholders will not receive cash with which to pay any applicable taxes on reinvested dividends. See Dividend Reinvestment Plan.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b/>
                <w:sz w:val="20"/>
              </w:rPr>
            </w:pPr>
            <w:r>
              <w:rPr>
                <w:rFonts w:ascii="Times New Roman" w:hAnsi="Times New Roman"/>
                <w:b/>
                <w:sz w:val="20"/>
              </w:rPr>
              <w:t xml:space="preserve">Management Arrangements </w:t>
            </w:r>
          </w:p>
        </w:tc>
        <w:tc>
          <w:tcPr>
            <w:tcW w:w="6328" w:type="dxa"/>
            <w:tcBorders/>
            <w:shd w:fill="auto" w:val="clear"/>
          </w:tcPr>
          <w:p>
            <w:pPr>
              <w:pStyle w:val="TableContents"/>
              <w:spacing w:before="0" w:after="283"/>
              <w:rPr/>
            </w:pPr>
            <w:r>
              <w:rPr/>
              <w:t xml:space="preserve">Our Adviser serves as our investment adviser and our administrator. For more information regarding our Adviser and Sixth Street and our contractual arrangements with these companies, see Management Agreements in Part I, Item 1 of our 2021 Annual Report and Note 3 to our consolidated financial statements in our 3Q 2022 Quarterly Report.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3877"/>
        <w:gridCol w:w="6328"/>
      </w:tblGrid>
      <w:tr>
        <w:trPr/>
        <w:tc>
          <w:tcPr>
            <w:tcW w:w="3877" w:type="dxa"/>
            <w:tcBorders/>
            <w:shd w:fill="auto" w:val="clear"/>
          </w:tcPr>
          <w:p>
            <w:pPr>
              <w:pStyle w:val="TableContents"/>
              <w:spacing w:before="0" w:after="20"/>
              <w:rPr>
                <w:rFonts w:ascii="Times New Roman" w:hAnsi="Times New Roman"/>
                <w:b/>
                <w:sz w:val="20"/>
              </w:rPr>
            </w:pPr>
            <w:r>
              <w:rPr>
                <w:rFonts w:ascii="Times New Roman" w:hAnsi="Times New Roman"/>
                <w:b/>
                <w:sz w:val="20"/>
              </w:rPr>
              <w:t xml:space="preserve">Trading at a Discount </w:t>
            </w:r>
          </w:p>
        </w:tc>
        <w:tc>
          <w:tcPr>
            <w:tcW w:w="6328" w:type="dxa"/>
            <w:tcBorders/>
            <w:shd w:fill="auto" w:val="clear"/>
          </w:tcPr>
          <w:p>
            <w:pPr>
              <w:pStyle w:val="TableContents"/>
              <w:spacing w:before="0" w:after="283"/>
              <w:rPr/>
            </w:pPr>
            <w:r>
              <w:rPr/>
              <w:t xml:space="preserve">Shares of closed-end investment companies, including BDCs, frequently trade at a discount to their net asset value. We are not generally able to issue and sell our common stock at a price below our net asset value per share except (a) in connection with a rights offering to our existing stockholders, (b) with the prior approval of the majority of our outstanding voting securities or (c) under such other circumstances as the SEC may permit. The risk that our shares may trade at a discount to our net asset value is separate and distinct from the risk that our net asset value per share may decline. We cannot predict whether our shares will trade at a price per share above, at or below net asset value per share. See Risk FactorsRisks Related to Offerings Pursuant to This Prospectus.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b/>
                <w:sz w:val="20"/>
              </w:rPr>
            </w:pPr>
            <w:r>
              <w:rPr>
                <w:rFonts w:ascii="Times New Roman" w:hAnsi="Times New Roman"/>
                <w:b/>
                <w:sz w:val="20"/>
              </w:rPr>
              <w:t xml:space="preserve">Available Information </w:t>
            </w:r>
          </w:p>
        </w:tc>
        <w:tc>
          <w:tcPr>
            <w:tcW w:w="6329" w:type="dxa"/>
            <w:tcBorders/>
            <w:shd w:fill="auto" w:val="clear"/>
          </w:tcPr>
          <w:p>
            <w:pPr>
              <w:pStyle w:val="TableContents"/>
              <w:spacing w:before="0" w:after="283"/>
              <w:rPr/>
            </w:pPr>
            <w:r>
              <w:rPr/>
              <w:t xml:space="preserve">We have filed with the SEC a registration statement on Form N-2, of which this prospectus is a part, under the Securities Act. This registration statement contains additional information about us and the securities being offered by this prospectus. We are also required to file periodic reports, current reports, proxy statements and other information with the SEC. This information is available at the SECs public reference room at 100 F Street, N.E., Washington, D.C. 20549 and on the SECs website at http://www.sec.gov. Information on the operation of the SECs public reference room may be obtained by calling the SEC at 1 (800) SEC-0330.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83"/>
              <w:rPr/>
            </w:pPr>
            <w:r>
              <w:rPr/>
              <w:t> </w:t>
            </w:r>
          </w:p>
        </w:tc>
        <w:tc>
          <w:tcPr>
            <w:tcW w:w="6329" w:type="dxa"/>
            <w:tcBorders/>
            <w:shd w:fill="auto" w:val="clear"/>
          </w:tcPr>
          <w:p>
            <w:pPr>
              <w:pStyle w:val="TableContents"/>
              <w:spacing w:before="0" w:after="283"/>
              <w:rPr/>
            </w:pPr>
            <w:r>
              <w:rPr/>
              <w:t xml:space="preserve">We maintain a website at https://sixthstreetspecialtylending.com and make all of our periodic and current reports, proxy statements and other information available, free of charge, on or through our website. Information on our website is not incorporated into or part of this prospectus. You may also obtain such information free of charge by contacting us in writing at 888 7th Avenue, 41st Floor, New York, NY 10106, Attention: TSLX Investor Relations, or by emailing us at IRTSLX@sixthstreet.com.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3876"/>
        <w:gridCol w:w="6329"/>
      </w:tblGrid>
      <w:tr>
        <w:trPr/>
        <w:tc>
          <w:tcPr>
            <w:tcW w:w="3876" w:type="dxa"/>
            <w:tcBorders/>
            <w:shd w:fill="auto" w:val="clear"/>
          </w:tcPr>
          <w:p>
            <w:pPr>
              <w:pStyle w:val="TableContents"/>
              <w:spacing w:before="0" w:after="20"/>
              <w:rPr>
                <w:rFonts w:ascii="Times New Roman" w:hAnsi="Times New Roman"/>
                <w:b/>
                <w:sz w:val="20"/>
              </w:rPr>
            </w:pPr>
            <w:r>
              <w:rPr>
                <w:rFonts w:ascii="Times New Roman" w:hAnsi="Times New Roman"/>
                <w:b/>
                <w:sz w:val="20"/>
              </w:rPr>
              <w:t xml:space="preserve">Information Incorporated by Reference </w:t>
            </w:r>
          </w:p>
        </w:tc>
        <w:tc>
          <w:tcPr>
            <w:tcW w:w="6329" w:type="dxa"/>
            <w:tcBorders/>
            <w:shd w:fill="auto" w:val="clear"/>
          </w:tcPr>
          <w:p>
            <w:pPr>
              <w:pStyle w:val="TableContents"/>
              <w:spacing w:before="0" w:after="283"/>
              <w:rPr/>
            </w:pPr>
            <w:r>
              <w:rPr/>
              <w:t xml:space="preserve">The rules of the SEC allow us to incorporate by reference information into this prospectus. The information incorporated by reference is considered to be a part of this prospectus, and information that we file later with the SEC will automatically update and supersede this information. See Information Incorporated by Reference for more information.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jc w:val="center"/>
        <w:rPr>
          <w:rFonts w:ascii="Times New Roman" w:hAnsi="Times New Roman"/>
          <w:b/>
          <w:sz w:val="20"/>
          <w:bdr w:val="single" w:sz="8" w:space="1" w:color="000000"/>
        </w:rPr>
      </w:pPr>
      <w:bookmarkStart w:id="16" w:name="rom451583_4"/>
      <w:bookmarkEnd w:id="16"/>
      <w:r>
        <w:rPr>
          <w:rFonts w:ascii="Times New Roman" w:hAnsi="Times New Roman"/>
          <w:b/>
          <w:sz w:val="20"/>
          <w:bdr w:val="single" w:sz="8" w:space="1" w:color="000000"/>
        </w:rPr>
        <w:t xml:space="preserve">FEES AND EXPENSES </w:t>
      </w:r>
    </w:p>
    <w:p>
      <w:pPr>
        <w:pStyle w:val="TextBody"/>
        <w:spacing w:before="240" w:after="0"/>
        <w:rPr>
          <w:rFonts w:ascii="Times New Roman" w:hAnsi="Times New Roman"/>
          <w:sz w:val="20"/>
          <w:bdr w:val="single" w:sz="8" w:space="1" w:color="000000"/>
        </w:rPr>
      </w:pPr>
      <w:r>
        <w:rPr>
          <w:rFonts w:ascii="Times New Roman" w:hAnsi="Times New Roman"/>
          <w:sz w:val="20"/>
          <w:bdr w:val="single" w:sz="8" w:space="1" w:color="000000"/>
        </w:rPr>
        <w:t xml:space="preserve">The following table is intended to assist you in understanding the costs and expenses that an investor in our common stock will bear directly or indirectly in the twelve months after the date of this prospectus, based on the assumptions set forth below. We caution you that some of the percentages indicated in the table below are estimates and may vary. The following table should not be considered a representation of our future expenses, which may be greater or less than shown. Future expenses will depend on many factors, including our use of leverage, which may vary periodically depending on market conditions, our portfolio composition and our Advisers assessment of risks and returns. However, our total borrowings are limited under the 1940 Act so that we may not incur any additional leverage if doing so would cause our asset coverage ratio to fall below 150%, as defined in the 1940 Act. Except where the context suggests otherwise, whenever this prospectus contains a reference to fees or expenses paid by us, the Company or Sixth Street Specialty Lending, Inc. or says that we will pay fees or expenses, stockholders will indirectly bear these fees or expenses as investors in Sixth Street Specialty Lending, Inc. </w:t>
      </w:r>
    </w:p>
    <w:p>
      <w:pPr>
        <w:pStyle w:val="TextBody"/>
        <w:spacing w:before="0" w:after="0"/>
        <w:rPr>
          <w:bdr w:val="single" w:sz="8" w:space="1" w:color="000000"/>
        </w:rPr>
      </w:pPr>
      <w:r>
        <w:rPr>
          <w:bdr w:val="single" w:sz="8" w:space="1" w:color="000000"/>
        </w:rPr>
        <w:t> </w:t>
      </w:r>
    </w:p>
    <w:tbl>
      <w:tblPr>
        <w:tblW w:w="5000" w:type="pct"/>
        <w:jc w:val="center"/>
        <w:tblInd w:w="0" w:type="dxa"/>
        <w:tblCellMar>
          <w:top w:w="0" w:type="dxa"/>
          <w:left w:w="0" w:type="dxa"/>
          <w:bottom w:w="0" w:type="dxa"/>
          <w:right w:w="0" w:type="dxa"/>
        </w:tblCellMar>
      </w:tblPr>
      <w:tblGrid>
        <w:gridCol w:w="8513"/>
        <w:gridCol w:w="646"/>
        <w:gridCol w:w="60"/>
        <w:gridCol w:w="440"/>
        <w:gridCol w:w="546"/>
      </w:tblGrid>
      <w:tr>
        <w:trPr/>
        <w:tc>
          <w:tcPr>
            <w:tcW w:w="8513"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r>
      <w:tr>
        <w:trPr/>
        <w:tc>
          <w:tcPr>
            <w:tcW w:w="8513" w:type="dxa"/>
            <w:tcBorders/>
            <w:shd w:fill="CCEEFF" w:val="clear"/>
          </w:tcPr>
          <w:p>
            <w:pPr>
              <w:pStyle w:val="TableContents"/>
              <w:spacing w:before="0" w:after="0"/>
              <w:rPr>
                <w:rFonts w:ascii="Times New Roman" w:hAnsi="Times New Roman"/>
                <w:b/>
                <w:sz w:val="20"/>
              </w:rPr>
            </w:pPr>
            <w:r>
              <w:rPr>
                <w:rFonts w:ascii="Times New Roman" w:hAnsi="Times New Roman"/>
                <w:b/>
                <w:sz w:val="20"/>
              </w:rPr>
              <w:t>Stockholder transaction expenses (as a percentage of offering price):</w:t>
            </w:r>
          </w:p>
        </w:tc>
        <w:tc>
          <w:tcPr>
            <w:tcW w:w="64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440" w:type="dxa"/>
            <w:tcBorders/>
            <w:shd w:fill="CCEEFF" w:val="clear"/>
            <w:vAlign w:val="bottom"/>
          </w:tcPr>
          <w:p>
            <w:pPr>
              <w:pStyle w:val="TableContents"/>
              <w:spacing w:before="0" w:after="283"/>
              <w:rPr>
                <w:sz w:val="4"/>
                <w:szCs w:val="4"/>
              </w:rPr>
            </w:pPr>
            <w:r>
              <w:rPr>
                <w:sz w:val="4"/>
                <w:szCs w:val="4"/>
              </w:rPr>
            </w:r>
          </w:p>
        </w:tc>
        <w:tc>
          <w:tcPr>
            <w:tcW w:w="546" w:type="dxa"/>
            <w:tcBorders/>
            <w:shd w:fill="CCEEFF" w:val="clear"/>
            <w:vAlign w:val="bottom"/>
          </w:tcPr>
          <w:p>
            <w:pPr>
              <w:pStyle w:val="TableContents"/>
              <w:spacing w:before="0" w:after="283"/>
              <w:rPr>
                <w:sz w:val="4"/>
                <w:szCs w:val="4"/>
              </w:rPr>
            </w:pPr>
            <w:r>
              <w:rPr>
                <w:sz w:val="4"/>
                <w:szCs w:val="4"/>
              </w:rPr>
            </w:r>
          </w:p>
        </w:tc>
      </w:tr>
      <w:tr>
        <w:trPr/>
        <w:tc>
          <w:tcPr>
            <w:tcW w:w="8513" w:type="dxa"/>
            <w:tcBorders/>
            <w:shd w:fill="auto" w:val="clear"/>
          </w:tcPr>
          <w:p>
            <w:pPr>
              <w:pStyle w:val="TableContents"/>
              <w:spacing w:before="0" w:after="0"/>
              <w:rPr>
                <w:rFonts w:ascii="Times New Roman" w:hAnsi="Times New Roman"/>
                <w:sz w:val="20"/>
              </w:rPr>
            </w:pPr>
            <w:r>
              <w:rPr>
                <w:rFonts w:ascii="Times New Roman" w:hAnsi="Times New Roman"/>
                <w:sz w:val="20"/>
              </w:rPr>
              <w:t>Sales load</w:t>
            </w:r>
          </w:p>
        </w:tc>
        <w:tc>
          <w:tcPr>
            <w:tcW w:w="6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pPr>
            <w:r>
              <w:rPr/>
              <w:t>  </w:t>
            </w:r>
          </w:p>
        </w:tc>
        <w:tc>
          <w:tcPr>
            <w:tcW w:w="546" w:type="dxa"/>
            <w:tcBorders/>
            <w:shd w:fill="auto" w:val="clear"/>
            <w:vAlign w:val="bottom"/>
          </w:tcPr>
          <w:p>
            <w:pPr>
              <w:pStyle w:val="TableContents"/>
              <w:spacing w:before="0" w:after="283"/>
              <w:rPr/>
            </w:pPr>
            <w:r>
              <w:rPr/>
              <w:t>(1) </w:t>
            </w:r>
          </w:p>
        </w:tc>
      </w:tr>
      <w:tr>
        <w:trPr/>
        <w:tc>
          <w:tcPr>
            <w:tcW w:w="8513" w:type="dxa"/>
            <w:tcBorders/>
            <w:shd w:fill="CCEEFF" w:val="clear"/>
          </w:tcPr>
          <w:p>
            <w:pPr>
              <w:pStyle w:val="TableContents"/>
              <w:spacing w:before="0" w:after="0"/>
              <w:rPr>
                <w:rFonts w:ascii="Times New Roman" w:hAnsi="Times New Roman"/>
                <w:sz w:val="20"/>
              </w:rPr>
            </w:pPr>
            <w:r>
              <w:rPr>
                <w:rFonts w:ascii="Times New Roman" w:hAnsi="Times New Roman"/>
                <w:sz w:val="20"/>
              </w:rPr>
              <w:t>Offering expenses</w:t>
            </w:r>
          </w:p>
        </w:tc>
        <w:tc>
          <w:tcPr>
            <w:tcW w:w="64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pPr>
            <w:r>
              <w:rPr/>
              <w:t>  </w:t>
            </w:r>
          </w:p>
        </w:tc>
        <w:tc>
          <w:tcPr>
            <w:tcW w:w="546" w:type="dxa"/>
            <w:tcBorders/>
            <w:shd w:fill="CCEEFF" w:val="clear"/>
            <w:vAlign w:val="bottom"/>
          </w:tcPr>
          <w:p>
            <w:pPr>
              <w:pStyle w:val="TableContents"/>
              <w:spacing w:before="0" w:after="283"/>
              <w:rPr/>
            </w:pPr>
            <w:r>
              <w:rPr/>
              <w:t>(2) </w:t>
            </w:r>
          </w:p>
        </w:tc>
      </w:tr>
      <w:tr>
        <w:trPr/>
        <w:tc>
          <w:tcPr>
            <w:tcW w:w="8513" w:type="dxa"/>
            <w:tcBorders/>
            <w:shd w:fill="auto" w:val="clear"/>
          </w:tcPr>
          <w:p>
            <w:pPr>
              <w:pStyle w:val="TableContents"/>
              <w:spacing w:before="0" w:after="0"/>
              <w:rPr>
                <w:rFonts w:ascii="Times New Roman" w:hAnsi="Times New Roman"/>
                <w:sz w:val="20"/>
              </w:rPr>
            </w:pPr>
            <w:r>
              <w:rPr>
                <w:rFonts w:ascii="Times New Roman" w:hAnsi="Times New Roman"/>
                <w:sz w:val="20"/>
              </w:rPr>
              <w:t>Dividend reinvestment plan expenses</w:t>
            </w:r>
          </w:p>
        </w:tc>
        <w:tc>
          <w:tcPr>
            <w:tcW w:w="6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pPr>
            <w:r>
              <w:rPr/>
              <w:t>  </w:t>
            </w:r>
          </w:p>
        </w:tc>
        <w:tc>
          <w:tcPr>
            <w:tcW w:w="546" w:type="dxa"/>
            <w:tcBorders/>
            <w:shd w:fill="auto" w:val="clear"/>
            <w:vAlign w:val="bottom"/>
          </w:tcPr>
          <w:p>
            <w:pPr>
              <w:pStyle w:val="TableContents"/>
              <w:spacing w:before="0" w:after="283"/>
              <w:rPr/>
            </w:pPr>
            <w:r>
              <w:rPr/>
              <w:t>(3) </w:t>
            </w:r>
          </w:p>
        </w:tc>
      </w:tr>
      <w:tr>
        <w:trPr>
          <w:trHeight w:val="120" w:hRule="atLeast"/>
        </w:trPr>
        <w:tc>
          <w:tcPr>
            <w:tcW w:w="8513" w:type="dxa"/>
            <w:tcBorders/>
            <w:shd w:fill="auto" w:val="clear"/>
            <w:vAlign w:val="center"/>
          </w:tcPr>
          <w:p>
            <w:pPr>
              <w:pStyle w:val="TableContents"/>
              <w:spacing w:before="0" w:after="283"/>
              <w:rPr>
                <w:sz w:val="4"/>
                <w:szCs w:val="4"/>
              </w:rPr>
            </w:pPr>
            <w:r>
              <w:rPr>
                <w:sz w:val="4"/>
                <w:szCs w:val="4"/>
              </w:rPr>
            </w:r>
          </w:p>
        </w:tc>
        <w:tc>
          <w:tcPr>
            <w:tcW w:w="1692" w:type="dxa"/>
            <w:gridSpan w:val="4"/>
            <w:tcBorders/>
            <w:shd w:fill="auto" w:val="clear"/>
            <w:vAlign w:val="center"/>
          </w:tcPr>
          <w:p>
            <w:pPr>
              <w:pStyle w:val="TableContents"/>
              <w:spacing w:before="0" w:after="283"/>
              <w:rPr>
                <w:sz w:val="4"/>
                <w:szCs w:val="4"/>
              </w:rPr>
            </w:pPr>
            <w:r>
              <w:rPr>
                <w:sz w:val="4"/>
                <w:szCs w:val="4"/>
              </w:rPr>
            </w:r>
          </w:p>
        </w:tc>
      </w:tr>
      <w:tr>
        <w:trPr/>
        <w:tc>
          <w:tcPr>
            <w:tcW w:w="8513" w:type="dxa"/>
            <w:tcBorders/>
            <w:shd w:fill="CCEEFF" w:val="clear"/>
          </w:tcPr>
          <w:p>
            <w:pPr>
              <w:pStyle w:val="TableContents"/>
              <w:spacing w:before="0" w:after="0"/>
              <w:rPr>
                <w:rFonts w:ascii="Times New Roman" w:hAnsi="Times New Roman"/>
                <w:b/>
                <w:sz w:val="20"/>
              </w:rPr>
            </w:pPr>
            <w:r>
              <w:rPr>
                <w:rFonts w:ascii="Times New Roman" w:hAnsi="Times New Roman"/>
                <w:b/>
                <w:sz w:val="20"/>
              </w:rPr>
              <w:t>Estimated annual expenses (as a percentage of net assets attributable to common stock)(4):</w:t>
            </w:r>
          </w:p>
        </w:tc>
        <w:tc>
          <w:tcPr>
            <w:tcW w:w="64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440" w:type="dxa"/>
            <w:tcBorders/>
            <w:shd w:fill="CCEEFF" w:val="clear"/>
            <w:vAlign w:val="bottom"/>
          </w:tcPr>
          <w:p>
            <w:pPr>
              <w:pStyle w:val="TableContents"/>
              <w:spacing w:before="0" w:after="283"/>
              <w:rPr>
                <w:sz w:val="4"/>
                <w:szCs w:val="4"/>
              </w:rPr>
            </w:pPr>
            <w:r>
              <w:rPr>
                <w:sz w:val="4"/>
                <w:szCs w:val="4"/>
              </w:rPr>
            </w:r>
          </w:p>
        </w:tc>
        <w:tc>
          <w:tcPr>
            <w:tcW w:w="546" w:type="dxa"/>
            <w:tcBorders/>
            <w:shd w:fill="CCEEFF" w:val="clear"/>
            <w:vAlign w:val="bottom"/>
          </w:tcPr>
          <w:p>
            <w:pPr>
              <w:pStyle w:val="TableContents"/>
              <w:spacing w:before="0" w:after="283"/>
              <w:rPr>
                <w:sz w:val="4"/>
                <w:szCs w:val="4"/>
              </w:rPr>
            </w:pPr>
            <w:r>
              <w:rPr>
                <w:sz w:val="4"/>
                <w:szCs w:val="4"/>
              </w:rPr>
            </w:r>
          </w:p>
        </w:tc>
      </w:tr>
      <w:tr>
        <w:trPr/>
        <w:tc>
          <w:tcPr>
            <w:tcW w:w="8513" w:type="dxa"/>
            <w:tcBorders/>
            <w:shd w:fill="auto" w:val="clear"/>
          </w:tcPr>
          <w:p>
            <w:pPr>
              <w:pStyle w:val="TableContents"/>
              <w:spacing w:before="0" w:after="0"/>
              <w:rPr>
                <w:rFonts w:ascii="Times New Roman" w:hAnsi="Times New Roman"/>
                <w:sz w:val="20"/>
              </w:rPr>
            </w:pPr>
            <w:r>
              <w:rPr>
                <w:rFonts w:ascii="Times New Roman" w:hAnsi="Times New Roman"/>
                <w:sz w:val="20"/>
              </w:rPr>
              <w:t>Management Fee payable under the Investment Advisory Agreement</w:t>
            </w:r>
          </w:p>
        </w:tc>
        <w:tc>
          <w:tcPr>
            <w:tcW w:w="6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pPr>
            <w:r>
              <w:rPr/>
              <w:t>2.91</w:t>
            </w:r>
          </w:p>
        </w:tc>
        <w:tc>
          <w:tcPr>
            <w:tcW w:w="546" w:type="dxa"/>
            <w:tcBorders/>
            <w:shd w:fill="auto" w:val="clear"/>
            <w:vAlign w:val="bottom"/>
          </w:tcPr>
          <w:p>
            <w:pPr>
              <w:pStyle w:val="TableContents"/>
              <w:spacing w:before="0" w:after="283"/>
              <w:rPr/>
            </w:pPr>
            <w:r>
              <w:rPr/>
              <w:t>%(5) </w:t>
            </w:r>
          </w:p>
        </w:tc>
      </w:tr>
      <w:tr>
        <w:trPr/>
        <w:tc>
          <w:tcPr>
            <w:tcW w:w="8513" w:type="dxa"/>
            <w:tcBorders/>
            <w:shd w:fill="CCEEFF" w:val="clear"/>
          </w:tcPr>
          <w:p>
            <w:pPr>
              <w:pStyle w:val="TableContents"/>
              <w:spacing w:before="0" w:after="0"/>
              <w:rPr>
                <w:rFonts w:ascii="Times New Roman" w:hAnsi="Times New Roman"/>
                <w:sz w:val="20"/>
              </w:rPr>
            </w:pPr>
            <w:r>
              <w:rPr>
                <w:rFonts w:ascii="Times New Roman" w:hAnsi="Times New Roman"/>
                <w:sz w:val="20"/>
              </w:rPr>
              <w:t>Incentive Fee payable under the Investment Advisory Agreement</w:t>
            </w:r>
          </w:p>
        </w:tc>
        <w:tc>
          <w:tcPr>
            <w:tcW w:w="64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pPr>
            <w:r>
              <w:rPr/>
              <w:t>2.59</w:t>
            </w:r>
          </w:p>
        </w:tc>
        <w:tc>
          <w:tcPr>
            <w:tcW w:w="546" w:type="dxa"/>
            <w:tcBorders/>
            <w:shd w:fill="CCEEFF" w:val="clear"/>
            <w:vAlign w:val="bottom"/>
          </w:tcPr>
          <w:p>
            <w:pPr>
              <w:pStyle w:val="TableContents"/>
              <w:spacing w:before="0" w:after="283"/>
              <w:rPr/>
            </w:pPr>
            <w:r>
              <w:rPr/>
              <w:t>%(6) </w:t>
            </w:r>
          </w:p>
        </w:tc>
      </w:tr>
      <w:tr>
        <w:trPr/>
        <w:tc>
          <w:tcPr>
            <w:tcW w:w="8513" w:type="dxa"/>
            <w:tcBorders/>
            <w:shd w:fill="auto" w:val="clear"/>
          </w:tcPr>
          <w:p>
            <w:pPr>
              <w:pStyle w:val="TableContents"/>
              <w:spacing w:before="0" w:after="0"/>
              <w:rPr>
                <w:rFonts w:ascii="Times New Roman" w:hAnsi="Times New Roman"/>
                <w:sz w:val="20"/>
              </w:rPr>
            </w:pPr>
            <w:r>
              <w:rPr>
                <w:rFonts w:ascii="Times New Roman" w:hAnsi="Times New Roman"/>
                <w:sz w:val="20"/>
              </w:rPr>
              <w:t>Interest payments on borrowed funds</w:t>
            </w:r>
          </w:p>
        </w:tc>
        <w:tc>
          <w:tcPr>
            <w:tcW w:w="6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pPr>
            <w:r>
              <w:rPr/>
              <w:t>2.47</w:t>
            </w:r>
          </w:p>
        </w:tc>
        <w:tc>
          <w:tcPr>
            <w:tcW w:w="546" w:type="dxa"/>
            <w:tcBorders/>
            <w:shd w:fill="auto" w:val="clear"/>
            <w:vAlign w:val="bottom"/>
          </w:tcPr>
          <w:p>
            <w:pPr>
              <w:pStyle w:val="TableContents"/>
              <w:spacing w:before="0" w:after="283"/>
              <w:rPr/>
            </w:pPr>
            <w:r>
              <w:rPr/>
              <w:t>%(7) </w:t>
            </w:r>
          </w:p>
        </w:tc>
      </w:tr>
      <w:tr>
        <w:trPr/>
        <w:tc>
          <w:tcPr>
            <w:tcW w:w="8513" w:type="dxa"/>
            <w:tcBorders/>
            <w:shd w:fill="CCEEFF" w:val="clear"/>
          </w:tcPr>
          <w:p>
            <w:pPr>
              <w:pStyle w:val="TableContents"/>
              <w:spacing w:before="0" w:after="0"/>
              <w:rPr>
                <w:rFonts w:ascii="Times New Roman" w:hAnsi="Times New Roman"/>
                <w:sz w:val="20"/>
              </w:rPr>
            </w:pPr>
            <w:r>
              <w:rPr>
                <w:rFonts w:ascii="Times New Roman" w:hAnsi="Times New Roman"/>
                <w:sz w:val="20"/>
              </w:rPr>
              <w:t>Other expenses</w:t>
            </w:r>
          </w:p>
        </w:tc>
        <w:tc>
          <w:tcPr>
            <w:tcW w:w="64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0" w:type="dxa"/>
            <w:tcBorders/>
            <w:shd w:fill="CCEEFF" w:val="clear"/>
            <w:vAlign w:val="bottom"/>
          </w:tcPr>
          <w:p>
            <w:pPr>
              <w:pStyle w:val="TableContents"/>
              <w:spacing w:before="0" w:after="283"/>
              <w:jc w:val="right"/>
              <w:rPr/>
            </w:pPr>
            <w:r>
              <w:rPr/>
              <w:t>1.06</w:t>
            </w:r>
          </w:p>
        </w:tc>
        <w:tc>
          <w:tcPr>
            <w:tcW w:w="546" w:type="dxa"/>
            <w:tcBorders/>
            <w:shd w:fill="CCEEFF" w:val="clear"/>
            <w:vAlign w:val="bottom"/>
          </w:tcPr>
          <w:p>
            <w:pPr>
              <w:pStyle w:val="TableContents"/>
              <w:spacing w:before="0" w:after="283"/>
              <w:rPr/>
            </w:pPr>
            <w:r>
              <w:rPr/>
              <w:t>%(8) </w:t>
            </w:r>
          </w:p>
        </w:tc>
      </w:tr>
      <w:tr>
        <w:trPr/>
        <w:tc>
          <w:tcPr>
            <w:tcW w:w="8513" w:type="dxa"/>
            <w:tcBorders/>
            <w:shd w:fill="auto" w:val="clear"/>
          </w:tcPr>
          <w:p>
            <w:pPr>
              <w:pStyle w:val="TableContents"/>
              <w:spacing w:before="0" w:after="0"/>
              <w:rPr>
                <w:rFonts w:ascii="Times New Roman" w:hAnsi="Times New Roman"/>
                <w:sz w:val="20"/>
              </w:rPr>
            </w:pPr>
            <w:r>
              <w:rPr>
                <w:rFonts w:ascii="Times New Roman" w:hAnsi="Times New Roman"/>
                <w:sz w:val="20"/>
              </w:rPr>
              <w:t>Total annual expenses</w:t>
            </w:r>
          </w:p>
        </w:tc>
        <w:tc>
          <w:tcPr>
            <w:tcW w:w="64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0" w:type="dxa"/>
            <w:tcBorders/>
            <w:shd w:fill="auto" w:val="clear"/>
            <w:vAlign w:val="bottom"/>
          </w:tcPr>
          <w:p>
            <w:pPr>
              <w:pStyle w:val="TableContents"/>
              <w:spacing w:before="0" w:after="283"/>
              <w:jc w:val="right"/>
              <w:rPr/>
            </w:pPr>
            <w:r>
              <w:rPr/>
              <w:t>9.07</w:t>
            </w:r>
          </w:p>
        </w:tc>
        <w:tc>
          <w:tcPr>
            <w:tcW w:w="546" w:type="dxa"/>
            <w:tcBorders/>
            <w:shd w:fill="auto" w:val="clear"/>
            <w:vAlign w:val="bottom"/>
          </w:tcPr>
          <w:p>
            <w:pPr>
              <w:pStyle w:val="TableContents"/>
              <w:spacing w:before="0" w:after="283"/>
              <w:rPr/>
            </w:pPr>
            <w:r>
              <w:rPr/>
              <w:t>%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the event that the securities to which this prospectus relates are sold to or through underwriters, a corresponding prospectus supplement will disclose the applicable sales load (underwriting discount or commission).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related prospectus supplement will disclose the estimated amount of offering expenses, the offering price and the offering expenses borne by us as a percentage of the offering price.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(3)</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expenses of the dividend reinvestment plan are included in Other expenses in the table above. The plan administrators fees will be paid by us. There are no brokerage charges or other charges to stockholders who participate in the plan, except that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 For additional information, see Dividend Reinvestment Plan.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net assets attributable to common stock used to calculate the percentages in this table reflect our net assets of $1,275.8 million as of December 31, 2021.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Management Fee is 1.5% of the average value of our gross assets (including cash and cash equivalents and assets purchased with borrowed amounts) using the values at the end of the two most recently completed calendar quarters, adjusted for any share issuances or repurchases during the period. We may from time to time decide it is appropriate to change the terms of our Investment Advisory Agreement. Under the 1940 Act, any material change to our Investment Advisory Agreement must be submitted to stockholders for approval. See Management Agreements in Part I, Item 1 of our 2021 Annual Report and in Note 3 to our consolidated financial statements in our 3Q 2022 Quarterly Report. </w:t>
            </w:r>
          </w:p>
        </w:tc>
      </w:tr>
    </w:tbl>
    <w:p>
      <w:pPr>
        <w:pStyle w:val="TextBody"/>
        <w:spacing w:before="120" w:after="0"/>
        <w:rPr>
          <w:rFonts w:ascii="Times New Roman" w:hAnsi="Times New Roman"/>
          <w:sz w:val="20"/>
          <w:bdr w:val="single" w:sz="8" w:space="1" w:color="000000"/>
        </w:rPr>
      </w:pPr>
      <w:r>
        <w:rPr>
          <w:rFonts w:ascii="Times New Roman" w:hAnsi="Times New Roman"/>
          <w:sz w:val="20"/>
          <w:bdr w:val="single" w:sz="8" w:space="1" w:color="000000"/>
        </w:rPr>
        <w:t xml:space="preserve">The Management Fee reflected in the table is calculated by determining the ratio that the Management Fee for the year ended December 31, 2021 bears to our net assets attributable to common stock (rather than our gross assets).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rPr>
          <w:rFonts w:ascii="Times New Roman" w:hAnsi="Times New Roman"/>
          <w:sz w:val="20"/>
          <w:bdr w:val="single" w:sz="8" w:space="1" w:color="000000"/>
        </w:rPr>
      </w:pPr>
      <w:r>
        <w:rPr>
          <w:rFonts w:ascii="Times New Roman" w:hAnsi="Times New Roman"/>
          <w:sz w:val="20"/>
          <w:bdr w:val="single" w:sz="8" w:space="1" w:color="000000"/>
        </w:rPr>
        <w:t xml:space="preserve">From time to time, our Adviser voluntarily has waived certain Management Fees. See Managements Discussion and Analysis of Financial Condition and Results of OperationsResults of OperationsManagement Fees in Part II, Item 7 of our 2021 Annual Report and in Part I, Item 2 of our 3Q 2022 Quarterly Report. The above estimates are based on our actual Management Fees for the year ended December 31, 2021. For the year ended December 31, 2021, Management Fees of $0.2 million were waived consisting solely of Management Fees pursuant to the Leverage Waiver. </w:t>
      </w:r>
    </w:p>
    <w:p>
      <w:pPr>
        <w:pStyle w:val="TextBody"/>
        <w:spacing w:before="120" w:after="0"/>
        <w:rPr>
          <w:rFonts w:ascii="Times New Roman" w:hAnsi="Times New Roman"/>
          <w:sz w:val="20"/>
          <w:bdr w:val="single" w:sz="8" w:space="1" w:color="000000"/>
        </w:rPr>
      </w:pPr>
      <w:r>
        <w:rPr>
          <w:rFonts w:ascii="Times New Roman" w:hAnsi="Times New Roman"/>
          <w:sz w:val="20"/>
          <w:bdr w:val="single" w:sz="8" w:space="1" w:color="000000"/>
        </w:rPr>
        <w:t xml:space="preserve">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For the three and nine months ended September 30, 2022, Management Fees of $0.2 million have been waived pursuant to the Leverage Waiver. We may have capital gains and interest income that could result in the payment of an Incentive Fee to the Adviser in the twelve months after the date of this prospectus. The Incentive Fee payable in the example below is based upon our actual results for the year ended December 31, 2021 and assumes that the Incentive Fee is 17.5% for all relevant periods. However, the Incentive Fee payable to the Adviser is based on our performance and will not be paid unless we achieve certain goals. </w:t>
      </w:r>
    </w:p>
    <w:p>
      <w:pPr>
        <w:pStyle w:val="TextBody"/>
        <w:spacing w:before="120" w:after="0"/>
        <w:rPr>
          <w:rFonts w:ascii="Times New Roman" w:hAnsi="Times New Roman"/>
          <w:sz w:val="20"/>
          <w:bdr w:val="single" w:sz="8" w:space="1" w:color="000000"/>
        </w:rPr>
      </w:pPr>
      <w:r>
        <w:rPr>
          <w:rFonts w:ascii="Times New Roman" w:hAnsi="Times New Roman"/>
          <w:sz w:val="20"/>
          <w:bdr w:val="single" w:sz="8" w:space="1" w:color="000000"/>
        </w:rPr>
        <w:t xml:space="preserve">The Incentive Fee consists of two parts, as follows: </w:t>
      </w:r>
    </w:p>
    <w:p>
      <w:pPr>
        <w:pStyle w:val="TextBody"/>
        <w:spacing w:before="120" w:after="0"/>
        <w:rPr>
          <w:rFonts w:ascii="Times New Roman" w:hAnsi="Times New Roman"/>
          <w:sz w:val="20"/>
          <w:bdr w:val="single" w:sz="8" w:space="1" w:color="000000"/>
        </w:rPr>
      </w:pPr>
      <w:r>
        <w:rPr>
          <w:rFonts w:ascii="Times New Roman" w:hAnsi="Times New Roman"/>
          <w:sz w:val="20"/>
          <w:bdr w:val="single" w:sz="8" w:space="1" w:color="000000"/>
        </w:rPr>
        <w:t xml:space="preserve">(i) 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 </w:t>
      </w:r>
    </w:p>
    <w:p>
      <w:pPr>
        <w:pStyle w:val="TextBody"/>
        <w:spacing w:before="120" w:after="0"/>
        <w:rPr>
          <w:rFonts w:ascii="Times New Roman" w:hAnsi="Times New Roman"/>
          <w:sz w:val="20"/>
          <w:bdr w:val="single" w:sz="8" w:space="1" w:color="000000"/>
        </w:rPr>
      </w:pPr>
      <w:r>
        <w:rPr>
          <w:rFonts w:ascii="Times New Roman" w:hAnsi="Times New Roman"/>
          <w:sz w:val="20"/>
          <w:bdr w:val="single" w:sz="8" w:space="1" w:color="000000"/>
        </w:rPr>
        <w:t xml:space="preserve">Pre-Incentive Fee net investment income means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gains or losses. </w:t>
      </w:r>
    </w:p>
    <w:p>
      <w:pPr>
        <w:pStyle w:val="TextBody"/>
        <w:spacing w:before="120" w:after="0"/>
        <w:rPr>
          <w:rFonts w:ascii="Times New Roman" w:hAnsi="Times New Roman"/>
          <w:sz w:val="20"/>
          <w:bdr w:val="single" w:sz="8" w:space="1" w:color="000000"/>
        </w:rPr>
      </w:pPr>
      <w:r>
        <w:rPr>
          <w:rFonts w:ascii="Times New Roman" w:hAnsi="Times New Roman"/>
          <w:sz w:val="20"/>
          <w:bdr w:val="single" w:sz="8" w:space="1" w:color="000000"/>
        </w:rPr>
        <w:t xml:space="preserve">(ii) 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capital gains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rPr>
          <w:rFonts w:ascii="Times New Roman" w:hAnsi="Times New Roman"/>
          <w:sz w:val="20"/>
          <w:bdr w:val="single" w:sz="8" w:space="1" w:color="000000"/>
        </w:rPr>
      </w:pPr>
      <w:r>
        <w:rPr>
          <w:rFonts w:ascii="Times New Roman" w:hAnsi="Times New Roman"/>
          <w:sz w:val="20"/>
          <w:bdr w:val="single" w:sz="8" w:space="1" w:color="000000"/>
        </w:rPr>
        <w:t xml:space="preserve">that accrued prior to March 31, 2014, is subject to an Incentive Fee rate of 15% and the portion of the Companys realized capital gains that accrued beginning April 1, 2014 is subject to an Incentive Fee rate of 17.5%. As of March 31, 2020, there are no remaining investments that were made prior to April 1, 2014, and as a result, the Incentive Fee rate of 17.5% is applicable to any future realized capital gains.. </w:t>
      </w:r>
    </w:p>
    <w:p>
      <w:pPr>
        <w:pStyle w:val="TextBody"/>
        <w:spacing w:before="120" w:after="0"/>
        <w:rPr>
          <w:rFonts w:ascii="Times New Roman" w:hAnsi="Times New Roman"/>
          <w:sz w:val="20"/>
          <w:bdr w:val="single" w:sz="8" w:space="1" w:color="000000"/>
        </w:rPr>
      </w:pPr>
      <w:r>
        <w:rPr>
          <w:rFonts w:ascii="Times New Roman" w:hAnsi="Times New Roman"/>
          <w:sz w:val="20"/>
          <w:bdr w:val="single" w:sz="8" w:space="1" w:color="000000"/>
        </w:rPr>
        <w:t xml:space="preserve">For purposes of determining whether pre-Incentive Fee net investment income exceeds the hurdle rate, pre-Incentive Fee net investment income is expressed as a rate of return on the value of our net assets at the end of the immediately preceding calendar quarter. </w:t>
      </w:r>
    </w:p>
    <w:p>
      <w:pPr>
        <w:pStyle w:val="TextBody"/>
        <w:spacing w:before="120" w:after="0"/>
        <w:rPr>
          <w:rFonts w:ascii="Times New Roman" w:hAnsi="Times New Roman"/>
          <w:sz w:val="20"/>
          <w:bdr w:val="single" w:sz="8" w:space="1" w:color="000000"/>
        </w:rPr>
      </w:pPr>
      <w:r>
        <w:rPr>
          <w:rFonts w:ascii="Times New Roman" w:hAnsi="Times New Roman"/>
          <w:sz w:val="20"/>
          <w:bdr w:val="single" w:sz="8" w:space="1" w:color="000000"/>
        </w:rPr>
        <w:t xml:space="preserve">Pre-Incentive Fee net investment income does not include any realized capital gains, realized capital losses or unrealized capital gains or losses.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 </w:t>
      </w:r>
    </w:p>
    <w:p>
      <w:pPr>
        <w:pStyle w:val="TextBody"/>
        <w:spacing w:before="120" w:after="0"/>
        <w:rPr>
          <w:rFonts w:ascii="Times New Roman" w:hAnsi="Times New Roman"/>
          <w:sz w:val="20"/>
          <w:bdr w:val="single" w:sz="8" w:space="1" w:color="000000"/>
        </w:rPr>
      </w:pPr>
      <w:r>
        <w:rPr>
          <w:rFonts w:ascii="Times New Roman" w:hAnsi="Times New Roman"/>
          <w:sz w:val="20"/>
          <w:bdr w:val="single" w:sz="8" w:space="1" w:color="000000"/>
        </w:rPr>
        <w:t xml:space="preserve">Section 205(b)(3) of the Advisers Act, as amended, prohibits the Adviser from receiving the payment of fees on unrealized gains until those gains are realized, if ever. There can be no assurance that such unrealized gains will be realized in the future. </w:t>
      </w:r>
    </w:p>
    <w:p>
      <w:pPr>
        <w:pStyle w:val="TextBody"/>
        <w:spacing w:before="120" w:after="0"/>
        <w:rPr>
          <w:rFonts w:ascii="Times New Roman" w:hAnsi="Times New Roman"/>
          <w:sz w:val="20"/>
          <w:bdr w:val="single" w:sz="8" w:space="1" w:color="000000"/>
        </w:rPr>
      </w:pPr>
      <w:r>
        <w:rPr>
          <w:rFonts w:ascii="Times New Roman" w:hAnsi="Times New Roman"/>
          <w:sz w:val="20"/>
          <w:bdr w:val="single" w:sz="8" w:space="1" w:color="000000"/>
        </w:rPr>
        <w:t xml:space="preserve">See Note 3 to our consolidated financial statements in our 2021 Annual Report and our 3Q 2022 Quarterly Report and Management AgreementsInvestment Advisory Agreement; Administration Agreement; License Agreement in Part I, Item 1 of our 2021 Annual Report and Note 3 to our consolidated financial statements in our 3Q 2022 Quarterly Report. </w:t>
      </w:r>
    </w:p>
    <w:p>
      <w:pPr>
        <w:pStyle w:val="TextBody"/>
        <w:spacing w:before="120" w:after="0"/>
        <w:rPr>
          <w:rFonts w:ascii="Times New Roman" w:hAnsi="Times New Roman"/>
          <w:sz w:val="20"/>
          <w:bdr w:val="single" w:sz="8" w:space="1" w:color="000000"/>
        </w:rPr>
      </w:pPr>
      <w:r>
        <w:rPr>
          <w:rFonts w:ascii="Times New Roman" w:hAnsi="Times New Roman"/>
          <w:sz w:val="20"/>
          <w:bdr w:val="single" w:sz="8" w:space="1" w:color="000000"/>
        </w:rPr>
        <w:t xml:space="preserve">From time to time, our Adviser has voluntarily waived certain Incentive Fees. See Managements Discussion and Analysis of Financial Condition and Results of OperationsResults of OperationsIncentive Fees in Part II, Item 7 of our 2021 Annual Report and in Part I, Item 2 of our 3Q 2022 Quarterly Report. The above estimates do not reflect or assume any such waivers. </w:t>
      </w:r>
    </w:p>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(7)</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Interest payments on borrowed funds is based on our interest expense for the year ended December 31, 2021 under our credit facilities excluding fees (such as fees on undrawn amounts and amortization of upfront fees) and including the swap-adjusted interest expense related to our 2022 Convertible Notes,2023 Notes, 2024 Notes and 2026 Notes. This item is based on the assumption that our borrowings and interest costs after an offering will remain similar to those prior to such offering. We may borrow additional funds from time to time to make investments to the extent we determine that the economic situation is conducive to doing so. On October 8, 2018, our stockholders approved the application of the minimum asset coverage ratio of 150% to us, as set forth in Section 61(a)(2) of the 1940 Act, as amended by the SBCAA. </w:t>
            </w:r>
          </w:p>
        </w:tc>
      </w:tr>
    </w:tbl>
    <w:p>
      <w:pPr>
        <w:pStyle w:val="TextBody"/>
        <w:spacing w:before="0" w:after="0"/>
        <w:rPr>
          <w:bdr w:val="single" w:sz="8" w:space="1" w:color="000000"/>
        </w:rPr>
      </w:pPr>
      <w:r>
        <w:rPr>
          <w:bdr w:val="single" w:sz="8" w:space="1" w:color="000000"/>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(8)</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Includes our overhead expenses, such as payments under the Administration Agreement for certain expenses incurred by the Adviser, and excise taxes. See Management AgreementsInvestment Advisory Agreement; Administration Agreement; License Agreement in Part I, Item 1 of our 2021 Annual Report and Note 3 to our consolidated financial statements in our 3Q 2022 Quarterly Report. The expenses in this table are based on our actual other expenses and excise taxes for the year ended December 31, 2021. </w:t>
            </w:r>
          </w:p>
        </w:tc>
      </w:tr>
    </w:tbl>
    <w:p>
      <w:pPr>
        <w:pStyle w:val="TextBody"/>
        <w:spacing w:before="360" w:after="0"/>
        <w:rPr>
          <w:rFonts w:ascii="Times New Roman" w:hAnsi="Times New Roman"/>
          <w:b/>
          <w:sz w:val="20"/>
          <w:bdr w:val="single" w:sz="8" w:space="1" w:color="000000"/>
        </w:rPr>
      </w:pPr>
      <w:r>
        <w:rPr>
          <w:rFonts w:ascii="Times New Roman" w:hAnsi="Times New Roman"/>
          <w:b/>
          <w:sz w:val="20"/>
          <w:bdr w:val="single" w:sz="8" w:space="1" w:color="000000"/>
        </w:rPr>
        <w:t xml:space="preserve">Example </w:t>
      </w:r>
    </w:p>
    <w:p>
      <w:pPr>
        <w:pStyle w:val="TextBody"/>
        <w:spacing w:before="120" w:after="0"/>
        <w:rPr>
          <w:rFonts w:ascii="Times New Roman" w:hAnsi="Times New Roman"/>
          <w:sz w:val="20"/>
          <w:bdr w:val="single" w:sz="8" w:space="1" w:color="000000"/>
        </w:rPr>
      </w:pPr>
      <w:r>
        <w:rPr>
          <w:rFonts w:ascii="Times New Roman" w:hAnsi="Times New Roman"/>
          <w:sz w:val="20"/>
          <w:bdr w:val="single" w:sz="8" w:space="1" w:color="000000"/>
        </w:rPr>
        <w:t xml:space="preserve">The following example demonstrates the projected dollar amount of total cumulative expenses over various periods with respect to a hypothetical investment in our common stock. In calculating the following expense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ind w:left="0" w:right="0" w:hanging="0"/>
        <w:rPr>
          <w:rFonts w:ascii="Times New Roman" w:hAnsi="Times New Roman"/>
          <w:sz w:val="20"/>
          <w:bdr w:val="single" w:sz="8" w:space="1" w:color="000000"/>
        </w:rPr>
      </w:pPr>
      <w:r>
        <w:rPr>
          <w:rFonts w:ascii="Times New Roman" w:hAnsi="Times New Roman"/>
          <w:sz w:val="20"/>
          <w:bdr w:val="single" w:sz="8" w:space="1" w:color="000000"/>
        </w:rPr>
        <w:t xml:space="preserve">amounts, we have assumed we would have no additional leverage and that our annual operating expenses would remain at the levels set forth in the table above. The Incentive Fee payable in the example below assumes that the Incentive Fee is 17.5% for all relevant periods. Transaction expenses are not included in the following example. In the event that shares to which this prospectus relates are sold to or through underwriters, a corresponding prospectus supplement will restate this example to reflect the applicable sales load and offering expenses. </w:t>
      </w:r>
    </w:p>
    <w:p>
      <w:pPr>
        <w:pStyle w:val="TextBody"/>
        <w:spacing w:before="0" w:after="0"/>
        <w:rPr>
          <w:bdr w:val="single" w:sz="8" w:space="1" w:color="000000"/>
        </w:rPr>
      </w:pPr>
      <w:r>
        <w:rPr>
          <w:bdr w:val="single" w:sz="8" w:space="1" w:color="000000"/>
        </w:rPr>
        <w:t> </w:t>
      </w:r>
    </w:p>
    <w:tbl>
      <w:tblPr>
        <w:tblW w:w="5000" w:type="pct"/>
        <w:jc w:val="center"/>
        <w:tblInd w:w="0" w:type="dxa"/>
        <w:tblCellMar>
          <w:top w:w="0" w:type="dxa"/>
          <w:left w:w="0" w:type="dxa"/>
          <w:bottom w:w="0" w:type="dxa"/>
          <w:right w:w="0" w:type="dxa"/>
        </w:tblCellMar>
      </w:tblPr>
      <w:tblGrid>
        <w:gridCol w:w="5705"/>
        <w:gridCol w:w="295"/>
        <w:gridCol w:w="227"/>
        <w:gridCol w:w="440"/>
        <w:gridCol w:w="60"/>
        <w:gridCol w:w="295"/>
        <w:gridCol w:w="199"/>
        <w:gridCol w:w="545"/>
        <w:gridCol w:w="60"/>
        <w:gridCol w:w="295"/>
        <w:gridCol w:w="199"/>
        <w:gridCol w:w="544"/>
        <w:gridCol w:w="60"/>
        <w:gridCol w:w="295"/>
        <w:gridCol w:w="231"/>
        <w:gridCol w:w="687"/>
        <w:gridCol w:w="68"/>
      </w:tblGrid>
      <w:tr>
        <w:trPr/>
        <w:tc>
          <w:tcPr>
            <w:tcW w:w="5705"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bottom"/>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bottom"/>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bottom"/>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bottom"/>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r>
      <w:tr>
        <w:trPr/>
        <w:tc>
          <w:tcPr>
            <w:tcW w:w="5705"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66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1 year</w:t>
            </w:r>
          </w:p>
        </w:tc>
        <w:tc>
          <w:tcPr>
            <w:tcW w:w="6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74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3 years</w:t>
            </w:r>
          </w:p>
        </w:tc>
        <w:tc>
          <w:tcPr>
            <w:tcW w:w="6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74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5 years</w:t>
            </w:r>
          </w:p>
        </w:tc>
        <w:tc>
          <w:tcPr>
            <w:tcW w:w="6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rPr/>
            </w:pPr>
            <w:r>
              <w:rPr/>
              <w:t>  </w:t>
            </w:r>
          </w:p>
        </w:tc>
        <w:tc>
          <w:tcPr>
            <w:tcW w:w="91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10 years</w:t>
            </w:r>
          </w:p>
        </w:tc>
        <w:tc>
          <w:tcPr>
            <w:tcW w:w="68" w:type="dxa"/>
            <w:tcBorders/>
            <w:shd w:fill="auto" w:val="clear"/>
            <w:vAlign w:val="bottom"/>
          </w:tcPr>
          <w:p>
            <w:pPr>
              <w:pStyle w:val="TableContents"/>
              <w:spacing w:before="0" w:after="283"/>
              <w:rPr/>
            </w:pPr>
            <w:r>
              <w:rPr/>
              <w:t> </w:t>
            </w:r>
          </w:p>
        </w:tc>
      </w:tr>
      <w:tr>
        <w:trPr/>
        <w:tc>
          <w:tcPr>
            <w:tcW w:w="5705" w:type="dxa"/>
            <w:tcBorders/>
            <w:shd w:fill="CCEEFF" w:val="clear"/>
          </w:tcPr>
          <w:p>
            <w:pPr>
              <w:pStyle w:val="TableContents"/>
              <w:spacing w:before="0" w:after="0"/>
              <w:rPr>
                <w:rFonts w:ascii="Times New Roman" w:hAnsi="Times New Roman"/>
                <w:sz w:val="20"/>
              </w:rPr>
            </w:pPr>
            <w:r>
              <w:rPr>
                <w:rFonts w:ascii="Times New Roman" w:hAnsi="Times New Roman"/>
                <w:sz w:val="20"/>
              </w:rPr>
              <w:t>You would pay the following expenses on a $1,000 common stock investment, assuming a 5% annual return from realized capital gains</w:t>
            </w:r>
          </w:p>
        </w:tc>
        <w:tc>
          <w:tcPr>
            <w:tcW w:w="295" w:type="dxa"/>
            <w:tcBorders/>
            <w:shd w:fill="CCEEFF" w:val="clear"/>
            <w:vAlign w:val="bottom"/>
          </w:tcPr>
          <w:p>
            <w:pPr>
              <w:pStyle w:val="TableContents"/>
              <w:spacing w:before="0" w:after="283"/>
              <w:rPr/>
            </w:pPr>
            <w:r>
              <w:rPr/>
              <w:t>  </w:t>
            </w:r>
          </w:p>
        </w:tc>
        <w:tc>
          <w:tcPr>
            <w:tcW w:w="227" w:type="dxa"/>
            <w:tcBorders/>
            <w:shd w:fill="CCEEFF" w:val="clear"/>
            <w:vAlign w:val="bottom"/>
          </w:tcPr>
          <w:p>
            <w:pPr>
              <w:pStyle w:val="TableContents"/>
              <w:spacing w:before="0" w:after="283"/>
              <w:rPr/>
            </w:pPr>
            <w:r>
              <w:rPr/>
              <w:t>$</w:t>
            </w:r>
          </w:p>
        </w:tc>
        <w:tc>
          <w:tcPr>
            <w:tcW w:w="440" w:type="dxa"/>
            <w:tcBorders/>
            <w:shd w:fill="CCEEFF" w:val="clear"/>
            <w:vAlign w:val="bottom"/>
          </w:tcPr>
          <w:p>
            <w:pPr>
              <w:pStyle w:val="TableContents"/>
              <w:spacing w:before="0" w:after="283"/>
              <w:jc w:val="right"/>
              <w:rPr/>
            </w:pPr>
            <w:r>
              <w:rPr/>
              <w:t>88</w:t>
            </w:r>
          </w:p>
        </w:tc>
        <w:tc>
          <w:tcPr>
            <w:tcW w:w="60"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w:t>
            </w:r>
          </w:p>
        </w:tc>
        <w:tc>
          <w:tcPr>
            <w:tcW w:w="545" w:type="dxa"/>
            <w:tcBorders/>
            <w:shd w:fill="CCEEFF" w:val="clear"/>
            <w:vAlign w:val="bottom"/>
          </w:tcPr>
          <w:p>
            <w:pPr>
              <w:pStyle w:val="TableContents"/>
              <w:spacing w:before="0" w:after="283"/>
              <w:jc w:val="right"/>
              <w:rPr/>
            </w:pPr>
            <w:r>
              <w:rPr/>
              <w:t>253</w:t>
            </w:r>
          </w:p>
        </w:tc>
        <w:tc>
          <w:tcPr>
            <w:tcW w:w="60"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199" w:type="dxa"/>
            <w:tcBorders/>
            <w:shd w:fill="CCEEFF" w:val="clear"/>
            <w:vAlign w:val="bottom"/>
          </w:tcPr>
          <w:p>
            <w:pPr>
              <w:pStyle w:val="TableContents"/>
              <w:spacing w:before="0" w:after="283"/>
              <w:rPr/>
            </w:pPr>
            <w:r>
              <w:rPr/>
              <w:t>$</w:t>
            </w:r>
          </w:p>
        </w:tc>
        <w:tc>
          <w:tcPr>
            <w:tcW w:w="544" w:type="dxa"/>
            <w:tcBorders/>
            <w:shd w:fill="CCEEFF" w:val="clear"/>
            <w:vAlign w:val="bottom"/>
          </w:tcPr>
          <w:p>
            <w:pPr>
              <w:pStyle w:val="TableContents"/>
              <w:spacing w:before="0" w:after="283"/>
              <w:jc w:val="right"/>
              <w:rPr/>
            </w:pPr>
            <w:r>
              <w:rPr/>
              <w:t>407</w:t>
            </w:r>
          </w:p>
        </w:tc>
        <w:tc>
          <w:tcPr>
            <w:tcW w:w="60" w:type="dxa"/>
            <w:tcBorders/>
            <w:shd w:fill="CCEEFF" w:val="clear"/>
            <w:vAlign w:val="bottom"/>
          </w:tcPr>
          <w:p>
            <w:pPr>
              <w:pStyle w:val="TableContents"/>
              <w:spacing w:before="0" w:after="283"/>
              <w:rPr/>
            </w:pPr>
            <w:r>
              <w:rPr/>
              <w:t> </w:t>
            </w:r>
          </w:p>
        </w:tc>
        <w:tc>
          <w:tcPr>
            <w:tcW w:w="295" w:type="dxa"/>
            <w:tcBorders/>
            <w:shd w:fill="CCEEFF" w:val="clear"/>
            <w:vAlign w:val="bottom"/>
          </w:tcPr>
          <w:p>
            <w:pPr>
              <w:pStyle w:val="TableContents"/>
              <w:spacing w:before="0" w:after="283"/>
              <w:rPr/>
            </w:pPr>
            <w:r>
              <w:rPr/>
              <w:t>  </w:t>
            </w:r>
          </w:p>
        </w:tc>
        <w:tc>
          <w:tcPr>
            <w:tcW w:w="231" w:type="dxa"/>
            <w:tcBorders/>
            <w:shd w:fill="CCEEFF" w:val="clear"/>
            <w:vAlign w:val="bottom"/>
          </w:tcPr>
          <w:p>
            <w:pPr>
              <w:pStyle w:val="TableContents"/>
              <w:spacing w:before="0" w:after="283"/>
              <w:rPr/>
            </w:pPr>
            <w:r>
              <w:rPr/>
              <w:t>$</w:t>
            </w:r>
          </w:p>
        </w:tc>
        <w:tc>
          <w:tcPr>
            <w:tcW w:w="687" w:type="dxa"/>
            <w:tcBorders/>
            <w:shd w:fill="CCEEFF" w:val="clear"/>
            <w:vAlign w:val="bottom"/>
          </w:tcPr>
          <w:p>
            <w:pPr>
              <w:pStyle w:val="TableContents"/>
              <w:spacing w:before="0" w:after="283"/>
              <w:jc w:val="right"/>
              <w:rPr/>
            </w:pPr>
            <w:r>
              <w:rPr/>
              <w:t>742</w:t>
            </w:r>
          </w:p>
        </w:tc>
        <w:tc>
          <w:tcPr>
            <w:tcW w:w="68" w:type="dxa"/>
            <w:tcBorders/>
            <w:shd w:fill="CCEEFF" w:val="clear"/>
            <w:vAlign w:val="bottom"/>
          </w:tcPr>
          <w:p>
            <w:pPr>
              <w:pStyle w:val="TableContents"/>
              <w:spacing w:before="0" w:after="283"/>
              <w:rPr/>
            </w:pPr>
            <w:r>
              <w:rPr/>
              <w:t> </w:t>
            </w:r>
          </w:p>
        </w:tc>
      </w:tr>
    </w:tbl>
    <w:p>
      <w:pPr>
        <w:pStyle w:val="TextBody"/>
        <w:spacing w:before="240" w:after="0"/>
        <w:rPr>
          <w:rFonts w:ascii="Times New Roman" w:hAnsi="Times New Roman"/>
          <w:sz w:val="20"/>
          <w:bdr w:val="single" w:sz="8" w:space="1" w:color="000000"/>
        </w:rPr>
      </w:pPr>
      <w:r>
        <w:rPr>
          <w:rFonts w:ascii="Times New Roman" w:hAnsi="Times New Roman"/>
          <w:sz w:val="20"/>
          <w:bdr w:val="single" w:sz="8" w:space="1" w:color="000000"/>
        </w:rPr>
        <w:t xml:space="preserve">The foregoing table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Because the income portion of the Incentive Fee under the Investment Advisory Agreement is unlikely to be significant assuming a 5% annual return, the example assumes that the 5% annual return will be generated entirely through the realization of capital gains on our assets and, as a result, will trigger the payment of the capital gains portion of the Incentive Fee under the Investment Advisory Agreement. The income portion of the Incentive Fee under the Investment Advisory Agreement, which, assuming a 5% annual return, would either not be payable or have an immaterial impact on the expense amounts shown above, is not included in the example. If we achieve sufficient returns on our investments, including through the realization of capital gains, to trigger an Incentive Fee of a material amount, our expenses, and returns to our investors, would be higher. In addition, while the example assumes reinvestment of all dividends and distributions at net asset value, under certain circumstances, reinvestment of dividends and other distributions under our dividend reinvestment plan may occur at a price per share that differs from net asset value. See Dividend Reinvestment Plan for additional information regarding our dividend reinvestment plan. </w:t>
      </w:r>
    </w:p>
    <w:p>
      <w:pPr>
        <w:pStyle w:val="TextBody"/>
        <w:spacing w:before="240" w:after="0"/>
        <w:rPr>
          <w:rFonts w:ascii="Times New Roman" w:hAnsi="Times New Roman"/>
          <w:b/>
          <w:sz w:val="20"/>
          <w:bdr w:val="single" w:sz="8" w:space="1" w:color="000000"/>
        </w:rPr>
      </w:pPr>
      <w:r>
        <w:rPr>
          <w:rFonts w:ascii="Times New Roman" w:hAnsi="Times New Roman"/>
          <w:b/>
          <w:sz w:val="20"/>
          <w:bdr w:val="single" w:sz="8" w:space="1" w:color="000000"/>
        </w:rPr>
        <w:t xml:space="preserve">This example and the expenses in the table above should not be considered a representation of our future expenses, and actual expenses (including the cost of debt, if any, and other expenses) may be greater or less than those shown.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7" w:name="rom451583_7"/>
      <w:bookmarkEnd w:id="17"/>
      <w:r>
        <w:rPr>
          <w:rFonts w:ascii="Times New Roman" w:hAnsi="Times New Roman"/>
          <w:b/>
          <w:sz w:val="20"/>
        </w:rPr>
        <w:t xml:space="preserve">RISK FACTORS </w:t>
      </w:r>
    </w:p>
    <w:p>
      <w:pPr>
        <w:pStyle w:val="TextBody"/>
        <w:spacing w:before="240" w:after="0"/>
        <w:rPr>
          <w:rFonts w:ascii="Times New Roman" w:hAnsi="Times New Roman"/>
          <w:sz w:val="20"/>
        </w:rPr>
      </w:pPr>
      <w:r>
        <w:rPr>
          <w:rFonts w:ascii="Times New Roman" w:hAnsi="Times New Roman"/>
          <w:sz w:val="20"/>
        </w:rPr>
        <w:t xml:space="preserve">Investing in our securities involves a number of significant risks. You should carefully consider the risks set out below and described in Part I, Item 1A, Risk Factors, in our 2021 Annual Report and Part I, Item IA, Risk Factors, in our quarterly report on Form 10-Q for the three months ended March 31, 2022 (the 1Q 2022 Quarterly Report), in our quarterly report on Form 10-Q for the three months ended June 30, 2022 (the 2Q 2022 Quarterly Report), and in our quarterly report on Form 10-Q for the three months ended September 30, 2022 (the 3Q 2022 Quarterly Report), which are incorporated by reference in this prospectus, together with the other information set forth in this prospectus or in any prospectus supplement and in the other documents that we include or incorporate by reference into this prospectus before making a decision about investing in our securities. The risks and uncertainties set out below and discussed in our 2021 Annual Report, 1Q 2022 Quarterly Report, 2Q 2022 Quarterly Report, and 3Q 2022 Quarterly Report are not the only ones we face. Additional risks and uncertainties not presently known to us or not presently deemed material by us may also materially and adversely affect our business, financial condition and results of operations. In such case, our net asset value and the trading price of our securities could decline, and you may lose all or part of your investment. </w:t>
      </w:r>
    </w:p>
    <w:p>
      <w:pPr>
        <w:pStyle w:val="TextBody"/>
        <w:spacing w:before="360" w:after="0"/>
        <w:rPr>
          <w:rFonts w:ascii="Times New Roman" w:hAnsi="Times New Roman"/>
          <w:b/>
          <w:sz w:val="20"/>
        </w:rPr>
      </w:pPr>
      <w:r>
        <w:rPr>
          <w:rFonts w:ascii="Times New Roman" w:hAnsi="Times New Roman"/>
          <w:b/>
          <w:sz w:val="20"/>
        </w:rPr>
        <w:t xml:space="preserve">Risks Related to Offerings Pursuant to This Prospectus </w:t>
      </w:r>
    </w:p>
    <w:p>
      <w:pPr>
        <w:pStyle w:val="TextBody"/>
        <w:spacing w:before="120" w:after="0"/>
        <w:rPr>
          <w:rFonts w:ascii="Times New Roman" w:hAnsi="Times New Roman"/>
          <w:b/>
          <w:i/>
          <w:sz w:val="20"/>
        </w:rPr>
      </w:pPr>
      <w:r>
        <w:rPr>
          <w:rFonts w:ascii="Times New Roman" w:hAnsi="Times New Roman"/>
          <w:b/>
          <w:i/>
          <w:sz w:val="20"/>
        </w:rPr>
        <w:t xml:space="preserve">There is a risk that investors in our common stock may not receive dividends or that our dividends may not grow over time. </w:t>
      </w:r>
    </w:p>
    <w:p>
      <w:pPr>
        <w:pStyle w:val="TextBody"/>
        <w:spacing w:before="120" w:after="0"/>
        <w:rPr>
          <w:rFonts w:ascii="Times New Roman" w:hAnsi="Times New Roman"/>
          <w:sz w:val="20"/>
        </w:rPr>
      </w:pPr>
      <w:r>
        <w:rPr>
          <w:rFonts w:ascii="Times New Roman" w:hAnsi="Times New Roman"/>
          <w:sz w:val="20"/>
        </w:rPr>
        <w:t xml:space="preserve">We intend to continue paying dividends on a quarterly basis to our stockholders out of assets legally available for distribution. We cannot assure you that we will achieve investment results or maintain a tax status that will allow or require any specified level of cash dividends or year-to-year increases in cash dividends. Our ability to pay dividends might be adversely affected by the impact of one or more of the risk factors described in this prospectus. Due to the asset coverage test applicable to us under the 1940 Act as a BDC or restrictions under our credit facilities, we may be limited in our ability to pay dividends.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 </w:t>
      </w:r>
    </w:p>
    <w:p>
      <w:pPr>
        <w:pStyle w:val="TextBody"/>
        <w:spacing w:before="240" w:after="0"/>
        <w:rPr>
          <w:rFonts w:ascii="Times New Roman" w:hAnsi="Times New Roman"/>
          <w:sz w:val="20"/>
        </w:rPr>
      </w:pPr>
      <w:r>
        <w:rPr>
          <w:rFonts w:ascii="Times New Roman" w:hAnsi="Times New Roman"/>
          <w:sz w:val="20"/>
        </w:rPr>
        <w:t xml:space="preserve">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Risk FactorsRisks Related to Our Portfolio Company InvestmentsThere are certain risks associated with holding debt obligations that have original issue discount or payment-in-kind interest in Part I, Item 1A of our 2021 Annual Report. </w:t>
      </w:r>
    </w:p>
    <w:p>
      <w:pPr>
        <w:pStyle w:val="TextBody"/>
        <w:spacing w:before="240" w:after="0"/>
        <w:rPr>
          <w:rFonts w:ascii="Times New Roman" w:hAnsi="Times New Roman"/>
          <w:sz w:val="20"/>
        </w:rPr>
      </w:pPr>
      <w:r>
        <w:rPr>
          <w:rFonts w:ascii="Times New Roman" w:hAnsi="Times New Roman"/>
          <w:sz w:val="20"/>
        </w:rPr>
        <w:t xml:space="preserve">Therefore, we may be required to make a distribution to our stockholders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 </w:t>
      </w:r>
    </w:p>
    <w:p>
      <w:pPr>
        <w:pStyle w:val="TextBody"/>
        <w:spacing w:before="240" w:after="0"/>
        <w:rPr>
          <w:rFonts w:ascii="Times New Roman" w:hAnsi="Times New Roman"/>
          <w:sz w:val="20"/>
        </w:rPr>
      </w:pPr>
      <w:r>
        <w:rPr>
          <w:rFonts w:ascii="Times New Roman" w:hAnsi="Times New Roman"/>
          <w:sz w:val="20"/>
        </w:rPr>
        <w:t xml:space="preserve">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 </w:t>
      </w:r>
    </w:p>
    <w:p>
      <w:pPr>
        <w:pStyle w:val="TextBody"/>
        <w:spacing w:before="240" w:after="0"/>
        <w:rPr>
          <w:rFonts w:ascii="Times New Roman" w:hAnsi="Times New Roman"/>
          <w:sz w:val="20"/>
        </w:rPr>
      </w:pPr>
      <w:r>
        <w:rPr>
          <w:rFonts w:ascii="Times New Roman" w:hAnsi="Times New Roman"/>
          <w:sz w:val="20"/>
        </w:rPr>
        <w:t xml:space="preserve">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 </w:t>
      </w:r>
    </w:p>
    <w:p>
      <w:pPr>
        <w:pStyle w:val="TextBody"/>
        <w:spacing w:before="240" w:after="0"/>
        <w:rPr>
          <w:rFonts w:ascii="Times New Roman" w:hAnsi="Times New Roman"/>
          <w:sz w:val="20"/>
        </w:rPr>
      </w:pPr>
      <w:r>
        <w:rPr>
          <w:rFonts w:ascii="Times New Roman" w:hAnsi="Times New Roman"/>
          <w:sz w:val="20"/>
        </w:rPr>
        <w:t xml:space="preserve">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 </w:t>
      </w:r>
    </w:p>
    <w:p>
      <w:pPr>
        <w:pStyle w:val="TextBody"/>
        <w:spacing w:before="360" w:after="0"/>
        <w:rPr>
          <w:rFonts w:ascii="Times New Roman" w:hAnsi="Times New Roman"/>
          <w:b/>
          <w:i/>
          <w:sz w:val="20"/>
        </w:rPr>
      </w:pPr>
      <w:r>
        <w:rPr>
          <w:rFonts w:ascii="Times New Roman" w:hAnsi="Times New Roman"/>
          <w:b/>
          <w:i/>
          <w:sz w:val="20"/>
        </w:rPr>
        <w:t xml:space="preserve">Investing in our securities may involve a high degree of risk. </w:t>
      </w:r>
    </w:p>
    <w:p>
      <w:pPr>
        <w:pStyle w:val="TextBody"/>
        <w:spacing w:before="120" w:after="0"/>
        <w:rPr>
          <w:rFonts w:ascii="Times New Roman" w:hAnsi="Times New Roman"/>
          <w:sz w:val="20"/>
        </w:rPr>
      </w:pPr>
      <w:r>
        <w:rPr>
          <w:rFonts w:ascii="Times New Roman" w:hAnsi="Times New Roman"/>
          <w:sz w:val="20"/>
        </w:rPr>
        <w:t xml:space="preserve">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securities may not be suitable for someone with lower risk tolerance. </w:t>
      </w:r>
    </w:p>
    <w:p>
      <w:pPr>
        <w:pStyle w:val="TextBody"/>
        <w:spacing w:before="360" w:after="0"/>
        <w:rPr>
          <w:rFonts w:ascii="Times New Roman" w:hAnsi="Times New Roman"/>
          <w:b/>
          <w:i/>
          <w:sz w:val="20"/>
        </w:rPr>
      </w:pPr>
      <w:r>
        <w:rPr>
          <w:rFonts w:ascii="Times New Roman" w:hAnsi="Times New Roman"/>
          <w:b/>
          <w:i/>
          <w:sz w:val="20"/>
        </w:rPr>
        <w:t xml:space="preserve">The market price of our common stock may fluctuate significantly. </w:t>
      </w:r>
    </w:p>
    <w:p>
      <w:pPr>
        <w:pStyle w:val="TextBody"/>
        <w:spacing w:before="120" w:after="0"/>
        <w:rPr>
          <w:rFonts w:ascii="Times New Roman" w:hAnsi="Times New Roman"/>
          <w:sz w:val="20"/>
        </w:rPr>
      </w:pPr>
      <w:r>
        <w:rPr>
          <w:rFonts w:ascii="Times New Roman" w:hAnsi="Times New Roman"/>
          <w:sz w:val="20"/>
        </w:rPr>
        <w:t xml:space="preserve">The market price and liquidity of the market for shares of our common stock may be significantly affected by numerous factors, some of which are beyond our control and may not be directly related to our operating performance. These factors include: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significant volatility in the market price and trading volume of securities of BDCs or other companies in our sector, which is not necessarily related to the operating performance of these companies;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regulatory policies or tax guidelines, particularly with respect to RICs or BDCs;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exclusion of BDC common stock from certain market indices, which could reduce the ability of certain investment funds to own our common stock and put short term selling pressure on our common stock;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loss of RIC or BDC status;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or perceived changes in earnings or variations in operating results;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our portfolio of investments;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or perceived changes in the value of our portfolio of investments;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changes in accounting guidelines governing valuation of our investments;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shortfall in revenue or net income or any increase in losses from levels expected by investors or securities analysts;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downgrades to our credit rating or placement on a negative watch status by a credit rating agency;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departure of the Advisers or any of its affiliates key personnel;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operating performance of companies comparable to us;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short-selling pressure with respect to shares of our common stock or BDCs generally;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future sales of our securities convertible into or exchangeable or exercisable for our common stock or the conversion of such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uncertainty surrounding the strength of the U.S. economy;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concerns regarding European sovereign debt and Brexit;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concerns regarding volatility in the Chinese stock market and Chinese currency;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concerns regarding U.S. and global tariffs and trade policy;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fluctuations in base interest rates, such as LIBOR, SOFR, EURIBOR, SONIA, the Federal Funds Rate or the Prime Rate;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impact of public health epidemics on the global economy, such as the COVID-19 pandemic and its worldwide impact;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general economic trends and other external factors;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loss of a major funding source. </w:t>
            </w:r>
          </w:p>
        </w:tc>
      </w:tr>
    </w:tbl>
    <w:p>
      <w:pPr>
        <w:pStyle w:val="TextBody"/>
        <w:spacing w:before="240" w:after="0"/>
        <w:rPr>
          <w:rFonts w:ascii="Times New Roman" w:hAnsi="Times New Roman"/>
          <w:sz w:val="20"/>
        </w:rPr>
      </w:pPr>
      <w:r>
        <w:rPr>
          <w:rFonts w:ascii="Times New Roman" w:hAnsi="Times New Roman"/>
          <w:sz w:val="20"/>
        </w:rPr>
        <w:t xml:space="preserve">In the past, following periods of volatility in the market price of a companys securities, securities class action litigation has often been brought against that company. If our stock price fluctuates significantly, we may be the target of securities litigation in the future. Securities litigation could result in substantial costs and divert managements attention and resources from our business. </w:t>
      </w:r>
    </w:p>
    <w:p>
      <w:pPr>
        <w:pStyle w:val="TextBody"/>
        <w:spacing w:before="360" w:after="0"/>
        <w:rPr>
          <w:rFonts w:ascii="Times New Roman" w:hAnsi="Times New Roman"/>
          <w:b/>
          <w:i/>
          <w:sz w:val="20"/>
        </w:rPr>
      </w:pPr>
      <w:r>
        <w:rPr>
          <w:rFonts w:ascii="Times New Roman" w:hAnsi="Times New Roman"/>
          <w:b/>
          <w:i/>
          <w:sz w:val="20"/>
        </w:rPr>
        <w:t xml:space="preserve">We cannot assure you that the market price of shares of our common stock will not decline. </w:t>
      </w:r>
    </w:p>
    <w:p>
      <w:pPr>
        <w:pStyle w:val="TextBody"/>
        <w:spacing w:before="120" w:after="0"/>
        <w:rPr>
          <w:rFonts w:ascii="Times New Roman" w:hAnsi="Times New Roman"/>
          <w:sz w:val="20"/>
        </w:rPr>
      </w:pPr>
      <w:r>
        <w:rPr>
          <w:rFonts w:ascii="Times New Roman" w:hAnsi="Times New Roman"/>
          <w:sz w:val="20"/>
        </w:rPr>
        <w:t xml:space="preserve">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In the past, shares of BDCs, including at times shares of our common stock, have traded at prices per share below net asset value per share. We cannot predict whether our common stock will trade at a price per share above, at or below net asset value per share. In addition, if our common stock trades below its net asset value per share,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 See Risk FactorsRisks Related to Our Business and StructureRegulations governing our operation as a BDC affect our ability to, and the way in which we, raise additional capital in our 2021 Annual Report. </w:t>
      </w:r>
    </w:p>
    <w:p>
      <w:pPr>
        <w:pStyle w:val="TextBody"/>
        <w:spacing w:before="360" w:after="0"/>
        <w:rPr>
          <w:rFonts w:ascii="Times New Roman" w:hAnsi="Times New Roman"/>
          <w:b/>
          <w:i/>
          <w:sz w:val="20"/>
        </w:rPr>
      </w:pPr>
      <w:r>
        <w:rPr>
          <w:rFonts w:ascii="Times New Roman" w:hAnsi="Times New Roman"/>
          <w:b/>
          <w:i/>
          <w:sz w:val="20"/>
        </w:rPr>
        <w:t xml:space="preserve">Sales of substantial amounts of our common stock in the public market may have an adverse effect on the market price of our common stock. </w:t>
      </w:r>
    </w:p>
    <w:p>
      <w:pPr>
        <w:pStyle w:val="TextBody"/>
        <w:spacing w:before="120" w:after="0"/>
        <w:rPr>
          <w:rFonts w:ascii="Times New Roman" w:hAnsi="Times New Roman"/>
          <w:sz w:val="20"/>
        </w:rPr>
      </w:pPr>
      <w:r>
        <w:rPr>
          <w:rFonts w:ascii="Times New Roman" w:hAnsi="Times New Roman"/>
          <w:sz w:val="20"/>
        </w:rPr>
        <w:t xml:space="preserve">Sales of substantial amounts of our common stock, the availability of such common stock for sale or the perception that such sales could occur could adversely affect the prevailing market prices for our common stock. If this occurs,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 </w:t>
      </w:r>
    </w:p>
    <w:p>
      <w:pPr>
        <w:pStyle w:val="TextBody"/>
        <w:spacing w:before="360" w:after="0"/>
        <w:rPr>
          <w:rFonts w:ascii="Times New Roman" w:hAnsi="Times New Roman"/>
          <w:b/>
          <w:i/>
          <w:sz w:val="20"/>
        </w:rPr>
      </w:pPr>
      <w:r>
        <w:rPr>
          <w:rFonts w:ascii="Times New Roman" w:hAnsi="Times New Roman"/>
          <w:b/>
          <w:i/>
          <w:sz w:val="20"/>
        </w:rPr>
        <w:t xml:space="preserve">Our stockholders will experience dilution in their ownership percentage if they opt out of our dividend reinvestment plan. </w:t>
      </w:r>
    </w:p>
    <w:p>
      <w:pPr>
        <w:pStyle w:val="TextBody"/>
        <w:spacing w:before="120" w:after="0"/>
        <w:rPr>
          <w:rFonts w:ascii="Times New Roman" w:hAnsi="Times New Roman"/>
          <w:sz w:val="20"/>
        </w:rPr>
      </w:pPr>
      <w:r>
        <w:rPr>
          <w:rFonts w:ascii="Times New Roman" w:hAnsi="Times New Roman"/>
          <w:sz w:val="20"/>
        </w:rPr>
        <w:t xml:space="preserve">We have adopted a dividend reinvestment plan, pursuant to which we will reinvest all cash dividends and distributions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Price Range of Common Stock and Distributions and Dividend Reinvestment Plan for a description of our dividend policy and obligations. </w:t>
      </w:r>
    </w:p>
    <w:p>
      <w:pPr>
        <w:pStyle w:val="TextBody"/>
        <w:spacing w:before="240" w:after="0"/>
        <w:rPr>
          <w:rFonts w:ascii="Times New Roman" w:hAnsi="Times New Roman"/>
          <w:sz w:val="20"/>
        </w:rPr>
      </w:pPr>
      <w:r>
        <w:rPr>
          <w:rFonts w:ascii="Times New Roman" w:hAnsi="Times New Roman"/>
          <w:sz w:val="20"/>
        </w:rPr>
        <w:t xml:space="preserve">In addition, the number of shares issued pursuant to the dividend reinvestment plan will be determined based on the market price of shares of our common stock, except in circumstances where the market price exceeds our most recently computed net asset value per share, in which case we will issue shares at the greater 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of shares of our common stock than the number of shares associated with the market price of our common stock, resulting in dilution for other stockholders. Stockholders that opt out of our dividend reinvestment plan will experience dilution in their ownership percentage of our common stock over time. </w:t>
      </w:r>
    </w:p>
    <w:p>
      <w:pPr>
        <w:pStyle w:val="TextBody"/>
        <w:spacing w:before="360" w:after="0"/>
        <w:rPr>
          <w:rFonts w:ascii="Times New Roman" w:hAnsi="Times New Roman"/>
          <w:b/>
          <w:i/>
          <w:sz w:val="20"/>
        </w:rPr>
      </w:pPr>
      <w:r>
        <w:rPr>
          <w:rFonts w:ascii="Times New Roman" w:hAnsi="Times New Roman"/>
          <w:b/>
          <w:i/>
          <w:sz w:val="20"/>
        </w:rPr>
        <w:t xml:space="preserve">Purchases of our common stock by us under the Company 10b5-1 Plan may result in the price of our common stock being higher than the price that otherwise might exist in the open market. </w:t>
      </w:r>
    </w:p>
    <w:p>
      <w:pPr>
        <w:pStyle w:val="TextBody"/>
        <w:spacing w:before="120" w:after="0"/>
        <w:rPr>
          <w:rFonts w:ascii="Times New Roman" w:hAnsi="Times New Roman"/>
          <w:sz w:val="20"/>
        </w:rPr>
      </w:pPr>
      <w:r>
        <w:rPr>
          <w:rFonts w:ascii="Times New Roman" w:hAnsi="Times New Roman"/>
          <w:sz w:val="20"/>
        </w:rPr>
        <w:t xml:space="preserve">We have entered into an agreement with Goldman Sachs &amp; Co. LLC, which we refer to as the Company 10b5-1 Plan, in accordance with Rules 10b5-1 and 10b-18 under the Exchange Act, under which Goldman Sachs &amp; Co. LLC, as agent for us, will buy up to $50 million of our common stock in the aggregate during the period ending on the earlier of the date on which all the capital committed to the plan has been exhausted or May 31, 2023. </w:t>
      </w:r>
    </w:p>
    <w:p>
      <w:pPr>
        <w:pStyle w:val="TextBody"/>
        <w:spacing w:before="240" w:after="0"/>
        <w:rPr>
          <w:rFonts w:ascii="Times New Roman" w:hAnsi="Times New Roman"/>
          <w:sz w:val="20"/>
        </w:rPr>
      </w:pPr>
      <w:r>
        <w:rPr>
          <w:rFonts w:ascii="Times New Roman" w:hAnsi="Times New Roman"/>
          <w:sz w:val="20"/>
        </w:rPr>
        <w:t xml:space="preserve">Whether purchases will be made under the Company 10b5-1 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 </w:t>
      </w:r>
    </w:p>
    <w:p>
      <w:pPr>
        <w:pStyle w:val="TextBody"/>
        <w:spacing w:before="360" w:after="0"/>
        <w:rPr>
          <w:rFonts w:ascii="Times New Roman" w:hAnsi="Times New Roman"/>
          <w:b/>
          <w:i/>
          <w:sz w:val="20"/>
        </w:rPr>
      </w:pPr>
      <w:r>
        <w:rPr>
          <w:rFonts w:ascii="Times New Roman" w:hAnsi="Times New Roman"/>
          <w:b/>
          <w:i/>
          <w:sz w:val="20"/>
        </w:rPr>
        <w:t xml:space="preserve">Purchases of our common stock by us under the Company 10b5-1 Plan may result in dilution to our net asset value per share. </w:t>
      </w:r>
    </w:p>
    <w:p>
      <w:pPr>
        <w:pStyle w:val="TextBody"/>
        <w:spacing w:before="120" w:after="0"/>
        <w:rPr>
          <w:rFonts w:ascii="Times New Roman" w:hAnsi="Times New Roman"/>
          <w:sz w:val="20"/>
        </w:rPr>
      </w:pPr>
      <w:r>
        <w:rPr>
          <w:rFonts w:ascii="Times New Roman" w:hAnsi="Times New Roman"/>
          <w:sz w:val="20"/>
        </w:rPr>
        <w:t xml:space="preserve">On August 4, 2015, the Board authorized us to acquire up to $50 million in aggregate of our common stock from time to time over an initial six month period, and has continued to authorize the refreshment of the $50 million amount authorized under and extension of the stock repurchase program prior to its expiration since that time, most recently as of November 1, 2022. Under the Company 10b5-1 Plan, the agent will increase the volume of purchases made as the price of our common stock declines, subject to volume restrictions. </w:t>
      </w:r>
    </w:p>
    <w:p>
      <w:pPr>
        <w:pStyle w:val="TextBody"/>
        <w:spacing w:before="240" w:after="0"/>
        <w:rPr>
          <w:rFonts w:ascii="Times New Roman" w:hAnsi="Times New Roman"/>
          <w:sz w:val="20"/>
        </w:rPr>
      </w:pPr>
      <w:r>
        <w:rPr>
          <w:rFonts w:ascii="Times New Roman" w:hAnsi="Times New Roman"/>
          <w:sz w:val="20"/>
        </w:rPr>
        <w:t xml:space="preserve">Dilution to our net asset value per share will occur if we purchase shares of our common stock at a price above the net asset value per share, as it would cause a proportionately smaller increase in our stockholders interest in our earnings and assets and their voting interest in us than the decrease in our assets resulting from such repurchase. </w:t>
      </w:r>
    </w:p>
    <w:p>
      <w:pPr>
        <w:pStyle w:val="TextBody"/>
        <w:spacing w:before="240" w:after="0"/>
        <w:rPr>
          <w:rFonts w:ascii="Times New Roman" w:hAnsi="Times New Roman"/>
          <w:sz w:val="20"/>
        </w:rPr>
      </w:pPr>
      <w:r>
        <w:rPr>
          <w:rFonts w:ascii="Times New Roman" w:hAnsi="Times New Roman"/>
          <w:sz w:val="20"/>
        </w:rPr>
        <w:t xml:space="preserve">As a result of any such dilution, our market price per share may decline. The actual dilutive effect will depend on the number of shares of common stock that could be so repurchased, the price and the timing of any repurchases under the Company 10b5-1 Plan. </w:t>
      </w:r>
    </w:p>
    <w:p>
      <w:pPr>
        <w:pStyle w:val="TextBody"/>
        <w:spacing w:before="360" w:after="0"/>
        <w:rPr>
          <w:rFonts w:ascii="Times New Roman" w:hAnsi="Times New Roman"/>
          <w:b/>
          <w:i/>
          <w:sz w:val="20"/>
        </w:rPr>
      </w:pPr>
      <w:r>
        <w:rPr>
          <w:rFonts w:ascii="Times New Roman" w:hAnsi="Times New Roman"/>
          <w:b/>
          <w:i/>
          <w:sz w:val="20"/>
        </w:rPr>
        <w:t xml:space="preserve">We will have broad discretion over the use of proceeds of any offering made pursuant to this prospectus, to the extent it is successful. </w:t>
      </w:r>
    </w:p>
    <w:p>
      <w:pPr>
        <w:pStyle w:val="TextBody"/>
        <w:spacing w:before="120" w:after="0"/>
        <w:rPr>
          <w:rFonts w:ascii="Times New Roman" w:hAnsi="Times New Roman"/>
          <w:sz w:val="20"/>
        </w:rPr>
      </w:pPr>
      <w:r>
        <w:rPr>
          <w:rFonts w:ascii="Times New Roman" w:hAnsi="Times New Roman"/>
          <w:sz w:val="20"/>
        </w:rPr>
        <w:t xml:space="preserve">We will have significant flexibility in applying the proceeds of any offering made pursuant to this prospectus. For example, we may pay operating expenses from net proceeds, which could limit our ability to achieve our investment objective. </w:t>
      </w:r>
    </w:p>
    <w:p>
      <w:pPr>
        <w:pStyle w:val="TextBody"/>
        <w:spacing w:before="360" w:after="0"/>
        <w:rPr>
          <w:rFonts w:ascii="Times New Roman" w:hAnsi="Times New Roman"/>
          <w:b/>
          <w:i/>
          <w:sz w:val="20"/>
        </w:rPr>
      </w:pPr>
      <w:r>
        <w:rPr>
          <w:rFonts w:ascii="Times New Roman" w:hAnsi="Times New Roman"/>
          <w:b/>
          <w:i/>
          <w:sz w:val="20"/>
        </w:rPr>
        <w:t xml:space="preserve">The net asset value per share of our common stock may be diluted if we sell or otherwise issue shares of our common stock at prices below the then-current net asset value per share of our common stock. </w:t>
      </w:r>
    </w:p>
    <w:p>
      <w:pPr>
        <w:pStyle w:val="TextBody"/>
        <w:spacing w:before="120" w:after="0"/>
        <w:rPr>
          <w:rFonts w:ascii="Times New Roman" w:hAnsi="Times New Roman"/>
          <w:sz w:val="20"/>
        </w:rPr>
      </w:pPr>
      <w:r>
        <w:rPr>
          <w:rFonts w:ascii="Times New Roman" w:hAnsi="Times New Roman"/>
          <w:sz w:val="20"/>
        </w:rPr>
        <w:t xml:space="preserve">Pursuant to approval granted at a special meeting of stockholders held on May 26, 2022, we are currently permitted to sell or otherwise issue shares of our common stock at a price below our then-current net asset value per share, subject to the approval of our Board and certain other conditions. Such stockholder approval expires on May 26, 2023. We intend to propose the extension of this approval in future years.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Any decision to sell or otherwise issue shares of our common stock below our then-current net asset value per share would be subject to the determination by our board of directors that such issuance or sale is in our and our stockholders best interests. </w:t>
      </w:r>
    </w:p>
    <w:p>
      <w:pPr>
        <w:pStyle w:val="TextBody"/>
        <w:spacing w:before="240" w:after="0"/>
        <w:rPr>
          <w:rFonts w:ascii="Times New Roman" w:hAnsi="Times New Roman"/>
          <w:sz w:val="20"/>
        </w:rPr>
      </w:pPr>
      <w:r>
        <w:rPr>
          <w:rFonts w:ascii="Times New Roman" w:hAnsi="Times New Roman"/>
          <w:sz w:val="20"/>
        </w:rPr>
        <w:t xml:space="preserve">If we were to sell or otherwise issue shares of our common stock below our then-current net asset value per share, such issuances or sales would result in an immediate dilution to the net asset value per share of our common stock. This dilution would occur as a result of the issuance or sale of shares at a price below the then-current net asset value per share of our common stock and a proportionately greater decrease in the stockholders interest in our earnings and assets and their voting interest in us than the increase in our assets resulting from such issuance or sale. Because the number of shares of common stock that could be so issued and the timing of any issuance is not currently known, the actual dilutive effect cannot be predicted. </w:t>
      </w:r>
    </w:p>
    <w:p>
      <w:pPr>
        <w:pStyle w:val="TextBody"/>
        <w:spacing w:before="240" w:after="0"/>
        <w:rPr>
          <w:rFonts w:ascii="Times New Roman" w:hAnsi="Times New Roman"/>
          <w:sz w:val="20"/>
        </w:rPr>
      </w:pPr>
      <w:r>
        <w:rPr>
          <w:rFonts w:ascii="Times New Roman" w:hAnsi="Times New Roman"/>
          <w:sz w:val="20"/>
        </w:rPr>
        <w:t xml:space="preserve">Further, if our current stockholders do not purchase any shares to maintain their percentage interest, regardless of whether such offering is above or below the then-current net asset value per share, their voting power will be diluted. For additional information and hypothetical examples of these risks, see Sales of Common Stock Below Net Asset Value and the prospectus supplement pursuant to which such sale is made. </w:t>
      </w:r>
    </w:p>
    <w:p>
      <w:pPr>
        <w:pStyle w:val="TextBody"/>
        <w:spacing w:before="360" w:after="0"/>
        <w:rPr>
          <w:rFonts w:ascii="Times New Roman" w:hAnsi="Times New Roman"/>
          <w:b/>
          <w:i/>
          <w:sz w:val="20"/>
        </w:rPr>
      </w:pPr>
      <w:r>
        <w:rPr>
          <w:rFonts w:ascii="Times New Roman" w:hAnsi="Times New Roman"/>
          <w:b/>
          <w:i/>
          <w:sz w:val="20"/>
        </w:rPr>
        <w:t xml:space="preserve">Your interest in us may be diluted if you do not fully exercise your subscription rights in any rights offering. In addition, if the subscription price is less than our net asset value per share, then you will experience an immediate dilution of the aggregate net asset value of your shares. </w:t>
      </w:r>
    </w:p>
    <w:p>
      <w:pPr>
        <w:pStyle w:val="TextBody"/>
        <w:spacing w:before="120" w:after="0"/>
        <w:rPr>
          <w:rFonts w:ascii="Times New Roman" w:hAnsi="Times New Roman"/>
          <w:sz w:val="20"/>
        </w:rPr>
      </w:pPr>
      <w:r>
        <w:rPr>
          <w:rFonts w:ascii="Times New Roman" w:hAnsi="Times New Roman"/>
          <w:sz w:val="20"/>
        </w:rPr>
        <w:t xml:space="preserve">In the event we issue subscription rights, stockholders who do not fully exercise their subscription rights should expect that they will, at the completion of a rights offering pursuant to this prospectus, own a smaller proportional interest in us than would otherwise be the case if they fully exercised their rights. We cannot state precisely the amount of any such dilution in share ownership because we do not know at this time what proportion of the shares will be purchased as a result of such rights offering. </w:t>
      </w:r>
    </w:p>
    <w:p>
      <w:pPr>
        <w:pStyle w:val="TextBody"/>
        <w:spacing w:before="240" w:after="0"/>
        <w:rPr>
          <w:rFonts w:ascii="Times New Roman" w:hAnsi="Times New Roman"/>
          <w:sz w:val="20"/>
        </w:rPr>
      </w:pPr>
      <w:r>
        <w:rPr>
          <w:rFonts w:ascii="Times New Roman" w:hAnsi="Times New Roman"/>
          <w:sz w:val="20"/>
        </w:rPr>
        <w:t xml:space="preserve">In addition, if the subscription price is less than the net asset value per share of our common stock, then our stockholders would experience an immediate dilution of the aggregate net asset value of their shares as a result of the offering. The amount of any decrease in net asset value is not predictable because it is not known at this time what the subscription price and net asset value per share will be on the expiration date of a rights offering or what proportion of the shares will be purchased as a result of such rights offering. Such dilution could be substantial. </w:t>
      </w:r>
    </w:p>
    <w:p>
      <w:pPr>
        <w:pStyle w:val="TextBody"/>
        <w:spacing w:before="360" w:after="0"/>
        <w:rPr>
          <w:rFonts w:ascii="Times New Roman" w:hAnsi="Times New Roman"/>
          <w:b/>
          <w:i/>
          <w:sz w:val="20"/>
        </w:rPr>
      </w:pPr>
      <w:r>
        <w:rPr>
          <w:rFonts w:ascii="Times New Roman" w:hAnsi="Times New Roman"/>
          <w:b/>
          <w:i/>
          <w:sz w:val="20"/>
        </w:rPr>
        <w:t xml:space="preserve">We may in the future determine to issue preferred stock, which could adversely affect the market value of our common stock and cause the net asset value and market value of our common stock to be more volatile. </w:t>
      </w:r>
    </w:p>
    <w:p>
      <w:pPr>
        <w:pStyle w:val="TextBody"/>
        <w:spacing w:before="120" w:after="0"/>
        <w:rPr>
          <w:rFonts w:ascii="Times New Roman" w:hAnsi="Times New Roman"/>
          <w:sz w:val="20"/>
        </w:rPr>
      </w:pPr>
      <w:r>
        <w:rPr>
          <w:rFonts w:ascii="Times New Roman" w:hAnsi="Times New Roman"/>
          <w:sz w:val="20"/>
        </w:rPr>
        <w:t xml:space="preserve">The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and could make the net asset value and market value of our common stock more volatile. Payment of dividends and repayment of the liquidation preference of preferred stock would take preference over any dividends or other payments to our common stockholders, and holders of preferred stock would not be subject to any of our expenses or losses and would not be entitled to participate in any income or appreciation in excess of their stated preference (other than convertible preferred stock that converts into common stock). If the dividend rate on the preferred stock were to approach the net rate of return on our investment portfolio, the benefit of leverage to the holders of the common stock would be reduced. If the dividend rate on the preferred stock were to exceed the net rate of return on our portfolio, the leverage would result in a lower rate of return to the holders of common stock than if we had not issued preferred stock. Any decline in the net asset value of our investments would be borne entirely by the holders of common stock. Therefore, if the market value of our portfolio were to decline, the leverage would result in a greater decrease in net asset value to the holders of common stock than if we were not leveraged through the issuance of preferred stock. This greater net asset value decrease would also tend to cause a greater decline in the market price for the common stock. We might be in danger of failing to maintain the required asset coverage of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preferred stock or of losing our ratings on the preferred stock or, in an extreme case, our current investment income might not be sufficient to meet the dividend requirements on the preferred stock. In order to counteract such an event, we might need to liquidate investments in order to fund a redemption of some or all of the preferred stock. In addition, under the 1940 Act, preferred stock constitutes a senior security for purposes of the asset coverage test. </w:t>
      </w:r>
    </w:p>
    <w:p>
      <w:pPr>
        <w:pStyle w:val="TextBody"/>
        <w:spacing w:before="360" w:after="0"/>
        <w:rPr>
          <w:rFonts w:ascii="Times New Roman" w:hAnsi="Times New Roman"/>
          <w:b/>
          <w:i/>
          <w:sz w:val="20"/>
        </w:rPr>
      </w:pPr>
      <w:r>
        <w:rPr>
          <w:rFonts w:ascii="Times New Roman" w:hAnsi="Times New Roman"/>
          <w:b/>
          <w:i/>
          <w:sz w:val="20"/>
        </w:rPr>
        <w:t xml:space="preserve">Holders of any preferred stock we might issue would have the right to elect members of the board of directors and class voting rights on certain matters. </w:t>
      </w:r>
    </w:p>
    <w:p>
      <w:pPr>
        <w:pStyle w:val="TextBody"/>
        <w:spacing w:before="120" w:after="0"/>
        <w:rPr>
          <w:rFonts w:ascii="Times New Roman" w:hAnsi="Times New Roman"/>
          <w:sz w:val="20"/>
        </w:rPr>
      </w:pPr>
      <w:r>
        <w:rPr>
          <w:rFonts w:ascii="Times New Roman" w:hAnsi="Times New Roman"/>
          <w:sz w:val="20"/>
        </w:rPr>
        <w:t xml:space="preserve">Holders of any preferred stock we might issue, voting separately as a single class, would have the right to elect two members of the Board at all times and in the event dividends become two full years in arrears would have the right to elect a majority of the directors until such arrearage is completely eliminated. In addition, preferred stockholders may have class voting rights on certain matters, including changes in fundamental investment restrictions and conversion to open-end status, and, accordingly, could veto any such changes. Restrictions imposed on the declarations and payment of dividends or other distributions to the holders of our common stock and preferred stock, both by the 1940 Act and by requirements imposed by rating agencies or the terms of our credit facilities, might impair our ability to maintain our qualification as a RIC for federal income tax purposes. While we would intend to redeem our preferred stock to the extent necessary to enable us to distribute our income as required to maintain our qualification as a RIC, there can be no assurance that such actions could be effected in time to meet the tax requirements.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8" w:name="rom451583_8"/>
      <w:bookmarkEnd w:id="18"/>
      <w:r>
        <w:rPr>
          <w:rFonts w:ascii="Times New Roman" w:hAnsi="Times New Roman"/>
          <w:b/>
          <w:sz w:val="20"/>
        </w:rPr>
        <w:t xml:space="preserve">SPECIAL NOTE REGARDING FORWARD-LOOKING STATEMENTS </w:t>
      </w:r>
    </w:p>
    <w:p>
      <w:pPr>
        <w:pStyle w:val="TextBody"/>
        <w:spacing w:before="240" w:after="0"/>
        <w:rPr>
          <w:rFonts w:ascii="Times New Roman" w:hAnsi="Times New Roman"/>
          <w:sz w:val="20"/>
        </w:rPr>
      </w:pPr>
      <w:r>
        <w:rPr>
          <w:rFonts w:ascii="Times New Roman" w:hAnsi="Times New Roman"/>
          <w:sz w:val="20"/>
        </w:rPr>
        <w:t xml:space="preserve">This prospectus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 </w:t>
      </w:r>
    </w:p>
    <w:p>
      <w:pPr>
        <w:pStyle w:val="TextBody"/>
        <w:spacing w:before="240" w:after="0"/>
        <w:rPr>
          <w:rFonts w:ascii="Times New Roman" w:hAnsi="Times New Roman"/>
          <w:sz w:val="20"/>
        </w:rPr>
      </w:pPr>
      <w:r>
        <w:rPr>
          <w:rFonts w:ascii="Times New Roman" w:hAnsi="Times New Roman"/>
          <w:sz w:val="20"/>
        </w:rPr>
        <w:t xml:space="preserve">In addition to factors identified elsewhere in this prospectus and the documents incorporated by reference herein, the following factors, among others, could cause actual results to differ materially from forward-looking statements or historical performance: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economic downturn could impair our portfolio companies abilities to continue to operate, which could lead to the loss of some or all of our investments in those portfolio companies;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such an economic downturn could disproportionately impact the companies in which we have invested and others that we intend to target for investment, potentially causing us to experience a decrease in investment opportunities and diminished demand for capital from these companies;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such an economic downturn could also impact availability and pricing of our financing;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 inability to access the capital markets could impair our ability to raise capital and our investment activities;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inflation could negatively impact our business, including our ability to access the debt markets on favorable terms, or could negatively impact our portfolio companies;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risks, uncertainties and other factors we identify in the section entitled Risk Factors in this prospectus and in Part I, Item 1A of our 2021 Annual Report and Part II, Item 1A of our 3Q 2022 Quarterly Report, and those discussed in other documents we file with the SEC. </w:t>
            </w:r>
          </w:p>
        </w:tc>
      </w:tr>
    </w:tbl>
    <w:p>
      <w:pPr>
        <w:pStyle w:val="TextBody"/>
        <w:spacing w:before="240" w:after="0"/>
        <w:rPr>
          <w:rFonts w:ascii="Times New Roman" w:hAnsi="Times New Roman"/>
          <w:sz w:val="20"/>
        </w:rPr>
      </w:pPr>
      <w:r>
        <w:rPr>
          <w:rFonts w:ascii="Times New Roman" w:hAnsi="Times New Roman"/>
          <w:sz w:val="20"/>
        </w:rPr>
        <w:t xml:space="preserve">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prospectus should not be regarded as a representation by us that our plans and objectives will be achieved. These risks and uncertainties include, among other things, those described or identified in the section entitled Risk Factors in this prospectus and in Part I, Item 1A and Part II, Item 1A of our 3Q 2022 Quarterly Report, and in our 2021 Annual Report and those discussed in other documents we file with the SEC and elsewhere in this prospectus and the documents incorporated by reference herein. You should not place undue reliance on these forward-looking statements, which apply only as of the date of this prospectus. We do not undertake any obligation to update or revise any forward-looking statements or any other information contained herein or therein, except as required by applicable law. You should understand that, under Section 27A(b)(2)(B) of the Securities Act and Section 21E(b)(2)(B) of the Exchange Act, the safe harbor provisions of the Private Securities Litigation Reform Act of 1995, which preclude civil liability for certain forward-looking statements, do not apply to the forward-looking statements made in connection with any offering of securities pursuant to this prospectus. </w:t>
      </w:r>
    </w:p>
    <w:p>
      <w:pPr>
        <w:pStyle w:val="TextBody"/>
        <w:spacing w:before="240" w:after="0"/>
        <w:rPr>
          <w:rFonts w:ascii="Times New Roman" w:hAnsi="Times New Roman"/>
          <w:sz w:val="20"/>
        </w:rPr>
      </w:pPr>
      <w:r>
        <w:rPr>
          <w:rFonts w:ascii="Times New Roman" w:hAnsi="Times New Roman"/>
          <w:sz w:val="20"/>
        </w:rPr>
        <w:t xml:space="preserve">The TSLX and TAO marks are marks of Sixth Street.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19" w:name="rom451583_9"/>
      <w:bookmarkEnd w:id="19"/>
      <w:r>
        <w:rPr>
          <w:rFonts w:ascii="Times New Roman" w:hAnsi="Times New Roman"/>
          <w:b/>
          <w:sz w:val="20"/>
        </w:rPr>
        <w:t xml:space="preserve">USE OF PROCEEDS </w:t>
      </w:r>
    </w:p>
    <w:p>
      <w:pPr>
        <w:pStyle w:val="TextBody"/>
        <w:spacing w:before="240" w:after="0"/>
        <w:rPr>
          <w:rFonts w:ascii="Times New Roman" w:hAnsi="Times New Roman"/>
          <w:sz w:val="20"/>
        </w:rPr>
      </w:pPr>
      <w:r>
        <w:rPr>
          <w:rFonts w:ascii="Times New Roman" w:hAnsi="Times New Roman"/>
          <w:sz w:val="20"/>
        </w:rPr>
        <w:t xml:space="preserve">Unless otherwise specified in a prospectus supplement, we intend to use the net proceeds from the sale of our securities pursuant to this prospectus for general corporate purposes, which may include investing in portfolio companies in accordance with our investment objective and strategies described in this prospectus and repaying indebtedness (which will be subject to reborrowing). The supplement to this prospectus relating to an offering will more fully identify the use of the proceeds from such offering. </w:t>
      </w:r>
    </w:p>
    <w:p>
      <w:pPr>
        <w:pStyle w:val="TextBody"/>
        <w:spacing w:before="240" w:after="0"/>
        <w:rPr>
          <w:rFonts w:ascii="Times New Roman" w:hAnsi="Times New Roman"/>
          <w:sz w:val="20"/>
        </w:rPr>
      </w:pPr>
      <w:r>
        <w:rPr>
          <w:rFonts w:ascii="Times New Roman" w:hAnsi="Times New Roman"/>
          <w:sz w:val="20"/>
        </w:rPr>
        <w:t xml:space="preserve">We estimate that it will take less than three months for us to substantially invest the net proceeds of any offering made pursuant to this prospectus, depending on the availability of attractive opportunities, market conditions and the amount raised. </w:t>
      </w:r>
    </w:p>
    <w:p>
      <w:pPr>
        <w:pStyle w:val="TextBody"/>
        <w:spacing w:before="240" w:after="0"/>
        <w:rPr>
          <w:rFonts w:ascii="Times New Roman" w:hAnsi="Times New Roman"/>
          <w:sz w:val="20"/>
        </w:rPr>
      </w:pPr>
      <w:r>
        <w:rPr>
          <w:rFonts w:ascii="Times New Roman" w:hAnsi="Times New Roman"/>
          <w:sz w:val="20"/>
        </w:rPr>
        <w:t xml:space="preserve">Proceeds not immediately used for new investments or the temporary repayment of debt will be invested primarily in cash, cash equivalents, U.S. government securities and other high-quality investments that mature in one year or less from the date of investment. These securities may have lower yields than the types of investments we would typically make in accordance with our investment objective and, accordingly, may result in lower dividends, if any, during such period.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0" w:name="rom451583_10"/>
      <w:bookmarkEnd w:id="20"/>
      <w:r>
        <w:rPr>
          <w:rFonts w:ascii="Times New Roman" w:hAnsi="Times New Roman"/>
          <w:b/>
          <w:sz w:val="20"/>
        </w:rPr>
        <w:t xml:space="preserve">PRICE RANGE OF COMMON STOCK AND DISTRIBUTIONS </w:t>
      </w:r>
    </w:p>
    <w:p>
      <w:pPr>
        <w:pStyle w:val="TextBody"/>
        <w:spacing w:before="240" w:after="0"/>
        <w:rPr>
          <w:rFonts w:ascii="Times New Roman" w:hAnsi="Times New Roman"/>
          <w:sz w:val="20"/>
        </w:rPr>
      </w:pPr>
      <w:r>
        <w:rPr>
          <w:rFonts w:ascii="Times New Roman" w:hAnsi="Times New Roman"/>
          <w:sz w:val="20"/>
        </w:rPr>
        <w:t xml:space="preserve">Our common stock is traded on the NYSE under the symbol TSLX. Our common stock has historically traded at prices both above and below our net asset value per share. It is not possible to predict whether our common stock will trade at a price per share at, above or below net asset value per share. See Risk FactorsRisks Related to Offerings Pursuant to This Prospectus. </w:t>
      </w:r>
    </w:p>
    <w:p>
      <w:pPr>
        <w:pStyle w:val="TextBody"/>
        <w:spacing w:before="240" w:after="0"/>
        <w:rPr>
          <w:rFonts w:ascii="Times New Roman" w:hAnsi="Times New Roman"/>
          <w:sz w:val="20"/>
        </w:rPr>
      </w:pPr>
      <w:r>
        <w:rPr>
          <w:rFonts w:ascii="Times New Roman" w:hAnsi="Times New Roman"/>
          <w:sz w:val="20"/>
        </w:rPr>
        <w:t xml:space="preserve">The following table sets forth the net asset value per share of our common stock, the range of high and low closing sales prices of our common stock reported on the NYSE, the closing sales price as a premium (discount) to net asset value and the dividends declared by us in each fiscal quarter for the year ending December 31, 2022 and for the years ended December 31, 2021, 2020 and 2019. On January 12, 2023, the last reported closing sales price of our common stock on the NYSE was $18.94 per share, which represented a premium of approximately 15.8% to the net asset value per share reported by us as of September 30, 2022, the last date prior to the date of this prospectus for which we reported net asset value.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942"/>
        <w:gridCol w:w="171"/>
        <w:gridCol w:w="140"/>
        <w:gridCol w:w="573"/>
        <w:gridCol w:w="60"/>
        <w:gridCol w:w="171"/>
        <w:gridCol w:w="140"/>
        <w:gridCol w:w="573"/>
        <w:gridCol w:w="60"/>
        <w:gridCol w:w="171"/>
        <w:gridCol w:w="140"/>
        <w:gridCol w:w="573"/>
        <w:gridCol w:w="60"/>
        <w:gridCol w:w="171"/>
        <w:gridCol w:w="146"/>
        <w:gridCol w:w="1105"/>
        <w:gridCol w:w="282"/>
        <w:gridCol w:w="115"/>
        <w:gridCol w:w="110"/>
        <w:gridCol w:w="987"/>
        <w:gridCol w:w="351"/>
        <w:gridCol w:w="116"/>
        <w:gridCol w:w="229"/>
        <w:gridCol w:w="751"/>
        <w:gridCol w:w="68"/>
      </w:tblGrid>
      <w:tr>
        <w:trPr/>
        <w:tc>
          <w:tcPr>
            <w:tcW w:w="2942"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r>
      <w:tr>
        <w:trPr/>
        <w:tc>
          <w:tcPr>
            <w:tcW w:w="2942" w:type="dxa"/>
            <w:vMerge w:val="restart"/>
            <w:tcBorders/>
            <w:shd w:fill="auto" w:val="clear"/>
            <w:vAlign w:val="bottom"/>
          </w:tcPr>
          <w:p>
            <w:pPr>
              <w:pStyle w:val="TableContents"/>
              <w:spacing w:before="0" w:after="283"/>
              <w:rPr/>
            </w:pPr>
            <w:r>
              <w:rPr/>
              <w:t> </w:t>
            </w:r>
          </w:p>
        </w:tc>
        <w:tc>
          <w:tcPr>
            <w:tcW w:w="171" w:type="dxa"/>
            <w:vMerge w:val="restart"/>
            <w:tcBorders/>
            <w:shd w:fill="auto" w:val="clear"/>
            <w:vAlign w:val="bottom"/>
          </w:tcPr>
          <w:p>
            <w:pPr>
              <w:pStyle w:val="TableContents"/>
              <w:spacing w:before="0" w:after="283"/>
              <w:rPr/>
            </w:pPr>
            <w:r>
              <w:rPr/>
              <w:t>  </w:t>
            </w:r>
          </w:p>
        </w:tc>
        <w:tc>
          <w:tcPr>
            <w:tcW w:w="713"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NAV(1)</w:t>
            </w:r>
          </w:p>
        </w:tc>
        <w:tc>
          <w:tcPr>
            <w:tcW w:w="60" w:type="dxa"/>
            <w:vMerge w:val="restart"/>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657"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Price Range</w:t>
            </w:r>
          </w:p>
        </w:tc>
        <w:tc>
          <w:tcPr>
            <w:tcW w:w="60" w:type="dxa"/>
            <w:tcBorders/>
            <w:shd w:fill="auto" w:val="clear"/>
            <w:vAlign w:val="bottom"/>
          </w:tcPr>
          <w:p>
            <w:pPr>
              <w:pStyle w:val="TableContents"/>
              <w:spacing w:before="0" w:after="283"/>
              <w:rPr/>
            </w:pPr>
            <w:r>
              <w:rPr/>
              <w:t> </w:t>
            </w:r>
          </w:p>
        </w:tc>
        <w:tc>
          <w:tcPr>
            <w:tcW w:w="171" w:type="dxa"/>
            <w:vMerge w:val="restart"/>
            <w:tcBorders/>
            <w:shd w:fill="auto" w:val="clear"/>
            <w:vAlign w:val="bottom"/>
          </w:tcPr>
          <w:p>
            <w:pPr>
              <w:pStyle w:val="TableContents"/>
              <w:spacing w:before="0" w:after="283"/>
              <w:rPr/>
            </w:pPr>
            <w:r>
              <w:rPr/>
              <w:t>  </w:t>
            </w:r>
          </w:p>
        </w:tc>
        <w:tc>
          <w:tcPr>
            <w:tcW w:w="1251"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High Sales</w:t>
              <w:br/>
              <w:t>Price to Net</w:t>
              <w:br/>
              <w:t>Asset</w:t>
              <w:br/>
              <w:t>Value(2)</w:t>
            </w:r>
          </w:p>
        </w:tc>
        <w:tc>
          <w:tcPr>
            <w:tcW w:w="282" w:type="dxa"/>
            <w:vMerge w:val="restart"/>
            <w:tcBorders/>
            <w:shd w:fill="auto" w:val="clear"/>
            <w:vAlign w:val="bottom"/>
          </w:tcPr>
          <w:p>
            <w:pPr>
              <w:pStyle w:val="TableContents"/>
              <w:spacing w:before="0" w:after="283"/>
              <w:rPr/>
            </w:pPr>
            <w:r>
              <w:rPr/>
              <w:t> </w:t>
            </w:r>
          </w:p>
        </w:tc>
        <w:tc>
          <w:tcPr>
            <w:tcW w:w="115" w:type="dxa"/>
            <w:vMerge w:val="restart"/>
            <w:tcBorders/>
            <w:shd w:fill="auto" w:val="clear"/>
            <w:vAlign w:val="bottom"/>
          </w:tcPr>
          <w:p>
            <w:pPr>
              <w:pStyle w:val="TableContents"/>
              <w:spacing w:before="0" w:after="283"/>
              <w:rPr/>
            </w:pPr>
            <w:r>
              <w:rPr/>
              <w:t> </w:t>
            </w:r>
          </w:p>
        </w:tc>
        <w:tc>
          <w:tcPr>
            <w:tcW w:w="1097"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Low Sales</w:t>
              <w:br/>
              <w:t>Price to</w:t>
              <w:br/>
              <w:t>Net Asset</w:t>
              <w:br/>
              <w:t>Value(2)</w:t>
            </w:r>
          </w:p>
        </w:tc>
        <w:tc>
          <w:tcPr>
            <w:tcW w:w="351" w:type="dxa"/>
            <w:vMerge w:val="restart"/>
            <w:tcBorders/>
            <w:shd w:fill="auto" w:val="clear"/>
            <w:vAlign w:val="bottom"/>
          </w:tcPr>
          <w:p>
            <w:pPr>
              <w:pStyle w:val="TableContents"/>
              <w:spacing w:before="0" w:after="283"/>
              <w:rPr/>
            </w:pPr>
            <w:r>
              <w:rPr/>
              <w:t> </w:t>
            </w:r>
          </w:p>
        </w:tc>
        <w:tc>
          <w:tcPr>
            <w:tcW w:w="116" w:type="dxa"/>
            <w:vMerge w:val="restart"/>
            <w:tcBorders/>
            <w:shd w:fill="auto" w:val="clear"/>
            <w:vAlign w:val="bottom"/>
          </w:tcPr>
          <w:p>
            <w:pPr>
              <w:pStyle w:val="TableContents"/>
              <w:spacing w:before="0" w:after="283"/>
              <w:rPr/>
            </w:pPr>
            <w:r>
              <w:rPr/>
              <w:t> </w:t>
            </w:r>
          </w:p>
        </w:tc>
        <w:tc>
          <w:tcPr>
            <w:tcW w:w="980"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Cash</w:t>
              <w:br/>
              <w:t>Dividend</w:t>
              <w:br/>
              <w:t>Per</w:t>
              <w:br/>
              <w:t>Share(3)</w:t>
            </w:r>
          </w:p>
        </w:tc>
        <w:tc>
          <w:tcPr>
            <w:tcW w:w="68" w:type="dxa"/>
            <w:vMerge w:val="restart"/>
            <w:tcBorders/>
            <w:shd w:fill="auto" w:val="clear"/>
            <w:vAlign w:val="bottom"/>
          </w:tcPr>
          <w:p>
            <w:pPr>
              <w:pStyle w:val="TableContents"/>
              <w:spacing w:before="0" w:after="283"/>
              <w:rPr/>
            </w:pPr>
            <w:r>
              <w:rPr/>
              <w:t> </w:t>
            </w:r>
          </w:p>
        </w:tc>
      </w:tr>
      <w:tr>
        <w:trPr/>
        <w:tc>
          <w:tcPr>
            <w:tcW w:w="2942" w:type="dxa"/>
            <w:vMerge w:val="continue"/>
            <w:tcBorders/>
            <w:shd w:fill="auto" w:val="clear"/>
            <w:vAlign w:val="bottom"/>
          </w:tcPr>
          <w:p>
            <w:pPr>
              <w:pStyle w:val="Normal"/>
              <w:rPr/>
            </w:pPr>
            <w:r>
              <w:rPr/>
            </w:r>
          </w:p>
        </w:tc>
        <w:tc>
          <w:tcPr>
            <w:tcW w:w="171" w:type="dxa"/>
            <w:vMerge w:val="continue"/>
            <w:tcBorders/>
            <w:shd w:fill="auto" w:val="clear"/>
            <w:vAlign w:val="bottom"/>
          </w:tcPr>
          <w:p>
            <w:pPr>
              <w:pStyle w:val="Normal"/>
              <w:rPr/>
            </w:pPr>
            <w:r>
              <w:rPr/>
            </w:r>
          </w:p>
        </w:tc>
        <w:tc>
          <w:tcPr>
            <w:tcW w:w="713" w:type="dxa"/>
            <w:gridSpan w:val="2"/>
            <w:vMerge w:val="continue"/>
            <w:tcBorders>
              <w:bottom w:val="single" w:sz="8" w:space="0" w:color="000000"/>
            </w:tcBorders>
            <w:shd w:fill="auto" w:val="clear"/>
            <w:tcMar>
              <w:bottom w:w="28" w:type="dxa"/>
            </w:tcMar>
            <w:vAlign w:val="bottom"/>
          </w:tcPr>
          <w:p>
            <w:pPr>
              <w:pStyle w:val="Normal"/>
              <w:rPr/>
            </w:pPr>
            <w:r>
              <w:rPr/>
            </w:r>
          </w:p>
        </w:tc>
        <w:tc>
          <w:tcPr>
            <w:tcW w:w="60" w:type="dxa"/>
            <w:vMerge w:val="continue"/>
            <w:tcBorders/>
            <w:shd w:fill="auto" w:val="clear"/>
            <w:vAlign w:val="bottom"/>
          </w:tcPr>
          <w:p>
            <w:pPr>
              <w:pStyle w:val="Normal"/>
              <w:rPr/>
            </w:pPr>
            <w:r>
              <w:rPr/>
            </w:r>
          </w:p>
        </w:tc>
        <w:tc>
          <w:tcPr>
            <w:tcW w:w="171" w:type="dxa"/>
            <w:tcBorders/>
            <w:shd w:fill="auto" w:val="clear"/>
            <w:vAlign w:val="bottom"/>
          </w:tcPr>
          <w:p>
            <w:pPr>
              <w:pStyle w:val="TableContents"/>
              <w:spacing w:before="0" w:after="283"/>
              <w:rPr/>
            </w:pPr>
            <w:r>
              <w:rPr/>
              <w:t>  </w:t>
            </w:r>
          </w:p>
        </w:tc>
        <w:tc>
          <w:tcPr>
            <w:tcW w:w="71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High</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71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Low</w:t>
            </w:r>
          </w:p>
        </w:tc>
        <w:tc>
          <w:tcPr>
            <w:tcW w:w="60" w:type="dxa"/>
            <w:tcBorders/>
            <w:shd w:fill="auto" w:val="clear"/>
            <w:vAlign w:val="bottom"/>
          </w:tcPr>
          <w:p>
            <w:pPr>
              <w:pStyle w:val="TableContents"/>
              <w:spacing w:before="0" w:after="283"/>
              <w:rPr/>
            </w:pPr>
            <w:r>
              <w:rPr/>
              <w:t> </w:t>
            </w:r>
          </w:p>
        </w:tc>
        <w:tc>
          <w:tcPr>
            <w:tcW w:w="171" w:type="dxa"/>
            <w:vMerge w:val="continue"/>
            <w:tcBorders/>
            <w:shd w:fill="auto" w:val="clear"/>
            <w:vAlign w:val="bottom"/>
          </w:tcPr>
          <w:p>
            <w:pPr>
              <w:pStyle w:val="Normal"/>
              <w:rPr/>
            </w:pPr>
            <w:r>
              <w:rPr/>
            </w:r>
          </w:p>
        </w:tc>
        <w:tc>
          <w:tcPr>
            <w:tcW w:w="1251" w:type="dxa"/>
            <w:gridSpan w:val="2"/>
            <w:vMerge w:val="continue"/>
            <w:tcBorders>
              <w:bottom w:val="single" w:sz="8" w:space="0" w:color="000000"/>
            </w:tcBorders>
            <w:shd w:fill="auto" w:val="clear"/>
            <w:tcMar>
              <w:bottom w:w="28" w:type="dxa"/>
            </w:tcMar>
            <w:vAlign w:val="bottom"/>
          </w:tcPr>
          <w:p>
            <w:pPr>
              <w:pStyle w:val="Normal"/>
              <w:rPr/>
            </w:pPr>
            <w:r>
              <w:rPr/>
            </w:r>
          </w:p>
        </w:tc>
        <w:tc>
          <w:tcPr>
            <w:tcW w:w="282" w:type="dxa"/>
            <w:vMerge w:val="continue"/>
            <w:tcBorders/>
            <w:shd w:fill="auto" w:val="clear"/>
            <w:vAlign w:val="bottom"/>
          </w:tcPr>
          <w:p>
            <w:pPr>
              <w:pStyle w:val="Normal"/>
              <w:rPr/>
            </w:pPr>
            <w:r>
              <w:rPr/>
            </w:r>
          </w:p>
        </w:tc>
        <w:tc>
          <w:tcPr>
            <w:tcW w:w="115" w:type="dxa"/>
            <w:vMerge w:val="continue"/>
            <w:tcBorders/>
            <w:shd w:fill="auto" w:val="clear"/>
            <w:vAlign w:val="bottom"/>
          </w:tcPr>
          <w:p>
            <w:pPr>
              <w:pStyle w:val="Normal"/>
              <w:rPr/>
            </w:pPr>
            <w:r>
              <w:rPr/>
            </w:r>
          </w:p>
        </w:tc>
        <w:tc>
          <w:tcPr>
            <w:tcW w:w="1097" w:type="dxa"/>
            <w:gridSpan w:val="2"/>
            <w:vMerge w:val="continue"/>
            <w:tcBorders>
              <w:bottom w:val="single" w:sz="8" w:space="0" w:color="000000"/>
            </w:tcBorders>
            <w:shd w:fill="auto" w:val="clear"/>
            <w:tcMar>
              <w:bottom w:w="28" w:type="dxa"/>
            </w:tcMar>
            <w:vAlign w:val="bottom"/>
          </w:tcPr>
          <w:p>
            <w:pPr>
              <w:pStyle w:val="Normal"/>
              <w:rPr/>
            </w:pPr>
            <w:r>
              <w:rPr/>
            </w:r>
          </w:p>
        </w:tc>
        <w:tc>
          <w:tcPr>
            <w:tcW w:w="351" w:type="dxa"/>
            <w:vMerge w:val="continue"/>
            <w:tcBorders/>
            <w:shd w:fill="auto" w:val="clear"/>
            <w:vAlign w:val="bottom"/>
          </w:tcPr>
          <w:p>
            <w:pPr>
              <w:pStyle w:val="Normal"/>
              <w:rPr/>
            </w:pPr>
            <w:r>
              <w:rPr/>
            </w:r>
          </w:p>
        </w:tc>
        <w:tc>
          <w:tcPr>
            <w:tcW w:w="116" w:type="dxa"/>
            <w:vMerge w:val="continue"/>
            <w:tcBorders/>
            <w:shd w:fill="auto" w:val="clear"/>
            <w:vAlign w:val="bottom"/>
          </w:tcPr>
          <w:p>
            <w:pPr>
              <w:pStyle w:val="Normal"/>
              <w:rPr/>
            </w:pPr>
            <w:r>
              <w:rPr/>
            </w:r>
          </w:p>
        </w:tc>
        <w:tc>
          <w:tcPr>
            <w:tcW w:w="980" w:type="dxa"/>
            <w:gridSpan w:val="2"/>
            <w:vMerge w:val="continue"/>
            <w:tcBorders>
              <w:bottom w:val="single" w:sz="8" w:space="0" w:color="000000"/>
            </w:tcBorders>
            <w:shd w:fill="auto" w:val="clear"/>
            <w:tcMar>
              <w:bottom w:w="28" w:type="dxa"/>
            </w:tcMar>
            <w:vAlign w:val="bottom"/>
          </w:tcPr>
          <w:p>
            <w:pPr>
              <w:pStyle w:val="Normal"/>
              <w:rPr/>
            </w:pPr>
            <w:r>
              <w:rPr/>
            </w:r>
          </w:p>
        </w:tc>
        <w:tc>
          <w:tcPr>
            <w:tcW w:w="68" w:type="dxa"/>
            <w:vMerge w:val="continue"/>
            <w:tcBorders/>
            <w:shd w:fill="auto" w:val="clear"/>
            <w:vAlign w:val="bottom"/>
          </w:tcPr>
          <w:p>
            <w:pPr>
              <w:pStyle w:val="Normal"/>
              <w:rPr/>
            </w:pPr>
            <w:r>
              <w:rPr/>
            </w:r>
          </w:p>
        </w:tc>
      </w:tr>
      <w:tr>
        <w:trPr/>
        <w:tc>
          <w:tcPr>
            <w:tcW w:w="2942" w:type="dxa"/>
            <w:tcBorders/>
            <w:shd w:fill="CCEEFF" w:val="clear"/>
          </w:tcPr>
          <w:p>
            <w:pPr>
              <w:pStyle w:val="TableContents"/>
              <w:spacing w:before="0" w:after="0"/>
              <w:rPr>
                <w:rFonts w:ascii="Times New Roman" w:hAnsi="Times New Roman"/>
                <w:b/>
                <w:sz w:val="20"/>
              </w:rPr>
            </w:pPr>
            <w:r>
              <w:rPr>
                <w:rFonts w:ascii="Times New Roman" w:hAnsi="Times New Roman"/>
                <w:b/>
                <w:sz w:val="20"/>
              </w:rPr>
              <w:t>Year ended December 31, 2019</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57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57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57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sz w:val="4"/>
                <w:szCs w:val="4"/>
              </w:rPr>
            </w:pPr>
            <w:r>
              <w:rPr>
                <w:sz w:val="4"/>
                <w:szCs w:val="4"/>
              </w:rPr>
            </w:r>
          </w:p>
        </w:tc>
        <w:tc>
          <w:tcPr>
            <w:tcW w:w="1105" w:type="dxa"/>
            <w:tcBorders/>
            <w:shd w:fill="CCEEFF" w:val="clear"/>
            <w:vAlign w:val="bottom"/>
          </w:tcPr>
          <w:p>
            <w:pPr>
              <w:pStyle w:val="TableContents"/>
              <w:spacing w:before="0" w:after="283"/>
              <w:rPr>
                <w:sz w:val="4"/>
                <w:szCs w:val="4"/>
              </w:rPr>
            </w:pPr>
            <w:r>
              <w:rPr>
                <w:sz w:val="4"/>
                <w:szCs w:val="4"/>
              </w:rPr>
            </w:r>
          </w:p>
        </w:tc>
        <w:tc>
          <w:tcPr>
            <w:tcW w:w="282" w:type="dxa"/>
            <w:tcBorders/>
            <w:shd w:fill="CCEEFF" w:val="clear"/>
            <w:vAlign w:val="bottom"/>
          </w:tcPr>
          <w:p>
            <w:pPr>
              <w:pStyle w:val="TableContents"/>
              <w:spacing w:before="0" w:after="283"/>
              <w:rPr>
                <w:sz w:val="4"/>
                <w:szCs w:val="4"/>
              </w:rPr>
            </w:pPr>
            <w:r>
              <w:rPr>
                <w:sz w:val="4"/>
                <w:szCs w:val="4"/>
              </w:rPr>
            </w:r>
          </w:p>
        </w:tc>
        <w:tc>
          <w:tcPr>
            <w:tcW w:w="115"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sz w:val="4"/>
                <w:szCs w:val="4"/>
              </w:rPr>
            </w:pPr>
            <w:r>
              <w:rPr>
                <w:sz w:val="4"/>
                <w:szCs w:val="4"/>
              </w:rPr>
            </w:r>
          </w:p>
        </w:tc>
        <w:tc>
          <w:tcPr>
            <w:tcW w:w="987" w:type="dxa"/>
            <w:tcBorders/>
            <w:shd w:fill="CCEEFF" w:val="clear"/>
            <w:vAlign w:val="bottom"/>
          </w:tcPr>
          <w:p>
            <w:pPr>
              <w:pStyle w:val="TableContents"/>
              <w:spacing w:before="0" w:after="283"/>
              <w:rPr>
                <w:sz w:val="4"/>
                <w:szCs w:val="4"/>
              </w:rPr>
            </w:pPr>
            <w:r>
              <w:rPr>
                <w:sz w:val="4"/>
                <w:szCs w:val="4"/>
              </w:rPr>
            </w:r>
          </w:p>
        </w:tc>
        <w:tc>
          <w:tcPr>
            <w:tcW w:w="351" w:type="dxa"/>
            <w:tcBorders/>
            <w:shd w:fill="CCEEFF" w:val="clear"/>
            <w:vAlign w:val="bottom"/>
          </w:tcPr>
          <w:p>
            <w:pPr>
              <w:pStyle w:val="TableContents"/>
              <w:spacing w:before="0" w:after="283"/>
              <w:rPr>
                <w:sz w:val="4"/>
                <w:szCs w:val="4"/>
              </w:rPr>
            </w:pPr>
            <w:r>
              <w:rPr>
                <w:sz w:val="4"/>
                <w:szCs w:val="4"/>
              </w:rPr>
            </w:r>
          </w:p>
        </w:tc>
        <w:tc>
          <w:tcPr>
            <w:tcW w:w="116"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sz w:val="4"/>
                <w:szCs w:val="4"/>
              </w:rPr>
            </w:pPr>
            <w:r>
              <w:rPr>
                <w:sz w:val="4"/>
                <w:szCs w:val="4"/>
              </w:rPr>
            </w:r>
          </w:p>
        </w:tc>
        <w:tc>
          <w:tcPr>
            <w:tcW w:w="751" w:type="dxa"/>
            <w:tcBorders/>
            <w:shd w:fill="CCEEFF" w:val="clear"/>
            <w:vAlign w:val="bottom"/>
          </w:tcPr>
          <w:p>
            <w:pPr>
              <w:pStyle w:val="TableContents"/>
              <w:spacing w:before="0" w:after="283"/>
              <w:rPr>
                <w:sz w:val="4"/>
                <w:szCs w:val="4"/>
              </w:rPr>
            </w:pPr>
            <w:r>
              <w:rPr>
                <w:sz w:val="4"/>
                <w:szCs w:val="4"/>
              </w:rPr>
            </w:r>
          </w:p>
        </w:tc>
        <w:tc>
          <w:tcPr>
            <w:tcW w:w="68" w:type="dxa"/>
            <w:tcBorders/>
            <w:shd w:fill="CCEEFF" w:val="clear"/>
            <w:vAlign w:val="bottom"/>
          </w:tcPr>
          <w:p>
            <w:pPr>
              <w:pStyle w:val="TableContents"/>
              <w:spacing w:before="0" w:after="283"/>
              <w:rPr>
                <w:sz w:val="4"/>
                <w:szCs w:val="4"/>
              </w:rPr>
            </w:pPr>
            <w:r>
              <w:rPr>
                <w:sz w:val="4"/>
                <w:szCs w:val="4"/>
              </w:rPr>
            </w:r>
          </w:p>
        </w:tc>
      </w:tr>
      <w:tr>
        <w:trPr/>
        <w:tc>
          <w:tcPr>
            <w:tcW w:w="2942" w:type="dxa"/>
            <w:tcBorders/>
            <w:shd w:fill="auto" w:val="clear"/>
          </w:tcPr>
          <w:p>
            <w:pPr>
              <w:pStyle w:val="TableContents"/>
              <w:spacing w:before="0" w:after="0"/>
              <w:rPr>
                <w:rFonts w:ascii="Times New Roman" w:hAnsi="Times New Roman"/>
                <w:sz w:val="20"/>
              </w:rPr>
            </w:pPr>
            <w:r>
              <w:rPr>
                <w:rFonts w:ascii="Times New Roman" w:hAnsi="Times New Roman"/>
                <w:sz w:val="20"/>
              </w:rPr>
              <w:t>First Quarter</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3" w:type="dxa"/>
            <w:tcBorders/>
            <w:shd w:fill="auto" w:val="clear"/>
            <w:vAlign w:val="bottom"/>
          </w:tcPr>
          <w:p>
            <w:pPr>
              <w:pStyle w:val="TableContents"/>
              <w:spacing w:before="0" w:after="283"/>
              <w:jc w:val="right"/>
              <w:rPr/>
            </w:pPr>
            <w:r>
              <w:rPr/>
              <w:t>16.34</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3" w:type="dxa"/>
            <w:tcBorders/>
            <w:shd w:fill="auto" w:val="clear"/>
            <w:vAlign w:val="bottom"/>
          </w:tcPr>
          <w:p>
            <w:pPr>
              <w:pStyle w:val="TableContents"/>
              <w:spacing w:before="0" w:after="283"/>
              <w:jc w:val="right"/>
              <w:rPr/>
            </w:pPr>
            <w:r>
              <w:rPr/>
              <w:t>20.99</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3" w:type="dxa"/>
            <w:tcBorders/>
            <w:shd w:fill="auto" w:val="clear"/>
            <w:vAlign w:val="bottom"/>
          </w:tcPr>
          <w:p>
            <w:pPr>
              <w:pStyle w:val="TableContents"/>
              <w:spacing w:before="0" w:after="283"/>
              <w:jc w:val="right"/>
              <w:rPr/>
            </w:pPr>
            <w:r>
              <w:rPr/>
              <w:t>18.44</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jc w:val="right"/>
              <w:rPr/>
            </w:pPr>
            <w:r>
              <w:rPr/>
              <w:t>28.5</w:t>
            </w:r>
          </w:p>
        </w:tc>
        <w:tc>
          <w:tcPr>
            <w:tcW w:w="282"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jc w:val="right"/>
              <w:rPr/>
            </w:pPr>
            <w:r>
              <w:rPr/>
              <w:t>12.9</w:t>
            </w:r>
          </w:p>
        </w:tc>
        <w:tc>
          <w:tcPr>
            <w:tcW w:w="351"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w:t>
            </w:r>
          </w:p>
        </w:tc>
        <w:tc>
          <w:tcPr>
            <w:tcW w:w="751" w:type="dxa"/>
            <w:tcBorders/>
            <w:shd w:fill="auto" w:val="clear"/>
            <w:vAlign w:val="bottom"/>
          </w:tcPr>
          <w:p>
            <w:pPr>
              <w:pStyle w:val="TableContents"/>
              <w:spacing w:before="0" w:after="283"/>
              <w:jc w:val="right"/>
              <w:rPr/>
            </w:pPr>
            <w:r>
              <w:rPr/>
              <w:t>0.51</w:t>
            </w:r>
          </w:p>
        </w:tc>
        <w:tc>
          <w:tcPr>
            <w:tcW w:w="68" w:type="dxa"/>
            <w:tcBorders/>
            <w:shd w:fill="auto" w:val="clear"/>
            <w:vAlign w:val="bottom"/>
          </w:tcPr>
          <w:p>
            <w:pPr>
              <w:pStyle w:val="TableContents"/>
              <w:spacing w:before="0" w:after="283"/>
              <w:rPr/>
            </w:pPr>
            <w:r>
              <w:rPr/>
              <w:t> </w:t>
            </w:r>
          </w:p>
        </w:tc>
      </w:tr>
      <w:tr>
        <w:trPr/>
        <w:tc>
          <w:tcPr>
            <w:tcW w:w="2942" w:type="dxa"/>
            <w:tcBorders/>
            <w:shd w:fill="CCEEFF" w:val="clear"/>
          </w:tcPr>
          <w:p>
            <w:pPr>
              <w:pStyle w:val="TableContents"/>
              <w:spacing w:before="0" w:after="0"/>
              <w:rPr>
                <w:rFonts w:ascii="Times New Roman" w:hAnsi="Times New Roman"/>
                <w:sz w:val="20"/>
              </w:rPr>
            </w:pPr>
            <w:r>
              <w:rPr>
                <w:rFonts w:ascii="Times New Roman" w:hAnsi="Times New Roman"/>
                <w:sz w:val="20"/>
              </w:rPr>
              <w:t>Second Quarter</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3" w:type="dxa"/>
            <w:tcBorders/>
            <w:shd w:fill="CCEEFF" w:val="clear"/>
            <w:vAlign w:val="bottom"/>
          </w:tcPr>
          <w:p>
            <w:pPr>
              <w:pStyle w:val="TableContents"/>
              <w:spacing w:before="0" w:after="283"/>
              <w:jc w:val="right"/>
              <w:rPr/>
            </w:pPr>
            <w:r>
              <w:rPr/>
              <w:t>16.68</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3" w:type="dxa"/>
            <w:tcBorders/>
            <w:shd w:fill="CCEEFF" w:val="clear"/>
            <w:vAlign w:val="bottom"/>
          </w:tcPr>
          <w:p>
            <w:pPr>
              <w:pStyle w:val="TableContents"/>
              <w:spacing w:before="0" w:after="283"/>
              <w:jc w:val="right"/>
              <w:rPr/>
            </w:pPr>
            <w:r>
              <w:rPr/>
              <w:t>20.29</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3" w:type="dxa"/>
            <w:tcBorders/>
            <w:shd w:fill="CCEEFF" w:val="clear"/>
            <w:vAlign w:val="bottom"/>
          </w:tcPr>
          <w:p>
            <w:pPr>
              <w:pStyle w:val="TableContents"/>
              <w:spacing w:before="0" w:after="283"/>
              <w:jc w:val="right"/>
              <w:rPr/>
            </w:pPr>
            <w:r>
              <w:rPr/>
              <w:t>19.49</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05" w:type="dxa"/>
            <w:tcBorders/>
            <w:shd w:fill="CCEEFF" w:val="clear"/>
            <w:vAlign w:val="bottom"/>
          </w:tcPr>
          <w:p>
            <w:pPr>
              <w:pStyle w:val="TableContents"/>
              <w:spacing w:before="0" w:after="283"/>
              <w:jc w:val="right"/>
              <w:rPr/>
            </w:pPr>
            <w:r>
              <w:rPr/>
              <w:t>21.6</w:t>
            </w:r>
          </w:p>
        </w:tc>
        <w:tc>
          <w:tcPr>
            <w:tcW w:w="282"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987" w:type="dxa"/>
            <w:tcBorders/>
            <w:shd w:fill="CCEEFF" w:val="clear"/>
            <w:vAlign w:val="bottom"/>
          </w:tcPr>
          <w:p>
            <w:pPr>
              <w:pStyle w:val="TableContents"/>
              <w:spacing w:before="0" w:after="283"/>
              <w:jc w:val="right"/>
              <w:rPr/>
            </w:pPr>
            <w:r>
              <w:rPr/>
              <w:t>16.8</w:t>
            </w:r>
          </w:p>
        </w:tc>
        <w:tc>
          <w:tcPr>
            <w:tcW w:w="351"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w:t>
            </w:r>
          </w:p>
        </w:tc>
        <w:tc>
          <w:tcPr>
            <w:tcW w:w="751" w:type="dxa"/>
            <w:tcBorders/>
            <w:shd w:fill="CCEEFF" w:val="clear"/>
            <w:vAlign w:val="bottom"/>
          </w:tcPr>
          <w:p>
            <w:pPr>
              <w:pStyle w:val="TableContents"/>
              <w:spacing w:before="0" w:after="283"/>
              <w:jc w:val="right"/>
              <w:rPr/>
            </w:pPr>
            <w:r>
              <w:rPr/>
              <w:t>0.40</w:t>
            </w:r>
          </w:p>
        </w:tc>
        <w:tc>
          <w:tcPr>
            <w:tcW w:w="68" w:type="dxa"/>
            <w:tcBorders/>
            <w:shd w:fill="CCEEFF" w:val="clear"/>
            <w:vAlign w:val="bottom"/>
          </w:tcPr>
          <w:p>
            <w:pPr>
              <w:pStyle w:val="TableContents"/>
              <w:spacing w:before="0" w:after="283"/>
              <w:rPr/>
            </w:pPr>
            <w:r>
              <w:rPr/>
              <w:t> </w:t>
            </w:r>
          </w:p>
        </w:tc>
      </w:tr>
      <w:tr>
        <w:trPr/>
        <w:tc>
          <w:tcPr>
            <w:tcW w:w="2942" w:type="dxa"/>
            <w:tcBorders/>
            <w:shd w:fill="auto" w:val="clear"/>
          </w:tcPr>
          <w:p>
            <w:pPr>
              <w:pStyle w:val="TableContents"/>
              <w:spacing w:before="0" w:after="0"/>
              <w:rPr>
                <w:rFonts w:ascii="Times New Roman" w:hAnsi="Times New Roman"/>
                <w:sz w:val="20"/>
              </w:rPr>
            </w:pPr>
            <w:r>
              <w:rPr>
                <w:rFonts w:ascii="Times New Roman" w:hAnsi="Times New Roman"/>
                <w:sz w:val="20"/>
              </w:rPr>
              <w:t>Third Quarter</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3" w:type="dxa"/>
            <w:tcBorders/>
            <w:shd w:fill="auto" w:val="clear"/>
            <w:vAlign w:val="bottom"/>
          </w:tcPr>
          <w:p>
            <w:pPr>
              <w:pStyle w:val="TableContents"/>
              <w:spacing w:before="0" w:after="283"/>
              <w:jc w:val="right"/>
              <w:rPr/>
            </w:pPr>
            <w:r>
              <w:rPr/>
              <w:t>16.72</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3" w:type="dxa"/>
            <w:tcBorders/>
            <w:shd w:fill="auto" w:val="clear"/>
            <w:vAlign w:val="bottom"/>
          </w:tcPr>
          <w:p>
            <w:pPr>
              <w:pStyle w:val="TableContents"/>
              <w:spacing w:before="0" w:after="283"/>
              <w:jc w:val="right"/>
              <w:rPr/>
            </w:pPr>
            <w:r>
              <w:rPr/>
              <w:t>21.01</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3" w:type="dxa"/>
            <w:tcBorders/>
            <w:shd w:fill="auto" w:val="clear"/>
            <w:vAlign w:val="bottom"/>
          </w:tcPr>
          <w:p>
            <w:pPr>
              <w:pStyle w:val="TableContents"/>
              <w:spacing w:before="0" w:after="283"/>
              <w:jc w:val="right"/>
              <w:rPr/>
            </w:pPr>
            <w:r>
              <w:rPr/>
              <w:t>19.36</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jc w:val="right"/>
              <w:rPr/>
            </w:pPr>
            <w:r>
              <w:rPr/>
              <w:t>25.7</w:t>
            </w:r>
          </w:p>
        </w:tc>
        <w:tc>
          <w:tcPr>
            <w:tcW w:w="282"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jc w:val="right"/>
              <w:rPr/>
            </w:pPr>
            <w:r>
              <w:rPr/>
              <w:t>15.8</w:t>
            </w:r>
          </w:p>
        </w:tc>
        <w:tc>
          <w:tcPr>
            <w:tcW w:w="351"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w:t>
            </w:r>
          </w:p>
        </w:tc>
        <w:tc>
          <w:tcPr>
            <w:tcW w:w="751" w:type="dxa"/>
            <w:tcBorders/>
            <w:shd w:fill="auto" w:val="clear"/>
            <w:vAlign w:val="bottom"/>
          </w:tcPr>
          <w:p>
            <w:pPr>
              <w:pStyle w:val="TableContents"/>
              <w:spacing w:before="0" w:after="283"/>
              <w:jc w:val="right"/>
              <w:rPr/>
            </w:pPr>
            <w:r>
              <w:rPr/>
              <w:t>0.43</w:t>
            </w:r>
          </w:p>
        </w:tc>
        <w:tc>
          <w:tcPr>
            <w:tcW w:w="68" w:type="dxa"/>
            <w:tcBorders/>
            <w:shd w:fill="auto" w:val="clear"/>
            <w:vAlign w:val="bottom"/>
          </w:tcPr>
          <w:p>
            <w:pPr>
              <w:pStyle w:val="TableContents"/>
              <w:spacing w:before="0" w:after="283"/>
              <w:rPr/>
            </w:pPr>
            <w:r>
              <w:rPr/>
              <w:t> </w:t>
            </w:r>
          </w:p>
        </w:tc>
      </w:tr>
      <w:tr>
        <w:trPr/>
        <w:tc>
          <w:tcPr>
            <w:tcW w:w="2942" w:type="dxa"/>
            <w:tcBorders/>
            <w:shd w:fill="CCEEFF" w:val="clear"/>
          </w:tcPr>
          <w:p>
            <w:pPr>
              <w:pStyle w:val="TableContents"/>
              <w:spacing w:before="0" w:after="0"/>
              <w:rPr>
                <w:rFonts w:ascii="Times New Roman" w:hAnsi="Times New Roman"/>
                <w:sz w:val="20"/>
              </w:rPr>
            </w:pPr>
            <w:r>
              <w:rPr>
                <w:rFonts w:ascii="Times New Roman" w:hAnsi="Times New Roman"/>
                <w:sz w:val="20"/>
              </w:rPr>
              <w:t>Fourth Quarter</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3" w:type="dxa"/>
            <w:tcBorders/>
            <w:shd w:fill="CCEEFF" w:val="clear"/>
            <w:vAlign w:val="bottom"/>
          </w:tcPr>
          <w:p>
            <w:pPr>
              <w:pStyle w:val="TableContents"/>
              <w:spacing w:before="0" w:after="283"/>
              <w:jc w:val="right"/>
              <w:rPr/>
            </w:pPr>
            <w:r>
              <w:rPr/>
              <w:t>16.83</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3" w:type="dxa"/>
            <w:tcBorders/>
            <w:shd w:fill="CCEEFF" w:val="clear"/>
            <w:vAlign w:val="bottom"/>
          </w:tcPr>
          <w:p>
            <w:pPr>
              <w:pStyle w:val="TableContents"/>
              <w:spacing w:before="0" w:after="283"/>
              <w:jc w:val="right"/>
              <w:rPr/>
            </w:pPr>
            <w:r>
              <w:rPr/>
              <w:t>21.83</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3" w:type="dxa"/>
            <w:tcBorders/>
            <w:shd w:fill="CCEEFF" w:val="clear"/>
            <w:vAlign w:val="bottom"/>
          </w:tcPr>
          <w:p>
            <w:pPr>
              <w:pStyle w:val="TableContents"/>
              <w:spacing w:before="0" w:after="283"/>
              <w:jc w:val="right"/>
              <w:rPr/>
            </w:pPr>
            <w:r>
              <w:rPr/>
              <w:t>20.01</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05" w:type="dxa"/>
            <w:tcBorders/>
            <w:shd w:fill="CCEEFF" w:val="clear"/>
            <w:vAlign w:val="bottom"/>
          </w:tcPr>
          <w:p>
            <w:pPr>
              <w:pStyle w:val="TableContents"/>
              <w:spacing w:before="0" w:after="283"/>
              <w:jc w:val="right"/>
              <w:rPr/>
            </w:pPr>
            <w:r>
              <w:rPr/>
              <w:t>29.7</w:t>
            </w:r>
          </w:p>
        </w:tc>
        <w:tc>
          <w:tcPr>
            <w:tcW w:w="282"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987" w:type="dxa"/>
            <w:tcBorders/>
            <w:shd w:fill="CCEEFF" w:val="clear"/>
            <w:vAlign w:val="bottom"/>
          </w:tcPr>
          <w:p>
            <w:pPr>
              <w:pStyle w:val="TableContents"/>
              <w:spacing w:before="0" w:after="283"/>
              <w:jc w:val="right"/>
              <w:rPr/>
            </w:pPr>
            <w:r>
              <w:rPr/>
              <w:t>18.9</w:t>
            </w:r>
          </w:p>
        </w:tc>
        <w:tc>
          <w:tcPr>
            <w:tcW w:w="351"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w:t>
            </w:r>
          </w:p>
        </w:tc>
        <w:tc>
          <w:tcPr>
            <w:tcW w:w="751" w:type="dxa"/>
            <w:tcBorders/>
            <w:shd w:fill="CCEEFF" w:val="clear"/>
            <w:vAlign w:val="bottom"/>
          </w:tcPr>
          <w:p>
            <w:pPr>
              <w:pStyle w:val="TableContents"/>
              <w:spacing w:before="0" w:after="283"/>
              <w:jc w:val="right"/>
              <w:rPr/>
            </w:pPr>
            <w:r>
              <w:rPr/>
              <w:t>0.47</w:t>
            </w:r>
          </w:p>
        </w:tc>
        <w:tc>
          <w:tcPr>
            <w:tcW w:w="68" w:type="dxa"/>
            <w:tcBorders/>
            <w:shd w:fill="CCEEFF" w:val="clear"/>
            <w:vAlign w:val="bottom"/>
          </w:tcPr>
          <w:p>
            <w:pPr>
              <w:pStyle w:val="TableContents"/>
              <w:spacing w:before="0" w:after="283"/>
              <w:rPr/>
            </w:pPr>
            <w:r>
              <w:rPr/>
              <w:t> </w:t>
            </w:r>
          </w:p>
        </w:tc>
      </w:tr>
      <w:tr>
        <w:trPr/>
        <w:tc>
          <w:tcPr>
            <w:tcW w:w="2942" w:type="dxa"/>
            <w:tcBorders/>
            <w:shd w:fill="auto" w:val="clear"/>
          </w:tcPr>
          <w:p>
            <w:pPr>
              <w:pStyle w:val="TableContents"/>
              <w:spacing w:before="0" w:after="0"/>
              <w:rPr>
                <w:rFonts w:ascii="Times New Roman" w:hAnsi="Times New Roman"/>
                <w:b/>
                <w:sz w:val="20"/>
              </w:rPr>
            </w:pPr>
            <w:r>
              <w:rPr>
                <w:rFonts w:ascii="Times New Roman" w:hAnsi="Times New Roman"/>
                <w:b/>
                <w:sz w:val="20"/>
              </w:rPr>
              <w:t>Year ended December 31, 2020</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57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57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57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sz w:val="4"/>
                <w:szCs w:val="4"/>
              </w:rPr>
            </w:pPr>
            <w:r>
              <w:rPr>
                <w:sz w:val="4"/>
                <w:szCs w:val="4"/>
              </w:rPr>
            </w:r>
          </w:p>
        </w:tc>
        <w:tc>
          <w:tcPr>
            <w:tcW w:w="1105" w:type="dxa"/>
            <w:tcBorders/>
            <w:shd w:fill="auto" w:val="clear"/>
            <w:vAlign w:val="bottom"/>
          </w:tcPr>
          <w:p>
            <w:pPr>
              <w:pStyle w:val="TableContents"/>
              <w:spacing w:before="0" w:after="283"/>
              <w:rPr>
                <w:sz w:val="4"/>
                <w:szCs w:val="4"/>
              </w:rPr>
            </w:pPr>
            <w:r>
              <w:rPr>
                <w:sz w:val="4"/>
                <w:szCs w:val="4"/>
              </w:rPr>
            </w:r>
          </w:p>
        </w:tc>
        <w:tc>
          <w:tcPr>
            <w:tcW w:w="282" w:type="dxa"/>
            <w:tcBorders/>
            <w:shd w:fill="auto" w:val="clear"/>
            <w:vAlign w:val="bottom"/>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sz w:val="4"/>
                <w:szCs w:val="4"/>
              </w:rPr>
            </w:pPr>
            <w:r>
              <w:rPr>
                <w:sz w:val="4"/>
                <w:szCs w:val="4"/>
              </w:rPr>
            </w:r>
          </w:p>
        </w:tc>
        <w:tc>
          <w:tcPr>
            <w:tcW w:w="987" w:type="dxa"/>
            <w:tcBorders/>
            <w:shd w:fill="auto" w:val="clear"/>
            <w:vAlign w:val="bottom"/>
          </w:tcPr>
          <w:p>
            <w:pPr>
              <w:pStyle w:val="TableContents"/>
              <w:spacing w:before="0" w:after="283"/>
              <w:rPr>
                <w:sz w:val="4"/>
                <w:szCs w:val="4"/>
              </w:rPr>
            </w:pPr>
            <w:r>
              <w:rPr>
                <w:sz w:val="4"/>
                <w:szCs w:val="4"/>
              </w:rPr>
            </w:r>
          </w:p>
        </w:tc>
        <w:tc>
          <w:tcPr>
            <w:tcW w:w="351" w:type="dxa"/>
            <w:tcBorders/>
            <w:shd w:fill="auto" w:val="clear"/>
            <w:vAlign w:val="bottom"/>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sz w:val="4"/>
                <w:szCs w:val="4"/>
              </w:rPr>
            </w:pPr>
            <w:r>
              <w:rPr>
                <w:sz w:val="4"/>
                <w:szCs w:val="4"/>
              </w:rPr>
            </w:r>
          </w:p>
        </w:tc>
        <w:tc>
          <w:tcPr>
            <w:tcW w:w="751" w:type="dxa"/>
            <w:tcBorders/>
            <w:shd w:fill="auto" w:val="clear"/>
            <w:vAlign w:val="bottom"/>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sz w:val="4"/>
                <w:szCs w:val="4"/>
              </w:rPr>
            </w:pPr>
            <w:r>
              <w:rPr>
                <w:sz w:val="4"/>
                <w:szCs w:val="4"/>
              </w:rPr>
            </w:r>
          </w:p>
        </w:tc>
      </w:tr>
      <w:tr>
        <w:trPr/>
        <w:tc>
          <w:tcPr>
            <w:tcW w:w="2942" w:type="dxa"/>
            <w:tcBorders/>
            <w:shd w:fill="CCEEFF" w:val="clear"/>
          </w:tcPr>
          <w:p>
            <w:pPr>
              <w:pStyle w:val="TableContents"/>
              <w:spacing w:before="0" w:after="0"/>
              <w:rPr>
                <w:rFonts w:ascii="Times New Roman" w:hAnsi="Times New Roman"/>
                <w:sz w:val="20"/>
              </w:rPr>
            </w:pPr>
            <w:r>
              <w:rPr>
                <w:rFonts w:ascii="Times New Roman" w:hAnsi="Times New Roman"/>
                <w:sz w:val="20"/>
              </w:rPr>
              <w:t>First Quarter</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3" w:type="dxa"/>
            <w:tcBorders/>
            <w:shd w:fill="CCEEFF" w:val="clear"/>
            <w:vAlign w:val="bottom"/>
          </w:tcPr>
          <w:p>
            <w:pPr>
              <w:pStyle w:val="TableContents"/>
              <w:spacing w:before="0" w:after="283"/>
              <w:jc w:val="right"/>
              <w:rPr/>
            </w:pPr>
            <w:r>
              <w:rPr/>
              <w:t>15.57</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3" w:type="dxa"/>
            <w:tcBorders/>
            <w:shd w:fill="CCEEFF" w:val="clear"/>
            <w:vAlign w:val="bottom"/>
          </w:tcPr>
          <w:p>
            <w:pPr>
              <w:pStyle w:val="TableContents"/>
              <w:spacing w:before="0" w:after="283"/>
              <w:jc w:val="right"/>
              <w:rPr/>
            </w:pPr>
            <w:r>
              <w:rPr/>
              <w:t>23.28</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3" w:type="dxa"/>
            <w:tcBorders/>
            <w:shd w:fill="CCEEFF" w:val="clear"/>
            <w:vAlign w:val="bottom"/>
          </w:tcPr>
          <w:p>
            <w:pPr>
              <w:pStyle w:val="TableContents"/>
              <w:spacing w:before="0" w:after="283"/>
              <w:jc w:val="right"/>
              <w:rPr/>
            </w:pPr>
            <w:r>
              <w:rPr/>
              <w:t>11.30</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05" w:type="dxa"/>
            <w:tcBorders/>
            <w:shd w:fill="CCEEFF" w:val="clear"/>
            <w:vAlign w:val="bottom"/>
          </w:tcPr>
          <w:p>
            <w:pPr>
              <w:pStyle w:val="TableContents"/>
              <w:spacing w:before="0" w:after="283"/>
              <w:jc w:val="right"/>
              <w:rPr/>
            </w:pPr>
            <w:r>
              <w:rPr/>
              <w:t>49.5</w:t>
            </w:r>
          </w:p>
        </w:tc>
        <w:tc>
          <w:tcPr>
            <w:tcW w:w="282"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987" w:type="dxa"/>
            <w:tcBorders/>
            <w:shd w:fill="CCEEFF" w:val="clear"/>
            <w:vAlign w:val="bottom"/>
          </w:tcPr>
          <w:p>
            <w:pPr>
              <w:pStyle w:val="TableContents"/>
              <w:spacing w:before="0" w:after="283"/>
              <w:jc w:val="right"/>
              <w:rPr/>
            </w:pPr>
            <w:r>
              <w:rPr/>
              <w:t>(27.4</w:t>
            </w:r>
          </w:p>
        </w:tc>
        <w:tc>
          <w:tcPr>
            <w:tcW w:w="351"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w:t>
            </w:r>
          </w:p>
        </w:tc>
        <w:tc>
          <w:tcPr>
            <w:tcW w:w="751" w:type="dxa"/>
            <w:tcBorders/>
            <w:shd w:fill="CCEEFF" w:val="clear"/>
            <w:vAlign w:val="bottom"/>
          </w:tcPr>
          <w:p>
            <w:pPr>
              <w:pStyle w:val="TableContents"/>
              <w:spacing w:before="0" w:after="283"/>
              <w:jc w:val="right"/>
              <w:rPr/>
            </w:pPr>
            <w:r>
              <w:rPr/>
              <w:t>0.97</w:t>
            </w:r>
          </w:p>
        </w:tc>
        <w:tc>
          <w:tcPr>
            <w:tcW w:w="68" w:type="dxa"/>
            <w:tcBorders/>
            <w:shd w:fill="CCEEFF" w:val="clear"/>
            <w:vAlign w:val="bottom"/>
          </w:tcPr>
          <w:p>
            <w:pPr>
              <w:pStyle w:val="TableContents"/>
              <w:spacing w:before="0" w:after="283"/>
              <w:rPr/>
            </w:pPr>
            <w:r>
              <w:rPr/>
              <w:t> </w:t>
            </w:r>
          </w:p>
        </w:tc>
      </w:tr>
      <w:tr>
        <w:trPr/>
        <w:tc>
          <w:tcPr>
            <w:tcW w:w="2942" w:type="dxa"/>
            <w:tcBorders/>
            <w:shd w:fill="auto" w:val="clear"/>
          </w:tcPr>
          <w:p>
            <w:pPr>
              <w:pStyle w:val="TableContents"/>
              <w:spacing w:before="0" w:after="0"/>
              <w:rPr>
                <w:rFonts w:ascii="Times New Roman" w:hAnsi="Times New Roman"/>
                <w:sz w:val="20"/>
              </w:rPr>
            </w:pPr>
            <w:r>
              <w:rPr>
                <w:rFonts w:ascii="Times New Roman" w:hAnsi="Times New Roman"/>
                <w:sz w:val="20"/>
              </w:rPr>
              <w:t>Second Quarter</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3" w:type="dxa"/>
            <w:tcBorders/>
            <w:shd w:fill="auto" w:val="clear"/>
            <w:vAlign w:val="bottom"/>
          </w:tcPr>
          <w:p>
            <w:pPr>
              <w:pStyle w:val="TableContents"/>
              <w:spacing w:before="0" w:after="283"/>
              <w:jc w:val="right"/>
              <w:rPr/>
            </w:pPr>
            <w:r>
              <w:rPr/>
              <w:t>16.08</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3" w:type="dxa"/>
            <w:tcBorders/>
            <w:shd w:fill="auto" w:val="clear"/>
            <w:vAlign w:val="bottom"/>
          </w:tcPr>
          <w:p>
            <w:pPr>
              <w:pStyle w:val="TableContents"/>
              <w:spacing w:before="0" w:after="283"/>
              <w:jc w:val="right"/>
              <w:rPr/>
            </w:pPr>
            <w:r>
              <w:rPr/>
              <w:t>19.51</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3" w:type="dxa"/>
            <w:tcBorders/>
            <w:shd w:fill="auto" w:val="clear"/>
            <w:vAlign w:val="bottom"/>
          </w:tcPr>
          <w:p>
            <w:pPr>
              <w:pStyle w:val="TableContents"/>
              <w:spacing w:before="0" w:after="283"/>
              <w:jc w:val="right"/>
              <w:rPr/>
            </w:pPr>
            <w:r>
              <w:rPr/>
              <w:t>12.57</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jc w:val="right"/>
              <w:rPr/>
            </w:pPr>
            <w:r>
              <w:rPr/>
              <w:t>21.3</w:t>
            </w:r>
          </w:p>
        </w:tc>
        <w:tc>
          <w:tcPr>
            <w:tcW w:w="282"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jc w:val="right"/>
              <w:rPr/>
            </w:pPr>
            <w:r>
              <w:rPr/>
              <w:t>(21.8</w:t>
            </w:r>
          </w:p>
        </w:tc>
        <w:tc>
          <w:tcPr>
            <w:tcW w:w="351"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w:t>
            </w:r>
          </w:p>
        </w:tc>
        <w:tc>
          <w:tcPr>
            <w:tcW w:w="751" w:type="dxa"/>
            <w:tcBorders/>
            <w:shd w:fill="auto" w:val="clear"/>
            <w:vAlign w:val="bottom"/>
          </w:tcPr>
          <w:p>
            <w:pPr>
              <w:pStyle w:val="TableContents"/>
              <w:spacing w:before="0" w:after="283"/>
              <w:jc w:val="right"/>
              <w:rPr/>
            </w:pPr>
            <w:r>
              <w:rPr/>
              <w:t>0.41</w:t>
            </w:r>
          </w:p>
        </w:tc>
        <w:tc>
          <w:tcPr>
            <w:tcW w:w="68" w:type="dxa"/>
            <w:tcBorders/>
            <w:shd w:fill="auto" w:val="clear"/>
            <w:vAlign w:val="bottom"/>
          </w:tcPr>
          <w:p>
            <w:pPr>
              <w:pStyle w:val="TableContents"/>
              <w:spacing w:before="0" w:after="283"/>
              <w:rPr/>
            </w:pPr>
            <w:r>
              <w:rPr/>
              <w:t> </w:t>
            </w:r>
          </w:p>
        </w:tc>
      </w:tr>
      <w:tr>
        <w:trPr/>
        <w:tc>
          <w:tcPr>
            <w:tcW w:w="2942" w:type="dxa"/>
            <w:tcBorders/>
            <w:shd w:fill="CCEEFF" w:val="clear"/>
          </w:tcPr>
          <w:p>
            <w:pPr>
              <w:pStyle w:val="TableContents"/>
              <w:spacing w:before="0" w:after="0"/>
              <w:rPr>
                <w:rFonts w:ascii="Times New Roman" w:hAnsi="Times New Roman"/>
                <w:sz w:val="20"/>
              </w:rPr>
            </w:pPr>
            <w:r>
              <w:rPr>
                <w:rFonts w:ascii="Times New Roman" w:hAnsi="Times New Roman"/>
                <w:sz w:val="20"/>
              </w:rPr>
              <w:t>Third Quarter</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3" w:type="dxa"/>
            <w:tcBorders/>
            <w:shd w:fill="CCEEFF" w:val="clear"/>
            <w:vAlign w:val="bottom"/>
          </w:tcPr>
          <w:p>
            <w:pPr>
              <w:pStyle w:val="TableContents"/>
              <w:spacing w:before="0" w:after="283"/>
              <w:jc w:val="right"/>
              <w:rPr/>
            </w:pPr>
            <w:r>
              <w:rPr/>
              <w:t>16.87</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3" w:type="dxa"/>
            <w:tcBorders/>
            <w:shd w:fill="CCEEFF" w:val="clear"/>
            <w:vAlign w:val="bottom"/>
          </w:tcPr>
          <w:p>
            <w:pPr>
              <w:pStyle w:val="TableContents"/>
              <w:spacing w:before="0" w:after="283"/>
              <w:jc w:val="right"/>
              <w:rPr/>
            </w:pPr>
            <w:r>
              <w:rPr/>
              <w:t>18.48</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3" w:type="dxa"/>
            <w:tcBorders/>
            <w:shd w:fill="CCEEFF" w:val="clear"/>
            <w:vAlign w:val="bottom"/>
          </w:tcPr>
          <w:p>
            <w:pPr>
              <w:pStyle w:val="TableContents"/>
              <w:spacing w:before="0" w:after="283"/>
              <w:jc w:val="right"/>
              <w:rPr/>
            </w:pPr>
            <w:r>
              <w:rPr/>
              <w:t>15.68</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05" w:type="dxa"/>
            <w:tcBorders/>
            <w:shd w:fill="CCEEFF" w:val="clear"/>
            <w:vAlign w:val="bottom"/>
          </w:tcPr>
          <w:p>
            <w:pPr>
              <w:pStyle w:val="TableContents"/>
              <w:spacing w:before="0" w:after="283"/>
              <w:jc w:val="right"/>
              <w:rPr/>
            </w:pPr>
            <w:r>
              <w:rPr/>
              <w:t>9.5</w:t>
            </w:r>
          </w:p>
        </w:tc>
        <w:tc>
          <w:tcPr>
            <w:tcW w:w="282"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987" w:type="dxa"/>
            <w:tcBorders/>
            <w:shd w:fill="CCEEFF" w:val="clear"/>
            <w:vAlign w:val="bottom"/>
          </w:tcPr>
          <w:p>
            <w:pPr>
              <w:pStyle w:val="TableContents"/>
              <w:spacing w:before="0" w:after="283"/>
              <w:jc w:val="right"/>
              <w:rPr/>
            </w:pPr>
            <w:r>
              <w:rPr/>
              <w:t>(7.1</w:t>
            </w:r>
          </w:p>
        </w:tc>
        <w:tc>
          <w:tcPr>
            <w:tcW w:w="351"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w:t>
            </w:r>
          </w:p>
        </w:tc>
        <w:tc>
          <w:tcPr>
            <w:tcW w:w="751" w:type="dxa"/>
            <w:tcBorders/>
            <w:shd w:fill="CCEEFF" w:val="clear"/>
            <w:vAlign w:val="bottom"/>
          </w:tcPr>
          <w:p>
            <w:pPr>
              <w:pStyle w:val="TableContents"/>
              <w:spacing w:before="0" w:after="283"/>
              <w:jc w:val="right"/>
              <w:rPr/>
            </w:pPr>
            <w:r>
              <w:rPr/>
              <w:t>0.41</w:t>
            </w:r>
          </w:p>
        </w:tc>
        <w:tc>
          <w:tcPr>
            <w:tcW w:w="68" w:type="dxa"/>
            <w:tcBorders/>
            <w:shd w:fill="CCEEFF" w:val="clear"/>
            <w:vAlign w:val="bottom"/>
          </w:tcPr>
          <w:p>
            <w:pPr>
              <w:pStyle w:val="TableContents"/>
              <w:spacing w:before="0" w:after="283"/>
              <w:rPr/>
            </w:pPr>
            <w:r>
              <w:rPr/>
              <w:t> </w:t>
            </w:r>
          </w:p>
        </w:tc>
      </w:tr>
      <w:tr>
        <w:trPr/>
        <w:tc>
          <w:tcPr>
            <w:tcW w:w="2942" w:type="dxa"/>
            <w:tcBorders/>
            <w:shd w:fill="auto" w:val="clear"/>
          </w:tcPr>
          <w:p>
            <w:pPr>
              <w:pStyle w:val="TableContents"/>
              <w:spacing w:before="0" w:after="0"/>
              <w:rPr>
                <w:rFonts w:ascii="Times New Roman" w:hAnsi="Times New Roman"/>
                <w:sz w:val="20"/>
              </w:rPr>
            </w:pPr>
            <w:r>
              <w:rPr>
                <w:rFonts w:ascii="Times New Roman" w:hAnsi="Times New Roman"/>
                <w:sz w:val="20"/>
              </w:rPr>
              <w:t>Fourth Quarter</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3" w:type="dxa"/>
            <w:tcBorders/>
            <w:shd w:fill="auto" w:val="clear"/>
            <w:vAlign w:val="bottom"/>
          </w:tcPr>
          <w:p>
            <w:pPr>
              <w:pStyle w:val="TableContents"/>
              <w:spacing w:before="0" w:after="283"/>
              <w:jc w:val="right"/>
              <w:rPr/>
            </w:pPr>
            <w:r>
              <w:rPr/>
              <w:t>17.16</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3" w:type="dxa"/>
            <w:tcBorders/>
            <w:shd w:fill="auto" w:val="clear"/>
            <w:vAlign w:val="bottom"/>
          </w:tcPr>
          <w:p>
            <w:pPr>
              <w:pStyle w:val="TableContents"/>
              <w:spacing w:before="0" w:after="283"/>
              <w:jc w:val="right"/>
              <w:rPr/>
            </w:pPr>
            <w:r>
              <w:rPr/>
              <w:t>21.24</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3" w:type="dxa"/>
            <w:tcBorders/>
            <w:shd w:fill="auto" w:val="clear"/>
            <w:vAlign w:val="bottom"/>
          </w:tcPr>
          <w:p>
            <w:pPr>
              <w:pStyle w:val="TableContents"/>
              <w:spacing w:before="0" w:after="283"/>
              <w:jc w:val="right"/>
              <w:rPr/>
            </w:pPr>
            <w:r>
              <w:rPr/>
              <w:t>16.31</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jc w:val="right"/>
              <w:rPr/>
            </w:pPr>
            <w:r>
              <w:rPr/>
              <w:t>23.8</w:t>
            </w:r>
          </w:p>
        </w:tc>
        <w:tc>
          <w:tcPr>
            <w:tcW w:w="282"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jc w:val="right"/>
              <w:rPr/>
            </w:pPr>
            <w:r>
              <w:rPr/>
              <w:t>(5.0</w:t>
            </w:r>
          </w:p>
        </w:tc>
        <w:tc>
          <w:tcPr>
            <w:tcW w:w="351"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w:t>
            </w:r>
          </w:p>
        </w:tc>
        <w:tc>
          <w:tcPr>
            <w:tcW w:w="751" w:type="dxa"/>
            <w:tcBorders/>
            <w:shd w:fill="auto" w:val="clear"/>
            <w:vAlign w:val="bottom"/>
          </w:tcPr>
          <w:p>
            <w:pPr>
              <w:pStyle w:val="TableContents"/>
              <w:spacing w:before="0" w:after="283"/>
              <w:jc w:val="right"/>
              <w:rPr/>
            </w:pPr>
            <w:r>
              <w:rPr/>
              <w:t>0.51</w:t>
            </w:r>
          </w:p>
        </w:tc>
        <w:tc>
          <w:tcPr>
            <w:tcW w:w="68" w:type="dxa"/>
            <w:tcBorders/>
            <w:shd w:fill="auto" w:val="clear"/>
            <w:vAlign w:val="bottom"/>
          </w:tcPr>
          <w:p>
            <w:pPr>
              <w:pStyle w:val="TableContents"/>
              <w:spacing w:before="0" w:after="283"/>
              <w:rPr/>
            </w:pPr>
            <w:r>
              <w:rPr/>
              <w:t> </w:t>
            </w:r>
          </w:p>
        </w:tc>
      </w:tr>
      <w:tr>
        <w:trPr/>
        <w:tc>
          <w:tcPr>
            <w:tcW w:w="2942" w:type="dxa"/>
            <w:tcBorders/>
            <w:shd w:fill="CCEEFF" w:val="clear"/>
          </w:tcPr>
          <w:p>
            <w:pPr>
              <w:pStyle w:val="TableContents"/>
              <w:spacing w:before="0" w:after="0"/>
              <w:rPr>
                <w:rFonts w:ascii="Times New Roman" w:hAnsi="Times New Roman"/>
                <w:b/>
                <w:sz w:val="20"/>
              </w:rPr>
            </w:pPr>
            <w:r>
              <w:rPr>
                <w:rFonts w:ascii="Times New Roman" w:hAnsi="Times New Roman"/>
                <w:b/>
                <w:sz w:val="20"/>
              </w:rPr>
              <w:t>Year ended December 31, 2021</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57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57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57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sz w:val="4"/>
                <w:szCs w:val="4"/>
              </w:rPr>
            </w:pPr>
            <w:r>
              <w:rPr>
                <w:sz w:val="4"/>
                <w:szCs w:val="4"/>
              </w:rPr>
            </w:r>
          </w:p>
        </w:tc>
        <w:tc>
          <w:tcPr>
            <w:tcW w:w="1105" w:type="dxa"/>
            <w:tcBorders/>
            <w:shd w:fill="CCEEFF" w:val="clear"/>
            <w:vAlign w:val="bottom"/>
          </w:tcPr>
          <w:p>
            <w:pPr>
              <w:pStyle w:val="TableContents"/>
              <w:spacing w:before="0" w:after="283"/>
              <w:rPr>
                <w:sz w:val="4"/>
                <w:szCs w:val="4"/>
              </w:rPr>
            </w:pPr>
            <w:r>
              <w:rPr>
                <w:sz w:val="4"/>
                <w:szCs w:val="4"/>
              </w:rPr>
            </w:r>
          </w:p>
        </w:tc>
        <w:tc>
          <w:tcPr>
            <w:tcW w:w="282" w:type="dxa"/>
            <w:tcBorders/>
            <w:shd w:fill="CCEEFF" w:val="clear"/>
            <w:vAlign w:val="bottom"/>
          </w:tcPr>
          <w:p>
            <w:pPr>
              <w:pStyle w:val="TableContents"/>
              <w:spacing w:before="0" w:after="283"/>
              <w:rPr>
                <w:sz w:val="4"/>
                <w:szCs w:val="4"/>
              </w:rPr>
            </w:pPr>
            <w:r>
              <w:rPr>
                <w:sz w:val="4"/>
                <w:szCs w:val="4"/>
              </w:rPr>
            </w:r>
          </w:p>
        </w:tc>
        <w:tc>
          <w:tcPr>
            <w:tcW w:w="115"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sz w:val="4"/>
                <w:szCs w:val="4"/>
              </w:rPr>
            </w:pPr>
            <w:r>
              <w:rPr>
                <w:sz w:val="4"/>
                <w:szCs w:val="4"/>
              </w:rPr>
            </w:r>
          </w:p>
        </w:tc>
        <w:tc>
          <w:tcPr>
            <w:tcW w:w="987" w:type="dxa"/>
            <w:tcBorders/>
            <w:shd w:fill="CCEEFF" w:val="clear"/>
            <w:vAlign w:val="bottom"/>
          </w:tcPr>
          <w:p>
            <w:pPr>
              <w:pStyle w:val="TableContents"/>
              <w:spacing w:before="0" w:after="283"/>
              <w:rPr>
                <w:sz w:val="4"/>
                <w:szCs w:val="4"/>
              </w:rPr>
            </w:pPr>
            <w:r>
              <w:rPr>
                <w:sz w:val="4"/>
                <w:szCs w:val="4"/>
              </w:rPr>
            </w:r>
          </w:p>
        </w:tc>
        <w:tc>
          <w:tcPr>
            <w:tcW w:w="351" w:type="dxa"/>
            <w:tcBorders/>
            <w:shd w:fill="CCEEFF" w:val="clear"/>
            <w:vAlign w:val="bottom"/>
          </w:tcPr>
          <w:p>
            <w:pPr>
              <w:pStyle w:val="TableContents"/>
              <w:spacing w:before="0" w:after="283"/>
              <w:rPr>
                <w:sz w:val="4"/>
                <w:szCs w:val="4"/>
              </w:rPr>
            </w:pPr>
            <w:r>
              <w:rPr>
                <w:sz w:val="4"/>
                <w:szCs w:val="4"/>
              </w:rPr>
            </w:r>
          </w:p>
        </w:tc>
        <w:tc>
          <w:tcPr>
            <w:tcW w:w="116"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sz w:val="4"/>
                <w:szCs w:val="4"/>
              </w:rPr>
            </w:pPr>
            <w:r>
              <w:rPr>
                <w:sz w:val="4"/>
                <w:szCs w:val="4"/>
              </w:rPr>
            </w:r>
          </w:p>
        </w:tc>
        <w:tc>
          <w:tcPr>
            <w:tcW w:w="751" w:type="dxa"/>
            <w:tcBorders/>
            <w:shd w:fill="CCEEFF" w:val="clear"/>
            <w:vAlign w:val="bottom"/>
          </w:tcPr>
          <w:p>
            <w:pPr>
              <w:pStyle w:val="TableContents"/>
              <w:spacing w:before="0" w:after="283"/>
              <w:rPr>
                <w:sz w:val="4"/>
                <w:szCs w:val="4"/>
              </w:rPr>
            </w:pPr>
            <w:r>
              <w:rPr>
                <w:sz w:val="4"/>
                <w:szCs w:val="4"/>
              </w:rPr>
            </w:r>
          </w:p>
        </w:tc>
        <w:tc>
          <w:tcPr>
            <w:tcW w:w="68" w:type="dxa"/>
            <w:tcBorders/>
            <w:shd w:fill="CCEEFF" w:val="clear"/>
            <w:vAlign w:val="bottom"/>
          </w:tcPr>
          <w:p>
            <w:pPr>
              <w:pStyle w:val="TableContents"/>
              <w:spacing w:before="0" w:after="283"/>
              <w:rPr>
                <w:sz w:val="4"/>
                <w:szCs w:val="4"/>
              </w:rPr>
            </w:pPr>
            <w:r>
              <w:rPr>
                <w:sz w:val="4"/>
                <w:szCs w:val="4"/>
              </w:rPr>
            </w:r>
          </w:p>
        </w:tc>
      </w:tr>
      <w:tr>
        <w:trPr/>
        <w:tc>
          <w:tcPr>
            <w:tcW w:w="2942" w:type="dxa"/>
            <w:tcBorders/>
            <w:shd w:fill="auto" w:val="clear"/>
          </w:tcPr>
          <w:p>
            <w:pPr>
              <w:pStyle w:val="TableContents"/>
              <w:spacing w:before="0" w:after="0"/>
              <w:rPr>
                <w:rFonts w:ascii="Times New Roman" w:hAnsi="Times New Roman"/>
                <w:sz w:val="20"/>
              </w:rPr>
            </w:pPr>
            <w:r>
              <w:rPr>
                <w:rFonts w:ascii="Times New Roman" w:hAnsi="Times New Roman"/>
                <w:sz w:val="20"/>
              </w:rPr>
              <w:t>First Quarter</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3" w:type="dxa"/>
            <w:tcBorders/>
            <w:shd w:fill="auto" w:val="clear"/>
            <w:vAlign w:val="bottom"/>
          </w:tcPr>
          <w:p>
            <w:pPr>
              <w:pStyle w:val="TableContents"/>
              <w:spacing w:before="0" w:after="283"/>
              <w:jc w:val="right"/>
              <w:rPr/>
            </w:pPr>
            <w:r>
              <w:rPr/>
              <w:t>16.47</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3" w:type="dxa"/>
            <w:tcBorders/>
            <w:shd w:fill="auto" w:val="clear"/>
            <w:vAlign w:val="bottom"/>
          </w:tcPr>
          <w:p>
            <w:pPr>
              <w:pStyle w:val="TableContents"/>
              <w:spacing w:before="0" w:after="283"/>
              <w:jc w:val="right"/>
              <w:rPr/>
            </w:pPr>
            <w:r>
              <w:rPr/>
              <w:t>22.76</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3" w:type="dxa"/>
            <w:tcBorders/>
            <w:shd w:fill="auto" w:val="clear"/>
            <w:vAlign w:val="bottom"/>
          </w:tcPr>
          <w:p>
            <w:pPr>
              <w:pStyle w:val="TableContents"/>
              <w:spacing w:before="0" w:after="283"/>
              <w:jc w:val="right"/>
              <w:rPr/>
            </w:pPr>
            <w:r>
              <w:rPr/>
              <w:t>20.46</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jc w:val="right"/>
              <w:rPr/>
            </w:pPr>
            <w:r>
              <w:rPr/>
              <w:t>38.2</w:t>
            </w:r>
          </w:p>
        </w:tc>
        <w:tc>
          <w:tcPr>
            <w:tcW w:w="282"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jc w:val="right"/>
              <w:rPr/>
            </w:pPr>
            <w:r>
              <w:rPr/>
              <w:t>24.2</w:t>
            </w:r>
          </w:p>
        </w:tc>
        <w:tc>
          <w:tcPr>
            <w:tcW w:w="351"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w:t>
            </w:r>
          </w:p>
        </w:tc>
        <w:tc>
          <w:tcPr>
            <w:tcW w:w="751" w:type="dxa"/>
            <w:tcBorders/>
            <w:shd w:fill="auto" w:val="clear"/>
            <w:vAlign w:val="bottom"/>
          </w:tcPr>
          <w:p>
            <w:pPr>
              <w:pStyle w:val="TableContents"/>
              <w:spacing w:before="0" w:after="283"/>
              <w:jc w:val="right"/>
              <w:rPr/>
            </w:pPr>
            <w:r>
              <w:rPr/>
              <w:t>1.71</w:t>
            </w:r>
          </w:p>
        </w:tc>
        <w:tc>
          <w:tcPr>
            <w:tcW w:w="68" w:type="dxa"/>
            <w:tcBorders/>
            <w:shd w:fill="auto" w:val="clear"/>
            <w:vAlign w:val="bottom"/>
          </w:tcPr>
          <w:p>
            <w:pPr>
              <w:pStyle w:val="TableContents"/>
              <w:spacing w:before="0" w:after="283"/>
              <w:rPr/>
            </w:pPr>
            <w:r>
              <w:rPr/>
              <w:t> </w:t>
            </w:r>
          </w:p>
        </w:tc>
      </w:tr>
      <w:tr>
        <w:trPr/>
        <w:tc>
          <w:tcPr>
            <w:tcW w:w="2942" w:type="dxa"/>
            <w:tcBorders/>
            <w:shd w:fill="CCEEFF" w:val="clear"/>
          </w:tcPr>
          <w:p>
            <w:pPr>
              <w:pStyle w:val="TableContents"/>
              <w:spacing w:before="0" w:after="0"/>
              <w:rPr>
                <w:rFonts w:ascii="Times New Roman" w:hAnsi="Times New Roman"/>
                <w:sz w:val="20"/>
              </w:rPr>
            </w:pPr>
            <w:r>
              <w:rPr>
                <w:rFonts w:ascii="Times New Roman" w:hAnsi="Times New Roman"/>
                <w:sz w:val="20"/>
              </w:rPr>
              <w:t>Second Quarter</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3" w:type="dxa"/>
            <w:tcBorders/>
            <w:shd w:fill="CCEEFF" w:val="clear"/>
            <w:vAlign w:val="bottom"/>
          </w:tcPr>
          <w:p>
            <w:pPr>
              <w:pStyle w:val="TableContents"/>
              <w:spacing w:before="0" w:after="283"/>
              <w:jc w:val="right"/>
              <w:rPr/>
            </w:pPr>
            <w:r>
              <w:rPr/>
              <w:t>16.85</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3" w:type="dxa"/>
            <w:tcBorders/>
            <w:shd w:fill="CCEEFF" w:val="clear"/>
            <w:vAlign w:val="bottom"/>
          </w:tcPr>
          <w:p>
            <w:pPr>
              <w:pStyle w:val="TableContents"/>
              <w:spacing w:before="0" w:after="283"/>
              <w:jc w:val="right"/>
              <w:rPr/>
            </w:pPr>
            <w:r>
              <w:rPr/>
              <w:t>22.78</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3" w:type="dxa"/>
            <w:tcBorders/>
            <w:shd w:fill="CCEEFF" w:val="clear"/>
            <w:vAlign w:val="bottom"/>
          </w:tcPr>
          <w:p>
            <w:pPr>
              <w:pStyle w:val="TableContents"/>
              <w:spacing w:before="0" w:after="283"/>
              <w:jc w:val="right"/>
              <w:rPr/>
            </w:pPr>
            <w:r>
              <w:rPr/>
              <w:t>20.80</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05" w:type="dxa"/>
            <w:tcBorders/>
            <w:shd w:fill="CCEEFF" w:val="clear"/>
            <w:vAlign w:val="bottom"/>
          </w:tcPr>
          <w:p>
            <w:pPr>
              <w:pStyle w:val="TableContents"/>
              <w:spacing w:before="0" w:after="283"/>
              <w:jc w:val="right"/>
              <w:rPr/>
            </w:pPr>
            <w:r>
              <w:rPr/>
              <w:t>35.2</w:t>
            </w:r>
          </w:p>
        </w:tc>
        <w:tc>
          <w:tcPr>
            <w:tcW w:w="282"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987" w:type="dxa"/>
            <w:tcBorders/>
            <w:shd w:fill="CCEEFF" w:val="clear"/>
            <w:vAlign w:val="bottom"/>
          </w:tcPr>
          <w:p>
            <w:pPr>
              <w:pStyle w:val="TableContents"/>
              <w:spacing w:before="0" w:after="283"/>
              <w:jc w:val="right"/>
              <w:rPr/>
            </w:pPr>
            <w:r>
              <w:rPr/>
              <w:t>23.4</w:t>
            </w:r>
          </w:p>
        </w:tc>
        <w:tc>
          <w:tcPr>
            <w:tcW w:w="351"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w:t>
            </w:r>
          </w:p>
        </w:tc>
        <w:tc>
          <w:tcPr>
            <w:tcW w:w="751" w:type="dxa"/>
            <w:tcBorders/>
            <w:shd w:fill="CCEEFF" w:val="clear"/>
            <w:vAlign w:val="bottom"/>
          </w:tcPr>
          <w:p>
            <w:pPr>
              <w:pStyle w:val="TableContents"/>
              <w:spacing w:before="0" w:after="283"/>
              <w:jc w:val="right"/>
              <w:rPr/>
            </w:pPr>
            <w:r>
              <w:rPr/>
              <w:t>0.47</w:t>
            </w:r>
          </w:p>
        </w:tc>
        <w:tc>
          <w:tcPr>
            <w:tcW w:w="68" w:type="dxa"/>
            <w:tcBorders/>
            <w:shd w:fill="CCEEFF" w:val="clear"/>
            <w:vAlign w:val="bottom"/>
          </w:tcPr>
          <w:p>
            <w:pPr>
              <w:pStyle w:val="TableContents"/>
              <w:spacing w:before="0" w:after="283"/>
              <w:rPr/>
            </w:pPr>
            <w:r>
              <w:rPr/>
              <w:t> </w:t>
            </w:r>
          </w:p>
        </w:tc>
      </w:tr>
      <w:tr>
        <w:trPr/>
        <w:tc>
          <w:tcPr>
            <w:tcW w:w="2942" w:type="dxa"/>
            <w:tcBorders/>
            <w:shd w:fill="auto" w:val="clear"/>
          </w:tcPr>
          <w:p>
            <w:pPr>
              <w:pStyle w:val="TableContents"/>
              <w:spacing w:before="0" w:after="0"/>
              <w:rPr>
                <w:rFonts w:ascii="Times New Roman" w:hAnsi="Times New Roman"/>
                <w:sz w:val="20"/>
              </w:rPr>
            </w:pPr>
            <w:r>
              <w:rPr>
                <w:rFonts w:ascii="Times New Roman" w:hAnsi="Times New Roman"/>
                <w:sz w:val="20"/>
              </w:rPr>
              <w:t>Third Quarter</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3" w:type="dxa"/>
            <w:tcBorders/>
            <w:shd w:fill="auto" w:val="clear"/>
            <w:vAlign w:val="bottom"/>
          </w:tcPr>
          <w:p>
            <w:pPr>
              <w:pStyle w:val="TableContents"/>
              <w:spacing w:before="0" w:after="283"/>
              <w:jc w:val="right"/>
              <w:rPr/>
            </w:pPr>
            <w:r>
              <w:rPr/>
              <w:t>17.18</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3" w:type="dxa"/>
            <w:tcBorders/>
            <w:shd w:fill="auto" w:val="clear"/>
            <w:vAlign w:val="bottom"/>
          </w:tcPr>
          <w:p>
            <w:pPr>
              <w:pStyle w:val="TableContents"/>
              <w:spacing w:before="0" w:after="283"/>
              <w:jc w:val="right"/>
              <w:rPr/>
            </w:pPr>
            <w:r>
              <w:rPr/>
              <w:t>23.97</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3" w:type="dxa"/>
            <w:tcBorders/>
            <w:shd w:fill="auto" w:val="clear"/>
            <w:vAlign w:val="bottom"/>
          </w:tcPr>
          <w:p>
            <w:pPr>
              <w:pStyle w:val="TableContents"/>
              <w:spacing w:before="0" w:after="283"/>
              <w:jc w:val="right"/>
              <w:rPr/>
            </w:pPr>
            <w:r>
              <w:rPr/>
              <w:t>21.13</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jc w:val="right"/>
              <w:rPr/>
            </w:pPr>
            <w:r>
              <w:rPr/>
              <w:t>39.5</w:t>
            </w:r>
          </w:p>
        </w:tc>
        <w:tc>
          <w:tcPr>
            <w:tcW w:w="282"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jc w:val="right"/>
              <w:rPr/>
            </w:pPr>
            <w:r>
              <w:rPr/>
              <w:t>23.0</w:t>
            </w:r>
          </w:p>
        </w:tc>
        <w:tc>
          <w:tcPr>
            <w:tcW w:w="351"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w:t>
            </w:r>
          </w:p>
        </w:tc>
        <w:tc>
          <w:tcPr>
            <w:tcW w:w="751" w:type="dxa"/>
            <w:tcBorders/>
            <w:shd w:fill="auto" w:val="clear"/>
            <w:vAlign w:val="bottom"/>
          </w:tcPr>
          <w:p>
            <w:pPr>
              <w:pStyle w:val="TableContents"/>
              <w:spacing w:before="0" w:after="283"/>
              <w:jc w:val="right"/>
              <w:rPr/>
            </w:pPr>
            <w:r>
              <w:rPr/>
              <w:t>0.43</w:t>
            </w:r>
          </w:p>
        </w:tc>
        <w:tc>
          <w:tcPr>
            <w:tcW w:w="68" w:type="dxa"/>
            <w:tcBorders/>
            <w:shd w:fill="auto" w:val="clear"/>
            <w:vAlign w:val="bottom"/>
          </w:tcPr>
          <w:p>
            <w:pPr>
              <w:pStyle w:val="TableContents"/>
              <w:spacing w:before="0" w:after="283"/>
              <w:rPr/>
            </w:pPr>
            <w:r>
              <w:rPr/>
              <w:t> </w:t>
            </w:r>
          </w:p>
        </w:tc>
      </w:tr>
      <w:tr>
        <w:trPr/>
        <w:tc>
          <w:tcPr>
            <w:tcW w:w="2942" w:type="dxa"/>
            <w:tcBorders/>
            <w:shd w:fill="CCEEFF" w:val="clear"/>
          </w:tcPr>
          <w:p>
            <w:pPr>
              <w:pStyle w:val="TableContents"/>
              <w:spacing w:before="0" w:after="0"/>
              <w:rPr>
                <w:rFonts w:ascii="Times New Roman" w:hAnsi="Times New Roman"/>
                <w:sz w:val="20"/>
              </w:rPr>
            </w:pPr>
            <w:r>
              <w:rPr>
                <w:rFonts w:ascii="Times New Roman" w:hAnsi="Times New Roman"/>
                <w:sz w:val="20"/>
              </w:rPr>
              <w:t>Fourth Quarter</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3" w:type="dxa"/>
            <w:tcBorders/>
            <w:shd w:fill="CCEEFF" w:val="clear"/>
            <w:vAlign w:val="bottom"/>
          </w:tcPr>
          <w:p>
            <w:pPr>
              <w:pStyle w:val="TableContents"/>
              <w:spacing w:before="0" w:after="283"/>
              <w:jc w:val="right"/>
              <w:rPr/>
            </w:pPr>
            <w:r>
              <w:rPr/>
              <w:t>16.84</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3" w:type="dxa"/>
            <w:tcBorders/>
            <w:shd w:fill="CCEEFF" w:val="clear"/>
            <w:vAlign w:val="bottom"/>
          </w:tcPr>
          <w:p>
            <w:pPr>
              <w:pStyle w:val="TableContents"/>
              <w:spacing w:before="0" w:after="283"/>
              <w:jc w:val="right"/>
              <w:rPr/>
            </w:pPr>
            <w:r>
              <w:rPr/>
              <w:t>24.74</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3" w:type="dxa"/>
            <w:tcBorders/>
            <w:shd w:fill="CCEEFF" w:val="clear"/>
            <w:vAlign w:val="bottom"/>
          </w:tcPr>
          <w:p>
            <w:pPr>
              <w:pStyle w:val="TableContents"/>
              <w:spacing w:before="0" w:after="283"/>
              <w:jc w:val="right"/>
              <w:rPr/>
            </w:pPr>
            <w:r>
              <w:rPr/>
              <w:t>21.97</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05" w:type="dxa"/>
            <w:tcBorders/>
            <w:shd w:fill="CCEEFF" w:val="clear"/>
            <w:vAlign w:val="bottom"/>
          </w:tcPr>
          <w:p>
            <w:pPr>
              <w:pStyle w:val="TableContents"/>
              <w:spacing w:before="0" w:after="283"/>
              <w:jc w:val="right"/>
              <w:rPr/>
            </w:pPr>
            <w:r>
              <w:rPr/>
              <w:t>47.0</w:t>
            </w:r>
          </w:p>
        </w:tc>
        <w:tc>
          <w:tcPr>
            <w:tcW w:w="282"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987" w:type="dxa"/>
            <w:tcBorders/>
            <w:shd w:fill="CCEEFF" w:val="clear"/>
            <w:vAlign w:val="bottom"/>
          </w:tcPr>
          <w:p>
            <w:pPr>
              <w:pStyle w:val="TableContents"/>
              <w:spacing w:before="0" w:after="283"/>
              <w:jc w:val="right"/>
              <w:rPr/>
            </w:pPr>
            <w:r>
              <w:rPr/>
              <w:t>30.5</w:t>
            </w:r>
          </w:p>
        </w:tc>
        <w:tc>
          <w:tcPr>
            <w:tcW w:w="351"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w:t>
            </w:r>
          </w:p>
        </w:tc>
        <w:tc>
          <w:tcPr>
            <w:tcW w:w="751" w:type="dxa"/>
            <w:tcBorders/>
            <w:shd w:fill="CCEEFF" w:val="clear"/>
            <w:vAlign w:val="bottom"/>
          </w:tcPr>
          <w:p>
            <w:pPr>
              <w:pStyle w:val="TableContents"/>
              <w:spacing w:before="0" w:after="283"/>
              <w:jc w:val="right"/>
              <w:rPr/>
            </w:pPr>
            <w:r>
              <w:rPr/>
              <w:t>0.98</w:t>
            </w:r>
          </w:p>
        </w:tc>
        <w:tc>
          <w:tcPr>
            <w:tcW w:w="68" w:type="dxa"/>
            <w:tcBorders/>
            <w:shd w:fill="CCEEFF" w:val="clear"/>
            <w:vAlign w:val="bottom"/>
          </w:tcPr>
          <w:p>
            <w:pPr>
              <w:pStyle w:val="TableContents"/>
              <w:spacing w:before="0" w:after="283"/>
              <w:rPr/>
            </w:pPr>
            <w:r>
              <w:rPr/>
              <w:t> </w:t>
            </w:r>
          </w:p>
        </w:tc>
      </w:tr>
      <w:tr>
        <w:trPr/>
        <w:tc>
          <w:tcPr>
            <w:tcW w:w="2942" w:type="dxa"/>
            <w:tcBorders/>
            <w:shd w:fill="auto" w:val="clear"/>
          </w:tcPr>
          <w:p>
            <w:pPr>
              <w:pStyle w:val="TableContents"/>
              <w:spacing w:before="0" w:after="0"/>
              <w:rPr>
                <w:rFonts w:ascii="Times New Roman" w:hAnsi="Times New Roman"/>
                <w:b/>
                <w:sz w:val="20"/>
              </w:rPr>
            </w:pPr>
            <w:r>
              <w:rPr>
                <w:rFonts w:ascii="Times New Roman" w:hAnsi="Times New Roman"/>
                <w:b/>
                <w:sz w:val="20"/>
              </w:rPr>
              <w:t>Year ended December 31, 2022</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57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57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57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sz w:val="4"/>
                <w:szCs w:val="4"/>
              </w:rPr>
            </w:pPr>
            <w:r>
              <w:rPr>
                <w:sz w:val="4"/>
                <w:szCs w:val="4"/>
              </w:rPr>
            </w:r>
          </w:p>
        </w:tc>
        <w:tc>
          <w:tcPr>
            <w:tcW w:w="1105" w:type="dxa"/>
            <w:tcBorders/>
            <w:shd w:fill="auto" w:val="clear"/>
            <w:vAlign w:val="bottom"/>
          </w:tcPr>
          <w:p>
            <w:pPr>
              <w:pStyle w:val="TableContents"/>
              <w:spacing w:before="0" w:after="283"/>
              <w:rPr>
                <w:sz w:val="4"/>
                <w:szCs w:val="4"/>
              </w:rPr>
            </w:pPr>
            <w:r>
              <w:rPr>
                <w:sz w:val="4"/>
                <w:szCs w:val="4"/>
              </w:rPr>
            </w:r>
          </w:p>
        </w:tc>
        <w:tc>
          <w:tcPr>
            <w:tcW w:w="282" w:type="dxa"/>
            <w:tcBorders/>
            <w:shd w:fill="auto" w:val="clear"/>
            <w:vAlign w:val="bottom"/>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sz w:val="4"/>
                <w:szCs w:val="4"/>
              </w:rPr>
            </w:pPr>
            <w:r>
              <w:rPr>
                <w:sz w:val="4"/>
                <w:szCs w:val="4"/>
              </w:rPr>
            </w:r>
          </w:p>
        </w:tc>
        <w:tc>
          <w:tcPr>
            <w:tcW w:w="987" w:type="dxa"/>
            <w:tcBorders/>
            <w:shd w:fill="auto" w:val="clear"/>
            <w:vAlign w:val="bottom"/>
          </w:tcPr>
          <w:p>
            <w:pPr>
              <w:pStyle w:val="TableContents"/>
              <w:spacing w:before="0" w:after="283"/>
              <w:rPr>
                <w:sz w:val="4"/>
                <w:szCs w:val="4"/>
              </w:rPr>
            </w:pPr>
            <w:r>
              <w:rPr>
                <w:sz w:val="4"/>
                <w:szCs w:val="4"/>
              </w:rPr>
            </w:r>
          </w:p>
        </w:tc>
        <w:tc>
          <w:tcPr>
            <w:tcW w:w="351" w:type="dxa"/>
            <w:tcBorders/>
            <w:shd w:fill="auto" w:val="clear"/>
            <w:vAlign w:val="bottom"/>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sz w:val="4"/>
                <w:szCs w:val="4"/>
              </w:rPr>
            </w:pPr>
            <w:r>
              <w:rPr>
                <w:sz w:val="4"/>
                <w:szCs w:val="4"/>
              </w:rPr>
            </w:r>
          </w:p>
        </w:tc>
        <w:tc>
          <w:tcPr>
            <w:tcW w:w="751" w:type="dxa"/>
            <w:tcBorders/>
            <w:shd w:fill="auto" w:val="clear"/>
            <w:vAlign w:val="bottom"/>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sz w:val="4"/>
                <w:szCs w:val="4"/>
              </w:rPr>
            </w:pPr>
            <w:r>
              <w:rPr>
                <w:sz w:val="4"/>
                <w:szCs w:val="4"/>
              </w:rPr>
            </w:r>
          </w:p>
        </w:tc>
      </w:tr>
      <w:tr>
        <w:trPr/>
        <w:tc>
          <w:tcPr>
            <w:tcW w:w="2942" w:type="dxa"/>
            <w:tcBorders/>
            <w:shd w:fill="CCEEFF" w:val="clear"/>
          </w:tcPr>
          <w:p>
            <w:pPr>
              <w:pStyle w:val="TableContents"/>
              <w:spacing w:before="0" w:after="0"/>
              <w:rPr>
                <w:rFonts w:ascii="Times New Roman" w:hAnsi="Times New Roman"/>
                <w:sz w:val="20"/>
              </w:rPr>
            </w:pPr>
            <w:r>
              <w:rPr>
                <w:rFonts w:ascii="Times New Roman" w:hAnsi="Times New Roman"/>
                <w:sz w:val="20"/>
              </w:rPr>
              <w:t>First Quarter</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3" w:type="dxa"/>
            <w:tcBorders/>
            <w:shd w:fill="CCEEFF" w:val="clear"/>
            <w:vAlign w:val="bottom"/>
          </w:tcPr>
          <w:p>
            <w:pPr>
              <w:pStyle w:val="TableContents"/>
              <w:spacing w:before="0" w:after="283"/>
              <w:jc w:val="right"/>
              <w:rPr/>
            </w:pPr>
            <w:r>
              <w:rPr/>
              <w:t>16.88</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3" w:type="dxa"/>
            <w:tcBorders/>
            <w:shd w:fill="CCEEFF" w:val="clear"/>
            <w:vAlign w:val="bottom"/>
          </w:tcPr>
          <w:p>
            <w:pPr>
              <w:pStyle w:val="TableContents"/>
              <w:spacing w:before="0" w:after="283"/>
              <w:jc w:val="right"/>
              <w:rPr/>
            </w:pPr>
            <w:r>
              <w:rPr/>
              <w:t>24.27</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3" w:type="dxa"/>
            <w:tcBorders/>
            <w:shd w:fill="CCEEFF" w:val="clear"/>
            <w:vAlign w:val="bottom"/>
          </w:tcPr>
          <w:p>
            <w:pPr>
              <w:pStyle w:val="TableContents"/>
              <w:spacing w:before="0" w:after="283"/>
              <w:jc w:val="right"/>
              <w:rPr/>
            </w:pPr>
            <w:r>
              <w:rPr/>
              <w:t>22.40</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05" w:type="dxa"/>
            <w:tcBorders/>
            <w:shd w:fill="CCEEFF" w:val="clear"/>
            <w:vAlign w:val="bottom"/>
          </w:tcPr>
          <w:p>
            <w:pPr>
              <w:pStyle w:val="TableContents"/>
              <w:spacing w:before="0" w:after="283"/>
              <w:jc w:val="right"/>
              <w:rPr/>
            </w:pPr>
            <w:r>
              <w:rPr/>
              <w:t>43.8</w:t>
            </w:r>
          </w:p>
        </w:tc>
        <w:tc>
          <w:tcPr>
            <w:tcW w:w="282"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987" w:type="dxa"/>
            <w:tcBorders/>
            <w:shd w:fill="CCEEFF" w:val="clear"/>
            <w:vAlign w:val="bottom"/>
          </w:tcPr>
          <w:p>
            <w:pPr>
              <w:pStyle w:val="TableContents"/>
              <w:spacing w:before="0" w:after="283"/>
              <w:jc w:val="right"/>
              <w:rPr/>
            </w:pPr>
            <w:r>
              <w:rPr/>
              <w:t>23.0</w:t>
            </w:r>
          </w:p>
        </w:tc>
        <w:tc>
          <w:tcPr>
            <w:tcW w:w="351"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w:t>
            </w:r>
          </w:p>
        </w:tc>
        <w:tc>
          <w:tcPr>
            <w:tcW w:w="751" w:type="dxa"/>
            <w:tcBorders/>
            <w:shd w:fill="CCEEFF" w:val="clear"/>
            <w:vAlign w:val="bottom"/>
          </w:tcPr>
          <w:p>
            <w:pPr>
              <w:pStyle w:val="TableContents"/>
              <w:spacing w:before="0" w:after="283"/>
              <w:jc w:val="right"/>
              <w:rPr/>
            </w:pPr>
            <w:r>
              <w:rPr/>
              <w:t>0.52</w:t>
            </w:r>
          </w:p>
        </w:tc>
        <w:tc>
          <w:tcPr>
            <w:tcW w:w="68" w:type="dxa"/>
            <w:tcBorders/>
            <w:shd w:fill="CCEEFF" w:val="clear"/>
            <w:vAlign w:val="bottom"/>
          </w:tcPr>
          <w:p>
            <w:pPr>
              <w:pStyle w:val="TableContents"/>
              <w:spacing w:before="0" w:after="283"/>
              <w:rPr/>
            </w:pPr>
            <w:r>
              <w:rPr/>
              <w:t> </w:t>
            </w:r>
          </w:p>
        </w:tc>
      </w:tr>
      <w:tr>
        <w:trPr/>
        <w:tc>
          <w:tcPr>
            <w:tcW w:w="2942" w:type="dxa"/>
            <w:tcBorders/>
            <w:shd w:fill="auto" w:val="clear"/>
          </w:tcPr>
          <w:p>
            <w:pPr>
              <w:pStyle w:val="TableContents"/>
              <w:spacing w:before="0" w:after="0"/>
              <w:rPr>
                <w:rFonts w:ascii="Times New Roman" w:hAnsi="Times New Roman"/>
                <w:sz w:val="20"/>
              </w:rPr>
            </w:pPr>
            <w:r>
              <w:rPr>
                <w:rFonts w:ascii="Times New Roman" w:hAnsi="Times New Roman"/>
                <w:sz w:val="20"/>
              </w:rPr>
              <w:t>Second Quarter</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3" w:type="dxa"/>
            <w:tcBorders/>
            <w:shd w:fill="auto" w:val="clear"/>
            <w:vAlign w:val="bottom"/>
          </w:tcPr>
          <w:p>
            <w:pPr>
              <w:pStyle w:val="TableContents"/>
              <w:spacing w:before="0" w:after="283"/>
              <w:jc w:val="right"/>
              <w:rPr/>
            </w:pPr>
            <w:r>
              <w:rPr/>
              <w:t>16.27</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3" w:type="dxa"/>
            <w:tcBorders/>
            <w:shd w:fill="auto" w:val="clear"/>
            <w:vAlign w:val="bottom"/>
          </w:tcPr>
          <w:p>
            <w:pPr>
              <w:pStyle w:val="TableContents"/>
              <w:spacing w:before="0" w:after="283"/>
              <w:jc w:val="right"/>
              <w:rPr/>
            </w:pPr>
            <w:r>
              <w:rPr/>
              <w:t>23.64</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3" w:type="dxa"/>
            <w:tcBorders/>
            <w:shd w:fill="auto" w:val="clear"/>
            <w:vAlign w:val="bottom"/>
          </w:tcPr>
          <w:p>
            <w:pPr>
              <w:pStyle w:val="TableContents"/>
              <w:spacing w:before="0" w:after="283"/>
              <w:jc w:val="right"/>
              <w:rPr/>
            </w:pPr>
            <w:r>
              <w:rPr/>
              <w:t>18.09</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jc w:val="right"/>
              <w:rPr/>
            </w:pPr>
            <w:r>
              <w:rPr/>
              <w:t>45.3</w:t>
            </w:r>
          </w:p>
        </w:tc>
        <w:tc>
          <w:tcPr>
            <w:tcW w:w="282"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jc w:val="right"/>
              <w:rPr/>
            </w:pPr>
            <w:r>
              <w:rPr/>
              <w:t>11.2</w:t>
            </w:r>
          </w:p>
        </w:tc>
        <w:tc>
          <w:tcPr>
            <w:tcW w:w="351"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w:t>
            </w:r>
          </w:p>
        </w:tc>
        <w:tc>
          <w:tcPr>
            <w:tcW w:w="751" w:type="dxa"/>
            <w:tcBorders/>
            <w:shd w:fill="auto" w:val="clear"/>
            <w:vAlign w:val="bottom"/>
          </w:tcPr>
          <w:p>
            <w:pPr>
              <w:pStyle w:val="TableContents"/>
              <w:spacing w:before="0" w:after="283"/>
              <w:jc w:val="right"/>
              <w:rPr/>
            </w:pPr>
            <w:r>
              <w:rPr/>
              <w:t>0.45</w:t>
            </w:r>
          </w:p>
        </w:tc>
        <w:tc>
          <w:tcPr>
            <w:tcW w:w="68" w:type="dxa"/>
            <w:tcBorders/>
            <w:shd w:fill="auto" w:val="clear"/>
            <w:vAlign w:val="bottom"/>
          </w:tcPr>
          <w:p>
            <w:pPr>
              <w:pStyle w:val="TableContents"/>
              <w:spacing w:before="0" w:after="283"/>
              <w:rPr/>
            </w:pPr>
            <w:r>
              <w:rPr/>
              <w:t> </w:t>
            </w:r>
          </w:p>
        </w:tc>
      </w:tr>
      <w:tr>
        <w:trPr/>
        <w:tc>
          <w:tcPr>
            <w:tcW w:w="2942" w:type="dxa"/>
            <w:tcBorders/>
            <w:shd w:fill="CCEEFF" w:val="clear"/>
          </w:tcPr>
          <w:p>
            <w:pPr>
              <w:pStyle w:val="TableContents"/>
              <w:spacing w:before="0" w:after="0"/>
              <w:rPr>
                <w:rFonts w:ascii="Times New Roman" w:hAnsi="Times New Roman"/>
                <w:sz w:val="20"/>
              </w:rPr>
            </w:pPr>
            <w:r>
              <w:rPr>
                <w:rFonts w:ascii="Times New Roman" w:hAnsi="Times New Roman"/>
                <w:sz w:val="20"/>
              </w:rPr>
              <w:t>Third Quarter</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3" w:type="dxa"/>
            <w:tcBorders/>
            <w:shd w:fill="CCEEFF" w:val="clear"/>
            <w:vAlign w:val="bottom"/>
          </w:tcPr>
          <w:p>
            <w:pPr>
              <w:pStyle w:val="TableContents"/>
              <w:spacing w:before="0" w:after="283"/>
              <w:jc w:val="right"/>
              <w:rPr/>
            </w:pPr>
            <w:r>
              <w:rPr/>
              <w:t>16.36</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3" w:type="dxa"/>
            <w:tcBorders/>
            <w:shd w:fill="CCEEFF" w:val="clear"/>
            <w:vAlign w:val="bottom"/>
          </w:tcPr>
          <w:p>
            <w:pPr>
              <w:pStyle w:val="TableContents"/>
              <w:spacing w:before="0" w:after="283"/>
              <w:jc w:val="right"/>
              <w:rPr/>
            </w:pPr>
            <w:r>
              <w:rPr/>
              <w:t>19.64</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573" w:type="dxa"/>
            <w:tcBorders/>
            <w:shd w:fill="CCEEFF" w:val="clear"/>
            <w:vAlign w:val="bottom"/>
          </w:tcPr>
          <w:p>
            <w:pPr>
              <w:pStyle w:val="TableContents"/>
              <w:spacing w:before="0" w:after="283"/>
              <w:jc w:val="right"/>
              <w:rPr/>
            </w:pPr>
            <w:r>
              <w:rPr/>
              <w:t>16.13</w:t>
            </w:r>
          </w:p>
        </w:tc>
        <w:tc>
          <w:tcPr>
            <w:tcW w:w="60" w:type="dxa"/>
            <w:tcBorders/>
            <w:shd w:fill="CCEEFF" w:val="clear"/>
            <w:vAlign w:val="bottom"/>
          </w:tcPr>
          <w:p>
            <w:pPr>
              <w:pStyle w:val="TableContents"/>
              <w:spacing w:before="0" w:after="283"/>
              <w:rPr/>
            </w:pPr>
            <w:r>
              <w:rPr/>
              <w:t> </w:t>
            </w:r>
          </w:p>
        </w:tc>
        <w:tc>
          <w:tcPr>
            <w:tcW w:w="17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pPr>
            <w:r>
              <w:rPr/>
              <w:t> </w:t>
            </w:r>
          </w:p>
        </w:tc>
        <w:tc>
          <w:tcPr>
            <w:tcW w:w="1105" w:type="dxa"/>
            <w:tcBorders/>
            <w:shd w:fill="CCEEFF" w:val="clear"/>
            <w:vAlign w:val="bottom"/>
          </w:tcPr>
          <w:p>
            <w:pPr>
              <w:pStyle w:val="TableContents"/>
              <w:spacing w:before="0" w:after="283"/>
              <w:jc w:val="right"/>
              <w:rPr/>
            </w:pPr>
            <w:r>
              <w:rPr/>
              <w:t>19.9</w:t>
            </w:r>
          </w:p>
        </w:tc>
        <w:tc>
          <w:tcPr>
            <w:tcW w:w="282" w:type="dxa"/>
            <w:tcBorders/>
            <w:shd w:fill="CCEEFF" w:val="clear"/>
            <w:vAlign w:val="bottom"/>
          </w:tcPr>
          <w:p>
            <w:pPr>
              <w:pStyle w:val="TableContents"/>
              <w:spacing w:before="0" w:after="283"/>
              <w:rPr/>
            </w:pPr>
            <w:r>
              <w:rPr/>
              <w:t>% </w:t>
            </w:r>
          </w:p>
        </w:tc>
        <w:tc>
          <w:tcPr>
            <w:tcW w:w="115"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pPr>
            <w:r>
              <w:rPr/>
              <w:t> </w:t>
            </w:r>
          </w:p>
        </w:tc>
        <w:tc>
          <w:tcPr>
            <w:tcW w:w="987" w:type="dxa"/>
            <w:tcBorders/>
            <w:shd w:fill="CCEEFF" w:val="clear"/>
            <w:vAlign w:val="bottom"/>
          </w:tcPr>
          <w:p>
            <w:pPr>
              <w:pStyle w:val="TableContents"/>
              <w:spacing w:before="0" w:after="283"/>
              <w:jc w:val="right"/>
              <w:rPr/>
            </w:pPr>
            <w:r>
              <w:rPr/>
              <w:t>(1.4</w:t>
            </w:r>
          </w:p>
        </w:tc>
        <w:tc>
          <w:tcPr>
            <w:tcW w:w="351" w:type="dxa"/>
            <w:tcBorders/>
            <w:shd w:fill="CCEEFF" w:val="clear"/>
            <w:vAlign w:val="bottom"/>
          </w:tcPr>
          <w:p>
            <w:pPr>
              <w:pStyle w:val="TableContents"/>
              <w:spacing w:before="0" w:after="283"/>
              <w:rPr/>
            </w:pPr>
            <w:r>
              <w:rPr/>
              <w:t>)% </w:t>
            </w:r>
          </w:p>
        </w:tc>
        <w:tc>
          <w:tcPr>
            <w:tcW w:w="116"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pPr>
            <w:r>
              <w:rPr/>
              <w:t>$</w:t>
            </w:r>
          </w:p>
        </w:tc>
        <w:tc>
          <w:tcPr>
            <w:tcW w:w="751" w:type="dxa"/>
            <w:tcBorders/>
            <w:shd w:fill="CCEEFF" w:val="clear"/>
            <w:vAlign w:val="bottom"/>
          </w:tcPr>
          <w:p>
            <w:pPr>
              <w:pStyle w:val="TableContents"/>
              <w:spacing w:before="0" w:after="283"/>
              <w:jc w:val="right"/>
              <w:rPr/>
            </w:pPr>
            <w:r>
              <w:rPr/>
              <w:t>0.42</w:t>
            </w:r>
          </w:p>
        </w:tc>
        <w:tc>
          <w:tcPr>
            <w:tcW w:w="68" w:type="dxa"/>
            <w:tcBorders/>
            <w:shd w:fill="CCEEFF" w:val="clear"/>
            <w:vAlign w:val="bottom"/>
          </w:tcPr>
          <w:p>
            <w:pPr>
              <w:pStyle w:val="TableContents"/>
              <w:spacing w:before="0" w:after="283"/>
              <w:rPr/>
            </w:pPr>
            <w:r>
              <w:rPr/>
              <w:t> </w:t>
            </w:r>
          </w:p>
        </w:tc>
      </w:tr>
      <w:tr>
        <w:trPr/>
        <w:tc>
          <w:tcPr>
            <w:tcW w:w="2942"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Fourth Quarter </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73"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3" w:type="dxa"/>
            <w:tcBorders/>
            <w:shd w:fill="auto" w:val="clear"/>
            <w:vAlign w:val="bottom"/>
          </w:tcPr>
          <w:p>
            <w:pPr>
              <w:pStyle w:val="TableContents"/>
              <w:spacing w:before="0" w:after="283"/>
              <w:jc w:val="right"/>
              <w:rPr/>
            </w:pPr>
            <w:r>
              <w:rPr/>
              <w:t>19.14</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3" w:type="dxa"/>
            <w:tcBorders/>
            <w:shd w:fill="auto" w:val="clear"/>
            <w:vAlign w:val="bottom"/>
          </w:tcPr>
          <w:p>
            <w:pPr>
              <w:pStyle w:val="TableContents"/>
              <w:spacing w:before="0" w:after="283"/>
              <w:jc w:val="right"/>
              <w:rPr/>
            </w:pPr>
            <w:r>
              <w:rPr/>
              <w:t>16.56</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jc w:val="right"/>
              <w:rPr/>
            </w:pPr>
            <w:r>
              <w:rPr/>
              <w:t>*</w:t>
            </w:r>
          </w:p>
        </w:tc>
        <w:tc>
          <w:tcPr>
            <w:tcW w:w="282"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jc w:val="right"/>
              <w:rPr/>
            </w:pPr>
            <w:r>
              <w:rPr/>
              <w:t>*</w:t>
            </w:r>
          </w:p>
        </w:tc>
        <w:tc>
          <w:tcPr>
            <w:tcW w:w="351"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w:t>
            </w:r>
          </w:p>
        </w:tc>
        <w:tc>
          <w:tcPr>
            <w:tcW w:w="751" w:type="dxa"/>
            <w:tcBorders/>
            <w:shd w:fill="auto" w:val="clear"/>
            <w:vAlign w:val="bottom"/>
          </w:tcPr>
          <w:p>
            <w:pPr>
              <w:pStyle w:val="TableContents"/>
              <w:spacing w:before="0" w:after="283"/>
              <w:jc w:val="right"/>
              <w:rPr/>
            </w:pPr>
            <w:r>
              <w:rPr/>
              <w:t>0.45</w:t>
            </w:r>
          </w:p>
        </w:tc>
        <w:tc>
          <w:tcPr>
            <w:tcW w:w="68" w:type="dxa"/>
            <w:tcBorders/>
            <w:shd w:fill="auto" w:val="clear"/>
            <w:vAlign w:val="bottom"/>
          </w:tcPr>
          <w:p>
            <w:pPr>
              <w:pStyle w:val="TableContents"/>
              <w:spacing w:before="0" w:after="283"/>
              <w:rPr/>
            </w:pPr>
            <w:r>
              <w:rPr/>
              <w:t> </w:t>
            </w:r>
          </w:p>
        </w:tc>
      </w:tr>
      <w:tr>
        <w:trPr/>
        <w:tc>
          <w:tcPr>
            <w:tcW w:w="2942" w:type="dxa"/>
            <w:tcBorders/>
            <w:shd w:fill="CCEEFF" w:val="clear"/>
          </w:tcPr>
          <w:p>
            <w:pPr>
              <w:pStyle w:val="TableContents"/>
              <w:spacing w:before="0" w:after="0"/>
              <w:rPr>
                <w:rFonts w:ascii="Times New Roman" w:hAnsi="Times New Roman"/>
                <w:b/>
                <w:sz w:val="20"/>
              </w:rPr>
            </w:pPr>
            <w:r>
              <w:rPr>
                <w:rFonts w:ascii="Times New Roman" w:hAnsi="Times New Roman"/>
                <w:b/>
                <w:sz w:val="20"/>
              </w:rPr>
              <w:t>Year ending December 31, 2023</w:t>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57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57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573"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71" w:type="dxa"/>
            <w:tcBorders/>
            <w:shd w:fill="CCEEFF" w:val="clear"/>
            <w:vAlign w:val="bottom"/>
          </w:tcPr>
          <w:p>
            <w:pPr>
              <w:pStyle w:val="TableContents"/>
              <w:spacing w:before="0" w:after="283"/>
              <w:rPr/>
            </w:pPr>
            <w:r>
              <w:rPr/>
              <w:t>  </w:t>
            </w:r>
          </w:p>
        </w:tc>
        <w:tc>
          <w:tcPr>
            <w:tcW w:w="146" w:type="dxa"/>
            <w:tcBorders/>
            <w:shd w:fill="CCEEFF" w:val="clear"/>
            <w:vAlign w:val="bottom"/>
          </w:tcPr>
          <w:p>
            <w:pPr>
              <w:pStyle w:val="TableContents"/>
              <w:spacing w:before="0" w:after="283"/>
              <w:rPr>
                <w:sz w:val="4"/>
                <w:szCs w:val="4"/>
              </w:rPr>
            </w:pPr>
            <w:r>
              <w:rPr>
                <w:sz w:val="4"/>
                <w:szCs w:val="4"/>
              </w:rPr>
            </w:r>
          </w:p>
        </w:tc>
        <w:tc>
          <w:tcPr>
            <w:tcW w:w="1105" w:type="dxa"/>
            <w:tcBorders/>
            <w:shd w:fill="CCEEFF" w:val="clear"/>
            <w:vAlign w:val="bottom"/>
          </w:tcPr>
          <w:p>
            <w:pPr>
              <w:pStyle w:val="TableContents"/>
              <w:spacing w:before="0" w:after="283"/>
              <w:rPr>
                <w:sz w:val="4"/>
                <w:szCs w:val="4"/>
              </w:rPr>
            </w:pPr>
            <w:r>
              <w:rPr>
                <w:sz w:val="4"/>
                <w:szCs w:val="4"/>
              </w:rPr>
            </w:r>
          </w:p>
        </w:tc>
        <w:tc>
          <w:tcPr>
            <w:tcW w:w="282" w:type="dxa"/>
            <w:tcBorders/>
            <w:shd w:fill="CCEEFF" w:val="clear"/>
            <w:vAlign w:val="bottom"/>
          </w:tcPr>
          <w:p>
            <w:pPr>
              <w:pStyle w:val="TableContents"/>
              <w:spacing w:before="0" w:after="283"/>
              <w:rPr>
                <w:sz w:val="4"/>
                <w:szCs w:val="4"/>
              </w:rPr>
            </w:pPr>
            <w:r>
              <w:rPr>
                <w:sz w:val="4"/>
                <w:szCs w:val="4"/>
              </w:rPr>
            </w:r>
          </w:p>
        </w:tc>
        <w:tc>
          <w:tcPr>
            <w:tcW w:w="115"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rPr>
                <w:sz w:val="4"/>
                <w:szCs w:val="4"/>
              </w:rPr>
            </w:pPr>
            <w:r>
              <w:rPr>
                <w:sz w:val="4"/>
                <w:szCs w:val="4"/>
              </w:rPr>
            </w:r>
          </w:p>
        </w:tc>
        <w:tc>
          <w:tcPr>
            <w:tcW w:w="987" w:type="dxa"/>
            <w:tcBorders/>
            <w:shd w:fill="CCEEFF" w:val="clear"/>
            <w:vAlign w:val="bottom"/>
          </w:tcPr>
          <w:p>
            <w:pPr>
              <w:pStyle w:val="TableContents"/>
              <w:spacing w:before="0" w:after="283"/>
              <w:rPr>
                <w:sz w:val="4"/>
                <w:szCs w:val="4"/>
              </w:rPr>
            </w:pPr>
            <w:r>
              <w:rPr>
                <w:sz w:val="4"/>
                <w:szCs w:val="4"/>
              </w:rPr>
            </w:r>
          </w:p>
        </w:tc>
        <w:tc>
          <w:tcPr>
            <w:tcW w:w="351" w:type="dxa"/>
            <w:tcBorders/>
            <w:shd w:fill="CCEEFF" w:val="clear"/>
            <w:vAlign w:val="bottom"/>
          </w:tcPr>
          <w:p>
            <w:pPr>
              <w:pStyle w:val="TableContents"/>
              <w:spacing w:before="0" w:after="283"/>
              <w:rPr>
                <w:sz w:val="4"/>
                <w:szCs w:val="4"/>
              </w:rPr>
            </w:pPr>
            <w:r>
              <w:rPr>
                <w:sz w:val="4"/>
                <w:szCs w:val="4"/>
              </w:rPr>
            </w:r>
          </w:p>
        </w:tc>
        <w:tc>
          <w:tcPr>
            <w:tcW w:w="116" w:type="dxa"/>
            <w:tcBorders/>
            <w:shd w:fill="CCEEFF" w:val="clear"/>
            <w:vAlign w:val="bottom"/>
          </w:tcPr>
          <w:p>
            <w:pPr>
              <w:pStyle w:val="TableContents"/>
              <w:spacing w:before="0" w:after="283"/>
              <w:rPr/>
            </w:pPr>
            <w:r>
              <w:rPr/>
              <w:t> </w:t>
            </w:r>
          </w:p>
        </w:tc>
        <w:tc>
          <w:tcPr>
            <w:tcW w:w="229" w:type="dxa"/>
            <w:tcBorders/>
            <w:shd w:fill="CCEEFF" w:val="clear"/>
            <w:vAlign w:val="bottom"/>
          </w:tcPr>
          <w:p>
            <w:pPr>
              <w:pStyle w:val="TableContents"/>
              <w:spacing w:before="0" w:after="283"/>
              <w:rPr>
                <w:sz w:val="4"/>
                <w:szCs w:val="4"/>
              </w:rPr>
            </w:pPr>
            <w:r>
              <w:rPr>
                <w:sz w:val="4"/>
                <w:szCs w:val="4"/>
              </w:rPr>
            </w:r>
          </w:p>
        </w:tc>
        <w:tc>
          <w:tcPr>
            <w:tcW w:w="751" w:type="dxa"/>
            <w:tcBorders/>
            <w:shd w:fill="CCEEFF" w:val="clear"/>
            <w:vAlign w:val="bottom"/>
          </w:tcPr>
          <w:p>
            <w:pPr>
              <w:pStyle w:val="TableContents"/>
              <w:spacing w:before="0" w:after="283"/>
              <w:rPr>
                <w:sz w:val="4"/>
                <w:szCs w:val="4"/>
              </w:rPr>
            </w:pPr>
            <w:r>
              <w:rPr>
                <w:sz w:val="4"/>
                <w:szCs w:val="4"/>
              </w:rPr>
            </w:r>
          </w:p>
        </w:tc>
        <w:tc>
          <w:tcPr>
            <w:tcW w:w="68" w:type="dxa"/>
            <w:tcBorders/>
            <w:shd w:fill="CCEEFF" w:val="clear"/>
            <w:vAlign w:val="bottom"/>
          </w:tcPr>
          <w:p>
            <w:pPr>
              <w:pStyle w:val="TableContents"/>
              <w:spacing w:before="0" w:after="283"/>
              <w:rPr>
                <w:sz w:val="4"/>
                <w:szCs w:val="4"/>
              </w:rPr>
            </w:pPr>
            <w:r>
              <w:rPr>
                <w:sz w:val="4"/>
                <w:szCs w:val="4"/>
              </w:rPr>
            </w:r>
          </w:p>
        </w:tc>
      </w:tr>
      <w:tr>
        <w:trPr/>
        <w:tc>
          <w:tcPr>
            <w:tcW w:w="2942" w:type="dxa"/>
            <w:tcBorders/>
            <w:shd w:fill="auto" w:val="clear"/>
          </w:tcPr>
          <w:p>
            <w:pPr>
              <w:pStyle w:val="TableContents"/>
              <w:spacing w:before="0" w:after="0"/>
              <w:rPr>
                <w:rFonts w:ascii="Times New Roman" w:hAnsi="Times New Roman"/>
                <w:sz w:val="20"/>
              </w:rPr>
            </w:pPr>
            <w:r>
              <w:rPr>
                <w:rFonts w:ascii="Times New Roman" w:hAnsi="Times New Roman"/>
                <w:sz w:val="20"/>
              </w:rPr>
              <w:t>First Quarter (through January 12, 2023)</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573" w:type="dxa"/>
            <w:tcBorders/>
            <w:shd w:fill="auto" w:val="clear"/>
            <w:vAlign w:val="bottom"/>
          </w:tcPr>
          <w:p>
            <w:pPr>
              <w:pStyle w:val="TableContents"/>
              <w:spacing w:before="0" w:after="283"/>
              <w:jc w:val="right"/>
              <w:rPr/>
            </w:pPr>
            <w:r>
              <w:rPr/>
              <w:t>*</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3" w:type="dxa"/>
            <w:tcBorders/>
            <w:shd w:fill="auto" w:val="clear"/>
            <w:vAlign w:val="bottom"/>
          </w:tcPr>
          <w:p>
            <w:pPr>
              <w:pStyle w:val="TableContents"/>
              <w:spacing w:before="0" w:after="283"/>
              <w:jc w:val="right"/>
              <w:rPr/>
            </w:pPr>
            <w:r>
              <w:rPr/>
              <w:t>18.94</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573" w:type="dxa"/>
            <w:tcBorders/>
            <w:shd w:fill="auto" w:val="clear"/>
            <w:vAlign w:val="bottom"/>
          </w:tcPr>
          <w:p>
            <w:pPr>
              <w:pStyle w:val="TableContents"/>
              <w:spacing w:before="0" w:after="283"/>
              <w:jc w:val="right"/>
              <w:rPr/>
            </w:pPr>
            <w:r>
              <w:rPr/>
              <w:t>17.96</w:t>
            </w:r>
          </w:p>
        </w:tc>
        <w:tc>
          <w:tcPr>
            <w:tcW w:w="60" w:type="dxa"/>
            <w:tcBorders/>
            <w:shd w:fill="auto" w:val="clear"/>
            <w:vAlign w:val="bottom"/>
          </w:tcPr>
          <w:p>
            <w:pPr>
              <w:pStyle w:val="TableContents"/>
              <w:spacing w:before="0" w:after="283"/>
              <w:rPr/>
            </w:pPr>
            <w:r>
              <w:rPr/>
              <w:t> </w:t>
            </w:r>
          </w:p>
        </w:tc>
        <w:tc>
          <w:tcPr>
            <w:tcW w:w="171" w:type="dxa"/>
            <w:tcBorders/>
            <w:shd w:fill="auto" w:val="clear"/>
            <w:vAlign w:val="bottom"/>
          </w:tcPr>
          <w:p>
            <w:pPr>
              <w:pStyle w:val="TableContents"/>
              <w:spacing w:before="0" w:after="283"/>
              <w:rPr/>
            </w:pPr>
            <w:r>
              <w:rPr/>
              <w:t>  </w:t>
            </w:r>
          </w:p>
        </w:tc>
        <w:tc>
          <w:tcPr>
            <w:tcW w:w="146" w:type="dxa"/>
            <w:tcBorders/>
            <w:shd w:fill="auto" w:val="clear"/>
            <w:vAlign w:val="bottom"/>
          </w:tcPr>
          <w:p>
            <w:pPr>
              <w:pStyle w:val="TableContents"/>
              <w:spacing w:before="0" w:after="283"/>
              <w:rPr/>
            </w:pPr>
            <w:r>
              <w:rPr/>
              <w:t> </w:t>
            </w:r>
          </w:p>
        </w:tc>
        <w:tc>
          <w:tcPr>
            <w:tcW w:w="1105" w:type="dxa"/>
            <w:tcBorders/>
            <w:shd w:fill="auto" w:val="clear"/>
            <w:vAlign w:val="bottom"/>
          </w:tcPr>
          <w:p>
            <w:pPr>
              <w:pStyle w:val="TableContents"/>
              <w:spacing w:before="0" w:after="283"/>
              <w:jc w:val="right"/>
              <w:rPr/>
            </w:pPr>
            <w:r>
              <w:rPr/>
              <w:t>*</w:t>
            </w:r>
          </w:p>
        </w:tc>
        <w:tc>
          <w:tcPr>
            <w:tcW w:w="282" w:type="dxa"/>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rPr/>
            </w:pPr>
            <w:r>
              <w:rPr/>
              <w:t> </w:t>
            </w:r>
          </w:p>
        </w:tc>
        <w:tc>
          <w:tcPr>
            <w:tcW w:w="987" w:type="dxa"/>
            <w:tcBorders/>
            <w:shd w:fill="auto" w:val="clear"/>
            <w:vAlign w:val="bottom"/>
          </w:tcPr>
          <w:p>
            <w:pPr>
              <w:pStyle w:val="TableContents"/>
              <w:spacing w:before="0" w:after="283"/>
              <w:jc w:val="right"/>
              <w:rPr/>
            </w:pPr>
            <w:r>
              <w:rPr/>
              <w:t>*</w:t>
            </w:r>
          </w:p>
        </w:tc>
        <w:tc>
          <w:tcPr>
            <w:tcW w:w="351" w:type="dxa"/>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rPr/>
            </w:pPr>
            <w:r>
              <w:rPr/>
              <w:t> </w:t>
            </w:r>
          </w:p>
        </w:tc>
        <w:tc>
          <w:tcPr>
            <w:tcW w:w="229" w:type="dxa"/>
            <w:tcBorders/>
            <w:shd w:fill="auto" w:val="clear"/>
            <w:vAlign w:val="bottom"/>
          </w:tcPr>
          <w:p>
            <w:pPr>
              <w:pStyle w:val="TableContents"/>
              <w:spacing w:before="0" w:after="283"/>
              <w:rPr/>
            </w:pPr>
            <w:r>
              <w:rPr/>
              <w:t> </w:t>
            </w:r>
          </w:p>
        </w:tc>
        <w:tc>
          <w:tcPr>
            <w:tcW w:w="751" w:type="dxa"/>
            <w:tcBorders/>
            <w:shd w:fill="auto" w:val="clear"/>
            <w:vAlign w:val="bottom"/>
          </w:tcPr>
          <w:p>
            <w:pPr>
              <w:pStyle w:val="TableContents"/>
              <w:spacing w:before="0" w:after="283"/>
              <w:jc w:val="right"/>
              <w:rPr/>
            </w:pPr>
            <w:r>
              <w:rPr/>
              <w:t>  </w:t>
            </w:r>
          </w:p>
        </w:tc>
        <w:tc>
          <w:tcPr>
            <w:tcW w:w="68" w:type="dxa"/>
            <w:tcBorders/>
            <w:shd w:fill="auto"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Net asset value per share is determined as of the last day in the relevant quarter and therefore may not reflect the net asset value per share on the date of the high and low closing sales prices. The net asset values shown are based on outstanding shares at the end of the relevant quarter.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(2)</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Calculated as the respective high or low closing sales price less net asset value, divided by net asset value (in each case, as of the applicable quarter). Does not reflect intraday trading prices.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(3)</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the dividends declared in the relevant quarter.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Net asset value has not yet been reported for this period. </w:t>
            </w:r>
          </w:p>
        </w:tc>
      </w:tr>
    </w:tbl>
    <w:p>
      <w:pPr>
        <w:pStyle w:val="TextBody"/>
        <w:spacing w:before="240" w:after="0"/>
        <w:rPr>
          <w:rFonts w:ascii="Times New Roman" w:hAnsi="Times New Roman"/>
          <w:sz w:val="20"/>
        </w:rPr>
      </w:pPr>
      <w:r>
        <w:rPr>
          <w:rFonts w:ascii="Times New Roman" w:hAnsi="Times New Roman"/>
          <w:sz w:val="20"/>
        </w:rPr>
        <w:t xml:space="preserve">To the extent we have earnings available for distribution, we expect to continue distributing quarterly dividends to our stockholders. Our quarterly dividends, if any, will be determined by our Board. Any dividends to our stockholders will be declared out of assets legally available for distribution. </w:t>
      </w:r>
    </w:p>
    <w:p>
      <w:pPr>
        <w:pStyle w:val="TextBody"/>
        <w:spacing w:before="240" w:after="0"/>
        <w:rPr>
          <w:rFonts w:ascii="Times New Roman" w:hAnsi="Times New Roman"/>
          <w:sz w:val="20"/>
        </w:rPr>
      </w:pPr>
      <w:r>
        <w:rPr>
          <w:rFonts w:ascii="Times New Roman" w:hAnsi="Times New Roman"/>
          <w:sz w:val="20"/>
        </w:rPr>
        <w:t xml:space="preserve">On November 1, 2022, our Board declared a fourth quarter 2022 base dividend of $0.45 per share for stockholders of record as of December 15, 2022, payable on December 30, 2022. Those dividends were paid from income generated primarily by interest earned on our investment portfolio.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following tables summarize dividends declared during the nine months ended September 30, 2022 and years ended December 31, 2021, 2020 and 2019: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814"/>
        <w:gridCol w:w="138"/>
        <w:gridCol w:w="1446"/>
        <w:gridCol w:w="138"/>
        <w:gridCol w:w="2117"/>
        <w:gridCol w:w="138"/>
        <w:gridCol w:w="2117"/>
        <w:gridCol w:w="138"/>
        <w:gridCol w:w="247"/>
        <w:gridCol w:w="846"/>
        <w:gridCol w:w="66"/>
      </w:tblGrid>
      <w:tr>
        <w:trPr/>
        <w:tc>
          <w:tcPr>
            <w:tcW w:w="2814"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sz w:val="4"/>
                <w:szCs w:val="4"/>
              </w:rPr>
            </w:pPr>
            <w:r>
              <w:rPr>
                <w:sz w:val="4"/>
                <w:szCs w:val="4"/>
              </w:rPr>
            </w:r>
          </w:p>
        </w:tc>
        <w:tc>
          <w:tcPr>
            <w:tcW w:w="1446"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sz w:val="4"/>
                <w:szCs w:val="4"/>
              </w:rPr>
            </w:pPr>
            <w:r>
              <w:rPr>
                <w:sz w:val="4"/>
                <w:szCs w:val="4"/>
              </w:rPr>
            </w:r>
          </w:p>
        </w:tc>
        <w:tc>
          <w:tcPr>
            <w:tcW w:w="2117"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sz w:val="4"/>
                <w:szCs w:val="4"/>
              </w:rPr>
            </w:pPr>
            <w:r>
              <w:rPr>
                <w:sz w:val="4"/>
                <w:szCs w:val="4"/>
              </w:rPr>
            </w:r>
          </w:p>
        </w:tc>
        <w:tc>
          <w:tcPr>
            <w:tcW w:w="2117"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r>
      <w:tr>
        <w:trPr/>
        <w:tc>
          <w:tcPr>
            <w:tcW w:w="2814" w:type="dxa"/>
            <w:tcBorders/>
            <w:shd w:fill="auto" w:val="clear"/>
            <w:vAlign w:val="bottom"/>
          </w:tcPr>
          <w:p>
            <w:pPr>
              <w:pStyle w:val="TableContents"/>
              <w:spacing w:before="0" w:after="283"/>
              <w:rPr/>
            </w:pPr>
            <w:r>
              <w:rPr/>
              <w:t> </w:t>
            </w:r>
          </w:p>
        </w:tc>
        <w:tc>
          <w:tcPr>
            <w:tcW w:w="138" w:type="dxa"/>
            <w:tcBorders/>
            <w:shd w:fill="auto" w:val="clear"/>
            <w:vAlign w:val="bottom"/>
          </w:tcPr>
          <w:p>
            <w:pPr>
              <w:pStyle w:val="TableContents"/>
              <w:spacing w:before="0" w:after="283"/>
              <w:rPr/>
            </w:pPr>
            <w:r>
              <w:rPr/>
              <w:t>  </w:t>
            </w:r>
          </w:p>
        </w:tc>
        <w:tc>
          <w:tcPr>
            <w:tcW w:w="7187" w:type="dxa"/>
            <w:gridSpan w:val="8"/>
            <w:tcBorders>
              <w:bottom w:val="single" w:sz="8" w:space="0" w:color="000000"/>
            </w:tcBorders>
            <w:shd w:fill="auto" w:val="clear"/>
            <w:tcMar>
              <w:bottom w:w="28" w:type="dxa"/>
            </w:tcMar>
            <w:vAlign w:val="bottom"/>
          </w:tcPr>
          <w:p>
            <w:pPr>
              <w:pStyle w:val="TableContents"/>
              <w:spacing w:before="0" w:after="283"/>
              <w:jc w:val="center"/>
              <w:rPr>
                <w:b/>
              </w:rPr>
            </w:pPr>
            <w:r>
              <w:rPr>
                <w:b/>
              </w:rPr>
              <w:t>Nine Months Ended September 30, 2022</w:t>
            </w:r>
          </w:p>
        </w:tc>
        <w:tc>
          <w:tcPr>
            <w:tcW w:w="66" w:type="dxa"/>
            <w:tcBorders/>
            <w:shd w:fill="auto" w:val="clear"/>
            <w:vAlign w:val="bottom"/>
          </w:tcPr>
          <w:p>
            <w:pPr>
              <w:pStyle w:val="TableContents"/>
              <w:spacing w:before="0" w:after="283"/>
              <w:rPr/>
            </w:pPr>
            <w:r>
              <w:rPr/>
              <w:t> </w:t>
            </w:r>
          </w:p>
        </w:tc>
      </w:tr>
      <w:tr>
        <w:trPr/>
        <w:tc>
          <w:tcPr>
            <w:tcW w:w="2814"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Date Declared</w:t>
            </w:r>
          </w:p>
        </w:tc>
        <w:tc>
          <w:tcPr>
            <w:tcW w:w="138" w:type="dxa"/>
            <w:tcBorders/>
            <w:shd w:fill="auto" w:val="clear"/>
            <w:vAlign w:val="bottom"/>
          </w:tcPr>
          <w:p>
            <w:pPr>
              <w:pStyle w:val="TableContents"/>
              <w:spacing w:before="0" w:after="283"/>
              <w:rPr/>
            </w:pPr>
            <w:r>
              <w:rPr/>
              <w:t>  </w:t>
            </w:r>
          </w:p>
        </w:tc>
        <w:tc>
          <w:tcPr>
            <w:tcW w:w="1446" w:type="dxa"/>
            <w:tcBorders>
              <w:bottom w:val="single" w:sz="8" w:space="0" w:color="000000"/>
            </w:tcBorders>
            <w:shd w:fill="auto" w:val="clear"/>
            <w:tcMar>
              <w:bottom w:w="28" w:type="dxa"/>
            </w:tcMar>
            <w:vAlign w:val="bottom"/>
          </w:tcPr>
          <w:p>
            <w:pPr>
              <w:pStyle w:val="TableContents"/>
              <w:spacing w:before="0" w:after="283"/>
              <w:jc w:val="center"/>
              <w:rPr>
                <w:b/>
              </w:rPr>
            </w:pPr>
            <w:r>
              <w:rPr>
                <w:b/>
              </w:rPr>
              <w:t>Dividend(1)</w:t>
            </w:r>
          </w:p>
        </w:tc>
        <w:tc>
          <w:tcPr>
            <w:tcW w:w="138" w:type="dxa"/>
            <w:tcBorders/>
            <w:shd w:fill="auto" w:val="clear"/>
            <w:vAlign w:val="bottom"/>
          </w:tcPr>
          <w:p>
            <w:pPr>
              <w:pStyle w:val="TableContents"/>
              <w:spacing w:before="0" w:after="283"/>
              <w:rPr/>
            </w:pPr>
            <w:r>
              <w:rPr/>
              <w:t>  </w:t>
            </w:r>
          </w:p>
        </w:tc>
        <w:tc>
          <w:tcPr>
            <w:tcW w:w="2117" w:type="dxa"/>
            <w:tcBorders>
              <w:bottom w:val="single" w:sz="8" w:space="0" w:color="000000"/>
            </w:tcBorders>
            <w:shd w:fill="auto" w:val="clear"/>
            <w:tcMar>
              <w:bottom w:w="28" w:type="dxa"/>
            </w:tcMar>
            <w:vAlign w:val="bottom"/>
          </w:tcPr>
          <w:p>
            <w:pPr>
              <w:pStyle w:val="TableContents"/>
              <w:spacing w:before="0" w:after="283"/>
              <w:jc w:val="center"/>
              <w:rPr>
                <w:b/>
              </w:rPr>
            </w:pPr>
            <w:r>
              <w:rPr>
                <w:b/>
              </w:rPr>
              <w:t>Record Date</w:t>
            </w:r>
          </w:p>
        </w:tc>
        <w:tc>
          <w:tcPr>
            <w:tcW w:w="138" w:type="dxa"/>
            <w:tcBorders/>
            <w:shd w:fill="auto" w:val="clear"/>
            <w:vAlign w:val="bottom"/>
          </w:tcPr>
          <w:p>
            <w:pPr>
              <w:pStyle w:val="TableContents"/>
              <w:spacing w:before="0" w:after="283"/>
              <w:rPr/>
            </w:pPr>
            <w:r>
              <w:rPr/>
              <w:t>  </w:t>
            </w:r>
          </w:p>
        </w:tc>
        <w:tc>
          <w:tcPr>
            <w:tcW w:w="2117" w:type="dxa"/>
            <w:tcBorders>
              <w:bottom w:val="single" w:sz="8" w:space="0" w:color="000000"/>
            </w:tcBorders>
            <w:shd w:fill="auto" w:val="clear"/>
            <w:tcMar>
              <w:bottom w:w="28" w:type="dxa"/>
            </w:tcMar>
            <w:vAlign w:val="bottom"/>
          </w:tcPr>
          <w:p>
            <w:pPr>
              <w:pStyle w:val="TableContents"/>
              <w:spacing w:before="0" w:after="283"/>
              <w:jc w:val="center"/>
              <w:rPr>
                <w:b/>
              </w:rPr>
            </w:pPr>
            <w:r>
              <w:rPr>
                <w:b/>
              </w:rPr>
              <w:t>Payment Date</w:t>
            </w:r>
          </w:p>
        </w:tc>
        <w:tc>
          <w:tcPr>
            <w:tcW w:w="138" w:type="dxa"/>
            <w:tcBorders/>
            <w:shd w:fill="auto" w:val="clear"/>
            <w:vAlign w:val="bottom"/>
          </w:tcPr>
          <w:p>
            <w:pPr>
              <w:pStyle w:val="TableContents"/>
              <w:spacing w:before="0" w:after="283"/>
              <w:rPr/>
            </w:pPr>
            <w:r>
              <w:rPr/>
              <w:t>  </w:t>
            </w:r>
          </w:p>
        </w:tc>
        <w:tc>
          <w:tcPr>
            <w:tcW w:w="109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Dividend</w:t>
              <w:br/>
              <w:t>per Share</w:t>
            </w:r>
          </w:p>
        </w:tc>
        <w:tc>
          <w:tcPr>
            <w:tcW w:w="66" w:type="dxa"/>
            <w:tcBorders/>
            <w:shd w:fill="auto" w:val="clear"/>
            <w:vAlign w:val="bottom"/>
          </w:tcPr>
          <w:p>
            <w:pPr>
              <w:pStyle w:val="TableContents"/>
              <w:spacing w:before="0" w:after="283"/>
              <w:rPr/>
            </w:pPr>
            <w:r>
              <w:rPr/>
              <w:t> </w:t>
            </w:r>
          </w:p>
        </w:tc>
      </w:tr>
      <w:tr>
        <w:trPr/>
        <w:tc>
          <w:tcPr>
            <w:tcW w:w="2814" w:type="dxa"/>
            <w:tcBorders/>
            <w:shd w:fill="CCEEFF" w:val="clear"/>
          </w:tcPr>
          <w:p>
            <w:pPr>
              <w:pStyle w:val="TableContents"/>
              <w:spacing w:before="0" w:after="0"/>
              <w:rPr>
                <w:rFonts w:ascii="Times New Roman" w:hAnsi="Times New Roman"/>
                <w:sz w:val="20"/>
              </w:rPr>
            </w:pPr>
            <w:r>
              <w:rPr>
                <w:rFonts w:ascii="Times New Roman" w:hAnsi="Times New Roman"/>
                <w:sz w:val="20"/>
              </w:rPr>
              <w:t>February 17, 2022</w:t>
            </w:r>
          </w:p>
        </w:tc>
        <w:tc>
          <w:tcPr>
            <w:tcW w:w="138" w:type="dxa"/>
            <w:tcBorders/>
            <w:shd w:fill="CCEEFF" w:val="clear"/>
            <w:vAlign w:val="bottom"/>
          </w:tcPr>
          <w:p>
            <w:pPr>
              <w:pStyle w:val="TableContents"/>
              <w:spacing w:before="0" w:after="283"/>
              <w:rPr/>
            </w:pPr>
            <w:r>
              <w:rPr/>
              <w:t>  </w:t>
            </w:r>
          </w:p>
        </w:tc>
        <w:tc>
          <w:tcPr>
            <w:tcW w:w="1446" w:type="dxa"/>
            <w:tcBorders/>
            <w:shd w:fill="CCEEFF" w:val="clear"/>
            <w:vAlign w:val="bottom"/>
          </w:tcPr>
          <w:p>
            <w:pPr>
              <w:pStyle w:val="TableContents"/>
              <w:spacing w:before="0" w:after="283"/>
              <w:jc w:val="center"/>
              <w:rPr/>
            </w:pPr>
            <w:r>
              <w:rPr/>
              <w:t>Supplemental</w:t>
            </w:r>
          </w:p>
        </w:tc>
        <w:tc>
          <w:tcPr>
            <w:tcW w:w="138" w:type="dxa"/>
            <w:tcBorders/>
            <w:shd w:fill="CCEEFF" w:val="clear"/>
            <w:vAlign w:val="bottom"/>
          </w:tcPr>
          <w:p>
            <w:pPr>
              <w:pStyle w:val="TableContents"/>
              <w:spacing w:before="0" w:after="283"/>
              <w:rPr/>
            </w:pPr>
            <w:r>
              <w:rPr/>
              <w:t>  </w:t>
            </w:r>
          </w:p>
        </w:tc>
        <w:tc>
          <w:tcPr>
            <w:tcW w:w="2117" w:type="dxa"/>
            <w:tcBorders/>
            <w:shd w:fill="CCEEFF" w:val="clear"/>
            <w:vAlign w:val="bottom"/>
          </w:tcPr>
          <w:p>
            <w:pPr>
              <w:pStyle w:val="TableContents"/>
              <w:spacing w:before="0" w:after="283"/>
              <w:jc w:val="center"/>
              <w:rPr/>
            </w:pPr>
            <w:r>
              <w:rPr/>
              <w:t>February 28, 2022</w:t>
            </w:r>
          </w:p>
        </w:tc>
        <w:tc>
          <w:tcPr>
            <w:tcW w:w="138" w:type="dxa"/>
            <w:tcBorders/>
            <w:shd w:fill="CCEEFF" w:val="clear"/>
            <w:vAlign w:val="bottom"/>
          </w:tcPr>
          <w:p>
            <w:pPr>
              <w:pStyle w:val="TableContents"/>
              <w:spacing w:before="0" w:after="283"/>
              <w:rPr/>
            </w:pPr>
            <w:r>
              <w:rPr/>
              <w:t>  </w:t>
            </w:r>
          </w:p>
        </w:tc>
        <w:tc>
          <w:tcPr>
            <w:tcW w:w="2117" w:type="dxa"/>
            <w:tcBorders/>
            <w:shd w:fill="CCEEFF" w:val="clear"/>
            <w:vAlign w:val="bottom"/>
          </w:tcPr>
          <w:p>
            <w:pPr>
              <w:pStyle w:val="TableContents"/>
              <w:spacing w:before="0" w:after="283"/>
              <w:jc w:val="center"/>
              <w:rPr/>
            </w:pPr>
            <w:r>
              <w:rPr/>
              <w:t>March 31, 2022</w:t>
            </w:r>
          </w:p>
        </w:tc>
        <w:tc>
          <w:tcPr>
            <w:tcW w:w="138"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w:t>
            </w:r>
          </w:p>
        </w:tc>
        <w:tc>
          <w:tcPr>
            <w:tcW w:w="846" w:type="dxa"/>
            <w:tcBorders/>
            <w:shd w:fill="CCEEFF" w:val="clear"/>
            <w:vAlign w:val="bottom"/>
          </w:tcPr>
          <w:p>
            <w:pPr>
              <w:pStyle w:val="TableContents"/>
              <w:spacing w:before="0" w:after="283"/>
              <w:jc w:val="right"/>
              <w:rPr/>
            </w:pPr>
            <w:r>
              <w:rPr/>
              <w:t>0.11</w:t>
            </w:r>
          </w:p>
        </w:tc>
        <w:tc>
          <w:tcPr>
            <w:tcW w:w="66" w:type="dxa"/>
            <w:tcBorders/>
            <w:shd w:fill="CCEEFF" w:val="clear"/>
            <w:vAlign w:val="bottom"/>
          </w:tcPr>
          <w:p>
            <w:pPr>
              <w:pStyle w:val="TableContents"/>
              <w:spacing w:before="0" w:after="283"/>
              <w:rPr/>
            </w:pPr>
            <w:r>
              <w:rPr/>
              <w:t> </w:t>
            </w:r>
          </w:p>
        </w:tc>
      </w:tr>
      <w:tr>
        <w:trPr/>
        <w:tc>
          <w:tcPr>
            <w:tcW w:w="2814" w:type="dxa"/>
            <w:tcBorders/>
            <w:shd w:fill="auto" w:val="clear"/>
          </w:tcPr>
          <w:p>
            <w:pPr>
              <w:pStyle w:val="TableContents"/>
              <w:spacing w:before="0" w:after="0"/>
              <w:rPr>
                <w:rFonts w:ascii="Times New Roman" w:hAnsi="Times New Roman"/>
                <w:sz w:val="20"/>
              </w:rPr>
            </w:pPr>
            <w:r>
              <w:rPr>
                <w:rFonts w:ascii="Times New Roman" w:hAnsi="Times New Roman"/>
                <w:sz w:val="20"/>
              </w:rPr>
              <w:t>February 17, 2022</w:t>
            </w:r>
          </w:p>
        </w:tc>
        <w:tc>
          <w:tcPr>
            <w:tcW w:w="138" w:type="dxa"/>
            <w:tcBorders/>
            <w:shd w:fill="auto" w:val="clear"/>
            <w:vAlign w:val="bottom"/>
          </w:tcPr>
          <w:p>
            <w:pPr>
              <w:pStyle w:val="TableContents"/>
              <w:spacing w:before="0" w:after="283"/>
              <w:rPr/>
            </w:pPr>
            <w:r>
              <w:rPr/>
              <w:t>  </w:t>
            </w:r>
          </w:p>
        </w:tc>
        <w:tc>
          <w:tcPr>
            <w:tcW w:w="1446" w:type="dxa"/>
            <w:tcBorders/>
            <w:shd w:fill="auto" w:val="clear"/>
            <w:vAlign w:val="bottom"/>
          </w:tcPr>
          <w:p>
            <w:pPr>
              <w:pStyle w:val="TableContents"/>
              <w:spacing w:before="0" w:after="283"/>
              <w:jc w:val="center"/>
              <w:rPr/>
            </w:pPr>
            <w:r>
              <w:rPr/>
              <w:t>Base</w:t>
            </w:r>
          </w:p>
        </w:tc>
        <w:tc>
          <w:tcPr>
            <w:tcW w:w="138" w:type="dxa"/>
            <w:tcBorders/>
            <w:shd w:fill="auto" w:val="clear"/>
            <w:vAlign w:val="bottom"/>
          </w:tcPr>
          <w:p>
            <w:pPr>
              <w:pStyle w:val="TableContents"/>
              <w:spacing w:before="0" w:after="283"/>
              <w:rPr/>
            </w:pPr>
            <w:r>
              <w:rPr/>
              <w:t>  </w:t>
            </w:r>
          </w:p>
        </w:tc>
        <w:tc>
          <w:tcPr>
            <w:tcW w:w="2117" w:type="dxa"/>
            <w:tcBorders/>
            <w:shd w:fill="auto" w:val="clear"/>
            <w:vAlign w:val="bottom"/>
          </w:tcPr>
          <w:p>
            <w:pPr>
              <w:pStyle w:val="TableContents"/>
              <w:spacing w:before="0" w:after="283"/>
              <w:jc w:val="center"/>
              <w:rPr/>
            </w:pPr>
            <w:r>
              <w:rPr/>
              <w:t>March 15, 2022</w:t>
            </w:r>
          </w:p>
        </w:tc>
        <w:tc>
          <w:tcPr>
            <w:tcW w:w="138" w:type="dxa"/>
            <w:tcBorders/>
            <w:shd w:fill="auto" w:val="clear"/>
            <w:vAlign w:val="bottom"/>
          </w:tcPr>
          <w:p>
            <w:pPr>
              <w:pStyle w:val="TableContents"/>
              <w:spacing w:before="0" w:after="283"/>
              <w:rPr/>
            </w:pPr>
            <w:r>
              <w:rPr/>
              <w:t>  </w:t>
            </w:r>
          </w:p>
        </w:tc>
        <w:tc>
          <w:tcPr>
            <w:tcW w:w="2117" w:type="dxa"/>
            <w:tcBorders/>
            <w:shd w:fill="auto" w:val="clear"/>
            <w:vAlign w:val="bottom"/>
          </w:tcPr>
          <w:p>
            <w:pPr>
              <w:pStyle w:val="TableContents"/>
              <w:spacing w:before="0" w:after="283"/>
              <w:jc w:val="center"/>
              <w:rPr/>
            </w:pPr>
            <w:r>
              <w:rPr/>
              <w:t>April 18, 2022</w:t>
            </w:r>
          </w:p>
        </w:tc>
        <w:tc>
          <w:tcPr>
            <w:tcW w:w="13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pPr>
            <w:r>
              <w:rPr/>
              <w:t>0.41</w:t>
            </w:r>
          </w:p>
        </w:tc>
        <w:tc>
          <w:tcPr>
            <w:tcW w:w="66" w:type="dxa"/>
            <w:tcBorders/>
            <w:shd w:fill="auto" w:val="clear"/>
            <w:vAlign w:val="bottom"/>
          </w:tcPr>
          <w:p>
            <w:pPr>
              <w:pStyle w:val="TableContents"/>
              <w:spacing w:before="0" w:after="283"/>
              <w:rPr/>
            </w:pPr>
            <w:r>
              <w:rPr/>
              <w:t> </w:t>
            </w:r>
          </w:p>
        </w:tc>
      </w:tr>
      <w:tr>
        <w:trPr/>
        <w:tc>
          <w:tcPr>
            <w:tcW w:w="2814" w:type="dxa"/>
            <w:tcBorders/>
            <w:shd w:fill="CCEEFF" w:val="clear"/>
          </w:tcPr>
          <w:p>
            <w:pPr>
              <w:pStyle w:val="TableContents"/>
              <w:spacing w:before="0" w:after="0"/>
              <w:rPr>
                <w:rFonts w:ascii="Times New Roman" w:hAnsi="Times New Roman"/>
                <w:sz w:val="20"/>
              </w:rPr>
            </w:pPr>
            <w:r>
              <w:rPr>
                <w:rFonts w:ascii="Times New Roman" w:hAnsi="Times New Roman"/>
                <w:sz w:val="20"/>
              </w:rPr>
              <w:t>May 3, 2022</w:t>
            </w:r>
          </w:p>
        </w:tc>
        <w:tc>
          <w:tcPr>
            <w:tcW w:w="138" w:type="dxa"/>
            <w:tcBorders/>
            <w:shd w:fill="CCEEFF" w:val="clear"/>
            <w:vAlign w:val="bottom"/>
          </w:tcPr>
          <w:p>
            <w:pPr>
              <w:pStyle w:val="TableContents"/>
              <w:spacing w:before="0" w:after="283"/>
              <w:rPr/>
            </w:pPr>
            <w:r>
              <w:rPr/>
              <w:t>  </w:t>
            </w:r>
          </w:p>
        </w:tc>
        <w:tc>
          <w:tcPr>
            <w:tcW w:w="1446" w:type="dxa"/>
            <w:tcBorders/>
            <w:shd w:fill="CCEEFF" w:val="clear"/>
            <w:vAlign w:val="bottom"/>
          </w:tcPr>
          <w:p>
            <w:pPr>
              <w:pStyle w:val="TableContents"/>
              <w:spacing w:before="0" w:after="283"/>
              <w:jc w:val="center"/>
              <w:rPr/>
            </w:pPr>
            <w:r>
              <w:rPr/>
              <w:t>Supplemental</w:t>
            </w:r>
          </w:p>
        </w:tc>
        <w:tc>
          <w:tcPr>
            <w:tcW w:w="138" w:type="dxa"/>
            <w:tcBorders/>
            <w:shd w:fill="CCEEFF" w:val="clear"/>
            <w:vAlign w:val="bottom"/>
          </w:tcPr>
          <w:p>
            <w:pPr>
              <w:pStyle w:val="TableContents"/>
              <w:spacing w:before="0" w:after="283"/>
              <w:rPr/>
            </w:pPr>
            <w:r>
              <w:rPr/>
              <w:t>  </w:t>
            </w:r>
          </w:p>
        </w:tc>
        <w:tc>
          <w:tcPr>
            <w:tcW w:w="2117" w:type="dxa"/>
            <w:tcBorders/>
            <w:shd w:fill="CCEEFF" w:val="clear"/>
            <w:vAlign w:val="bottom"/>
          </w:tcPr>
          <w:p>
            <w:pPr>
              <w:pStyle w:val="TableContents"/>
              <w:spacing w:before="0" w:after="283"/>
              <w:jc w:val="center"/>
              <w:rPr/>
            </w:pPr>
            <w:r>
              <w:rPr/>
              <w:t>May 31, 2022</w:t>
            </w:r>
          </w:p>
        </w:tc>
        <w:tc>
          <w:tcPr>
            <w:tcW w:w="138" w:type="dxa"/>
            <w:tcBorders/>
            <w:shd w:fill="CCEEFF" w:val="clear"/>
            <w:vAlign w:val="bottom"/>
          </w:tcPr>
          <w:p>
            <w:pPr>
              <w:pStyle w:val="TableContents"/>
              <w:spacing w:before="0" w:after="283"/>
              <w:rPr/>
            </w:pPr>
            <w:r>
              <w:rPr/>
              <w:t>  </w:t>
            </w:r>
          </w:p>
        </w:tc>
        <w:tc>
          <w:tcPr>
            <w:tcW w:w="2117" w:type="dxa"/>
            <w:tcBorders/>
            <w:shd w:fill="CCEEFF" w:val="clear"/>
            <w:vAlign w:val="bottom"/>
          </w:tcPr>
          <w:p>
            <w:pPr>
              <w:pStyle w:val="TableContents"/>
              <w:spacing w:before="0" w:after="283"/>
              <w:jc w:val="center"/>
              <w:rPr/>
            </w:pPr>
            <w:r>
              <w:rPr/>
              <w:t>September 30, 2022</w:t>
            </w:r>
          </w:p>
        </w:tc>
        <w:tc>
          <w:tcPr>
            <w:tcW w:w="138"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pPr>
            <w:r>
              <w:rPr/>
              <w:t>0.04</w:t>
            </w:r>
          </w:p>
        </w:tc>
        <w:tc>
          <w:tcPr>
            <w:tcW w:w="66" w:type="dxa"/>
            <w:tcBorders/>
            <w:shd w:fill="CCEEFF" w:val="clear"/>
            <w:vAlign w:val="bottom"/>
          </w:tcPr>
          <w:p>
            <w:pPr>
              <w:pStyle w:val="TableContents"/>
              <w:spacing w:before="0" w:after="283"/>
              <w:rPr/>
            </w:pPr>
            <w:r>
              <w:rPr/>
              <w:t> </w:t>
            </w:r>
          </w:p>
        </w:tc>
      </w:tr>
      <w:tr>
        <w:trPr/>
        <w:tc>
          <w:tcPr>
            <w:tcW w:w="2814" w:type="dxa"/>
            <w:tcBorders/>
            <w:shd w:fill="auto" w:val="clear"/>
          </w:tcPr>
          <w:p>
            <w:pPr>
              <w:pStyle w:val="TableContents"/>
              <w:spacing w:before="0" w:after="0"/>
              <w:rPr>
                <w:rFonts w:ascii="Times New Roman" w:hAnsi="Times New Roman"/>
                <w:sz w:val="20"/>
              </w:rPr>
            </w:pPr>
            <w:r>
              <w:rPr>
                <w:rFonts w:ascii="Times New Roman" w:hAnsi="Times New Roman"/>
                <w:sz w:val="20"/>
              </w:rPr>
              <w:t>May 3, 2022</w:t>
            </w:r>
          </w:p>
        </w:tc>
        <w:tc>
          <w:tcPr>
            <w:tcW w:w="138" w:type="dxa"/>
            <w:tcBorders/>
            <w:shd w:fill="auto" w:val="clear"/>
            <w:vAlign w:val="bottom"/>
          </w:tcPr>
          <w:p>
            <w:pPr>
              <w:pStyle w:val="TableContents"/>
              <w:spacing w:before="0" w:after="283"/>
              <w:rPr/>
            </w:pPr>
            <w:r>
              <w:rPr/>
              <w:t>  </w:t>
            </w:r>
          </w:p>
        </w:tc>
        <w:tc>
          <w:tcPr>
            <w:tcW w:w="1446" w:type="dxa"/>
            <w:tcBorders/>
            <w:shd w:fill="auto" w:val="clear"/>
            <w:vAlign w:val="bottom"/>
          </w:tcPr>
          <w:p>
            <w:pPr>
              <w:pStyle w:val="TableContents"/>
              <w:spacing w:before="0" w:after="283"/>
              <w:jc w:val="center"/>
              <w:rPr/>
            </w:pPr>
            <w:r>
              <w:rPr/>
              <w:t>Base</w:t>
            </w:r>
          </w:p>
        </w:tc>
        <w:tc>
          <w:tcPr>
            <w:tcW w:w="138" w:type="dxa"/>
            <w:tcBorders/>
            <w:shd w:fill="auto" w:val="clear"/>
            <w:vAlign w:val="bottom"/>
          </w:tcPr>
          <w:p>
            <w:pPr>
              <w:pStyle w:val="TableContents"/>
              <w:spacing w:before="0" w:after="283"/>
              <w:rPr/>
            </w:pPr>
            <w:r>
              <w:rPr/>
              <w:t>  </w:t>
            </w:r>
          </w:p>
        </w:tc>
        <w:tc>
          <w:tcPr>
            <w:tcW w:w="2117" w:type="dxa"/>
            <w:tcBorders/>
            <w:shd w:fill="auto" w:val="clear"/>
            <w:vAlign w:val="bottom"/>
          </w:tcPr>
          <w:p>
            <w:pPr>
              <w:pStyle w:val="TableContents"/>
              <w:spacing w:before="0" w:after="283"/>
              <w:jc w:val="center"/>
              <w:rPr/>
            </w:pPr>
            <w:r>
              <w:rPr/>
              <w:t>June 15, 2022</w:t>
            </w:r>
          </w:p>
        </w:tc>
        <w:tc>
          <w:tcPr>
            <w:tcW w:w="138" w:type="dxa"/>
            <w:tcBorders/>
            <w:shd w:fill="auto" w:val="clear"/>
            <w:vAlign w:val="bottom"/>
          </w:tcPr>
          <w:p>
            <w:pPr>
              <w:pStyle w:val="TableContents"/>
              <w:spacing w:before="0" w:after="283"/>
              <w:rPr/>
            </w:pPr>
            <w:r>
              <w:rPr/>
              <w:t>  </w:t>
            </w:r>
          </w:p>
        </w:tc>
        <w:tc>
          <w:tcPr>
            <w:tcW w:w="2117" w:type="dxa"/>
            <w:tcBorders/>
            <w:shd w:fill="auto" w:val="clear"/>
            <w:vAlign w:val="bottom"/>
          </w:tcPr>
          <w:p>
            <w:pPr>
              <w:pStyle w:val="TableContents"/>
              <w:spacing w:before="0" w:after="283"/>
              <w:jc w:val="center"/>
              <w:rPr/>
            </w:pPr>
            <w:r>
              <w:rPr/>
              <w:t>July 15, 2022</w:t>
            </w:r>
          </w:p>
        </w:tc>
        <w:tc>
          <w:tcPr>
            <w:tcW w:w="13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846" w:type="dxa"/>
            <w:tcBorders/>
            <w:shd w:fill="auto" w:val="clear"/>
            <w:vAlign w:val="bottom"/>
          </w:tcPr>
          <w:p>
            <w:pPr>
              <w:pStyle w:val="TableContents"/>
              <w:spacing w:before="0" w:after="283"/>
              <w:jc w:val="right"/>
              <w:rPr/>
            </w:pPr>
            <w:r>
              <w:rPr/>
              <w:t>0.41</w:t>
            </w:r>
          </w:p>
        </w:tc>
        <w:tc>
          <w:tcPr>
            <w:tcW w:w="66" w:type="dxa"/>
            <w:tcBorders/>
            <w:shd w:fill="auto" w:val="clear"/>
            <w:vAlign w:val="bottom"/>
          </w:tcPr>
          <w:p>
            <w:pPr>
              <w:pStyle w:val="TableContents"/>
              <w:spacing w:before="0" w:after="283"/>
              <w:rPr/>
            </w:pPr>
            <w:r>
              <w:rPr/>
              <w:t> </w:t>
            </w:r>
          </w:p>
        </w:tc>
      </w:tr>
      <w:tr>
        <w:trPr/>
        <w:tc>
          <w:tcPr>
            <w:tcW w:w="2814" w:type="dxa"/>
            <w:tcBorders/>
            <w:shd w:fill="CCEEFF" w:val="clear"/>
          </w:tcPr>
          <w:p>
            <w:pPr>
              <w:pStyle w:val="TableContents"/>
              <w:spacing w:before="0" w:after="0"/>
              <w:rPr>
                <w:rFonts w:ascii="Times New Roman" w:hAnsi="Times New Roman"/>
                <w:sz w:val="20"/>
              </w:rPr>
            </w:pPr>
            <w:r>
              <w:rPr>
                <w:rFonts w:ascii="Times New Roman" w:hAnsi="Times New Roman"/>
                <w:sz w:val="20"/>
              </w:rPr>
              <w:t>August 2, 2022</w:t>
            </w:r>
          </w:p>
        </w:tc>
        <w:tc>
          <w:tcPr>
            <w:tcW w:w="138" w:type="dxa"/>
            <w:tcBorders/>
            <w:shd w:fill="CCEEFF" w:val="clear"/>
            <w:vAlign w:val="bottom"/>
          </w:tcPr>
          <w:p>
            <w:pPr>
              <w:pStyle w:val="TableContents"/>
              <w:spacing w:before="0" w:after="283"/>
              <w:rPr/>
            </w:pPr>
            <w:r>
              <w:rPr/>
              <w:t>  </w:t>
            </w:r>
          </w:p>
        </w:tc>
        <w:tc>
          <w:tcPr>
            <w:tcW w:w="1446" w:type="dxa"/>
            <w:tcBorders/>
            <w:shd w:fill="CCEEFF" w:val="clear"/>
            <w:vAlign w:val="bottom"/>
          </w:tcPr>
          <w:p>
            <w:pPr>
              <w:pStyle w:val="TableContents"/>
              <w:spacing w:before="0" w:after="283"/>
              <w:jc w:val="center"/>
              <w:rPr/>
            </w:pPr>
            <w:r>
              <w:rPr/>
              <w:t>Base</w:t>
            </w:r>
          </w:p>
        </w:tc>
        <w:tc>
          <w:tcPr>
            <w:tcW w:w="138" w:type="dxa"/>
            <w:tcBorders/>
            <w:shd w:fill="CCEEFF" w:val="clear"/>
            <w:vAlign w:val="bottom"/>
          </w:tcPr>
          <w:p>
            <w:pPr>
              <w:pStyle w:val="TableContents"/>
              <w:spacing w:before="0" w:after="283"/>
              <w:rPr/>
            </w:pPr>
            <w:r>
              <w:rPr/>
              <w:t>  </w:t>
            </w:r>
          </w:p>
        </w:tc>
        <w:tc>
          <w:tcPr>
            <w:tcW w:w="2117" w:type="dxa"/>
            <w:tcBorders/>
            <w:shd w:fill="CCEEFF" w:val="clear"/>
            <w:vAlign w:val="bottom"/>
          </w:tcPr>
          <w:p>
            <w:pPr>
              <w:pStyle w:val="TableContents"/>
              <w:spacing w:before="0" w:after="283"/>
              <w:jc w:val="center"/>
              <w:rPr/>
            </w:pPr>
            <w:r>
              <w:rPr/>
              <w:t>September 15, 2022</w:t>
            </w:r>
          </w:p>
        </w:tc>
        <w:tc>
          <w:tcPr>
            <w:tcW w:w="138" w:type="dxa"/>
            <w:tcBorders/>
            <w:shd w:fill="CCEEFF" w:val="clear"/>
            <w:vAlign w:val="bottom"/>
          </w:tcPr>
          <w:p>
            <w:pPr>
              <w:pStyle w:val="TableContents"/>
              <w:spacing w:before="0" w:after="283"/>
              <w:rPr/>
            </w:pPr>
            <w:r>
              <w:rPr/>
              <w:t>  </w:t>
            </w:r>
          </w:p>
        </w:tc>
        <w:tc>
          <w:tcPr>
            <w:tcW w:w="2117" w:type="dxa"/>
            <w:tcBorders/>
            <w:shd w:fill="CCEEFF" w:val="clear"/>
            <w:vAlign w:val="bottom"/>
          </w:tcPr>
          <w:p>
            <w:pPr>
              <w:pStyle w:val="TableContents"/>
              <w:spacing w:before="0" w:after="283"/>
              <w:jc w:val="center"/>
              <w:rPr/>
            </w:pPr>
            <w:r>
              <w:rPr/>
              <w:t>September 30, 2022</w:t>
            </w:r>
          </w:p>
        </w:tc>
        <w:tc>
          <w:tcPr>
            <w:tcW w:w="138"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846" w:type="dxa"/>
            <w:tcBorders/>
            <w:shd w:fill="CCEEFF" w:val="clear"/>
            <w:vAlign w:val="bottom"/>
          </w:tcPr>
          <w:p>
            <w:pPr>
              <w:pStyle w:val="TableContents"/>
              <w:spacing w:before="0" w:after="283"/>
              <w:jc w:val="right"/>
              <w:rPr/>
            </w:pPr>
            <w:r>
              <w:rPr/>
              <w:t>0.42</w:t>
            </w:r>
          </w:p>
        </w:tc>
        <w:tc>
          <w:tcPr>
            <w:tcW w:w="66" w:type="dxa"/>
            <w:tcBorders/>
            <w:shd w:fill="CCEEFF" w:val="clear"/>
            <w:vAlign w:val="bottom"/>
          </w:tcPr>
          <w:p>
            <w:pPr>
              <w:pStyle w:val="TableContents"/>
              <w:spacing w:before="0" w:after="283"/>
              <w:rPr/>
            </w:pPr>
            <w:r>
              <w:rPr/>
              <w:t> </w:t>
            </w:r>
          </w:p>
        </w:tc>
      </w:tr>
      <w:tr>
        <w:trPr/>
        <w:tc>
          <w:tcPr>
            <w:tcW w:w="2814"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pPr>
            <w:r>
              <w:rPr/>
              <w:t>  </w:t>
            </w:r>
          </w:p>
        </w:tc>
        <w:tc>
          <w:tcPr>
            <w:tcW w:w="1446"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pPr>
            <w:r>
              <w:rPr/>
              <w:t>  </w:t>
            </w:r>
          </w:p>
        </w:tc>
        <w:tc>
          <w:tcPr>
            <w:tcW w:w="2117"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pPr>
            <w:r>
              <w:rPr/>
              <w:t>  </w:t>
            </w:r>
          </w:p>
        </w:tc>
        <w:tc>
          <w:tcPr>
            <w:tcW w:w="2117"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pBdr>
                <w:top w:val="single" w:sz="2" w:space="1" w:color="000000"/>
              </w:pBdr>
              <w:spacing w:before="0" w:after="0"/>
              <w:rPr/>
            </w:pPr>
            <w:r>
              <w:rPr/>
              <w:t> </w:t>
            </w:r>
          </w:p>
        </w:tc>
        <w:tc>
          <w:tcPr>
            <w:tcW w:w="846" w:type="dxa"/>
            <w:tcBorders/>
            <w:shd w:fill="auto" w:val="clear"/>
            <w:vAlign w:val="bottom"/>
          </w:tcPr>
          <w:p>
            <w:pPr>
              <w:pStyle w:val="TableContents"/>
              <w:pBdr>
                <w:top w:val="single" w:sz="2" w:space="1" w:color="000000"/>
              </w:pBdr>
              <w:spacing w:before="0" w:after="0"/>
              <w:rPr/>
            </w:pPr>
            <w:r>
              <w:rPr/>
              <w:t> </w:t>
            </w:r>
          </w:p>
        </w:tc>
        <w:tc>
          <w:tcPr>
            <w:tcW w:w="66" w:type="dxa"/>
            <w:tcBorders/>
            <w:shd w:fill="auto" w:val="clear"/>
            <w:vAlign w:val="center"/>
          </w:tcPr>
          <w:p>
            <w:pPr>
              <w:pStyle w:val="TableContents"/>
              <w:spacing w:before="0" w:after="283"/>
              <w:rPr/>
            </w:pPr>
            <w:r>
              <w:rPr/>
              <w:t> </w:t>
            </w:r>
          </w:p>
        </w:tc>
      </w:tr>
      <w:tr>
        <w:trPr/>
        <w:tc>
          <w:tcPr>
            <w:tcW w:w="2814" w:type="dxa"/>
            <w:tcBorders/>
            <w:shd w:fill="auto" w:val="clear"/>
            <w:vAlign w:val="bottom"/>
          </w:tcPr>
          <w:p>
            <w:pPr>
              <w:pStyle w:val="TableContents"/>
              <w:spacing w:before="0" w:after="283"/>
              <w:rPr>
                <w:b/>
              </w:rPr>
            </w:pPr>
            <w:r>
              <w:rPr>
                <w:b/>
              </w:rPr>
              <w:t>Total Dividends Declared</w:t>
            </w:r>
          </w:p>
        </w:tc>
        <w:tc>
          <w:tcPr>
            <w:tcW w:w="138" w:type="dxa"/>
            <w:tcBorders/>
            <w:shd w:fill="auto" w:val="clear"/>
            <w:vAlign w:val="bottom"/>
          </w:tcPr>
          <w:p>
            <w:pPr>
              <w:pStyle w:val="TableContents"/>
              <w:spacing w:before="0" w:after="283"/>
              <w:rPr/>
            </w:pPr>
            <w:r>
              <w:rPr/>
              <w:t>  </w:t>
            </w:r>
          </w:p>
        </w:tc>
        <w:tc>
          <w:tcPr>
            <w:tcW w:w="1446"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pPr>
            <w:r>
              <w:rPr/>
              <w:t>  </w:t>
            </w:r>
          </w:p>
        </w:tc>
        <w:tc>
          <w:tcPr>
            <w:tcW w:w="2117"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pPr>
            <w:r>
              <w:rPr/>
              <w:t>  </w:t>
            </w:r>
          </w:p>
        </w:tc>
        <w:tc>
          <w:tcPr>
            <w:tcW w:w="2117"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w:t>
            </w:r>
          </w:p>
        </w:tc>
        <w:tc>
          <w:tcPr>
            <w:tcW w:w="846" w:type="dxa"/>
            <w:tcBorders/>
            <w:shd w:fill="auto" w:val="clear"/>
            <w:vAlign w:val="bottom"/>
          </w:tcPr>
          <w:p>
            <w:pPr>
              <w:pStyle w:val="TableContents"/>
              <w:spacing w:before="0" w:after="283"/>
              <w:jc w:val="right"/>
              <w:rPr/>
            </w:pPr>
            <w:r>
              <w:rPr/>
              <w:t>1.39</w:t>
            </w:r>
          </w:p>
        </w:tc>
        <w:tc>
          <w:tcPr>
            <w:tcW w:w="66" w:type="dxa"/>
            <w:tcBorders/>
            <w:shd w:fill="auto" w:val="clear"/>
            <w:vAlign w:val="bottom"/>
          </w:tcPr>
          <w:p>
            <w:pPr>
              <w:pStyle w:val="TableContents"/>
              <w:spacing w:before="0" w:after="283"/>
              <w:rPr/>
            </w:pPr>
            <w:r>
              <w:rPr/>
              <w:t> </w:t>
            </w:r>
          </w:p>
        </w:tc>
      </w:tr>
      <w:tr>
        <w:trPr/>
        <w:tc>
          <w:tcPr>
            <w:tcW w:w="2814"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pPr>
            <w:r>
              <w:rPr/>
              <w:t>  </w:t>
            </w:r>
          </w:p>
        </w:tc>
        <w:tc>
          <w:tcPr>
            <w:tcW w:w="1446"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pPr>
            <w:r>
              <w:rPr/>
              <w:t>  </w:t>
            </w:r>
          </w:p>
        </w:tc>
        <w:tc>
          <w:tcPr>
            <w:tcW w:w="2117"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pPr>
            <w:r>
              <w:rPr/>
              <w:t>  </w:t>
            </w:r>
          </w:p>
        </w:tc>
        <w:tc>
          <w:tcPr>
            <w:tcW w:w="2117" w:type="dxa"/>
            <w:tcBorders/>
            <w:shd w:fill="auto" w:val="clear"/>
            <w:vAlign w:val="bottom"/>
          </w:tcPr>
          <w:p>
            <w:pPr>
              <w:pStyle w:val="TableContents"/>
              <w:spacing w:before="0" w:after="283"/>
              <w:rPr>
                <w:sz w:val="4"/>
                <w:szCs w:val="4"/>
              </w:rPr>
            </w:pPr>
            <w:r>
              <w:rPr>
                <w:sz w:val="4"/>
                <w:szCs w:val="4"/>
              </w:rPr>
            </w:r>
          </w:p>
        </w:tc>
        <w:tc>
          <w:tcPr>
            <w:tcW w:w="138"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pBdr>
                <w:top w:val="double" w:sz="6" w:space="1" w:color="000000"/>
              </w:pBdr>
              <w:spacing w:before="0" w:after="0"/>
              <w:rPr/>
            </w:pPr>
            <w:r>
              <w:rPr/>
              <w:t> </w:t>
            </w:r>
          </w:p>
        </w:tc>
        <w:tc>
          <w:tcPr>
            <w:tcW w:w="846" w:type="dxa"/>
            <w:tcBorders/>
            <w:shd w:fill="auto" w:val="clear"/>
            <w:vAlign w:val="bottom"/>
          </w:tcPr>
          <w:p>
            <w:pPr>
              <w:pStyle w:val="TableContents"/>
              <w:pBdr>
                <w:top w:val="double" w:sz="6" w:space="1" w:color="000000"/>
              </w:pBdr>
              <w:spacing w:before="0" w:after="0"/>
              <w:rPr/>
            </w:pPr>
            <w:r>
              <w:rPr/>
              <w:t> </w:t>
            </w:r>
          </w:p>
        </w:tc>
        <w:tc>
          <w:tcPr>
            <w:tcW w:w="66" w:type="dxa"/>
            <w:tcBorders/>
            <w:shd w:fill="auto" w:val="clear"/>
            <w:vAlign w:val="center"/>
          </w:tcPr>
          <w:p>
            <w:pPr>
              <w:pStyle w:val="TableContents"/>
              <w:spacing w:before="0" w:after="283"/>
              <w:rPr/>
            </w:pPr>
            <w:r>
              <w:rPr/>
              <w:t>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614"/>
        <w:gridCol w:w="136"/>
        <w:gridCol w:w="60"/>
        <w:gridCol w:w="1401"/>
        <w:gridCol w:w="60"/>
        <w:gridCol w:w="136"/>
        <w:gridCol w:w="60"/>
        <w:gridCol w:w="2066"/>
        <w:gridCol w:w="60"/>
        <w:gridCol w:w="136"/>
        <w:gridCol w:w="60"/>
        <w:gridCol w:w="2066"/>
        <w:gridCol w:w="60"/>
        <w:gridCol w:w="136"/>
        <w:gridCol w:w="247"/>
        <w:gridCol w:w="839"/>
        <w:gridCol w:w="68"/>
      </w:tblGrid>
      <w:tr>
        <w:trPr/>
        <w:tc>
          <w:tcPr>
            <w:tcW w:w="261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6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6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r>
      <w:tr>
        <w:trPr/>
        <w:tc>
          <w:tcPr>
            <w:tcW w:w="2614"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7387"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Year Ended December 31, 2021</w:t>
            </w:r>
          </w:p>
        </w:tc>
        <w:tc>
          <w:tcPr>
            <w:tcW w:w="68" w:type="dxa"/>
            <w:tcBorders/>
            <w:shd w:fill="auto" w:val="clear"/>
            <w:vAlign w:val="bottom"/>
          </w:tcPr>
          <w:p>
            <w:pPr>
              <w:pStyle w:val="TableContents"/>
              <w:spacing w:before="0" w:after="283"/>
              <w:rPr/>
            </w:pPr>
            <w:r>
              <w:rPr/>
              <w:t> </w:t>
            </w:r>
          </w:p>
        </w:tc>
      </w:tr>
      <w:tr>
        <w:trPr/>
        <w:tc>
          <w:tcPr>
            <w:tcW w:w="2614"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Date Declared</w:t>
            </w:r>
          </w:p>
        </w:tc>
        <w:tc>
          <w:tcPr>
            <w:tcW w:w="136" w:type="dxa"/>
            <w:tcBorders/>
            <w:shd w:fill="auto" w:val="clear"/>
            <w:vAlign w:val="bottom"/>
          </w:tcPr>
          <w:p>
            <w:pPr>
              <w:pStyle w:val="TableContents"/>
              <w:spacing w:before="0" w:after="283"/>
              <w:rPr/>
            </w:pPr>
            <w:r>
              <w:rPr/>
              <w:t>  </w:t>
            </w:r>
          </w:p>
        </w:tc>
        <w:tc>
          <w:tcPr>
            <w:tcW w:w="146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Dividend(1)</w:t>
            </w:r>
          </w:p>
        </w:tc>
        <w:tc>
          <w:tcPr>
            <w:tcW w:w="6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212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Record Date</w:t>
            </w:r>
          </w:p>
        </w:tc>
        <w:tc>
          <w:tcPr>
            <w:tcW w:w="6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212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Payment Date</w:t>
            </w:r>
          </w:p>
        </w:tc>
        <w:tc>
          <w:tcPr>
            <w:tcW w:w="6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08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Dividend</w:t>
              <w:br/>
              <w:t>per Share</w:t>
            </w:r>
          </w:p>
        </w:tc>
        <w:tc>
          <w:tcPr>
            <w:tcW w:w="68" w:type="dxa"/>
            <w:tcBorders/>
            <w:shd w:fill="auto" w:val="clear"/>
            <w:vAlign w:val="bottom"/>
          </w:tcPr>
          <w:p>
            <w:pPr>
              <w:pStyle w:val="TableContents"/>
              <w:spacing w:before="0" w:after="283"/>
              <w:rPr/>
            </w:pPr>
            <w:r>
              <w:rPr/>
              <w:t> </w:t>
            </w:r>
          </w:p>
        </w:tc>
      </w:tr>
      <w:tr>
        <w:trPr/>
        <w:tc>
          <w:tcPr>
            <w:tcW w:w="2614" w:type="dxa"/>
            <w:tcBorders/>
            <w:shd w:fill="CCEEFF" w:val="clear"/>
          </w:tcPr>
          <w:p>
            <w:pPr>
              <w:pStyle w:val="TableContents"/>
              <w:spacing w:before="0" w:after="0"/>
              <w:rPr>
                <w:rFonts w:ascii="Times New Roman" w:hAnsi="Times New Roman"/>
                <w:sz w:val="20"/>
              </w:rPr>
            </w:pPr>
            <w:r>
              <w:rPr>
                <w:rFonts w:ascii="Times New Roman" w:hAnsi="Times New Roman"/>
                <w:sz w:val="20"/>
              </w:rPr>
              <w:t>February 17, 2021</w:t>
            </w:r>
          </w:p>
        </w:tc>
        <w:tc>
          <w:tcPr>
            <w:tcW w:w="1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1" w:type="dxa"/>
            <w:tcBorders/>
            <w:shd w:fill="CCEEFF" w:val="clear"/>
            <w:vAlign w:val="bottom"/>
          </w:tcPr>
          <w:p>
            <w:pPr>
              <w:pStyle w:val="TableContents"/>
              <w:spacing w:before="0" w:after="283"/>
              <w:jc w:val="center"/>
              <w:rPr/>
            </w:pPr>
            <w:r>
              <w:rPr/>
              <w:t>Supplemental</w:t>
            </w:r>
          </w:p>
        </w:tc>
        <w:tc>
          <w:tcPr>
            <w:tcW w:w="6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66" w:type="dxa"/>
            <w:tcBorders/>
            <w:shd w:fill="CCEEFF" w:val="clear"/>
            <w:vAlign w:val="bottom"/>
          </w:tcPr>
          <w:p>
            <w:pPr>
              <w:pStyle w:val="TableContents"/>
              <w:spacing w:before="0" w:after="283"/>
              <w:jc w:val="center"/>
              <w:rPr/>
            </w:pPr>
            <w:r>
              <w:rPr/>
              <w:t>February 26, 2021</w:t>
            </w:r>
          </w:p>
        </w:tc>
        <w:tc>
          <w:tcPr>
            <w:tcW w:w="6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66" w:type="dxa"/>
            <w:tcBorders/>
            <w:shd w:fill="CCEEFF" w:val="clear"/>
            <w:vAlign w:val="bottom"/>
          </w:tcPr>
          <w:p>
            <w:pPr>
              <w:pStyle w:val="TableContents"/>
              <w:spacing w:before="0" w:after="283"/>
              <w:jc w:val="center"/>
              <w:rPr/>
            </w:pPr>
            <w:r>
              <w:rPr/>
              <w:t>March 31, 2021</w:t>
            </w:r>
          </w:p>
        </w:tc>
        <w:tc>
          <w:tcPr>
            <w:tcW w:w="6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w:t>
            </w:r>
          </w:p>
        </w:tc>
        <w:tc>
          <w:tcPr>
            <w:tcW w:w="839" w:type="dxa"/>
            <w:tcBorders/>
            <w:shd w:fill="CCEEFF" w:val="clear"/>
            <w:vAlign w:val="bottom"/>
          </w:tcPr>
          <w:p>
            <w:pPr>
              <w:pStyle w:val="TableContents"/>
              <w:spacing w:before="0" w:after="283"/>
              <w:jc w:val="right"/>
              <w:rPr/>
            </w:pPr>
            <w:r>
              <w:rPr/>
              <w:t>0.05</w:t>
            </w:r>
          </w:p>
        </w:tc>
        <w:tc>
          <w:tcPr>
            <w:tcW w:w="68" w:type="dxa"/>
            <w:tcBorders/>
            <w:shd w:fill="CCEEFF" w:val="clear"/>
            <w:vAlign w:val="bottom"/>
          </w:tcPr>
          <w:p>
            <w:pPr>
              <w:pStyle w:val="TableContents"/>
              <w:spacing w:before="0" w:after="283"/>
              <w:rPr/>
            </w:pPr>
            <w:r>
              <w:rPr/>
              <w:t> </w:t>
            </w:r>
          </w:p>
        </w:tc>
      </w:tr>
      <w:tr>
        <w:trPr/>
        <w:tc>
          <w:tcPr>
            <w:tcW w:w="2614" w:type="dxa"/>
            <w:tcBorders/>
            <w:shd w:fill="auto" w:val="clear"/>
          </w:tcPr>
          <w:p>
            <w:pPr>
              <w:pStyle w:val="TableContents"/>
              <w:spacing w:before="0" w:after="0"/>
              <w:rPr>
                <w:rFonts w:ascii="Times New Roman" w:hAnsi="Times New Roman"/>
                <w:sz w:val="20"/>
              </w:rPr>
            </w:pPr>
            <w:r>
              <w:rPr>
                <w:rFonts w:ascii="Times New Roman" w:hAnsi="Times New Roman"/>
                <w:sz w:val="20"/>
              </w:rPr>
              <w:t>February 17, 2021</w:t>
            </w:r>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1" w:type="dxa"/>
            <w:tcBorders/>
            <w:shd w:fill="auto" w:val="clear"/>
            <w:vAlign w:val="bottom"/>
          </w:tcPr>
          <w:p>
            <w:pPr>
              <w:pStyle w:val="TableContents"/>
              <w:spacing w:before="0" w:after="283"/>
              <w:jc w:val="center"/>
              <w:rPr/>
            </w:pPr>
            <w:r>
              <w:rPr/>
              <w:t>Base</w:t>
            </w:r>
          </w:p>
        </w:tc>
        <w:tc>
          <w:tcPr>
            <w:tcW w:w="6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66" w:type="dxa"/>
            <w:tcBorders/>
            <w:shd w:fill="auto" w:val="clear"/>
            <w:vAlign w:val="bottom"/>
          </w:tcPr>
          <w:p>
            <w:pPr>
              <w:pStyle w:val="TableContents"/>
              <w:spacing w:before="0" w:after="283"/>
              <w:jc w:val="center"/>
              <w:rPr/>
            </w:pPr>
            <w:r>
              <w:rPr/>
              <w:t>March 15, 2021</w:t>
            </w:r>
          </w:p>
        </w:tc>
        <w:tc>
          <w:tcPr>
            <w:tcW w:w="6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66" w:type="dxa"/>
            <w:tcBorders/>
            <w:shd w:fill="auto" w:val="clear"/>
            <w:vAlign w:val="bottom"/>
          </w:tcPr>
          <w:p>
            <w:pPr>
              <w:pStyle w:val="TableContents"/>
              <w:spacing w:before="0" w:after="283"/>
              <w:jc w:val="center"/>
              <w:rPr/>
            </w:pPr>
            <w:r>
              <w:rPr/>
              <w:t>April 15, 2021</w:t>
            </w:r>
          </w:p>
        </w:tc>
        <w:tc>
          <w:tcPr>
            <w:tcW w:w="6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pPr>
            <w:r>
              <w:rPr/>
              <w:t>0.41</w:t>
            </w:r>
          </w:p>
        </w:tc>
        <w:tc>
          <w:tcPr>
            <w:tcW w:w="68" w:type="dxa"/>
            <w:tcBorders/>
            <w:shd w:fill="auto" w:val="clear"/>
            <w:vAlign w:val="bottom"/>
          </w:tcPr>
          <w:p>
            <w:pPr>
              <w:pStyle w:val="TableContents"/>
              <w:spacing w:before="0" w:after="283"/>
              <w:rPr/>
            </w:pPr>
            <w:r>
              <w:rPr/>
              <w:t> </w:t>
            </w:r>
          </w:p>
        </w:tc>
      </w:tr>
      <w:tr>
        <w:trPr/>
        <w:tc>
          <w:tcPr>
            <w:tcW w:w="2614" w:type="dxa"/>
            <w:tcBorders/>
            <w:shd w:fill="CCEEFF" w:val="clear"/>
          </w:tcPr>
          <w:p>
            <w:pPr>
              <w:pStyle w:val="TableContents"/>
              <w:spacing w:before="0" w:after="0"/>
              <w:rPr>
                <w:rFonts w:ascii="Times New Roman" w:hAnsi="Times New Roman"/>
                <w:sz w:val="20"/>
              </w:rPr>
            </w:pPr>
            <w:r>
              <w:rPr>
                <w:rFonts w:ascii="Times New Roman" w:hAnsi="Times New Roman"/>
                <w:sz w:val="20"/>
              </w:rPr>
              <w:t>February 17, 2021</w:t>
            </w:r>
          </w:p>
        </w:tc>
        <w:tc>
          <w:tcPr>
            <w:tcW w:w="1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1" w:type="dxa"/>
            <w:tcBorders/>
            <w:shd w:fill="CCEEFF" w:val="clear"/>
            <w:vAlign w:val="bottom"/>
          </w:tcPr>
          <w:p>
            <w:pPr>
              <w:pStyle w:val="TableContents"/>
              <w:spacing w:before="0" w:after="283"/>
              <w:jc w:val="center"/>
              <w:rPr/>
            </w:pPr>
            <w:r>
              <w:rPr/>
              <w:t>Special</w:t>
            </w:r>
          </w:p>
        </w:tc>
        <w:tc>
          <w:tcPr>
            <w:tcW w:w="6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66" w:type="dxa"/>
            <w:tcBorders/>
            <w:shd w:fill="CCEEFF" w:val="clear"/>
            <w:vAlign w:val="bottom"/>
          </w:tcPr>
          <w:p>
            <w:pPr>
              <w:pStyle w:val="TableContents"/>
              <w:spacing w:before="0" w:after="283"/>
              <w:jc w:val="center"/>
              <w:rPr/>
            </w:pPr>
            <w:r>
              <w:rPr/>
              <w:t>March 25, 2021</w:t>
            </w:r>
          </w:p>
        </w:tc>
        <w:tc>
          <w:tcPr>
            <w:tcW w:w="6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66" w:type="dxa"/>
            <w:tcBorders/>
            <w:shd w:fill="CCEEFF" w:val="clear"/>
            <w:vAlign w:val="bottom"/>
          </w:tcPr>
          <w:p>
            <w:pPr>
              <w:pStyle w:val="TableContents"/>
              <w:spacing w:before="0" w:after="283"/>
              <w:jc w:val="center"/>
              <w:rPr/>
            </w:pPr>
            <w:r>
              <w:rPr/>
              <w:t>April 8, 2021</w:t>
            </w:r>
          </w:p>
        </w:tc>
        <w:tc>
          <w:tcPr>
            <w:tcW w:w="6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jc w:val="right"/>
              <w:rPr/>
            </w:pPr>
            <w:r>
              <w:rPr/>
              <w:t>1.25</w:t>
            </w:r>
          </w:p>
        </w:tc>
        <w:tc>
          <w:tcPr>
            <w:tcW w:w="68" w:type="dxa"/>
            <w:tcBorders/>
            <w:shd w:fill="CCEEFF" w:val="clear"/>
            <w:vAlign w:val="bottom"/>
          </w:tcPr>
          <w:p>
            <w:pPr>
              <w:pStyle w:val="TableContents"/>
              <w:spacing w:before="0" w:after="283"/>
              <w:rPr/>
            </w:pPr>
            <w:r>
              <w:rPr/>
              <w:t> </w:t>
            </w:r>
          </w:p>
        </w:tc>
      </w:tr>
      <w:tr>
        <w:trPr/>
        <w:tc>
          <w:tcPr>
            <w:tcW w:w="2614" w:type="dxa"/>
            <w:tcBorders/>
            <w:shd w:fill="auto" w:val="clear"/>
          </w:tcPr>
          <w:p>
            <w:pPr>
              <w:pStyle w:val="TableContents"/>
              <w:spacing w:before="0" w:after="0"/>
              <w:rPr>
                <w:rFonts w:ascii="Times New Roman" w:hAnsi="Times New Roman"/>
                <w:sz w:val="20"/>
              </w:rPr>
            </w:pPr>
            <w:r>
              <w:rPr>
                <w:rFonts w:ascii="Times New Roman" w:hAnsi="Times New Roman"/>
                <w:sz w:val="20"/>
              </w:rPr>
              <w:t>May 4, 2021</w:t>
            </w:r>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1" w:type="dxa"/>
            <w:tcBorders/>
            <w:shd w:fill="auto" w:val="clear"/>
            <w:vAlign w:val="bottom"/>
          </w:tcPr>
          <w:p>
            <w:pPr>
              <w:pStyle w:val="TableContents"/>
              <w:spacing w:before="0" w:after="283"/>
              <w:jc w:val="center"/>
              <w:rPr/>
            </w:pPr>
            <w:r>
              <w:rPr/>
              <w:t>Supplemental</w:t>
            </w:r>
          </w:p>
        </w:tc>
        <w:tc>
          <w:tcPr>
            <w:tcW w:w="6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66" w:type="dxa"/>
            <w:tcBorders/>
            <w:shd w:fill="auto" w:val="clear"/>
            <w:vAlign w:val="bottom"/>
          </w:tcPr>
          <w:p>
            <w:pPr>
              <w:pStyle w:val="TableContents"/>
              <w:spacing w:before="0" w:after="283"/>
              <w:jc w:val="center"/>
              <w:rPr/>
            </w:pPr>
            <w:r>
              <w:rPr/>
              <w:t>May 28, 2021</w:t>
            </w:r>
          </w:p>
        </w:tc>
        <w:tc>
          <w:tcPr>
            <w:tcW w:w="6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66" w:type="dxa"/>
            <w:tcBorders/>
            <w:shd w:fill="auto" w:val="clear"/>
            <w:vAlign w:val="bottom"/>
          </w:tcPr>
          <w:p>
            <w:pPr>
              <w:pStyle w:val="TableContents"/>
              <w:spacing w:before="0" w:after="283"/>
              <w:jc w:val="center"/>
              <w:rPr/>
            </w:pPr>
            <w:r>
              <w:rPr/>
              <w:t>June 30, 2021</w:t>
            </w:r>
          </w:p>
        </w:tc>
        <w:tc>
          <w:tcPr>
            <w:tcW w:w="6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pPr>
            <w:r>
              <w:rPr/>
              <w:t>0.06</w:t>
            </w:r>
          </w:p>
        </w:tc>
        <w:tc>
          <w:tcPr>
            <w:tcW w:w="68" w:type="dxa"/>
            <w:tcBorders/>
            <w:shd w:fill="auto" w:val="clear"/>
            <w:vAlign w:val="bottom"/>
          </w:tcPr>
          <w:p>
            <w:pPr>
              <w:pStyle w:val="TableContents"/>
              <w:spacing w:before="0" w:after="283"/>
              <w:rPr/>
            </w:pPr>
            <w:r>
              <w:rPr/>
              <w:t> </w:t>
            </w:r>
          </w:p>
        </w:tc>
      </w:tr>
      <w:tr>
        <w:trPr/>
        <w:tc>
          <w:tcPr>
            <w:tcW w:w="2614" w:type="dxa"/>
            <w:tcBorders/>
            <w:shd w:fill="CCEEFF" w:val="clear"/>
          </w:tcPr>
          <w:p>
            <w:pPr>
              <w:pStyle w:val="TableContents"/>
              <w:spacing w:before="0" w:after="0"/>
              <w:rPr>
                <w:rFonts w:ascii="Times New Roman" w:hAnsi="Times New Roman"/>
                <w:sz w:val="20"/>
              </w:rPr>
            </w:pPr>
            <w:r>
              <w:rPr>
                <w:rFonts w:ascii="Times New Roman" w:hAnsi="Times New Roman"/>
                <w:sz w:val="20"/>
              </w:rPr>
              <w:t>May 4, 2021</w:t>
            </w:r>
          </w:p>
        </w:tc>
        <w:tc>
          <w:tcPr>
            <w:tcW w:w="1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1" w:type="dxa"/>
            <w:tcBorders/>
            <w:shd w:fill="CCEEFF" w:val="clear"/>
            <w:vAlign w:val="bottom"/>
          </w:tcPr>
          <w:p>
            <w:pPr>
              <w:pStyle w:val="TableContents"/>
              <w:spacing w:before="0" w:after="283"/>
              <w:jc w:val="center"/>
              <w:rPr/>
            </w:pPr>
            <w:r>
              <w:rPr/>
              <w:t>Base</w:t>
            </w:r>
          </w:p>
        </w:tc>
        <w:tc>
          <w:tcPr>
            <w:tcW w:w="6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66" w:type="dxa"/>
            <w:tcBorders/>
            <w:shd w:fill="CCEEFF" w:val="clear"/>
            <w:vAlign w:val="bottom"/>
          </w:tcPr>
          <w:p>
            <w:pPr>
              <w:pStyle w:val="TableContents"/>
              <w:spacing w:before="0" w:after="283"/>
              <w:jc w:val="center"/>
              <w:rPr/>
            </w:pPr>
            <w:r>
              <w:rPr/>
              <w:t>June 15, 2021</w:t>
            </w:r>
          </w:p>
        </w:tc>
        <w:tc>
          <w:tcPr>
            <w:tcW w:w="6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66" w:type="dxa"/>
            <w:tcBorders/>
            <w:shd w:fill="CCEEFF" w:val="clear"/>
            <w:vAlign w:val="bottom"/>
          </w:tcPr>
          <w:p>
            <w:pPr>
              <w:pStyle w:val="TableContents"/>
              <w:spacing w:before="0" w:after="283"/>
              <w:jc w:val="center"/>
              <w:rPr/>
            </w:pPr>
            <w:r>
              <w:rPr/>
              <w:t>July 15, 2021</w:t>
            </w:r>
          </w:p>
        </w:tc>
        <w:tc>
          <w:tcPr>
            <w:tcW w:w="6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jc w:val="right"/>
              <w:rPr/>
            </w:pPr>
            <w:r>
              <w:rPr/>
              <w:t>0.41</w:t>
            </w:r>
          </w:p>
        </w:tc>
        <w:tc>
          <w:tcPr>
            <w:tcW w:w="68" w:type="dxa"/>
            <w:tcBorders/>
            <w:shd w:fill="CCEEFF" w:val="clear"/>
            <w:vAlign w:val="bottom"/>
          </w:tcPr>
          <w:p>
            <w:pPr>
              <w:pStyle w:val="TableContents"/>
              <w:spacing w:before="0" w:after="283"/>
              <w:rPr/>
            </w:pPr>
            <w:r>
              <w:rPr/>
              <w:t> </w:t>
            </w:r>
          </w:p>
        </w:tc>
      </w:tr>
      <w:tr>
        <w:trPr/>
        <w:tc>
          <w:tcPr>
            <w:tcW w:w="2614" w:type="dxa"/>
            <w:tcBorders/>
            <w:shd w:fill="auto" w:val="clear"/>
          </w:tcPr>
          <w:p>
            <w:pPr>
              <w:pStyle w:val="TableContents"/>
              <w:spacing w:before="0" w:after="0"/>
              <w:rPr>
                <w:rFonts w:ascii="Times New Roman" w:hAnsi="Times New Roman"/>
                <w:sz w:val="20"/>
              </w:rPr>
            </w:pPr>
            <w:r>
              <w:rPr>
                <w:rFonts w:ascii="Times New Roman" w:hAnsi="Times New Roman"/>
                <w:sz w:val="20"/>
              </w:rPr>
              <w:t>August 3, 2021</w:t>
            </w:r>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1" w:type="dxa"/>
            <w:tcBorders/>
            <w:shd w:fill="auto" w:val="clear"/>
            <w:vAlign w:val="bottom"/>
          </w:tcPr>
          <w:p>
            <w:pPr>
              <w:pStyle w:val="TableContents"/>
              <w:spacing w:before="0" w:after="283"/>
              <w:jc w:val="center"/>
              <w:rPr/>
            </w:pPr>
            <w:r>
              <w:rPr/>
              <w:t>Supplemental</w:t>
            </w:r>
          </w:p>
        </w:tc>
        <w:tc>
          <w:tcPr>
            <w:tcW w:w="6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66" w:type="dxa"/>
            <w:tcBorders/>
            <w:shd w:fill="auto" w:val="clear"/>
            <w:vAlign w:val="bottom"/>
          </w:tcPr>
          <w:p>
            <w:pPr>
              <w:pStyle w:val="TableContents"/>
              <w:spacing w:before="0" w:after="283"/>
              <w:jc w:val="center"/>
              <w:rPr/>
            </w:pPr>
            <w:r>
              <w:rPr/>
              <w:t>August 31, 2021</w:t>
            </w:r>
          </w:p>
        </w:tc>
        <w:tc>
          <w:tcPr>
            <w:tcW w:w="6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66" w:type="dxa"/>
            <w:tcBorders/>
            <w:shd w:fill="auto" w:val="clear"/>
            <w:vAlign w:val="bottom"/>
          </w:tcPr>
          <w:p>
            <w:pPr>
              <w:pStyle w:val="TableContents"/>
              <w:spacing w:before="0" w:after="283"/>
              <w:jc w:val="center"/>
              <w:rPr/>
            </w:pPr>
            <w:r>
              <w:rPr/>
              <w:t>September 30, 2021</w:t>
            </w:r>
          </w:p>
        </w:tc>
        <w:tc>
          <w:tcPr>
            <w:tcW w:w="6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pPr>
            <w:r>
              <w:rPr/>
              <w:t>0.02</w:t>
            </w:r>
          </w:p>
        </w:tc>
        <w:tc>
          <w:tcPr>
            <w:tcW w:w="68" w:type="dxa"/>
            <w:tcBorders/>
            <w:shd w:fill="auto" w:val="clear"/>
            <w:vAlign w:val="bottom"/>
          </w:tcPr>
          <w:p>
            <w:pPr>
              <w:pStyle w:val="TableContents"/>
              <w:spacing w:before="0" w:after="283"/>
              <w:rPr/>
            </w:pPr>
            <w:r>
              <w:rPr/>
              <w:t> </w:t>
            </w:r>
          </w:p>
        </w:tc>
      </w:tr>
      <w:tr>
        <w:trPr/>
        <w:tc>
          <w:tcPr>
            <w:tcW w:w="2614" w:type="dxa"/>
            <w:tcBorders/>
            <w:shd w:fill="CCEEFF" w:val="clear"/>
          </w:tcPr>
          <w:p>
            <w:pPr>
              <w:pStyle w:val="TableContents"/>
              <w:spacing w:before="0" w:after="0"/>
              <w:rPr>
                <w:rFonts w:ascii="Times New Roman" w:hAnsi="Times New Roman"/>
                <w:sz w:val="20"/>
              </w:rPr>
            </w:pPr>
            <w:r>
              <w:rPr>
                <w:rFonts w:ascii="Times New Roman" w:hAnsi="Times New Roman"/>
                <w:sz w:val="20"/>
              </w:rPr>
              <w:t>August 3, 2021</w:t>
            </w:r>
          </w:p>
        </w:tc>
        <w:tc>
          <w:tcPr>
            <w:tcW w:w="1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1" w:type="dxa"/>
            <w:tcBorders/>
            <w:shd w:fill="CCEEFF" w:val="clear"/>
            <w:vAlign w:val="bottom"/>
          </w:tcPr>
          <w:p>
            <w:pPr>
              <w:pStyle w:val="TableContents"/>
              <w:spacing w:before="0" w:after="283"/>
              <w:jc w:val="center"/>
              <w:rPr/>
            </w:pPr>
            <w:r>
              <w:rPr/>
              <w:t>Base</w:t>
            </w:r>
          </w:p>
        </w:tc>
        <w:tc>
          <w:tcPr>
            <w:tcW w:w="6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66" w:type="dxa"/>
            <w:tcBorders/>
            <w:shd w:fill="CCEEFF" w:val="clear"/>
            <w:vAlign w:val="bottom"/>
          </w:tcPr>
          <w:p>
            <w:pPr>
              <w:pStyle w:val="TableContents"/>
              <w:spacing w:before="0" w:after="283"/>
              <w:jc w:val="center"/>
              <w:rPr/>
            </w:pPr>
            <w:r>
              <w:rPr/>
              <w:t>September 15, 2021</w:t>
            </w:r>
          </w:p>
        </w:tc>
        <w:tc>
          <w:tcPr>
            <w:tcW w:w="6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66" w:type="dxa"/>
            <w:tcBorders/>
            <w:shd w:fill="CCEEFF" w:val="clear"/>
            <w:vAlign w:val="bottom"/>
          </w:tcPr>
          <w:p>
            <w:pPr>
              <w:pStyle w:val="TableContents"/>
              <w:spacing w:before="0" w:after="283"/>
              <w:jc w:val="center"/>
              <w:rPr/>
            </w:pPr>
            <w:r>
              <w:rPr/>
              <w:t>October 15, 2021</w:t>
            </w:r>
          </w:p>
        </w:tc>
        <w:tc>
          <w:tcPr>
            <w:tcW w:w="6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jc w:val="right"/>
              <w:rPr/>
            </w:pPr>
            <w:r>
              <w:rPr/>
              <w:t>0.41</w:t>
            </w:r>
          </w:p>
        </w:tc>
        <w:tc>
          <w:tcPr>
            <w:tcW w:w="68" w:type="dxa"/>
            <w:tcBorders/>
            <w:shd w:fill="CCEEFF" w:val="clear"/>
            <w:vAlign w:val="bottom"/>
          </w:tcPr>
          <w:p>
            <w:pPr>
              <w:pStyle w:val="TableContents"/>
              <w:spacing w:before="0" w:after="283"/>
              <w:rPr/>
            </w:pPr>
            <w:r>
              <w:rPr/>
              <w:t> </w:t>
            </w:r>
          </w:p>
        </w:tc>
      </w:tr>
      <w:tr>
        <w:trPr/>
        <w:tc>
          <w:tcPr>
            <w:tcW w:w="2614" w:type="dxa"/>
            <w:tcBorders/>
            <w:shd w:fill="auto" w:val="clear"/>
          </w:tcPr>
          <w:p>
            <w:pPr>
              <w:pStyle w:val="TableContents"/>
              <w:spacing w:before="0" w:after="0"/>
              <w:rPr>
                <w:rFonts w:ascii="Times New Roman" w:hAnsi="Times New Roman"/>
                <w:sz w:val="20"/>
              </w:rPr>
            </w:pPr>
            <w:r>
              <w:rPr>
                <w:rFonts w:ascii="Times New Roman" w:hAnsi="Times New Roman"/>
                <w:sz w:val="20"/>
              </w:rPr>
              <w:t>November 2, 2021</w:t>
            </w:r>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1" w:type="dxa"/>
            <w:tcBorders/>
            <w:shd w:fill="auto" w:val="clear"/>
            <w:vAlign w:val="bottom"/>
          </w:tcPr>
          <w:p>
            <w:pPr>
              <w:pStyle w:val="TableContents"/>
              <w:spacing w:before="0" w:after="283"/>
              <w:jc w:val="center"/>
              <w:rPr/>
            </w:pPr>
            <w:r>
              <w:rPr/>
              <w:t>Supplemental</w:t>
            </w:r>
          </w:p>
        </w:tc>
        <w:tc>
          <w:tcPr>
            <w:tcW w:w="6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66" w:type="dxa"/>
            <w:tcBorders/>
            <w:shd w:fill="auto" w:val="clear"/>
            <w:vAlign w:val="bottom"/>
          </w:tcPr>
          <w:p>
            <w:pPr>
              <w:pStyle w:val="TableContents"/>
              <w:spacing w:before="0" w:after="283"/>
              <w:jc w:val="center"/>
              <w:rPr/>
            </w:pPr>
            <w:r>
              <w:rPr/>
              <w:t>November 30, 2021</w:t>
            </w:r>
          </w:p>
        </w:tc>
        <w:tc>
          <w:tcPr>
            <w:tcW w:w="6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66" w:type="dxa"/>
            <w:tcBorders/>
            <w:shd w:fill="auto" w:val="clear"/>
            <w:vAlign w:val="bottom"/>
          </w:tcPr>
          <w:p>
            <w:pPr>
              <w:pStyle w:val="TableContents"/>
              <w:spacing w:before="0" w:after="283"/>
              <w:jc w:val="center"/>
              <w:rPr/>
            </w:pPr>
            <w:r>
              <w:rPr/>
              <w:t>December 31, 2021</w:t>
            </w:r>
          </w:p>
        </w:tc>
        <w:tc>
          <w:tcPr>
            <w:tcW w:w="6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pPr>
            <w:r>
              <w:rPr/>
              <w:t>0.07</w:t>
            </w:r>
          </w:p>
        </w:tc>
        <w:tc>
          <w:tcPr>
            <w:tcW w:w="68" w:type="dxa"/>
            <w:tcBorders/>
            <w:shd w:fill="auto" w:val="clear"/>
            <w:vAlign w:val="bottom"/>
          </w:tcPr>
          <w:p>
            <w:pPr>
              <w:pStyle w:val="TableContents"/>
              <w:spacing w:before="0" w:after="283"/>
              <w:rPr/>
            </w:pPr>
            <w:r>
              <w:rPr/>
              <w:t> </w:t>
            </w:r>
          </w:p>
        </w:tc>
      </w:tr>
      <w:tr>
        <w:trPr/>
        <w:tc>
          <w:tcPr>
            <w:tcW w:w="2614" w:type="dxa"/>
            <w:tcBorders/>
            <w:shd w:fill="CCEEFF" w:val="clear"/>
          </w:tcPr>
          <w:p>
            <w:pPr>
              <w:pStyle w:val="TableContents"/>
              <w:spacing w:before="0" w:after="0"/>
              <w:rPr>
                <w:rFonts w:ascii="Times New Roman" w:hAnsi="Times New Roman"/>
                <w:sz w:val="20"/>
              </w:rPr>
            </w:pPr>
            <w:r>
              <w:rPr>
                <w:rFonts w:ascii="Times New Roman" w:hAnsi="Times New Roman"/>
                <w:sz w:val="20"/>
              </w:rPr>
              <w:t>November 2, 2021</w:t>
            </w:r>
          </w:p>
        </w:tc>
        <w:tc>
          <w:tcPr>
            <w:tcW w:w="1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1" w:type="dxa"/>
            <w:tcBorders/>
            <w:shd w:fill="CCEEFF" w:val="clear"/>
            <w:vAlign w:val="bottom"/>
          </w:tcPr>
          <w:p>
            <w:pPr>
              <w:pStyle w:val="TableContents"/>
              <w:spacing w:before="0" w:after="283"/>
              <w:jc w:val="center"/>
              <w:rPr/>
            </w:pPr>
            <w:r>
              <w:rPr/>
              <w:t>Special</w:t>
            </w:r>
          </w:p>
        </w:tc>
        <w:tc>
          <w:tcPr>
            <w:tcW w:w="6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66" w:type="dxa"/>
            <w:tcBorders/>
            <w:shd w:fill="CCEEFF" w:val="clear"/>
            <w:vAlign w:val="bottom"/>
          </w:tcPr>
          <w:p>
            <w:pPr>
              <w:pStyle w:val="TableContents"/>
              <w:spacing w:before="0" w:after="283"/>
              <w:jc w:val="center"/>
              <w:rPr/>
            </w:pPr>
            <w:r>
              <w:rPr/>
              <w:t>December 7, 2021</w:t>
            </w:r>
          </w:p>
        </w:tc>
        <w:tc>
          <w:tcPr>
            <w:tcW w:w="6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66" w:type="dxa"/>
            <w:tcBorders/>
            <w:shd w:fill="CCEEFF" w:val="clear"/>
            <w:vAlign w:val="bottom"/>
          </w:tcPr>
          <w:p>
            <w:pPr>
              <w:pStyle w:val="TableContents"/>
              <w:spacing w:before="0" w:after="283"/>
              <w:jc w:val="center"/>
              <w:rPr/>
            </w:pPr>
            <w:r>
              <w:rPr/>
              <w:t>December 20, 2021</w:t>
            </w:r>
          </w:p>
        </w:tc>
        <w:tc>
          <w:tcPr>
            <w:tcW w:w="6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839" w:type="dxa"/>
            <w:tcBorders/>
            <w:shd w:fill="CCEEFF" w:val="clear"/>
            <w:vAlign w:val="bottom"/>
          </w:tcPr>
          <w:p>
            <w:pPr>
              <w:pStyle w:val="TableContents"/>
              <w:spacing w:before="0" w:after="283"/>
              <w:jc w:val="right"/>
              <w:rPr/>
            </w:pPr>
            <w:r>
              <w:rPr/>
              <w:t>0.50</w:t>
            </w:r>
          </w:p>
        </w:tc>
        <w:tc>
          <w:tcPr>
            <w:tcW w:w="68" w:type="dxa"/>
            <w:tcBorders/>
            <w:shd w:fill="CCEEFF" w:val="clear"/>
            <w:vAlign w:val="bottom"/>
          </w:tcPr>
          <w:p>
            <w:pPr>
              <w:pStyle w:val="TableContents"/>
              <w:spacing w:before="0" w:after="283"/>
              <w:rPr/>
            </w:pPr>
            <w:r>
              <w:rPr/>
              <w:t> </w:t>
            </w:r>
          </w:p>
        </w:tc>
      </w:tr>
      <w:tr>
        <w:trPr/>
        <w:tc>
          <w:tcPr>
            <w:tcW w:w="2614" w:type="dxa"/>
            <w:tcBorders/>
            <w:shd w:fill="auto" w:val="clear"/>
          </w:tcPr>
          <w:p>
            <w:pPr>
              <w:pStyle w:val="TableContents"/>
              <w:spacing w:before="0" w:after="0"/>
              <w:rPr>
                <w:rFonts w:ascii="Times New Roman" w:hAnsi="Times New Roman"/>
                <w:sz w:val="20"/>
              </w:rPr>
            </w:pPr>
            <w:r>
              <w:rPr>
                <w:rFonts w:ascii="Times New Roman" w:hAnsi="Times New Roman"/>
                <w:sz w:val="20"/>
              </w:rPr>
              <w:t>November 2, 2021</w:t>
            </w:r>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1" w:type="dxa"/>
            <w:tcBorders/>
            <w:shd w:fill="auto" w:val="clear"/>
            <w:vAlign w:val="bottom"/>
          </w:tcPr>
          <w:p>
            <w:pPr>
              <w:pStyle w:val="TableContents"/>
              <w:spacing w:before="0" w:after="283"/>
              <w:jc w:val="center"/>
              <w:rPr/>
            </w:pPr>
            <w:r>
              <w:rPr/>
              <w:t>Base</w:t>
            </w:r>
          </w:p>
        </w:tc>
        <w:tc>
          <w:tcPr>
            <w:tcW w:w="6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66" w:type="dxa"/>
            <w:tcBorders/>
            <w:shd w:fill="auto" w:val="clear"/>
            <w:vAlign w:val="bottom"/>
          </w:tcPr>
          <w:p>
            <w:pPr>
              <w:pStyle w:val="TableContents"/>
              <w:spacing w:before="0" w:after="283"/>
              <w:jc w:val="center"/>
              <w:rPr/>
            </w:pPr>
            <w:r>
              <w:rPr/>
              <w:t>December 15, 2021</w:t>
            </w:r>
          </w:p>
        </w:tc>
        <w:tc>
          <w:tcPr>
            <w:tcW w:w="6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66" w:type="dxa"/>
            <w:tcBorders/>
            <w:shd w:fill="auto" w:val="clear"/>
            <w:vAlign w:val="bottom"/>
          </w:tcPr>
          <w:p>
            <w:pPr>
              <w:pStyle w:val="TableContents"/>
              <w:spacing w:before="0" w:after="283"/>
              <w:jc w:val="center"/>
              <w:rPr/>
            </w:pPr>
            <w:r>
              <w:rPr/>
              <w:t>January 14, 2022</w:t>
            </w:r>
          </w:p>
        </w:tc>
        <w:tc>
          <w:tcPr>
            <w:tcW w:w="6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839" w:type="dxa"/>
            <w:tcBorders/>
            <w:shd w:fill="auto" w:val="clear"/>
            <w:vAlign w:val="bottom"/>
          </w:tcPr>
          <w:p>
            <w:pPr>
              <w:pStyle w:val="TableContents"/>
              <w:spacing w:before="0" w:after="283"/>
              <w:jc w:val="right"/>
              <w:rPr/>
            </w:pPr>
            <w:r>
              <w:rPr/>
              <w:t>0.41</w:t>
            </w:r>
          </w:p>
        </w:tc>
        <w:tc>
          <w:tcPr>
            <w:tcW w:w="68" w:type="dxa"/>
            <w:tcBorders/>
            <w:shd w:fill="auto" w:val="clear"/>
            <w:vAlign w:val="bottom"/>
          </w:tcPr>
          <w:p>
            <w:pPr>
              <w:pStyle w:val="TableContents"/>
              <w:spacing w:before="0" w:after="283"/>
              <w:rPr/>
            </w:pPr>
            <w:r>
              <w:rPr/>
              <w:t> </w:t>
            </w:r>
          </w:p>
        </w:tc>
      </w:tr>
      <w:tr>
        <w:trPr/>
        <w:tc>
          <w:tcPr>
            <w:tcW w:w="2614"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40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6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6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pBdr>
                <w:top w:val="single" w:sz="2" w:space="1" w:color="000000"/>
              </w:pBdr>
              <w:spacing w:before="0" w:after="0"/>
              <w:rPr/>
            </w:pPr>
            <w:r>
              <w:rPr/>
              <w:t> </w:t>
            </w:r>
          </w:p>
        </w:tc>
        <w:tc>
          <w:tcPr>
            <w:tcW w:w="839" w:type="dxa"/>
            <w:tcBorders/>
            <w:shd w:fill="auto" w:val="clear"/>
            <w:vAlign w:val="bottom"/>
          </w:tcPr>
          <w:p>
            <w:pPr>
              <w:pStyle w:val="TableContents"/>
              <w:pBdr>
                <w:top w:val="single" w:sz="2" w:space="1" w:color="000000"/>
              </w:pBdr>
              <w:spacing w:before="0" w:after="0"/>
              <w:rPr/>
            </w:pPr>
            <w:r>
              <w:rPr/>
              <w:t> </w:t>
            </w:r>
          </w:p>
        </w:tc>
        <w:tc>
          <w:tcPr>
            <w:tcW w:w="68" w:type="dxa"/>
            <w:tcBorders/>
            <w:shd w:fill="auto" w:val="clear"/>
            <w:vAlign w:val="center"/>
          </w:tcPr>
          <w:p>
            <w:pPr>
              <w:pStyle w:val="TableContents"/>
              <w:spacing w:before="0" w:after="283"/>
              <w:rPr/>
            </w:pPr>
            <w:r>
              <w:rPr/>
              <w:t> </w:t>
            </w:r>
          </w:p>
        </w:tc>
      </w:tr>
      <w:tr>
        <w:trPr/>
        <w:tc>
          <w:tcPr>
            <w:tcW w:w="2614"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 Dividends Declared</w:t>
            </w:r>
          </w:p>
        </w:tc>
        <w:tc>
          <w:tcPr>
            <w:tcW w:w="1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401"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6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6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w:t>
            </w:r>
          </w:p>
        </w:tc>
        <w:tc>
          <w:tcPr>
            <w:tcW w:w="839" w:type="dxa"/>
            <w:tcBorders/>
            <w:shd w:fill="CCEEFF" w:val="clear"/>
            <w:vAlign w:val="bottom"/>
          </w:tcPr>
          <w:p>
            <w:pPr>
              <w:pStyle w:val="TableContents"/>
              <w:spacing w:before="0" w:after="283"/>
              <w:jc w:val="right"/>
              <w:rPr/>
            </w:pPr>
            <w:r>
              <w:rPr/>
              <w:t>3.59</w:t>
            </w:r>
          </w:p>
        </w:tc>
        <w:tc>
          <w:tcPr>
            <w:tcW w:w="68" w:type="dxa"/>
            <w:tcBorders/>
            <w:shd w:fill="CCEEFF" w:val="clear"/>
            <w:vAlign w:val="bottom"/>
          </w:tcPr>
          <w:p>
            <w:pPr>
              <w:pStyle w:val="TableContents"/>
              <w:spacing w:before="0" w:after="283"/>
              <w:rPr/>
            </w:pPr>
            <w:r>
              <w:rPr/>
              <w:t> </w:t>
            </w:r>
          </w:p>
        </w:tc>
      </w:tr>
      <w:tr>
        <w:trPr/>
        <w:tc>
          <w:tcPr>
            <w:tcW w:w="2614"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40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6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6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pBdr>
                <w:top w:val="double" w:sz="6" w:space="1" w:color="000000"/>
              </w:pBdr>
              <w:spacing w:before="0" w:after="0"/>
              <w:rPr/>
            </w:pPr>
            <w:r>
              <w:rPr/>
              <w:t> </w:t>
            </w:r>
          </w:p>
        </w:tc>
        <w:tc>
          <w:tcPr>
            <w:tcW w:w="839" w:type="dxa"/>
            <w:tcBorders/>
            <w:shd w:fill="auto" w:val="clear"/>
            <w:vAlign w:val="bottom"/>
          </w:tcPr>
          <w:p>
            <w:pPr>
              <w:pStyle w:val="TableContents"/>
              <w:pBdr>
                <w:top w:val="double" w:sz="6" w:space="1" w:color="000000"/>
              </w:pBdr>
              <w:spacing w:before="0" w:after="0"/>
              <w:rPr/>
            </w:pPr>
            <w:r>
              <w:rPr/>
              <w:t> </w:t>
            </w:r>
          </w:p>
        </w:tc>
        <w:tc>
          <w:tcPr>
            <w:tcW w:w="68" w:type="dxa"/>
            <w:tcBorders/>
            <w:shd w:fill="auto" w:val="clear"/>
            <w:vAlign w:val="center"/>
          </w:tcPr>
          <w:p>
            <w:pPr>
              <w:pStyle w:val="TableContents"/>
              <w:spacing w:before="0" w:after="283"/>
              <w:rPr/>
            </w:pPr>
            <w:r>
              <w:rPr/>
              <w:t>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636"/>
        <w:gridCol w:w="137"/>
        <w:gridCol w:w="60"/>
        <w:gridCol w:w="1401"/>
        <w:gridCol w:w="60"/>
        <w:gridCol w:w="137"/>
        <w:gridCol w:w="60"/>
        <w:gridCol w:w="2067"/>
        <w:gridCol w:w="60"/>
        <w:gridCol w:w="137"/>
        <w:gridCol w:w="60"/>
        <w:gridCol w:w="2041"/>
        <w:gridCol w:w="60"/>
        <w:gridCol w:w="136"/>
        <w:gridCol w:w="247"/>
        <w:gridCol w:w="840"/>
        <w:gridCol w:w="66"/>
      </w:tblGrid>
      <w:tr>
        <w:trPr/>
        <w:tc>
          <w:tcPr>
            <w:tcW w:w="2636"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40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6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840"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center"/>
          </w:tcPr>
          <w:p>
            <w:pPr>
              <w:pStyle w:val="TableContents"/>
              <w:spacing w:before="0" w:after="283"/>
              <w:rPr>
                <w:sz w:val="4"/>
                <w:szCs w:val="4"/>
              </w:rPr>
            </w:pPr>
            <w:r>
              <w:rPr>
                <w:sz w:val="4"/>
                <w:szCs w:val="4"/>
              </w:rPr>
            </w:r>
          </w:p>
        </w:tc>
      </w:tr>
      <w:tr>
        <w:trPr/>
        <w:tc>
          <w:tcPr>
            <w:tcW w:w="2636"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7366"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Year Ended December 31, 2020</w:t>
            </w:r>
          </w:p>
        </w:tc>
        <w:tc>
          <w:tcPr>
            <w:tcW w:w="66" w:type="dxa"/>
            <w:tcBorders/>
            <w:shd w:fill="auto" w:val="clear"/>
            <w:vAlign w:val="bottom"/>
          </w:tcPr>
          <w:p>
            <w:pPr>
              <w:pStyle w:val="TableContents"/>
              <w:spacing w:before="0" w:after="283"/>
              <w:rPr/>
            </w:pPr>
            <w:r>
              <w:rPr/>
              <w:t> </w:t>
            </w:r>
          </w:p>
        </w:tc>
      </w:tr>
      <w:tr>
        <w:trPr/>
        <w:tc>
          <w:tcPr>
            <w:tcW w:w="2636"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Date Declared</w:t>
            </w:r>
          </w:p>
        </w:tc>
        <w:tc>
          <w:tcPr>
            <w:tcW w:w="137" w:type="dxa"/>
            <w:tcBorders/>
            <w:shd w:fill="auto" w:val="clear"/>
            <w:vAlign w:val="bottom"/>
          </w:tcPr>
          <w:p>
            <w:pPr>
              <w:pStyle w:val="TableContents"/>
              <w:spacing w:before="0" w:after="283"/>
              <w:rPr/>
            </w:pPr>
            <w:r>
              <w:rPr/>
              <w:t>  </w:t>
            </w:r>
          </w:p>
        </w:tc>
        <w:tc>
          <w:tcPr>
            <w:tcW w:w="146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Dividend</w:t>
            </w:r>
          </w:p>
        </w:tc>
        <w:tc>
          <w:tcPr>
            <w:tcW w:w="6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212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Record Date</w:t>
            </w:r>
          </w:p>
        </w:tc>
        <w:tc>
          <w:tcPr>
            <w:tcW w:w="6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210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Payment Date</w:t>
            </w:r>
          </w:p>
        </w:tc>
        <w:tc>
          <w:tcPr>
            <w:tcW w:w="6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108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Dividend</w:t>
              <w:br/>
              <w:t>per Share</w:t>
            </w:r>
          </w:p>
        </w:tc>
        <w:tc>
          <w:tcPr>
            <w:tcW w:w="66" w:type="dxa"/>
            <w:tcBorders/>
            <w:shd w:fill="auto" w:val="clear"/>
            <w:vAlign w:val="bottom"/>
          </w:tcPr>
          <w:p>
            <w:pPr>
              <w:pStyle w:val="TableContents"/>
              <w:spacing w:before="0" w:after="283"/>
              <w:rPr/>
            </w:pPr>
            <w:r>
              <w:rPr/>
              <w:t> </w:t>
            </w:r>
          </w:p>
        </w:tc>
      </w:tr>
      <w:tr>
        <w:trPr/>
        <w:tc>
          <w:tcPr>
            <w:tcW w:w="2636" w:type="dxa"/>
            <w:tcBorders/>
            <w:shd w:fill="CCEEFF" w:val="clear"/>
          </w:tcPr>
          <w:p>
            <w:pPr>
              <w:pStyle w:val="TableContents"/>
              <w:spacing w:before="0" w:after="0"/>
              <w:rPr>
                <w:rFonts w:ascii="Times New Roman" w:hAnsi="Times New Roman"/>
                <w:sz w:val="20"/>
              </w:rPr>
            </w:pPr>
            <w:r>
              <w:rPr>
                <w:rFonts w:ascii="Times New Roman" w:hAnsi="Times New Roman"/>
                <w:sz w:val="20"/>
              </w:rPr>
              <w:t>February 19, 2020</w:t>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1" w:type="dxa"/>
            <w:tcBorders/>
            <w:shd w:fill="CCEEFF" w:val="clear"/>
            <w:vAlign w:val="bottom"/>
          </w:tcPr>
          <w:p>
            <w:pPr>
              <w:pStyle w:val="TableContents"/>
              <w:spacing w:before="0" w:after="283"/>
              <w:jc w:val="center"/>
              <w:rPr/>
            </w:pPr>
            <w:r>
              <w:rPr/>
              <w:t>Supplemental</w:t>
            </w:r>
          </w:p>
        </w:tc>
        <w:tc>
          <w:tcPr>
            <w:tcW w:w="6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67" w:type="dxa"/>
            <w:tcBorders/>
            <w:shd w:fill="CCEEFF" w:val="clear"/>
            <w:vAlign w:val="bottom"/>
          </w:tcPr>
          <w:p>
            <w:pPr>
              <w:pStyle w:val="TableContents"/>
              <w:spacing w:before="0" w:after="283"/>
              <w:jc w:val="center"/>
              <w:rPr/>
            </w:pPr>
            <w:r>
              <w:rPr/>
              <w:t>February 28, 2020</w:t>
            </w:r>
          </w:p>
        </w:tc>
        <w:tc>
          <w:tcPr>
            <w:tcW w:w="6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41" w:type="dxa"/>
            <w:tcBorders/>
            <w:shd w:fill="CCEEFF" w:val="clear"/>
            <w:vAlign w:val="bottom"/>
          </w:tcPr>
          <w:p>
            <w:pPr>
              <w:pStyle w:val="TableContents"/>
              <w:spacing w:before="0" w:after="283"/>
              <w:jc w:val="center"/>
              <w:rPr/>
            </w:pPr>
            <w:r>
              <w:rPr/>
              <w:t>March 31, 2020</w:t>
            </w:r>
          </w:p>
        </w:tc>
        <w:tc>
          <w:tcPr>
            <w:tcW w:w="6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w:t>
            </w:r>
          </w:p>
        </w:tc>
        <w:tc>
          <w:tcPr>
            <w:tcW w:w="840" w:type="dxa"/>
            <w:tcBorders/>
            <w:shd w:fill="CCEEFF" w:val="clear"/>
            <w:vAlign w:val="bottom"/>
          </w:tcPr>
          <w:p>
            <w:pPr>
              <w:pStyle w:val="TableContents"/>
              <w:spacing w:before="0" w:after="283"/>
              <w:jc w:val="right"/>
              <w:rPr/>
            </w:pPr>
            <w:r>
              <w:rPr/>
              <w:t>0.06</w:t>
            </w:r>
          </w:p>
        </w:tc>
        <w:tc>
          <w:tcPr>
            <w:tcW w:w="66" w:type="dxa"/>
            <w:tcBorders/>
            <w:shd w:fill="CCEEFF" w:val="clear"/>
            <w:vAlign w:val="bottom"/>
          </w:tcPr>
          <w:p>
            <w:pPr>
              <w:pStyle w:val="TableContents"/>
              <w:spacing w:before="0" w:after="283"/>
              <w:rPr/>
            </w:pPr>
            <w:r>
              <w:rPr/>
              <w:t> </w:t>
            </w:r>
          </w:p>
        </w:tc>
      </w:tr>
      <w:tr>
        <w:trPr/>
        <w:tc>
          <w:tcPr>
            <w:tcW w:w="2636" w:type="dxa"/>
            <w:tcBorders/>
            <w:shd w:fill="auto" w:val="clear"/>
          </w:tcPr>
          <w:p>
            <w:pPr>
              <w:pStyle w:val="TableContents"/>
              <w:spacing w:before="0" w:after="0"/>
              <w:rPr>
                <w:rFonts w:ascii="Times New Roman" w:hAnsi="Times New Roman"/>
                <w:sz w:val="20"/>
              </w:rPr>
            </w:pPr>
            <w:r>
              <w:rPr>
                <w:rFonts w:ascii="Times New Roman" w:hAnsi="Times New Roman"/>
                <w:sz w:val="20"/>
              </w:rPr>
              <w:t>February 19, 2020</w:t>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1" w:type="dxa"/>
            <w:tcBorders/>
            <w:shd w:fill="auto" w:val="clear"/>
            <w:vAlign w:val="bottom"/>
          </w:tcPr>
          <w:p>
            <w:pPr>
              <w:pStyle w:val="TableContents"/>
              <w:spacing w:before="0" w:after="283"/>
              <w:jc w:val="center"/>
              <w:rPr/>
            </w:pPr>
            <w:r>
              <w:rPr/>
              <w:t>Base</w:t>
            </w:r>
          </w:p>
        </w:tc>
        <w:tc>
          <w:tcPr>
            <w:tcW w:w="6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67" w:type="dxa"/>
            <w:tcBorders/>
            <w:shd w:fill="auto" w:val="clear"/>
            <w:vAlign w:val="bottom"/>
          </w:tcPr>
          <w:p>
            <w:pPr>
              <w:pStyle w:val="TableContents"/>
              <w:spacing w:before="0" w:after="283"/>
              <w:jc w:val="center"/>
              <w:rPr/>
            </w:pPr>
            <w:r>
              <w:rPr/>
              <w:t>March 13, 2020</w:t>
            </w:r>
          </w:p>
        </w:tc>
        <w:tc>
          <w:tcPr>
            <w:tcW w:w="6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41" w:type="dxa"/>
            <w:tcBorders/>
            <w:shd w:fill="auto" w:val="clear"/>
            <w:vAlign w:val="bottom"/>
          </w:tcPr>
          <w:p>
            <w:pPr>
              <w:pStyle w:val="TableContents"/>
              <w:spacing w:before="0" w:after="283"/>
              <w:jc w:val="center"/>
              <w:rPr/>
            </w:pPr>
            <w:r>
              <w:rPr/>
              <w:t>April 15, 2020</w:t>
            </w:r>
          </w:p>
        </w:tc>
        <w:tc>
          <w:tcPr>
            <w:tcW w:w="6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pPr>
            <w:r>
              <w:rPr/>
              <w:t>0.41</w:t>
            </w:r>
          </w:p>
        </w:tc>
        <w:tc>
          <w:tcPr>
            <w:tcW w:w="66" w:type="dxa"/>
            <w:tcBorders/>
            <w:shd w:fill="auto" w:val="clear"/>
            <w:vAlign w:val="bottom"/>
          </w:tcPr>
          <w:p>
            <w:pPr>
              <w:pStyle w:val="TableContents"/>
              <w:spacing w:before="0" w:after="283"/>
              <w:rPr/>
            </w:pPr>
            <w:r>
              <w:rPr/>
              <w:t> </w:t>
            </w:r>
          </w:p>
        </w:tc>
      </w:tr>
      <w:tr>
        <w:trPr/>
        <w:tc>
          <w:tcPr>
            <w:tcW w:w="2636" w:type="dxa"/>
            <w:tcBorders/>
            <w:shd w:fill="CCEEFF" w:val="clear"/>
          </w:tcPr>
          <w:p>
            <w:pPr>
              <w:pStyle w:val="TableContents"/>
              <w:spacing w:before="0" w:after="0"/>
              <w:rPr>
                <w:rFonts w:ascii="Times New Roman" w:hAnsi="Times New Roman"/>
                <w:sz w:val="20"/>
              </w:rPr>
            </w:pPr>
            <w:r>
              <w:rPr>
                <w:rFonts w:ascii="Times New Roman" w:hAnsi="Times New Roman"/>
                <w:sz w:val="20"/>
              </w:rPr>
              <w:t>February 19, 2020</w:t>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1" w:type="dxa"/>
            <w:tcBorders/>
            <w:shd w:fill="CCEEFF" w:val="clear"/>
            <w:vAlign w:val="bottom"/>
          </w:tcPr>
          <w:p>
            <w:pPr>
              <w:pStyle w:val="TableContents"/>
              <w:spacing w:before="0" w:after="283"/>
              <w:jc w:val="center"/>
              <w:rPr/>
            </w:pPr>
            <w:r>
              <w:rPr/>
              <w:t>Special</w:t>
            </w:r>
          </w:p>
        </w:tc>
        <w:tc>
          <w:tcPr>
            <w:tcW w:w="6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67" w:type="dxa"/>
            <w:tcBorders/>
            <w:shd w:fill="CCEEFF" w:val="clear"/>
            <w:vAlign w:val="bottom"/>
          </w:tcPr>
          <w:p>
            <w:pPr>
              <w:pStyle w:val="TableContents"/>
              <w:spacing w:before="0" w:after="283"/>
              <w:jc w:val="center"/>
              <w:rPr/>
            </w:pPr>
            <w:r>
              <w:rPr/>
              <w:t>April 15, 2020</w:t>
            </w:r>
          </w:p>
        </w:tc>
        <w:tc>
          <w:tcPr>
            <w:tcW w:w="6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41" w:type="dxa"/>
            <w:tcBorders/>
            <w:shd w:fill="CCEEFF" w:val="clear"/>
            <w:vAlign w:val="bottom"/>
          </w:tcPr>
          <w:p>
            <w:pPr>
              <w:pStyle w:val="TableContents"/>
              <w:spacing w:before="0" w:after="283"/>
              <w:jc w:val="center"/>
              <w:rPr/>
            </w:pPr>
            <w:r>
              <w:rPr/>
              <w:t>April 30, 2020</w:t>
            </w:r>
          </w:p>
        </w:tc>
        <w:tc>
          <w:tcPr>
            <w:tcW w:w="6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jc w:val="right"/>
              <w:rPr/>
            </w:pPr>
            <w:r>
              <w:rPr/>
              <w:t>0.25</w:t>
            </w:r>
          </w:p>
        </w:tc>
        <w:tc>
          <w:tcPr>
            <w:tcW w:w="66" w:type="dxa"/>
            <w:tcBorders/>
            <w:shd w:fill="CCEEFF" w:val="clear"/>
            <w:vAlign w:val="bottom"/>
          </w:tcPr>
          <w:p>
            <w:pPr>
              <w:pStyle w:val="TableContents"/>
              <w:spacing w:before="0" w:after="283"/>
              <w:rPr/>
            </w:pPr>
            <w:r>
              <w:rPr/>
              <w:t> </w:t>
            </w:r>
          </w:p>
        </w:tc>
      </w:tr>
      <w:tr>
        <w:trPr/>
        <w:tc>
          <w:tcPr>
            <w:tcW w:w="2636" w:type="dxa"/>
            <w:tcBorders/>
            <w:shd w:fill="auto" w:val="clear"/>
          </w:tcPr>
          <w:p>
            <w:pPr>
              <w:pStyle w:val="TableContents"/>
              <w:spacing w:before="0" w:after="0"/>
              <w:rPr>
                <w:rFonts w:ascii="Times New Roman" w:hAnsi="Times New Roman"/>
                <w:sz w:val="20"/>
              </w:rPr>
            </w:pPr>
            <w:r>
              <w:rPr>
                <w:rFonts w:ascii="Times New Roman" w:hAnsi="Times New Roman"/>
                <w:sz w:val="20"/>
              </w:rPr>
              <w:t>February 19, 2020</w:t>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1" w:type="dxa"/>
            <w:tcBorders/>
            <w:shd w:fill="auto" w:val="clear"/>
            <w:vAlign w:val="bottom"/>
          </w:tcPr>
          <w:p>
            <w:pPr>
              <w:pStyle w:val="TableContents"/>
              <w:spacing w:before="0" w:after="283"/>
              <w:jc w:val="center"/>
              <w:rPr/>
            </w:pPr>
            <w:r>
              <w:rPr/>
              <w:t>Special</w:t>
            </w:r>
          </w:p>
        </w:tc>
        <w:tc>
          <w:tcPr>
            <w:tcW w:w="6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67" w:type="dxa"/>
            <w:tcBorders/>
            <w:shd w:fill="auto" w:val="clear"/>
            <w:vAlign w:val="bottom"/>
          </w:tcPr>
          <w:p>
            <w:pPr>
              <w:pStyle w:val="TableContents"/>
              <w:spacing w:before="0" w:after="283"/>
              <w:jc w:val="center"/>
              <w:rPr/>
            </w:pPr>
            <w:r>
              <w:rPr/>
              <w:t>June 15, 2020</w:t>
            </w:r>
          </w:p>
        </w:tc>
        <w:tc>
          <w:tcPr>
            <w:tcW w:w="6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41" w:type="dxa"/>
            <w:tcBorders/>
            <w:shd w:fill="auto" w:val="clear"/>
            <w:vAlign w:val="bottom"/>
          </w:tcPr>
          <w:p>
            <w:pPr>
              <w:pStyle w:val="TableContents"/>
              <w:spacing w:before="0" w:after="283"/>
              <w:jc w:val="center"/>
              <w:rPr/>
            </w:pPr>
            <w:r>
              <w:rPr/>
              <w:t>June 30, 2020</w:t>
            </w:r>
          </w:p>
        </w:tc>
        <w:tc>
          <w:tcPr>
            <w:tcW w:w="6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pPr>
            <w:r>
              <w:rPr/>
              <w:t>0.25</w:t>
            </w:r>
          </w:p>
        </w:tc>
        <w:tc>
          <w:tcPr>
            <w:tcW w:w="66" w:type="dxa"/>
            <w:tcBorders/>
            <w:shd w:fill="auto" w:val="clear"/>
            <w:vAlign w:val="bottom"/>
          </w:tcPr>
          <w:p>
            <w:pPr>
              <w:pStyle w:val="TableContents"/>
              <w:spacing w:before="0" w:after="283"/>
              <w:rPr/>
            </w:pPr>
            <w:r>
              <w:rPr/>
              <w:t> </w:t>
            </w:r>
          </w:p>
        </w:tc>
      </w:tr>
      <w:tr>
        <w:trPr/>
        <w:tc>
          <w:tcPr>
            <w:tcW w:w="2636" w:type="dxa"/>
            <w:tcBorders/>
            <w:shd w:fill="CCEEFF" w:val="clear"/>
          </w:tcPr>
          <w:p>
            <w:pPr>
              <w:pStyle w:val="TableContents"/>
              <w:spacing w:before="0" w:after="0"/>
              <w:rPr>
                <w:rFonts w:ascii="Times New Roman" w:hAnsi="Times New Roman"/>
                <w:sz w:val="20"/>
              </w:rPr>
            </w:pPr>
            <w:r>
              <w:rPr>
                <w:rFonts w:ascii="Times New Roman" w:hAnsi="Times New Roman"/>
                <w:sz w:val="20"/>
              </w:rPr>
              <w:t>May 5, 2020</w:t>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1" w:type="dxa"/>
            <w:tcBorders/>
            <w:shd w:fill="CCEEFF" w:val="clear"/>
            <w:vAlign w:val="bottom"/>
          </w:tcPr>
          <w:p>
            <w:pPr>
              <w:pStyle w:val="TableContents"/>
              <w:spacing w:before="0" w:after="283"/>
              <w:jc w:val="center"/>
              <w:rPr/>
            </w:pPr>
            <w:r>
              <w:rPr/>
              <w:t>Base</w:t>
            </w:r>
          </w:p>
        </w:tc>
        <w:tc>
          <w:tcPr>
            <w:tcW w:w="6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67" w:type="dxa"/>
            <w:tcBorders/>
            <w:shd w:fill="CCEEFF" w:val="clear"/>
            <w:vAlign w:val="bottom"/>
          </w:tcPr>
          <w:p>
            <w:pPr>
              <w:pStyle w:val="TableContents"/>
              <w:spacing w:before="0" w:after="283"/>
              <w:jc w:val="center"/>
              <w:rPr/>
            </w:pPr>
            <w:r>
              <w:rPr/>
              <w:t>June 15, 2020</w:t>
            </w:r>
          </w:p>
        </w:tc>
        <w:tc>
          <w:tcPr>
            <w:tcW w:w="6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41" w:type="dxa"/>
            <w:tcBorders/>
            <w:shd w:fill="CCEEFF" w:val="clear"/>
            <w:vAlign w:val="bottom"/>
          </w:tcPr>
          <w:p>
            <w:pPr>
              <w:pStyle w:val="TableContents"/>
              <w:spacing w:before="0" w:after="283"/>
              <w:jc w:val="center"/>
              <w:rPr/>
            </w:pPr>
            <w:r>
              <w:rPr/>
              <w:t>July 15, 2020</w:t>
            </w:r>
          </w:p>
        </w:tc>
        <w:tc>
          <w:tcPr>
            <w:tcW w:w="6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jc w:val="right"/>
              <w:rPr/>
            </w:pPr>
            <w:r>
              <w:rPr/>
              <w:t>0.41</w:t>
            </w:r>
          </w:p>
        </w:tc>
        <w:tc>
          <w:tcPr>
            <w:tcW w:w="66" w:type="dxa"/>
            <w:tcBorders/>
            <w:shd w:fill="CCEEFF" w:val="clear"/>
            <w:vAlign w:val="bottom"/>
          </w:tcPr>
          <w:p>
            <w:pPr>
              <w:pStyle w:val="TableContents"/>
              <w:spacing w:before="0" w:after="283"/>
              <w:rPr/>
            </w:pPr>
            <w:r>
              <w:rPr/>
              <w:t> </w:t>
            </w:r>
          </w:p>
        </w:tc>
      </w:tr>
      <w:tr>
        <w:trPr/>
        <w:tc>
          <w:tcPr>
            <w:tcW w:w="2636" w:type="dxa"/>
            <w:tcBorders/>
            <w:shd w:fill="auto" w:val="clear"/>
          </w:tcPr>
          <w:p>
            <w:pPr>
              <w:pStyle w:val="TableContents"/>
              <w:spacing w:before="0" w:after="0"/>
              <w:rPr>
                <w:rFonts w:ascii="Times New Roman" w:hAnsi="Times New Roman"/>
                <w:sz w:val="20"/>
              </w:rPr>
            </w:pPr>
            <w:r>
              <w:rPr>
                <w:rFonts w:ascii="Times New Roman" w:hAnsi="Times New Roman"/>
                <w:sz w:val="20"/>
              </w:rPr>
              <w:t>August 4, 2020</w:t>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1" w:type="dxa"/>
            <w:tcBorders/>
            <w:shd w:fill="auto" w:val="clear"/>
            <w:vAlign w:val="bottom"/>
          </w:tcPr>
          <w:p>
            <w:pPr>
              <w:pStyle w:val="TableContents"/>
              <w:spacing w:before="0" w:after="283"/>
              <w:jc w:val="center"/>
              <w:rPr/>
            </w:pPr>
            <w:r>
              <w:rPr/>
              <w:t>Base</w:t>
            </w:r>
          </w:p>
        </w:tc>
        <w:tc>
          <w:tcPr>
            <w:tcW w:w="6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67" w:type="dxa"/>
            <w:tcBorders/>
            <w:shd w:fill="auto" w:val="clear"/>
            <w:vAlign w:val="bottom"/>
          </w:tcPr>
          <w:p>
            <w:pPr>
              <w:pStyle w:val="TableContents"/>
              <w:spacing w:before="0" w:after="283"/>
              <w:jc w:val="center"/>
              <w:rPr/>
            </w:pPr>
            <w:r>
              <w:rPr/>
              <w:t>September 15, 2020</w:t>
            </w:r>
          </w:p>
        </w:tc>
        <w:tc>
          <w:tcPr>
            <w:tcW w:w="6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41" w:type="dxa"/>
            <w:tcBorders/>
            <w:shd w:fill="auto" w:val="clear"/>
            <w:vAlign w:val="bottom"/>
          </w:tcPr>
          <w:p>
            <w:pPr>
              <w:pStyle w:val="TableContents"/>
              <w:spacing w:before="0" w:after="283"/>
              <w:jc w:val="center"/>
              <w:rPr/>
            </w:pPr>
            <w:r>
              <w:rPr/>
              <w:t>October 15, 2020</w:t>
            </w:r>
          </w:p>
        </w:tc>
        <w:tc>
          <w:tcPr>
            <w:tcW w:w="6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pPr>
            <w:r>
              <w:rPr/>
              <w:t>0.41</w:t>
            </w:r>
          </w:p>
        </w:tc>
        <w:tc>
          <w:tcPr>
            <w:tcW w:w="66" w:type="dxa"/>
            <w:tcBorders/>
            <w:shd w:fill="auto" w:val="clear"/>
            <w:vAlign w:val="bottom"/>
          </w:tcPr>
          <w:p>
            <w:pPr>
              <w:pStyle w:val="TableContents"/>
              <w:spacing w:before="0" w:after="283"/>
              <w:rPr/>
            </w:pPr>
            <w:r>
              <w:rPr/>
              <w:t> </w:t>
            </w:r>
          </w:p>
        </w:tc>
      </w:tr>
      <w:tr>
        <w:trPr/>
        <w:tc>
          <w:tcPr>
            <w:tcW w:w="2636" w:type="dxa"/>
            <w:tcBorders/>
            <w:shd w:fill="CCEEFF" w:val="clear"/>
          </w:tcPr>
          <w:p>
            <w:pPr>
              <w:pStyle w:val="TableContents"/>
              <w:spacing w:before="0" w:after="0"/>
              <w:rPr>
                <w:rFonts w:ascii="Times New Roman" w:hAnsi="Times New Roman"/>
                <w:sz w:val="20"/>
              </w:rPr>
            </w:pPr>
            <w:r>
              <w:rPr>
                <w:rFonts w:ascii="Times New Roman" w:hAnsi="Times New Roman"/>
                <w:sz w:val="20"/>
              </w:rPr>
              <w:t>November 4, 2020</w:t>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1" w:type="dxa"/>
            <w:tcBorders/>
            <w:shd w:fill="CCEEFF" w:val="clear"/>
            <w:vAlign w:val="bottom"/>
          </w:tcPr>
          <w:p>
            <w:pPr>
              <w:pStyle w:val="TableContents"/>
              <w:spacing w:before="0" w:after="283"/>
              <w:jc w:val="center"/>
              <w:rPr/>
            </w:pPr>
            <w:r>
              <w:rPr/>
              <w:t>Supplemental</w:t>
            </w:r>
          </w:p>
        </w:tc>
        <w:tc>
          <w:tcPr>
            <w:tcW w:w="6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67" w:type="dxa"/>
            <w:tcBorders/>
            <w:shd w:fill="CCEEFF" w:val="clear"/>
            <w:vAlign w:val="bottom"/>
          </w:tcPr>
          <w:p>
            <w:pPr>
              <w:pStyle w:val="TableContents"/>
              <w:spacing w:before="0" w:after="283"/>
              <w:jc w:val="center"/>
              <w:rPr/>
            </w:pPr>
            <w:r>
              <w:rPr/>
              <w:t>November 30, 2020</w:t>
            </w:r>
          </w:p>
        </w:tc>
        <w:tc>
          <w:tcPr>
            <w:tcW w:w="60" w:type="dxa"/>
            <w:tcBorders/>
            <w:shd w:fill="CCEEFF" w:val="clear"/>
            <w:vAlign w:val="bottom"/>
          </w:tcPr>
          <w:p>
            <w:pPr>
              <w:pStyle w:val="TableContents"/>
              <w:spacing w:before="0" w:after="283"/>
              <w:rPr/>
            </w:pPr>
            <w:r>
              <w:rPr/>
              <w:t> </w:t>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41" w:type="dxa"/>
            <w:tcBorders/>
            <w:shd w:fill="CCEEFF" w:val="clear"/>
            <w:vAlign w:val="bottom"/>
          </w:tcPr>
          <w:p>
            <w:pPr>
              <w:pStyle w:val="TableContents"/>
              <w:spacing w:before="0" w:after="283"/>
              <w:jc w:val="center"/>
              <w:rPr/>
            </w:pPr>
            <w:r>
              <w:rPr/>
              <w:t>December 31, 2020</w:t>
            </w:r>
          </w:p>
        </w:tc>
        <w:tc>
          <w:tcPr>
            <w:tcW w:w="60" w:type="dxa"/>
            <w:tcBorders/>
            <w:shd w:fill="CCEEFF" w:val="clear"/>
            <w:vAlign w:val="bottom"/>
          </w:tcPr>
          <w:p>
            <w:pPr>
              <w:pStyle w:val="TableContents"/>
              <w:spacing w:before="0" w:after="283"/>
              <w:rPr/>
            </w:pPr>
            <w:r>
              <w:rPr/>
              <w:t> </w:t>
            </w:r>
          </w:p>
        </w:tc>
        <w:tc>
          <w:tcPr>
            <w:tcW w:w="136"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840" w:type="dxa"/>
            <w:tcBorders/>
            <w:shd w:fill="CCEEFF" w:val="clear"/>
            <w:vAlign w:val="bottom"/>
          </w:tcPr>
          <w:p>
            <w:pPr>
              <w:pStyle w:val="TableContents"/>
              <w:spacing w:before="0" w:after="283"/>
              <w:jc w:val="right"/>
              <w:rPr/>
            </w:pPr>
            <w:r>
              <w:rPr/>
              <w:t>0.10</w:t>
            </w:r>
          </w:p>
        </w:tc>
        <w:tc>
          <w:tcPr>
            <w:tcW w:w="66" w:type="dxa"/>
            <w:tcBorders/>
            <w:shd w:fill="CCEEFF" w:val="clear"/>
            <w:vAlign w:val="bottom"/>
          </w:tcPr>
          <w:p>
            <w:pPr>
              <w:pStyle w:val="TableContents"/>
              <w:spacing w:before="0" w:after="283"/>
              <w:rPr/>
            </w:pPr>
            <w:r>
              <w:rPr/>
              <w:t> </w:t>
            </w:r>
          </w:p>
        </w:tc>
      </w:tr>
      <w:tr>
        <w:trPr/>
        <w:tc>
          <w:tcPr>
            <w:tcW w:w="2636" w:type="dxa"/>
            <w:tcBorders/>
            <w:shd w:fill="auto" w:val="clear"/>
          </w:tcPr>
          <w:p>
            <w:pPr>
              <w:pStyle w:val="TableContents"/>
              <w:spacing w:before="0" w:after="0"/>
              <w:rPr>
                <w:rFonts w:ascii="Times New Roman" w:hAnsi="Times New Roman"/>
                <w:sz w:val="20"/>
              </w:rPr>
            </w:pPr>
            <w:r>
              <w:rPr>
                <w:rFonts w:ascii="Times New Roman" w:hAnsi="Times New Roman"/>
                <w:sz w:val="20"/>
              </w:rPr>
              <w:t>November 4, 2020</w:t>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1" w:type="dxa"/>
            <w:tcBorders/>
            <w:shd w:fill="auto" w:val="clear"/>
            <w:vAlign w:val="bottom"/>
          </w:tcPr>
          <w:p>
            <w:pPr>
              <w:pStyle w:val="TableContents"/>
              <w:spacing w:before="0" w:after="283"/>
              <w:jc w:val="center"/>
              <w:rPr/>
            </w:pPr>
            <w:r>
              <w:rPr/>
              <w:t>Base</w:t>
            </w:r>
          </w:p>
        </w:tc>
        <w:tc>
          <w:tcPr>
            <w:tcW w:w="6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67" w:type="dxa"/>
            <w:tcBorders/>
            <w:shd w:fill="auto" w:val="clear"/>
            <w:vAlign w:val="bottom"/>
          </w:tcPr>
          <w:p>
            <w:pPr>
              <w:pStyle w:val="TableContents"/>
              <w:spacing w:before="0" w:after="283"/>
              <w:jc w:val="center"/>
              <w:rPr/>
            </w:pPr>
            <w:r>
              <w:rPr/>
              <w:t>December 15, 2020</w:t>
            </w:r>
          </w:p>
        </w:tc>
        <w:tc>
          <w:tcPr>
            <w:tcW w:w="60" w:type="dxa"/>
            <w:tcBorders/>
            <w:shd w:fill="auto" w:val="clear"/>
            <w:vAlign w:val="bottom"/>
          </w:tcPr>
          <w:p>
            <w:pPr>
              <w:pStyle w:val="TableContents"/>
              <w:spacing w:before="0" w:after="283"/>
              <w:rPr/>
            </w:pPr>
            <w:r>
              <w:rPr/>
              <w:t> </w:t>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41" w:type="dxa"/>
            <w:tcBorders/>
            <w:shd w:fill="auto" w:val="clear"/>
            <w:vAlign w:val="bottom"/>
          </w:tcPr>
          <w:p>
            <w:pPr>
              <w:pStyle w:val="TableContents"/>
              <w:spacing w:before="0" w:after="283"/>
              <w:jc w:val="center"/>
              <w:rPr/>
            </w:pPr>
            <w:r>
              <w:rPr/>
              <w:t>January 15, 2021</w:t>
            </w:r>
          </w:p>
        </w:tc>
        <w:tc>
          <w:tcPr>
            <w:tcW w:w="60" w:type="dxa"/>
            <w:tcBorders/>
            <w:shd w:fill="auto" w:val="clear"/>
            <w:vAlign w:val="bottom"/>
          </w:tcPr>
          <w:p>
            <w:pPr>
              <w:pStyle w:val="TableContents"/>
              <w:spacing w:before="0" w:after="283"/>
              <w:rPr/>
            </w:pPr>
            <w:r>
              <w:rPr/>
              <w:t> </w:t>
            </w:r>
          </w:p>
        </w:tc>
        <w:tc>
          <w:tcPr>
            <w:tcW w:w="136"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840" w:type="dxa"/>
            <w:tcBorders/>
            <w:shd w:fill="auto" w:val="clear"/>
            <w:vAlign w:val="bottom"/>
          </w:tcPr>
          <w:p>
            <w:pPr>
              <w:pStyle w:val="TableContents"/>
              <w:spacing w:before="0" w:after="283"/>
              <w:jc w:val="right"/>
              <w:rPr/>
            </w:pPr>
            <w:r>
              <w:rPr/>
              <w:t>0.41</w:t>
            </w:r>
          </w:p>
        </w:tc>
        <w:tc>
          <w:tcPr>
            <w:tcW w:w="66" w:type="dxa"/>
            <w:tcBorders/>
            <w:shd w:fill="auto" w:val="clear"/>
            <w:vAlign w:val="bottom"/>
          </w:tcPr>
          <w:p>
            <w:pPr>
              <w:pStyle w:val="TableContents"/>
              <w:spacing w:before="0" w:after="283"/>
              <w:rPr/>
            </w:pPr>
            <w:r>
              <w:rPr/>
              <w:t> </w:t>
            </w:r>
          </w:p>
        </w:tc>
      </w:tr>
      <w:tr>
        <w:trPr/>
        <w:tc>
          <w:tcPr>
            <w:tcW w:w="2636"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40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6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4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pBdr>
                <w:top w:val="single" w:sz="2" w:space="1" w:color="000000"/>
              </w:pBdr>
              <w:spacing w:before="0" w:after="0"/>
              <w:rPr/>
            </w:pPr>
            <w:r>
              <w:rPr/>
              <w:t> </w:t>
            </w:r>
          </w:p>
        </w:tc>
        <w:tc>
          <w:tcPr>
            <w:tcW w:w="840" w:type="dxa"/>
            <w:tcBorders/>
            <w:shd w:fill="auto" w:val="clear"/>
            <w:vAlign w:val="bottom"/>
          </w:tcPr>
          <w:p>
            <w:pPr>
              <w:pStyle w:val="TableContents"/>
              <w:pBdr>
                <w:top w:val="single" w:sz="2" w:space="1" w:color="000000"/>
              </w:pBdr>
              <w:spacing w:before="0" w:after="0"/>
              <w:rPr/>
            </w:pPr>
            <w:r>
              <w:rPr/>
              <w:t> </w:t>
            </w:r>
          </w:p>
        </w:tc>
        <w:tc>
          <w:tcPr>
            <w:tcW w:w="66" w:type="dxa"/>
            <w:tcBorders/>
            <w:shd w:fill="auto" w:val="clear"/>
            <w:vAlign w:val="center"/>
          </w:tcPr>
          <w:p>
            <w:pPr>
              <w:pStyle w:val="TableContents"/>
              <w:spacing w:before="0" w:after="283"/>
              <w:rPr/>
            </w:pPr>
            <w:r>
              <w:rPr/>
              <w:t> </w:t>
            </w:r>
          </w:p>
        </w:tc>
      </w:tr>
      <w:tr>
        <w:trPr/>
        <w:tc>
          <w:tcPr>
            <w:tcW w:w="2636"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 Dividends Declared</w:t>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401"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6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7"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41"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6"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w:t>
            </w:r>
          </w:p>
        </w:tc>
        <w:tc>
          <w:tcPr>
            <w:tcW w:w="840" w:type="dxa"/>
            <w:tcBorders/>
            <w:shd w:fill="CCEEFF" w:val="clear"/>
            <w:vAlign w:val="bottom"/>
          </w:tcPr>
          <w:p>
            <w:pPr>
              <w:pStyle w:val="TableContents"/>
              <w:spacing w:before="0" w:after="283"/>
              <w:jc w:val="right"/>
              <w:rPr/>
            </w:pPr>
            <w:r>
              <w:rPr/>
              <w:t>2.30</w:t>
            </w:r>
          </w:p>
        </w:tc>
        <w:tc>
          <w:tcPr>
            <w:tcW w:w="66" w:type="dxa"/>
            <w:tcBorders/>
            <w:shd w:fill="CCEEFF" w:val="clear"/>
            <w:vAlign w:val="bottom"/>
          </w:tcPr>
          <w:p>
            <w:pPr>
              <w:pStyle w:val="TableContents"/>
              <w:spacing w:before="0" w:after="283"/>
              <w:rPr/>
            </w:pPr>
            <w:r>
              <w:rPr/>
              <w:t> </w:t>
            </w:r>
          </w:p>
        </w:tc>
      </w:tr>
      <w:tr>
        <w:trPr/>
        <w:tc>
          <w:tcPr>
            <w:tcW w:w="2636"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40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6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7"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4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pBdr>
                <w:top w:val="double" w:sz="6" w:space="1" w:color="000000"/>
              </w:pBdr>
              <w:spacing w:before="0" w:after="0"/>
              <w:rPr/>
            </w:pPr>
            <w:r>
              <w:rPr/>
              <w:t> </w:t>
            </w:r>
          </w:p>
        </w:tc>
        <w:tc>
          <w:tcPr>
            <w:tcW w:w="840" w:type="dxa"/>
            <w:tcBorders/>
            <w:shd w:fill="auto" w:val="clear"/>
            <w:vAlign w:val="bottom"/>
          </w:tcPr>
          <w:p>
            <w:pPr>
              <w:pStyle w:val="TableContents"/>
              <w:pBdr>
                <w:top w:val="double" w:sz="6" w:space="1" w:color="000000"/>
              </w:pBdr>
              <w:spacing w:before="0" w:after="0"/>
              <w:rPr/>
            </w:pPr>
            <w:r>
              <w:rPr/>
              <w:t> </w:t>
            </w:r>
          </w:p>
        </w:tc>
        <w:tc>
          <w:tcPr>
            <w:tcW w:w="66" w:type="dxa"/>
            <w:tcBorders/>
            <w:shd w:fill="auto" w:val="clear"/>
            <w:vAlign w:val="center"/>
          </w:tcPr>
          <w:p>
            <w:pPr>
              <w:pStyle w:val="TableContents"/>
              <w:spacing w:before="0" w:after="283"/>
              <w:rPr/>
            </w:pPr>
            <w:r>
              <w:rPr/>
              <w:t>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716"/>
        <w:gridCol w:w="133"/>
        <w:gridCol w:w="60"/>
        <w:gridCol w:w="1382"/>
        <w:gridCol w:w="60"/>
        <w:gridCol w:w="133"/>
        <w:gridCol w:w="60"/>
        <w:gridCol w:w="2037"/>
        <w:gridCol w:w="60"/>
        <w:gridCol w:w="133"/>
        <w:gridCol w:w="60"/>
        <w:gridCol w:w="2037"/>
        <w:gridCol w:w="60"/>
        <w:gridCol w:w="133"/>
        <w:gridCol w:w="247"/>
        <w:gridCol w:w="827"/>
        <w:gridCol w:w="67"/>
      </w:tblGrid>
      <w:tr>
        <w:trPr/>
        <w:tc>
          <w:tcPr>
            <w:tcW w:w="2716"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8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0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r>
      <w:tr>
        <w:trPr/>
        <w:tc>
          <w:tcPr>
            <w:tcW w:w="2716"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7289" w:type="dxa"/>
            <w:gridSpan w:val="14"/>
            <w:tcBorders>
              <w:bottom w:val="single" w:sz="8" w:space="0" w:color="000000"/>
            </w:tcBorders>
            <w:shd w:fill="auto" w:val="clear"/>
            <w:tcMar>
              <w:bottom w:w="28" w:type="dxa"/>
            </w:tcMar>
            <w:vAlign w:val="bottom"/>
          </w:tcPr>
          <w:p>
            <w:pPr>
              <w:pStyle w:val="TableContents"/>
              <w:spacing w:before="0" w:after="283"/>
              <w:jc w:val="center"/>
              <w:rPr>
                <w:b/>
              </w:rPr>
            </w:pPr>
            <w:r>
              <w:rPr>
                <w:b/>
              </w:rPr>
              <w:t>Year Ended December 31, 2019</w:t>
            </w:r>
          </w:p>
        </w:tc>
        <w:tc>
          <w:tcPr>
            <w:tcW w:w="67" w:type="dxa"/>
            <w:tcBorders/>
            <w:shd w:fill="auto" w:val="clear"/>
            <w:vAlign w:val="bottom"/>
          </w:tcPr>
          <w:p>
            <w:pPr>
              <w:pStyle w:val="TableContents"/>
              <w:spacing w:before="0" w:after="283"/>
              <w:rPr/>
            </w:pPr>
            <w:r>
              <w:rPr/>
              <w:t> </w:t>
            </w:r>
          </w:p>
        </w:tc>
      </w:tr>
      <w:tr>
        <w:trPr/>
        <w:tc>
          <w:tcPr>
            <w:tcW w:w="2716"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Date Declared</w:t>
            </w:r>
          </w:p>
        </w:tc>
        <w:tc>
          <w:tcPr>
            <w:tcW w:w="133" w:type="dxa"/>
            <w:tcBorders/>
            <w:shd w:fill="auto" w:val="clear"/>
            <w:vAlign w:val="bottom"/>
          </w:tcPr>
          <w:p>
            <w:pPr>
              <w:pStyle w:val="TableContents"/>
              <w:spacing w:before="0" w:after="283"/>
              <w:rPr/>
            </w:pPr>
            <w:r>
              <w:rPr/>
              <w:t>  </w:t>
            </w:r>
          </w:p>
        </w:tc>
        <w:tc>
          <w:tcPr>
            <w:tcW w:w="1442"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Dividend</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09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Record Date</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09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Payment Date</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107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Dividend</w:t>
              <w:br/>
              <w:t>per Share</w:t>
            </w:r>
          </w:p>
        </w:tc>
        <w:tc>
          <w:tcPr>
            <w:tcW w:w="67" w:type="dxa"/>
            <w:tcBorders/>
            <w:shd w:fill="auto" w:val="clear"/>
            <w:vAlign w:val="bottom"/>
          </w:tcPr>
          <w:p>
            <w:pPr>
              <w:pStyle w:val="TableContents"/>
              <w:spacing w:before="0" w:after="283"/>
              <w:rPr/>
            </w:pPr>
            <w:r>
              <w:rPr/>
              <w:t> </w:t>
            </w:r>
          </w:p>
        </w:tc>
      </w:tr>
      <w:tr>
        <w:trPr/>
        <w:tc>
          <w:tcPr>
            <w:tcW w:w="2716" w:type="dxa"/>
            <w:tcBorders/>
            <w:shd w:fill="CCEEFF" w:val="clear"/>
          </w:tcPr>
          <w:p>
            <w:pPr>
              <w:pStyle w:val="TableContents"/>
              <w:spacing w:before="0" w:after="0"/>
              <w:rPr>
                <w:rFonts w:ascii="Times New Roman" w:hAnsi="Times New Roman"/>
                <w:sz w:val="20"/>
              </w:rPr>
            </w:pPr>
            <w:r>
              <w:rPr>
                <w:rFonts w:ascii="Times New Roman" w:hAnsi="Times New Roman"/>
                <w:sz w:val="20"/>
              </w:rPr>
              <w:t>February 20, 2019</w:t>
            </w:r>
          </w:p>
        </w:tc>
        <w:tc>
          <w:tcPr>
            <w:tcW w:w="1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82" w:type="dxa"/>
            <w:tcBorders/>
            <w:shd w:fill="CCEEFF" w:val="clear"/>
            <w:vAlign w:val="bottom"/>
          </w:tcPr>
          <w:p>
            <w:pPr>
              <w:pStyle w:val="TableContents"/>
              <w:spacing w:before="0" w:after="283"/>
              <w:jc w:val="center"/>
              <w:rPr/>
            </w:pPr>
            <w:r>
              <w:rPr/>
              <w:t>Supplemental</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37" w:type="dxa"/>
            <w:tcBorders/>
            <w:shd w:fill="CCEEFF" w:val="clear"/>
            <w:vAlign w:val="bottom"/>
          </w:tcPr>
          <w:p>
            <w:pPr>
              <w:pStyle w:val="TableContents"/>
              <w:spacing w:before="0" w:after="283"/>
              <w:jc w:val="center"/>
              <w:rPr/>
            </w:pPr>
            <w:r>
              <w:rPr/>
              <w:t>February 28, 2019</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37" w:type="dxa"/>
            <w:tcBorders/>
            <w:shd w:fill="CCEEFF" w:val="clear"/>
            <w:vAlign w:val="bottom"/>
          </w:tcPr>
          <w:p>
            <w:pPr>
              <w:pStyle w:val="TableContents"/>
              <w:spacing w:before="0" w:after="283"/>
              <w:jc w:val="center"/>
              <w:rPr/>
            </w:pPr>
            <w:r>
              <w:rPr/>
              <w:t>March 29, 2019</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w:t>
            </w:r>
          </w:p>
        </w:tc>
        <w:tc>
          <w:tcPr>
            <w:tcW w:w="827" w:type="dxa"/>
            <w:tcBorders/>
            <w:shd w:fill="CCEEFF" w:val="clear"/>
            <w:vAlign w:val="bottom"/>
          </w:tcPr>
          <w:p>
            <w:pPr>
              <w:pStyle w:val="TableContents"/>
              <w:spacing w:before="0" w:after="283"/>
              <w:jc w:val="right"/>
              <w:rPr/>
            </w:pPr>
            <w:r>
              <w:rPr/>
              <w:t>0.12</w:t>
            </w:r>
          </w:p>
        </w:tc>
        <w:tc>
          <w:tcPr>
            <w:tcW w:w="67" w:type="dxa"/>
            <w:tcBorders/>
            <w:shd w:fill="CCEEFF" w:val="clear"/>
            <w:vAlign w:val="bottom"/>
          </w:tcPr>
          <w:p>
            <w:pPr>
              <w:pStyle w:val="TableContents"/>
              <w:spacing w:before="0" w:after="283"/>
              <w:rPr/>
            </w:pPr>
            <w:r>
              <w:rPr/>
              <w:t> </w:t>
            </w:r>
          </w:p>
        </w:tc>
      </w:tr>
      <w:tr>
        <w:trPr/>
        <w:tc>
          <w:tcPr>
            <w:tcW w:w="2716" w:type="dxa"/>
            <w:tcBorders/>
            <w:shd w:fill="auto" w:val="clear"/>
          </w:tcPr>
          <w:p>
            <w:pPr>
              <w:pStyle w:val="TableContents"/>
              <w:spacing w:before="0" w:after="0"/>
              <w:rPr>
                <w:rFonts w:ascii="Times New Roman" w:hAnsi="Times New Roman"/>
                <w:sz w:val="20"/>
              </w:rPr>
            </w:pPr>
            <w:r>
              <w:rPr>
                <w:rFonts w:ascii="Times New Roman" w:hAnsi="Times New Roman"/>
                <w:sz w:val="20"/>
              </w:rPr>
              <w:t>February 20, 2019</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2" w:type="dxa"/>
            <w:tcBorders/>
            <w:shd w:fill="auto" w:val="clear"/>
            <w:vAlign w:val="bottom"/>
          </w:tcPr>
          <w:p>
            <w:pPr>
              <w:pStyle w:val="TableContents"/>
              <w:spacing w:before="0" w:after="283"/>
              <w:jc w:val="center"/>
              <w:rPr/>
            </w:pPr>
            <w:r>
              <w:rPr/>
              <w:t>Base</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37" w:type="dxa"/>
            <w:tcBorders/>
            <w:shd w:fill="auto" w:val="clear"/>
            <w:vAlign w:val="bottom"/>
          </w:tcPr>
          <w:p>
            <w:pPr>
              <w:pStyle w:val="TableContents"/>
              <w:spacing w:before="0" w:after="283"/>
              <w:jc w:val="center"/>
              <w:rPr/>
            </w:pPr>
            <w:r>
              <w:rPr/>
              <w:t>March 15, 2019</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37" w:type="dxa"/>
            <w:tcBorders/>
            <w:shd w:fill="auto" w:val="clear"/>
            <w:vAlign w:val="bottom"/>
          </w:tcPr>
          <w:p>
            <w:pPr>
              <w:pStyle w:val="TableContents"/>
              <w:spacing w:before="0" w:after="283"/>
              <w:jc w:val="center"/>
              <w:rPr/>
            </w:pPr>
            <w:r>
              <w:rPr/>
              <w:t>April 15, 2019</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827" w:type="dxa"/>
            <w:tcBorders/>
            <w:shd w:fill="auto" w:val="clear"/>
            <w:vAlign w:val="bottom"/>
          </w:tcPr>
          <w:p>
            <w:pPr>
              <w:pStyle w:val="TableContents"/>
              <w:spacing w:before="0" w:after="283"/>
              <w:jc w:val="right"/>
              <w:rPr/>
            </w:pPr>
            <w:r>
              <w:rPr/>
              <w:t>0.39</w:t>
            </w:r>
          </w:p>
        </w:tc>
        <w:tc>
          <w:tcPr>
            <w:tcW w:w="67" w:type="dxa"/>
            <w:tcBorders/>
            <w:shd w:fill="auto" w:val="clear"/>
            <w:vAlign w:val="bottom"/>
          </w:tcPr>
          <w:p>
            <w:pPr>
              <w:pStyle w:val="TableContents"/>
              <w:spacing w:before="0" w:after="283"/>
              <w:rPr/>
            </w:pPr>
            <w:r>
              <w:rPr/>
              <w:t> </w:t>
            </w:r>
          </w:p>
        </w:tc>
      </w:tr>
      <w:tr>
        <w:trPr/>
        <w:tc>
          <w:tcPr>
            <w:tcW w:w="2716" w:type="dxa"/>
            <w:tcBorders/>
            <w:shd w:fill="CCEEFF" w:val="clear"/>
          </w:tcPr>
          <w:p>
            <w:pPr>
              <w:pStyle w:val="TableContents"/>
              <w:spacing w:before="0" w:after="0"/>
              <w:rPr>
                <w:rFonts w:ascii="Times New Roman" w:hAnsi="Times New Roman"/>
                <w:sz w:val="20"/>
              </w:rPr>
            </w:pPr>
            <w:r>
              <w:rPr>
                <w:rFonts w:ascii="Times New Roman" w:hAnsi="Times New Roman"/>
                <w:sz w:val="20"/>
              </w:rPr>
              <w:t>May 2, 2019</w:t>
            </w:r>
          </w:p>
        </w:tc>
        <w:tc>
          <w:tcPr>
            <w:tcW w:w="1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82" w:type="dxa"/>
            <w:tcBorders/>
            <w:shd w:fill="CCEEFF" w:val="clear"/>
            <w:vAlign w:val="bottom"/>
          </w:tcPr>
          <w:p>
            <w:pPr>
              <w:pStyle w:val="TableContents"/>
              <w:spacing w:before="0" w:after="283"/>
              <w:jc w:val="center"/>
              <w:rPr/>
            </w:pPr>
            <w:r>
              <w:rPr/>
              <w:t>Supplemental</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37" w:type="dxa"/>
            <w:tcBorders/>
            <w:shd w:fill="CCEEFF" w:val="clear"/>
            <w:vAlign w:val="bottom"/>
          </w:tcPr>
          <w:p>
            <w:pPr>
              <w:pStyle w:val="TableContents"/>
              <w:spacing w:before="0" w:after="283"/>
              <w:jc w:val="center"/>
              <w:rPr/>
            </w:pPr>
            <w:r>
              <w:rPr/>
              <w:t>May 31, 2019</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37" w:type="dxa"/>
            <w:tcBorders/>
            <w:shd w:fill="CCEEFF" w:val="clear"/>
            <w:vAlign w:val="bottom"/>
          </w:tcPr>
          <w:p>
            <w:pPr>
              <w:pStyle w:val="TableContents"/>
              <w:spacing w:before="0" w:after="283"/>
              <w:jc w:val="center"/>
              <w:rPr/>
            </w:pPr>
            <w:r>
              <w:rPr/>
              <w:t>June 28, 2019</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jc w:val="right"/>
              <w:rPr/>
            </w:pPr>
            <w:r>
              <w:rPr/>
              <w:t>0.01</w:t>
            </w:r>
          </w:p>
        </w:tc>
        <w:tc>
          <w:tcPr>
            <w:tcW w:w="67" w:type="dxa"/>
            <w:tcBorders/>
            <w:shd w:fill="CCEEFF" w:val="clear"/>
            <w:vAlign w:val="bottom"/>
          </w:tcPr>
          <w:p>
            <w:pPr>
              <w:pStyle w:val="TableContents"/>
              <w:spacing w:before="0" w:after="283"/>
              <w:rPr/>
            </w:pPr>
            <w:r>
              <w:rPr/>
              <w:t> </w:t>
            </w:r>
          </w:p>
        </w:tc>
      </w:tr>
      <w:tr>
        <w:trPr/>
        <w:tc>
          <w:tcPr>
            <w:tcW w:w="2716" w:type="dxa"/>
            <w:tcBorders/>
            <w:shd w:fill="auto" w:val="clear"/>
          </w:tcPr>
          <w:p>
            <w:pPr>
              <w:pStyle w:val="TableContents"/>
              <w:spacing w:before="0" w:after="0"/>
              <w:rPr>
                <w:rFonts w:ascii="Times New Roman" w:hAnsi="Times New Roman"/>
                <w:sz w:val="20"/>
              </w:rPr>
            </w:pPr>
            <w:r>
              <w:rPr>
                <w:rFonts w:ascii="Times New Roman" w:hAnsi="Times New Roman"/>
                <w:sz w:val="20"/>
              </w:rPr>
              <w:t>May 2, 2019</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2" w:type="dxa"/>
            <w:tcBorders/>
            <w:shd w:fill="auto" w:val="clear"/>
            <w:vAlign w:val="bottom"/>
          </w:tcPr>
          <w:p>
            <w:pPr>
              <w:pStyle w:val="TableContents"/>
              <w:spacing w:before="0" w:after="283"/>
              <w:jc w:val="center"/>
              <w:rPr/>
            </w:pPr>
            <w:r>
              <w:rPr/>
              <w:t>Base</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37" w:type="dxa"/>
            <w:tcBorders/>
            <w:shd w:fill="auto" w:val="clear"/>
            <w:vAlign w:val="bottom"/>
          </w:tcPr>
          <w:p>
            <w:pPr>
              <w:pStyle w:val="TableContents"/>
              <w:spacing w:before="0" w:after="283"/>
              <w:jc w:val="center"/>
              <w:rPr/>
            </w:pPr>
            <w:r>
              <w:rPr/>
              <w:t>June 14, 2019</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37" w:type="dxa"/>
            <w:tcBorders/>
            <w:shd w:fill="auto" w:val="clear"/>
            <w:vAlign w:val="bottom"/>
          </w:tcPr>
          <w:p>
            <w:pPr>
              <w:pStyle w:val="TableContents"/>
              <w:spacing w:before="0" w:after="283"/>
              <w:jc w:val="center"/>
              <w:rPr/>
            </w:pPr>
            <w:r>
              <w:rPr/>
              <w:t>July 15, 2019</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827" w:type="dxa"/>
            <w:tcBorders/>
            <w:shd w:fill="auto" w:val="clear"/>
            <w:vAlign w:val="bottom"/>
          </w:tcPr>
          <w:p>
            <w:pPr>
              <w:pStyle w:val="TableContents"/>
              <w:spacing w:before="0" w:after="283"/>
              <w:jc w:val="right"/>
              <w:rPr/>
            </w:pPr>
            <w:r>
              <w:rPr/>
              <w:t>0.39</w:t>
            </w:r>
          </w:p>
        </w:tc>
        <w:tc>
          <w:tcPr>
            <w:tcW w:w="67" w:type="dxa"/>
            <w:tcBorders/>
            <w:shd w:fill="auto" w:val="clear"/>
            <w:vAlign w:val="bottom"/>
          </w:tcPr>
          <w:p>
            <w:pPr>
              <w:pStyle w:val="TableContents"/>
              <w:spacing w:before="0" w:after="283"/>
              <w:rPr/>
            </w:pPr>
            <w:r>
              <w:rPr/>
              <w:t> </w:t>
            </w:r>
          </w:p>
        </w:tc>
      </w:tr>
      <w:tr>
        <w:trPr/>
        <w:tc>
          <w:tcPr>
            <w:tcW w:w="2716" w:type="dxa"/>
            <w:tcBorders/>
            <w:shd w:fill="CCEEFF" w:val="clear"/>
          </w:tcPr>
          <w:p>
            <w:pPr>
              <w:pStyle w:val="TableContents"/>
              <w:spacing w:before="0" w:after="0"/>
              <w:rPr>
                <w:rFonts w:ascii="Times New Roman" w:hAnsi="Times New Roman"/>
                <w:sz w:val="20"/>
              </w:rPr>
            </w:pPr>
            <w:r>
              <w:rPr>
                <w:rFonts w:ascii="Times New Roman" w:hAnsi="Times New Roman"/>
                <w:sz w:val="20"/>
              </w:rPr>
              <w:t>July 31, 2019</w:t>
            </w:r>
          </w:p>
        </w:tc>
        <w:tc>
          <w:tcPr>
            <w:tcW w:w="1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82" w:type="dxa"/>
            <w:tcBorders/>
            <w:shd w:fill="CCEEFF" w:val="clear"/>
            <w:vAlign w:val="bottom"/>
          </w:tcPr>
          <w:p>
            <w:pPr>
              <w:pStyle w:val="TableContents"/>
              <w:spacing w:before="0" w:after="283"/>
              <w:jc w:val="center"/>
              <w:rPr/>
            </w:pPr>
            <w:r>
              <w:rPr/>
              <w:t>Supplemental</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37" w:type="dxa"/>
            <w:tcBorders/>
            <w:shd w:fill="CCEEFF" w:val="clear"/>
            <w:vAlign w:val="bottom"/>
          </w:tcPr>
          <w:p>
            <w:pPr>
              <w:pStyle w:val="TableContents"/>
              <w:spacing w:before="0" w:after="283"/>
              <w:jc w:val="center"/>
              <w:rPr/>
            </w:pPr>
            <w:r>
              <w:rPr/>
              <w:t>August 30, 2019</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37" w:type="dxa"/>
            <w:tcBorders/>
            <w:shd w:fill="CCEEFF" w:val="clear"/>
            <w:vAlign w:val="bottom"/>
          </w:tcPr>
          <w:p>
            <w:pPr>
              <w:pStyle w:val="TableContents"/>
              <w:spacing w:before="0" w:after="283"/>
              <w:jc w:val="center"/>
              <w:rPr/>
            </w:pPr>
            <w:r>
              <w:rPr/>
              <w:t>September 30, 2019</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jc w:val="right"/>
              <w:rPr/>
            </w:pPr>
            <w:r>
              <w:rPr/>
              <w:t>0.04</w:t>
            </w:r>
          </w:p>
        </w:tc>
        <w:tc>
          <w:tcPr>
            <w:tcW w:w="67" w:type="dxa"/>
            <w:tcBorders/>
            <w:shd w:fill="CCEEFF" w:val="clear"/>
            <w:vAlign w:val="bottom"/>
          </w:tcPr>
          <w:p>
            <w:pPr>
              <w:pStyle w:val="TableContents"/>
              <w:spacing w:before="0" w:after="283"/>
              <w:rPr/>
            </w:pPr>
            <w:r>
              <w:rPr/>
              <w:t> </w:t>
            </w:r>
          </w:p>
        </w:tc>
      </w:tr>
      <w:tr>
        <w:trPr/>
        <w:tc>
          <w:tcPr>
            <w:tcW w:w="2716" w:type="dxa"/>
            <w:tcBorders/>
            <w:shd w:fill="auto" w:val="clear"/>
          </w:tcPr>
          <w:p>
            <w:pPr>
              <w:pStyle w:val="TableContents"/>
              <w:spacing w:before="0" w:after="0"/>
              <w:rPr>
                <w:rFonts w:ascii="Times New Roman" w:hAnsi="Times New Roman"/>
                <w:sz w:val="20"/>
              </w:rPr>
            </w:pPr>
            <w:r>
              <w:rPr>
                <w:rFonts w:ascii="Times New Roman" w:hAnsi="Times New Roman"/>
                <w:sz w:val="20"/>
              </w:rPr>
              <w:t>July 31, 2019</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2" w:type="dxa"/>
            <w:tcBorders/>
            <w:shd w:fill="auto" w:val="clear"/>
            <w:vAlign w:val="bottom"/>
          </w:tcPr>
          <w:p>
            <w:pPr>
              <w:pStyle w:val="TableContents"/>
              <w:spacing w:before="0" w:after="283"/>
              <w:jc w:val="center"/>
              <w:rPr/>
            </w:pPr>
            <w:r>
              <w:rPr/>
              <w:t>Base</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37" w:type="dxa"/>
            <w:tcBorders/>
            <w:shd w:fill="auto" w:val="clear"/>
            <w:vAlign w:val="bottom"/>
          </w:tcPr>
          <w:p>
            <w:pPr>
              <w:pStyle w:val="TableContents"/>
              <w:spacing w:before="0" w:after="283"/>
              <w:jc w:val="center"/>
              <w:rPr/>
            </w:pPr>
            <w:r>
              <w:rPr/>
              <w:t>September 13, 2019</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37" w:type="dxa"/>
            <w:tcBorders/>
            <w:shd w:fill="auto" w:val="clear"/>
            <w:vAlign w:val="bottom"/>
          </w:tcPr>
          <w:p>
            <w:pPr>
              <w:pStyle w:val="TableContents"/>
              <w:spacing w:before="0" w:after="283"/>
              <w:jc w:val="center"/>
              <w:rPr/>
            </w:pPr>
            <w:r>
              <w:rPr/>
              <w:t>October 15, 2019</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827" w:type="dxa"/>
            <w:tcBorders/>
            <w:shd w:fill="auto" w:val="clear"/>
            <w:vAlign w:val="bottom"/>
          </w:tcPr>
          <w:p>
            <w:pPr>
              <w:pStyle w:val="TableContents"/>
              <w:spacing w:before="0" w:after="283"/>
              <w:jc w:val="right"/>
              <w:rPr/>
            </w:pPr>
            <w:r>
              <w:rPr/>
              <w:t>0.39</w:t>
            </w:r>
          </w:p>
        </w:tc>
        <w:tc>
          <w:tcPr>
            <w:tcW w:w="67" w:type="dxa"/>
            <w:tcBorders/>
            <w:shd w:fill="auto" w:val="clear"/>
            <w:vAlign w:val="bottom"/>
          </w:tcPr>
          <w:p>
            <w:pPr>
              <w:pStyle w:val="TableContents"/>
              <w:spacing w:before="0" w:after="283"/>
              <w:rPr/>
            </w:pPr>
            <w:r>
              <w:rPr/>
              <w:t> </w:t>
            </w:r>
          </w:p>
        </w:tc>
      </w:tr>
      <w:tr>
        <w:trPr/>
        <w:tc>
          <w:tcPr>
            <w:tcW w:w="2716" w:type="dxa"/>
            <w:tcBorders/>
            <w:shd w:fill="CCEEFF" w:val="clear"/>
          </w:tcPr>
          <w:p>
            <w:pPr>
              <w:pStyle w:val="TableContents"/>
              <w:spacing w:before="0" w:after="0"/>
              <w:rPr>
                <w:rFonts w:ascii="Times New Roman" w:hAnsi="Times New Roman"/>
                <w:sz w:val="20"/>
              </w:rPr>
            </w:pPr>
            <w:r>
              <w:rPr>
                <w:rFonts w:ascii="Times New Roman" w:hAnsi="Times New Roman"/>
                <w:sz w:val="20"/>
              </w:rPr>
              <w:t>November 5, 2019</w:t>
            </w:r>
          </w:p>
        </w:tc>
        <w:tc>
          <w:tcPr>
            <w:tcW w:w="1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82" w:type="dxa"/>
            <w:tcBorders/>
            <w:shd w:fill="CCEEFF" w:val="clear"/>
            <w:vAlign w:val="bottom"/>
          </w:tcPr>
          <w:p>
            <w:pPr>
              <w:pStyle w:val="TableContents"/>
              <w:spacing w:before="0" w:after="283"/>
              <w:jc w:val="center"/>
              <w:rPr/>
            </w:pPr>
            <w:r>
              <w:rPr/>
              <w:t>Supplemental</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37" w:type="dxa"/>
            <w:tcBorders/>
            <w:shd w:fill="CCEEFF" w:val="clear"/>
            <w:vAlign w:val="bottom"/>
          </w:tcPr>
          <w:p>
            <w:pPr>
              <w:pStyle w:val="TableContents"/>
              <w:spacing w:before="0" w:after="283"/>
              <w:jc w:val="center"/>
              <w:rPr/>
            </w:pPr>
            <w:r>
              <w:rPr/>
              <w:t>November 29, 2019</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037" w:type="dxa"/>
            <w:tcBorders/>
            <w:shd w:fill="CCEEFF" w:val="clear"/>
            <w:vAlign w:val="bottom"/>
          </w:tcPr>
          <w:p>
            <w:pPr>
              <w:pStyle w:val="TableContents"/>
              <w:spacing w:before="0" w:after="283"/>
              <w:jc w:val="center"/>
              <w:rPr/>
            </w:pPr>
            <w:r>
              <w:rPr/>
              <w:t>December 31, 2019</w:t>
            </w:r>
          </w:p>
        </w:tc>
        <w:tc>
          <w:tcPr>
            <w:tcW w:w="60" w:type="dxa"/>
            <w:tcBorders/>
            <w:shd w:fill="CCEEFF" w:val="clear"/>
            <w:vAlign w:val="bottom"/>
          </w:tcPr>
          <w:p>
            <w:pPr>
              <w:pStyle w:val="TableContents"/>
              <w:spacing w:before="0" w:after="283"/>
              <w:rPr/>
            </w:pPr>
            <w:r>
              <w:rPr/>
              <w:t> </w:t>
            </w:r>
          </w:p>
        </w:tc>
        <w:tc>
          <w:tcPr>
            <w:tcW w:w="133"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 </w:t>
            </w:r>
          </w:p>
        </w:tc>
        <w:tc>
          <w:tcPr>
            <w:tcW w:w="827" w:type="dxa"/>
            <w:tcBorders/>
            <w:shd w:fill="CCEEFF" w:val="clear"/>
            <w:vAlign w:val="bottom"/>
          </w:tcPr>
          <w:p>
            <w:pPr>
              <w:pStyle w:val="TableContents"/>
              <w:spacing w:before="0" w:after="283"/>
              <w:jc w:val="right"/>
              <w:rPr/>
            </w:pPr>
            <w:r>
              <w:rPr/>
              <w:t>0.08</w:t>
            </w:r>
          </w:p>
        </w:tc>
        <w:tc>
          <w:tcPr>
            <w:tcW w:w="67" w:type="dxa"/>
            <w:tcBorders/>
            <w:shd w:fill="CCEEFF" w:val="clear"/>
            <w:vAlign w:val="bottom"/>
          </w:tcPr>
          <w:p>
            <w:pPr>
              <w:pStyle w:val="TableContents"/>
              <w:spacing w:before="0" w:after="283"/>
              <w:rPr/>
            </w:pPr>
            <w:r>
              <w:rPr/>
              <w:t> </w:t>
            </w:r>
          </w:p>
        </w:tc>
      </w:tr>
      <w:tr>
        <w:trPr/>
        <w:tc>
          <w:tcPr>
            <w:tcW w:w="2716" w:type="dxa"/>
            <w:tcBorders/>
            <w:shd w:fill="auto" w:val="clear"/>
          </w:tcPr>
          <w:p>
            <w:pPr>
              <w:pStyle w:val="TableContents"/>
              <w:spacing w:before="0" w:after="0"/>
              <w:rPr>
                <w:rFonts w:ascii="Times New Roman" w:hAnsi="Times New Roman"/>
                <w:sz w:val="20"/>
              </w:rPr>
            </w:pPr>
            <w:r>
              <w:rPr>
                <w:rFonts w:ascii="Times New Roman" w:hAnsi="Times New Roman"/>
                <w:sz w:val="20"/>
              </w:rPr>
              <w:t>November 5, 2019</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82" w:type="dxa"/>
            <w:tcBorders/>
            <w:shd w:fill="auto" w:val="clear"/>
            <w:vAlign w:val="bottom"/>
          </w:tcPr>
          <w:p>
            <w:pPr>
              <w:pStyle w:val="TableContents"/>
              <w:spacing w:before="0" w:after="283"/>
              <w:jc w:val="center"/>
              <w:rPr/>
            </w:pPr>
            <w:r>
              <w:rPr/>
              <w:t>Base</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37" w:type="dxa"/>
            <w:tcBorders/>
            <w:shd w:fill="auto" w:val="clear"/>
            <w:vAlign w:val="bottom"/>
          </w:tcPr>
          <w:p>
            <w:pPr>
              <w:pStyle w:val="TableContents"/>
              <w:spacing w:before="0" w:after="283"/>
              <w:jc w:val="center"/>
              <w:rPr/>
            </w:pPr>
            <w:r>
              <w:rPr/>
              <w:t>December 13, 2019</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037" w:type="dxa"/>
            <w:tcBorders/>
            <w:shd w:fill="auto" w:val="clear"/>
            <w:vAlign w:val="bottom"/>
          </w:tcPr>
          <w:p>
            <w:pPr>
              <w:pStyle w:val="TableContents"/>
              <w:spacing w:before="0" w:after="283"/>
              <w:jc w:val="center"/>
              <w:rPr/>
            </w:pPr>
            <w:r>
              <w:rPr/>
              <w:t>January 15, 2020</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spacing w:before="0" w:after="283"/>
              <w:rPr/>
            </w:pPr>
            <w:r>
              <w:rPr/>
              <w:t> </w:t>
            </w:r>
          </w:p>
        </w:tc>
        <w:tc>
          <w:tcPr>
            <w:tcW w:w="827" w:type="dxa"/>
            <w:tcBorders/>
            <w:shd w:fill="auto" w:val="clear"/>
            <w:vAlign w:val="bottom"/>
          </w:tcPr>
          <w:p>
            <w:pPr>
              <w:pStyle w:val="TableContents"/>
              <w:spacing w:before="0" w:after="283"/>
              <w:jc w:val="right"/>
              <w:rPr/>
            </w:pPr>
            <w:r>
              <w:rPr/>
              <w:t>0.39</w:t>
            </w:r>
          </w:p>
        </w:tc>
        <w:tc>
          <w:tcPr>
            <w:tcW w:w="67" w:type="dxa"/>
            <w:tcBorders/>
            <w:shd w:fill="auto" w:val="clear"/>
            <w:vAlign w:val="bottom"/>
          </w:tcPr>
          <w:p>
            <w:pPr>
              <w:pStyle w:val="TableContents"/>
              <w:spacing w:before="0" w:after="283"/>
              <w:rPr/>
            </w:pPr>
            <w:r>
              <w:rPr/>
              <w:t> </w:t>
            </w:r>
          </w:p>
        </w:tc>
      </w:tr>
      <w:tr>
        <w:trPr/>
        <w:tc>
          <w:tcPr>
            <w:tcW w:w="2716"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38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3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3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pBdr>
                <w:top w:val="single" w:sz="2" w:space="1" w:color="000000"/>
              </w:pBdr>
              <w:spacing w:before="0" w:after="0"/>
              <w:rPr/>
            </w:pPr>
            <w:r>
              <w:rPr/>
              <w:t> </w:t>
            </w:r>
          </w:p>
        </w:tc>
        <w:tc>
          <w:tcPr>
            <w:tcW w:w="827" w:type="dxa"/>
            <w:tcBorders/>
            <w:shd w:fill="auto" w:val="clear"/>
            <w:vAlign w:val="bottom"/>
          </w:tcPr>
          <w:p>
            <w:pPr>
              <w:pStyle w:val="TableContents"/>
              <w:pBdr>
                <w:top w:val="single" w:sz="2" w:space="1" w:color="000000"/>
              </w:pBdr>
              <w:spacing w:before="0" w:after="0"/>
              <w:rPr/>
            </w:pPr>
            <w:r>
              <w:rPr/>
              <w:t> </w:t>
            </w:r>
          </w:p>
        </w:tc>
        <w:tc>
          <w:tcPr>
            <w:tcW w:w="67" w:type="dxa"/>
            <w:tcBorders/>
            <w:shd w:fill="auto" w:val="clear"/>
            <w:vAlign w:val="center"/>
          </w:tcPr>
          <w:p>
            <w:pPr>
              <w:pStyle w:val="TableContents"/>
              <w:spacing w:before="0" w:after="283"/>
              <w:rPr/>
            </w:pPr>
            <w:r>
              <w:rPr/>
              <w:t> </w:t>
            </w:r>
          </w:p>
        </w:tc>
      </w:tr>
      <w:tr>
        <w:trPr/>
        <w:tc>
          <w:tcPr>
            <w:tcW w:w="2716" w:type="dxa"/>
            <w:tcBorders/>
            <w:shd w:fill="CCEEFF" w:val="clear"/>
          </w:tcPr>
          <w:p>
            <w:pPr>
              <w:pStyle w:val="TableContents"/>
              <w:spacing w:before="0" w:after="0"/>
              <w:rPr>
                <w:rFonts w:ascii="Times New Roman" w:hAnsi="Times New Roman"/>
                <w:b/>
                <w:sz w:val="20"/>
              </w:rPr>
            </w:pPr>
            <w:r>
              <w:rPr>
                <w:rFonts w:ascii="Times New Roman" w:hAnsi="Times New Roman"/>
                <w:b/>
                <w:sz w:val="20"/>
              </w:rPr>
              <w:t>Total Dividends Declared</w:t>
            </w:r>
          </w:p>
        </w:tc>
        <w:tc>
          <w:tcPr>
            <w:tcW w:w="1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1382"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3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sz w:val="4"/>
                <w:szCs w:val="4"/>
              </w:rPr>
            </w:pPr>
            <w:r>
              <w:rPr>
                <w:sz w:val="4"/>
                <w:szCs w:val="4"/>
              </w:rPr>
            </w:r>
          </w:p>
        </w:tc>
        <w:tc>
          <w:tcPr>
            <w:tcW w:w="203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133" w:type="dxa"/>
            <w:tcBorders/>
            <w:shd w:fill="CCEEFF" w:val="clear"/>
            <w:vAlign w:val="bottom"/>
          </w:tcPr>
          <w:p>
            <w:pPr>
              <w:pStyle w:val="TableContents"/>
              <w:spacing w:before="0" w:after="283"/>
              <w:rPr/>
            </w:pPr>
            <w:r>
              <w:rPr/>
              <w:t>  </w:t>
            </w:r>
          </w:p>
        </w:tc>
        <w:tc>
          <w:tcPr>
            <w:tcW w:w="247" w:type="dxa"/>
            <w:tcBorders/>
            <w:shd w:fill="CCEEFF" w:val="clear"/>
            <w:vAlign w:val="bottom"/>
          </w:tcPr>
          <w:p>
            <w:pPr>
              <w:pStyle w:val="TableContents"/>
              <w:spacing w:before="0" w:after="283"/>
              <w:rPr/>
            </w:pPr>
            <w:r>
              <w:rPr/>
              <w:t>$</w:t>
            </w:r>
          </w:p>
        </w:tc>
        <w:tc>
          <w:tcPr>
            <w:tcW w:w="827" w:type="dxa"/>
            <w:tcBorders/>
            <w:shd w:fill="CCEEFF" w:val="clear"/>
            <w:vAlign w:val="bottom"/>
          </w:tcPr>
          <w:p>
            <w:pPr>
              <w:pStyle w:val="TableContents"/>
              <w:spacing w:before="0" w:after="283"/>
              <w:jc w:val="right"/>
              <w:rPr/>
            </w:pPr>
            <w:r>
              <w:rPr/>
              <w:t>1.81</w:t>
            </w:r>
          </w:p>
        </w:tc>
        <w:tc>
          <w:tcPr>
            <w:tcW w:w="67" w:type="dxa"/>
            <w:tcBorders/>
            <w:shd w:fill="CCEEFF" w:val="clear"/>
            <w:vAlign w:val="bottom"/>
          </w:tcPr>
          <w:p>
            <w:pPr>
              <w:pStyle w:val="TableContents"/>
              <w:spacing w:before="0" w:after="283"/>
              <w:rPr/>
            </w:pPr>
            <w:r>
              <w:rPr/>
              <w:t> </w:t>
            </w:r>
          </w:p>
        </w:tc>
      </w:tr>
      <w:tr>
        <w:trPr/>
        <w:tc>
          <w:tcPr>
            <w:tcW w:w="2716"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382"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3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203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bottom"/>
          </w:tcPr>
          <w:p>
            <w:pPr>
              <w:pStyle w:val="TableContents"/>
              <w:spacing w:before="0" w:after="283"/>
              <w:rPr/>
            </w:pPr>
            <w:r>
              <w:rPr/>
              <w:t>  </w:t>
            </w:r>
          </w:p>
        </w:tc>
        <w:tc>
          <w:tcPr>
            <w:tcW w:w="247" w:type="dxa"/>
            <w:tcBorders/>
            <w:shd w:fill="auto" w:val="clear"/>
            <w:vAlign w:val="bottom"/>
          </w:tcPr>
          <w:p>
            <w:pPr>
              <w:pStyle w:val="TableContents"/>
              <w:pBdr>
                <w:top w:val="double" w:sz="6" w:space="1" w:color="000000"/>
              </w:pBdr>
              <w:spacing w:before="0" w:after="0"/>
              <w:rPr/>
            </w:pPr>
            <w:r>
              <w:rPr/>
              <w:t> </w:t>
            </w:r>
          </w:p>
        </w:tc>
        <w:tc>
          <w:tcPr>
            <w:tcW w:w="827" w:type="dxa"/>
            <w:tcBorders/>
            <w:shd w:fill="auto" w:val="clear"/>
            <w:vAlign w:val="bottom"/>
          </w:tcPr>
          <w:p>
            <w:pPr>
              <w:pStyle w:val="TableContents"/>
              <w:pBdr>
                <w:top w:val="double" w:sz="6" w:space="1" w:color="000000"/>
              </w:pBdr>
              <w:spacing w:before="0" w:after="0"/>
              <w:rPr/>
            </w:pPr>
            <w:r>
              <w:rPr/>
              <w:t> </w:t>
            </w:r>
          </w:p>
        </w:tc>
        <w:tc>
          <w:tcPr>
            <w:tcW w:w="67"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dividends declared during the nine months ended September 30, 2022 were derived from net investment income, determined on a tax basis. The dividends declared during the years ended December 31, 2021, 2020 and 2019 were derived from net investment income and net realized capital gains, determined on a tax basis. </w:t>
      </w:r>
    </w:p>
    <w:p>
      <w:pPr>
        <w:pStyle w:val="TextBody"/>
        <w:spacing w:before="240" w:after="0"/>
        <w:rPr>
          <w:rFonts w:ascii="Times New Roman" w:hAnsi="Times New Roman"/>
          <w:sz w:val="20"/>
        </w:rPr>
      </w:pPr>
      <w:r>
        <w:rPr>
          <w:rFonts w:ascii="Times New Roman" w:hAnsi="Times New Roman"/>
          <w:sz w:val="20"/>
        </w:rPr>
        <w:t xml:space="preserve">To the extent that the amounts distributed by us are in excess of our current and accumulated earnings and profits, such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 The specific tax characteristics of the dividend will be reported to stockholders after the end of the calendar year. </w:t>
      </w:r>
    </w:p>
    <w:p>
      <w:pPr>
        <w:pStyle w:val="TextBody"/>
        <w:spacing w:before="240" w:after="0"/>
        <w:rPr>
          <w:rFonts w:ascii="Times New Roman" w:hAnsi="Times New Roman"/>
          <w:sz w:val="20"/>
        </w:rPr>
      </w:pPr>
      <w:r>
        <w:rPr>
          <w:rFonts w:ascii="Times New Roman" w:hAnsi="Times New Roman"/>
          <w:sz w:val="20"/>
        </w:rPr>
        <w:t xml:space="preserve">To be treated as a regulated investment company, or a RIC, for U.S. federal income tax purposes and therefore to avoid being subject to corporate-level U.S. federal income taxation of our earnings, we must distribute (or be treated as distributing) in each taxable year dividends for tax purposes equal to at least 90% of our investment company taxable income (as defined by the Code) and 90% of our net tax-exempt income to our stockholders in that taxable year. In addition, we generally will be subject to a nondeductible U.S. federal excise tax equal to 4% of the amount by which our distributions for a calendar year are less than the sum of: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98% of our net ordinary income, excluding certain ordinary gains and losses, recognized during such calendar year;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98.2% of our capital gain net income, adjusted for certain ordinary gains and losses, recognized for the twelve-month period ending on October 31 of such calendar year;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100% of income or gains recognized, but not distributed, in preceding years. </w:t>
            </w:r>
          </w:p>
        </w:tc>
      </w:tr>
    </w:tbl>
    <w:p>
      <w:pPr>
        <w:pStyle w:val="TextBody"/>
        <w:spacing w:before="240" w:after="0"/>
        <w:rPr>
          <w:rFonts w:ascii="Times New Roman" w:hAnsi="Times New Roman"/>
          <w:sz w:val="20"/>
        </w:rPr>
      </w:pPr>
      <w:r>
        <w:rPr>
          <w:rFonts w:ascii="Times New Roman" w:hAnsi="Times New Roman"/>
          <w:sz w:val="20"/>
        </w:rPr>
        <w:t xml:space="preserve">For these purposes, we will be deemed to have distributed any net ordinary taxable income or capital gain net income on which we have paid U.S. federal income tax. Depending on the level of taxable income earned in a calendar year, we may choose to carry forward taxable income for distribution in the following calendar year, and pay any applicable U.S. federal excise tax. We elected to retain a portion of income and capital gains for the nine months ended September 30, 2022 and for calendar years ended December 31, 2021 and 2020 for purposes of additional liquidity and we recorded a net expense of $1.5 million for the nine months ended September 30, 2022 and $0.7 million and $5.8 million for the years ended December 31, 2021 and December 31, 2020, respectively, for U.S. federal excise tax as a result. We cannot assure you that we will achieve results that will permit the payment of any dividends. See Risk FactorsRisks Related to Our Business and StructureWe will be subject to corporate-level U.S. federal income tax if we are unable to maintain our qualification as a RIC under Subchapter M of the Code, including as a result of our failure to satisfy the RIC distribution requirements in Part I, Item 1A of our 2021 Annual Report. </w:t>
      </w:r>
    </w:p>
    <w:p>
      <w:pPr>
        <w:pStyle w:val="TextBody"/>
        <w:spacing w:before="240" w:after="0"/>
        <w:rPr>
          <w:rFonts w:ascii="Times New Roman" w:hAnsi="Times New Roman"/>
          <w:sz w:val="20"/>
        </w:rPr>
      </w:pPr>
      <w:r>
        <w:rPr>
          <w:rFonts w:ascii="Times New Roman" w:hAnsi="Times New Roman"/>
          <w:sz w:val="20"/>
        </w:rPr>
        <w:t xml:space="preserve">We also intend to distribute net capital gains (that is, net long-term capital gains in excess of net short-term capital losses), if any, at least annually out of the assets legally available for such distributions. However, we may decide in the future to retain such net capital gains for investment and elect to treat such gains as deemed distributions to our stockholders. If this happens, our stockholders will be treated for U.S. federal income tax purposes as if they had received an actual distribution of the net capital gains that we retain and they reinvested the net after-tax proceeds in us. In this situation, our stockholders would be eligible to claim a tax credit (or, in certain circumstances, a tax refund) equal to their allocable share of the tax we paid on the capital gains deemed distributed to them. See Material U.S. Federal Income Tax Considerations. We cannot assure you that we will achieve results that will permit us to pay any cash dividends or that we will not be limited in our ability to pay dividends under the asset coverage test applicable to us under the 1940 Act. </w:t>
      </w:r>
    </w:p>
    <w:p>
      <w:pPr>
        <w:pStyle w:val="TextBody"/>
        <w:spacing w:before="240" w:after="0"/>
        <w:rPr>
          <w:rFonts w:ascii="Times New Roman" w:hAnsi="Times New Roman"/>
          <w:sz w:val="20"/>
        </w:rPr>
      </w:pPr>
      <w:r>
        <w:rPr>
          <w:rFonts w:ascii="Times New Roman" w:hAnsi="Times New Roman"/>
          <w:sz w:val="20"/>
        </w:rPr>
        <w:t xml:space="preserve">Unless our common stockholders elect to receive their dividends in cash, we intend to make such distributions in additional shares of our common stock under our dividend reinvestment plan. See Dividend Reinvestment Plan.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1" w:name="rom451583_12"/>
      <w:bookmarkEnd w:id="21"/>
      <w:r>
        <w:rPr>
          <w:rFonts w:ascii="Times New Roman" w:hAnsi="Times New Roman"/>
          <w:b/>
          <w:sz w:val="20"/>
        </w:rPr>
        <w:t xml:space="preserve">SENIOR SECURITIES </w:t>
      </w:r>
    </w:p>
    <w:p>
      <w:pPr>
        <w:pStyle w:val="TextBody"/>
        <w:spacing w:before="240" w:after="0"/>
        <w:rPr>
          <w:rFonts w:ascii="Times New Roman" w:hAnsi="Times New Roman"/>
          <w:sz w:val="20"/>
        </w:rPr>
      </w:pPr>
      <w:r>
        <w:rPr>
          <w:rFonts w:ascii="Times New Roman" w:hAnsi="Times New Roman"/>
          <w:sz w:val="20"/>
        </w:rPr>
        <w:t xml:space="preserve">Information about our senior securities as of the last ten fiscal years ended December 31, 2021 and as of the unaudited fiscal period ended September 30, 2022 is shown in the following table. The report of our independent registered public accounting firm, KPMG LLP, on the senior securities table as of December 31, 2021 is included in our 2021 Annual Report and is incorporated by reference to the registration statement of which this prospectus is a part.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2797"/>
        <w:gridCol w:w="280"/>
        <w:gridCol w:w="292"/>
        <w:gridCol w:w="1177"/>
        <w:gridCol w:w="60"/>
        <w:gridCol w:w="280"/>
        <w:gridCol w:w="253"/>
        <w:gridCol w:w="1345"/>
        <w:gridCol w:w="60"/>
        <w:gridCol w:w="280"/>
        <w:gridCol w:w="195"/>
        <w:gridCol w:w="1054"/>
        <w:gridCol w:w="60"/>
        <w:gridCol w:w="280"/>
        <w:gridCol w:w="204"/>
        <w:gridCol w:w="1520"/>
        <w:gridCol w:w="68"/>
      </w:tblGrid>
      <w:tr>
        <w:trPr/>
        <w:tc>
          <w:tcPr>
            <w:tcW w:w="2797"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bottom"/>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13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bottom"/>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520"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r>
      <w:tr>
        <w:trPr/>
        <w:tc>
          <w:tcPr>
            <w:tcW w:w="2797" w:type="dxa"/>
            <w:tcBorders/>
            <w:shd w:fill="auto" w:val="clear"/>
            <w:vAlign w:val="bottom"/>
          </w:tcPr>
          <w:p>
            <w:pPr>
              <w:pStyle w:val="TableContents"/>
              <w:spacing w:before="0" w:after="283"/>
              <w:rPr>
                <w:b/>
              </w:rPr>
            </w:pPr>
            <w:r>
              <w:rPr>
                <w:b/>
              </w:rPr>
              <w:t>Class and Year/Period</w:t>
            </w:r>
          </w:p>
        </w:tc>
        <w:tc>
          <w:tcPr>
            <w:tcW w:w="280" w:type="dxa"/>
            <w:tcBorders/>
            <w:shd w:fill="auto" w:val="clear"/>
            <w:vAlign w:val="bottom"/>
          </w:tcPr>
          <w:p>
            <w:pPr>
              <w:pStyle w:val="TableContents"/>
              <w:spacing w:before="0" w:after="283"/>
              <w:rPr/>
            </w:pPr>
            <w:r>
              <w:rPr/>
              <w:t>  </w:t>
            </w:r>
          </w:p>
        </w:tc>
        <w:tc>
          <w:tcPr>
            <w:tcW w:w="146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 Amount</w:t>
              <w:br/>
              <w:t>Outstanding</w:t>
              <w:br/>
              <w:t>Exclusive of</w:t>
              <w:br/>
              <w:t>Treasury</w:t>
              <w:br/>
              <w:t>Securities(1)</w:t>
              <w:br/>
              <w:t>($ in millions)</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59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Asset Coverage</w:t>
              <w:br/>
              <w:t>Per Unit(2)</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24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Involuntary</w:t>
              <w:br/>
              <w:t>Liquidating</w:t>
              <w:br/>
              <w:t>Preference</w:t>
              <w:br/>
              <w:t>Per Unit(3)</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72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Average Market</w:t>
              <w:br/>
              <w:t>Value Per Unit(4)</w:t>
            </w:r>
          </w:p>
        </w:tc>
        <w:tc>
          <w:tcPr>
            <w:tcW w:w="68" w:type="dxa"/>
            <w:tcBorders/>
            <w:shd w:fill="auto" w:val="clear"/>
            <w:vAlign w:val="bottom"/>
          </w:tcPr>
          <w:p>
            <w:pPr>
              <w:pStyle w:val="TableContents"/>
              <w:spacing w:before="0" w:after="283"/>
              <w:rPr/>
            </w:pPr>
            <w:r>
              <w:rPr/>
              <w:t> </w:t>
            </w:r>
          </w:p>
        </w:tc>
      </w:tr>
      <w:tr>
        <w:trPr/>
        <w:tc>
          <w:tcPr>
            <w:tcW w:w="2797" w:type="dxa"/>
            <w:tcBorders/>
            <w:shd w:fill="CCEEFF" w:val="clear"/>
          </w:tcPr>
          <w:p>
            <w:pPr>
              <w:pStyle w:val="TableContents"/>
              <w:spacing w:before="0" w:after="0"/>
              <w:rPr>
                <w:rFonts w:ascii="Times New Roman" w:hAnsi="Times New Roman"/>
                <w:b/>
                <w:sz w:val="20"/>
              </w:rPr>
            </w:pPr>
            <w:r>
              <w:rPr>
                <w:rFonts w:ascii="Times New Roman" w:hAnsi="Times New Roman"/>
                <w:b/>
                <w:sz w:val="20"/>
              </w:rPr>
              <w:t>Credit Facilities</w:t>
            </w:r>
          </w:p>
        </w:tc>
        <w:tc>
          <w:tcPr>
            <w:tcW w:w="28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sz w:val="4"/>
                <w:szCs w:val="4"/>
              </w:rPr>
            </w:pPr>
            <w:r>
              <w:rPr>
                <w:sz w:val="4"/>
                <w:szCs w:val="4"/>
              </w:rPr>
            </w:r>
          </w:p>
        </w:tc>
        <w:tc>
          <w:tcPr>
            <w:tcW w:w="117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8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sz w:val="4"/>
                <w:szCs w:val="4"/>
              </w:rPr>
            </w:pPr>
            <w:r>
              <w:rPr>
                <w:sz w:val="4"/>
                <w:szCs w:val="4"/>
              </w:rPr>
            </w:r>
          </w:p>
        </w:tc>
        <w:tc>
          <w:tcPr>
            <w:tcW w:w="134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8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sz w:val="4"/>
                <w:szCs w:val="4"/>
              </w:rPr>
            </w:pPr>
            <w:r>
              <w:rPr>
                <w:sz w:val="4"/>
                <w:szCs w:val="4"/>
              </w:rPr>
            </w:r>
          </w:p>
        </w:tc>
        <w:tc>
          <w:tcPr>
            <w:tcW w:w="105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8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sz w:val="4"/>
                <w:szCs w:val="4"/>
              </w:rPr>
            </w:pPr>
            <w:r>
              <w:rPr>
                <w:sz w:val="4"/>
                <w:szCs w:val="4"/>
              </w:rPr>
            </w:r>
          </w:p>
        </w:tc>
        <w:tc>
          <w:tcPr>
            <w:tcW w:w="1520" w:type="dxa"/>
            <w:tcBorders/>
            <w:shd w:fill="CCEEFF" w:val="clear"/>
            <w:vAlign w:val="bottom"/>
          </w:tcPr>
          <w:p>
            <w:pPr>
              <w:pStyle w:val="TableContents"/>
              <w:spacing w:before="0" w:after="283"/>
              <w:rPr>
                <w:sz w:val="4"/>
                <w:szCs w:val="4"/>
              </w:rPr>
            </w:pPr>
            <w:r>
              <w:rPr>
                <w:sz w:val="4"/>
                <w:szCs w:val="4"/>
              </w:rPr>
            </w:r>
          </w:p>
        </w:tc>
        <w:tc>
          <w:tcPr>
            <w:tcW w:w="68" w:type="dxa"/>
            <w:tcBorders/>
            <w:shd w:fill="CCEEFF" w:val="clear"/>
            <w:vAlign w:val="bottom"/>
          </w:tcPr>
          <w:p>
            <w:pPr>
              <w:pStyle w:val="TableContents"/>
              <w:spacing w:before="0" w:after="283"/>
              <w:rPr>
                <w:sz w:val="4"/>
                <w:szCs w:val="4"/>
              </w:rPr>
            </w:pPr>
            <w:r>
              <w:rPr>
                <w:sz w:val="4"/>
                <w:szCs w:val="4"/>
              </w:rPr>
            </w:r>
          </w:p>
        </w:tc>
      </w:tr>
      <w:tr>
        <w:trPr/>
        <w:tc>
          <w:tcPr>
            <w:tcW w:w="2797" w:type="dxa"/>
            <w:tcBorders/>
            <w:shd w:fill="auto" w:val="clear"/>
          </w:tcPr>
          <w:p>
            <w:pPr>
              <w:pStyle w:val="TableContents"/>
              <w:spacing w:before="0" w:after="0"/>
              <w:rPr>
                <w:rFonts w:ascii="Times New Roman" w:hAnsi="Times New Roman"/>
                <w:sz w:val="20"/>
              </w:rPr>
            </w:pPr>
            <w:r>
              <w:rPr>
                <w:rFonts w:ascii="Times New Roman" w:hAnsi="Times New Roman"/>
                <w:sz w:val="20"/>
              </w:rPr>
              <w:t>December 31, 2022 (as of September 30, 2022 Unaudited)</w:t>
            </w:r>
          </w:p>
        </w:tc>
        <w:tc>
          <w:tcPr>
            <w:tcW w:w="28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w:t>
            </w:r>
          </w:p>
        </w:tc>
        <w:tc>
          <w:tcPr>
            <w:tcW w:w="1177" w:type="dxa"/>
            <w:tcBorders/>
            <w:shd w:fill="auto" w:val="clear"/>
            <w:vAlign w:val="bottom"/>
          </w:tcPr>
          <w:p>
            <w:pPr>
              <w:pStyle w:val="TableContents"/>
              <w:spacing w:before="0" w:after="283"/>
              <w:jc w:val="right"/>
              <w:rPr/>
            </w:pPr>
            <w:r>
              <w:rPr/>
              <w:t>739.3</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w:t>
            </w:r>
          </w:p>
        </w:tc>
        <w:tc>
          <w:tcPr>
            <w:tcW w:w="1345" w:type="dxa"/>
            <w:tcBorders/>
            <w:shd w:fill="auto" w:val="clear"/>
            <w:vAlign w:val="bottom"/>
          </w:tcPr>
          <w:p>
            <w:pPr>
              <w:pStyle w:val="TableContents"/>
              <w:spacing w:before="0" w:after="283"/>
              <w:jc w:val="right"/>
              <w:rPr/>
            </w:pPr>
            <w:r>
              <w:rPr/>
              <w:t>1,865.5</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N/A</w:t>
            </w:r>
          </w:p>
        </w:tc>
        <w:tc>
          <w:tcPr>
            <w:tcW w:w="68" w:type="dxa"/>
            <w:tcBorders/>
            <w:shd w:fill="auto" w:val="clear"/>
            <w:vAlign w:val="bottom"/>
          </w:tcPr>
          <w:p>
            <w:pPr>
              <w:pStyle w:val="TableContents"/>
              <w:spacing w:before="0" w:after="283"/>
              <w:rPr/>
            </w:pPr>
            <w:r>
              <w:rPr/>
              <w:t> </w:t>
            </w:r>
          </w:p>
        </w:tc>
      </w:tr>
      <w:tr>
        <w:trPr/>
        <w:tc>
          <w:tcPr>
            <w:tcW w:w="2797" w:type="dxa"/>
            <w:tcBorders/>
            <w:shd w:fill="CCEEFF" w:val="clear"/>
          </w:tcPr>
          <w:p>
            <w:pPr>
              <w:pStyle w:val="TableContents"/>
              <w:spacing w:before="0" w:after="0"/>
              <w:rPr>
                <w:rFonts w:ascii="Times New Roman" w:hAnsi="Times New Roman"/>
                <w:sz w:val="20"/>
              </w:rPr>
            </w:pPr>
            <w:r>
              <w:rPr>
                <w:rFonts w:ascii="Times New Roman" w:hAnsi="Times New Roman"/>
                <w:sz w:val="20"/>
              </w:rPr>
              <w:t>December 31, 2021</w:t>
            </w:r>
          </w:p>
        </w:tc>
        <w:tc>
          <w:tcPr>
            <w:tcW w:w="28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w:t>
            </w:r>
          </w:p>
        </w:tc>
        <w:tc>
          <w:tcPr>
            <w:tcW w:w="1177" w:type="dxa"/>
            <w:tcBorders/>
            <w:shd w:fill="CCEEFF" w:val="clear"/>
            <w:vAlign w:val="bottom"/>
          </w:tcPr>
          <w:p>
            <w:pPr>
              <w:pStyle w:val="TableContents"/>
              <w:spacing w:before="0" w:after="283"/>
              <w:jc w:val="right"/>
              <w:rPr/>
            </w:pPr>
            <w:r>
              <w:rPr/>
              <w:t>316.4</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w:t>
            </w:r>
          </w:p>
        </w:tc>
        <w:tc>
          <w:tcPr>
            <w:tcW w:w="1345" w:type="dxa"/>
            <w:tcBorders/>
            <w:shd w:fill="CCEEFF" w:val="clear"/>
            <w:vAlign w:val="bottom"/>
          </w:tcPr>
          <w:p>
            <w:pPr>
              <w:pStyle w:val="TableContents"/>
              <w:spacing w:before="0" w:after="283"/>
              <w:jc w:val="right"/>
              <w:rPr/>
            </w:pPr>
            <w:r>
              <w:rPr/>
              <w:t>2,053.6</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520" w:type="dxa"/>
            <w:tcBorders/>
            <w:shd w:fill="CCEEFF" w:val="clear"/>
            <w:vAlign w:val="bottom"/>
          </w:tcPr>
          <w:p>
            <w:pPr>
              <w:pStyle w:val="TableContents"/>
              <w:spacing w:before="0" w:after="283"/>
              <w:jc w:val="center"/>
              <w:rPr/>
            </w:pPr>
            <w:r>
              <w:rPr/>
              <w:t>N/A</w:t>
            </w:r>
          </w:p>
        </w:tc>
        <w:tc>
          <w:tcPr>
            <w:tcW w:w="68" w:type="dxa"/>
            <w:tcBorders/>
            <w:shd w:fill="CCEEFF" w:val="clear"/>
            <w:vAlign w:val="bottom"/>
          </w:tcPr>
          <w:p>
            <w:pPr>
              <w:pStyle w:val="TableContents"/>
              <w:spacing w:before="0" w:after="283"/>
              <w:rPr/>
            </w:pPr>
            <w:r>
              <w:rPr/>
              <w:t> </w:t>
            </w:r>
          </w:p>
        </w:tc>
      </w:tr>
      <w:tr>
        <w:trPr/>
        <w:tc>
          <w:tcPr>
            <w:tcW w:w="2797" w:type="dxa"/>
            <w:tcBorders/>
            <w:shd w:fill="auto" w:val="clear"/>
          </w:tcPr>
          <w:p>
            <w:pPr>
              <w:pStyle w:val="TableContents"/>
              <w:spacing w:before="0" w:after="0"/>
              <w:rPr>
                <w:rFonts w:ascii="Times New Roman" w:hAnsi="Times New Roman"/>
                <w:sz w:val="20"/>
              </w:rPr>
            </w:pPr>
            <w:r>
              <w:rPr>
                <w:rFonts w:ascii="Times New Roman" w:hAnsi="Times New Roman"/>
                <w:sz w:val="20"/>
              </w:rPr>
              <w:t>December 31, 2020</w:t>
            </w:r>
          </w:p>
        </w:tc>
        <w:tc>
          <w:tcPr>
            <w:tcW w:w="28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w:t>
            </w:r>
          </w:p>
        </w:tc>
        <w:tc>
          <w:tcPr>
            <w:tcW w:w="1177" w:type="dxa"/>
            <w:tcBorders/>
            <w:shd w:fill="auto" w:val="clear"/>
            <w:vAlign w:val="bottom"/>
          </w:tcPr>
          <w:p>
            <w:pPr>
              <w:pStyle w:val="TableContents"/>
              <w:spacing w:before="0" w:after="283"/>
              <w:jc w:val="right"/>
              <w:rPr/>
            </w:pPr>
            <w:r>
              <w:rPr/>
              <w:t>472.3</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w:t>
            </w:r>
          </w:p>
        </w:tc>
        <w:tc>
          <w:tcPr>
            <w:tcW w:w="1345" w:type="dxa"/>
            <w:tcBorders/>
            <w:shd w:fill="auto" w:val="clear"/>
            <w:vAlign w:val="bottom"/>
          </w:tcPr>
          <w:p>
            <w:pPr>
              <w:pStyle w:val="TableContents"/>
              <w:spacing w:before="0" w:after="283"/>
              <w:jc w:val="right"/>
              <w:rPr/>
            </w:pPr>
            <w:r>
              <w:rPr/>
              <w:t>2,045.4</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N/A</w:t>
            </w:r>
          </w:p>
        </w:tc>
        <w:tc>
          <w:tcPr>
            <w:tcW w:w="68" w:type="dxa"/>
            <w:tcBorders/>
            <w:shd w:fill="auto" w:val="clear"/>
            <w:vAlign w:val="bottom"/>
          </w:tcPr>
          <w:p>
            <w:pPr>
              <w:pStyle w:val="TableContents"/>
              <w:spacing w:before="0" w:after="283"/>
              <w:rPr/>
            </w:pPr>
            <w:r>
              <w:rPr/>
              <w:t> </w:t>
            </w:r>
          </w:p>
        </w:tc>
      </w:tr>
      <w:tr>
        <w:trPr/>
        <w:tc>
          <w:tcPr>
            <w:tcW w:w="2797" w:type="dxa"/>
            <w:tcBorders/>
            <w:shd w:fill="CCEEFF" w:val="clear"/>
          </w:tcPr>
          <w:p>
            <w:pPr>
              <w:pStyle w:val="TableContents"/>
              <w:spacing w:before="0" w:after="0"/>
              <w:rPr>
                <w:rFonts w:ascii="Times New Roman" w:hAnsi="Times New Roman"/>
                <w:sz w:val="20"/>
              </w:rPr>
            </w:pPr>
            <w:r>
              <w:rPr>
                <w:rFonts w:ascii="Times New Roman" w:hAnsi="Times New Roman"/>
                <w:sz w:val="20"/>
              </w:rPr>
              <w:t>December 31, 2019</w:t>
            </w:r>
          </w:p>
        </w:tc>
        <w:tc>
          <w:tcPr>
            <w:tcW w:w="28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w:t>
            </w:r>
          </w:p>
        </w:tc>
        <w:tc>
          <w:tcPr>
            <w:tcW w:w="1177" w:type="dxa"/>
            <w:tcBorders/>
            <w:shd w:fill="CCEEFF" w:val="clear"/>
            <w:vAlign w:val="bottom"/>
          </w:tcPr>
          <w:p>
            <w:pPr>
              <w:pStyle w:val="TableContents"/>
              <w:spacing w:before="0" w:after="283"/>
              <w:jc w:val="right"/>
              <w:rPr/>
            </w:pPr>
            <w:r>
              <w:rPr/>
              <w:t>495.7</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w:t>
            </w:r>
          </w:p>
        </w:tc>
        <w:tc>
          <w:tcPr>
            <w:tcW w:w="1345" w:type="dxa"/>
            <w:tcBorders/>
            <w:shd w:fill="CCEEFF" w:val="clear"/>
            <w:vAlign w:val="bottom"/>
          </w:tcPr>
          <w:p>
            <w:pPr>
              <w:pStyle w:val="TableContents"/>
              <w:spacing w:before="0" w:after="283"/>
              <w:jc w:val="right"/>
              <w:rPr/>
            </w:pPr>
            <w:r>
              <w:rPr/>
              <w:t>2,004.1</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520" w:type="dxa"/>
            <w:tcBorders/>
            <w:shd w:fill="CCEEFF" w:val="clear"/>
            <w:vAlign w:val="bottom"/>
          </w:tcPr>
          <w:p>
            <w:pPr>
              <w:pStyle w:val="TableContents"/>
              <w:spacing w:before="0" w:after="283"/>
              <w:jc w:val="center"/>
              <w:rPr/>
            </w:pPr>
            <w:r>
              <w:rPr/>
              <w:t>N/A</w:t>
            </w:r>
          </w:p>
        </w:tc>
        <w:tc>
          <w:tcPr>
            <w:tcW w:w="68" w:type="dxa"/>
            <w:tcBorders/>
            <w:shd w:fill="CCEEFF" w:val="clear"/>
            <w:vAlign w:val="bottom"/>
          </w:tcPr>
          <w:p>
            <w:pPr>
              <w:pStyle w:val="TableContents"/>
              <w:spacing w:before="0" w:after="283"/>
              <w:rPr/>
            </w:pPr>
            <w:r>
              <w:rPr/>
              <w:t> </w:t>
            </w:r>
          </w:p>
        </w:tc>
      </w:tr>
      <w:tr>
        <w:trPr/>
        <w:tc>
          <w:tcPr>
            <w:tcW w:w="2797" w:type="dxa"/>
            <w:tcBorders/>
            <w:shd w:fill="auto" w:val="clear"/>
          </w:tcPr>
          <w:p>
            <w:pPr>
              <w:pStyle w:val="TableContents"/>
              <w:spacing w:before="0" w:after="0"/>
              <w:rPr>
                <w:rFonts w:ascii="Times New Roman" w:hAnsi="Times New Roman"/>
                <w:sz w:val="20"/>
              </w:rPr>
            </w:pPr>
            <w:r>
              <w:rPr>
                <w:rFonts w:ascii="Times New Roman" w:hAnsi="Times New Roman"/>
                <w:sz w:val="20"/>
              </w:rPr>
              <w:t>December 31, 2018</w:t>
            </w:r>
          </w:p>
        </w:tc>
        <w:tc>
          <w:tcPr>
            <w:tcW w:w="28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w:t>
            </w:r>
          </w:p>
        </w:tc>
        <w:tc>
          <w:tcPr>
            <w:tcW w:w="1177" w:type="dxa"/>
            <w:tcBorders/>
            <w:shd w:fill="auto" w:val="clear"/>
            <w:vAlign w:val="bottom"/>
          </w:tcPr>
          <w:p>
            <w:pPr>
              <w:pStyle w:val="TableContents"/>
              <w:spacing w:before="0" w:after="283"/>
              <w:jc w:val="right"/>
              <w:rPr/>
            </w:pPr>
            <w:r>
              <w:rPr/>
              <w:t>187.5</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w:t>
            </w:r>
          </w:p>
        </w:tc>
        <w:tc>
          <w:tcPr>
            <w:tcW w:w="1345" w:type="dxa"/>
            <w:tcBorders/>
            <w:shd w:fill="auto" w:val="clear"/>
            <w:vAlign w:val="bottom"/>
          </w:tcPr>
          <w:p>
            <w:pPr>
              <w:pStyle w:val="TableContents"/>
              <w:spacing w:before="0" w:after="283"/>
              <w:jc w:val="right"/>
              <w:rPr/>
            </w:pPr>
            <w:r>
              <w:rPr/>
              <w:t>2,705.2</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N/A</w:t>
            </w:r>
          </w:p>
        </w:tc>
        <w:tc>
          <w:tcPr>
            <w:tcW w:w="68" w:type="dxa"/>
            <w:tcBorders/>
            <w:shd w:fill="auto" w:val="clear"/>
            <w:vAlign w:val="bottom"/>
          </w:tcPr>
          <w:p>
            <w:pPr>
              <w:pStyle w:val="TableContents"/>
              <w:spacing w:before="0" w:after="283"/>
              <w:rPr/>
            </w:pPr>
            <w:r>
              <w:rPr/>
              <w:t> </w:t>
            </w:r>
          </w:p>
        </w:tc>
      </w:tr>
      <w:tr>
        <w:trPr/>
        <w:tc>
          <w:tcPr>
            <w:tcW w:w="2797" w:type="dxa"/>
            <w:tcBorders/>
            <w:shd w:fill="CCEEFF" w:val="clear"/>
          </w:tcPr>
          <w:p>
            <w:pPr>
              <w:pStyle w:val="TableContents"/>
              <w:spacing w:before="0" w:after="0"/>
              <w:rPr>
                <w:rFonts w:ascii="Times New Roman" w:hAnsi="Times New Roman"/>
                <w:sz w:val="20"/>
              </w:rPr>
            </w:pPr>
            <w:r>
              <w:rPr>
                <w:rFonts w:ascii="Times New Roman" w:hAnsi="Times New Roman"/>
                <w:sz w:val="20"/>
              </w:rPr>
              <w:t>December 31, 2017</w:t>
            </w:r>
          </w:p>
        </w:tc>
        <w:tc>
          <w:tcPr>
            <w:tcW w:w="28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w:t>
            </w:r>
          </w:p>
        </w:tc>
        <w:tc>
          <w:tcPr>
            <w:tcW w:w="1177" w:type="dxa"/>
            <w:tcBorders/>
            <w:shd w:fill="CCEEFF" w:val="clear"/>
            <w:vAlign w:val="bottom"/>
          </w:tcPr>
          <w:p>
            <w:pPr>
              <w:pStyle w:val="TableContents"/>
              <w:spacing w:before="0" w:after="283"/>
              <w:jc w:val="right"/>
              <w:rPr/>
            </w:pPr>
            <w:r>
              <w:rPr/>
              <w:t>486.8</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w:t>
            </w:r>
          </w:p>
        </w:tc>
        <w:tc>
          <w:tcPr>
            <w:tcW w:w="1345" w:type="dxa"/>
            <w:tcBorders/>
            <w:shd w:fill="CCEEFF" w:val="clear"/>
            <w:vAlign w:val="bottom"/>
          </w:tcPr>
          <w:p>
            <w:pPr>
              <w:pStyle w:val="TableContents"/>
              <w:spacing w:before="0" w:after="283"/>
              <w:jc w:val="right"/>
              <w:rPr/>
            </w:pPr>
            <w:r>
              <w:rPr/>
              <w:t>2,355.3</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520" w:type="dxa"/>
            <w:tcBorders/>
            <w:shd w:fill="CCEEFF" w:val="clear"/>
            <w:vAlign w:val="bottom"/>
          </w:tcPr>
          <w:p>
            <w:pPr>
              <w:pStyle w:val="TableContents"/>
              <w:spacing w:before="0" w:after="283"/>
              <w:jc w:val="center"/>
              <w:rPr/>
            </w:pPr>
            <w:r>
              <w:rPr/>
              <w:t>N/A</w:t>
            </w:r>
          </w:p>
        </w:tc>
        <w:tc>
          <w:tcPr>
            <w:tcW w:w="68" w:type="dxa"/>
            <w:tcBorders/>
            <w:shd w:fill="CCEEFF" w:val="clear"/>
            <w:vAlign w:val="bottom"/>
          </w:tcPr>
          <w:p>
            <w:pPr>
              <w:pStyle w:val="TableContents"/>
              <w:spacing w:before="0" w:after="283"/>
              <w:rPr/>
            </w:pPr>
            <w:r>
              <w:rPr/>
              <w:t> </w:t>
            </w:r>
          </w:p>
        </w:tc>
      </w:tr>
      <w:tr>
        <w:trPr/>
        <w:tc>
          <w:tcPr>
            <w:tcW w:w="2797" w:type="dxa"/>
            <w:tcBorders/>
            <w:shd w:fill="auto" w:val="clear"/>
          </w:tcPr>
          <w:p>
            <w:pPr>
              <w:pStyle w:val="TableContents"/>
              <w:spacing w:before="0" w:after="0"/>
              <w:rPr>
                <w:rFonts w:ascii="Times New Roman" w:hAnsi="Times New Roman"/>
                <w:sz w:val="20"/>
              </w:rPr>
            </w:pPr>
            <w:r>
              <w:rPr>
                <w:rFonts w:ascii="Times New Roman" w:hAnsi="Times New Roman"/>
                <w:sz w:val="20"/>
              </w:rPr>
              <w:t>December 31, 2016</w:t>
            </w:r>
          </w:p>
        </w:tc>
        <w:tc>
          <w:tcPr>
            <w:tcW w:w="28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w:t>
            </w:r>
          </w:p>
        </w:tc>
        <w:tc>
          <w:tcPr>
            <w:tcW w:w="1177" w:type="dxa"/>
            <w:tcBorders/>
            <w:shd w:fill="auto" w:val="clear"/>
            <w:vAlign w:val="bottom"/>
          </w:tcPr>
          <w:p>
            <w:pPr>
              <w:pStyle w:val="TableContents"/>
              <w:spacing w:before="0" w:after="283"/>
              <w:jc w:val="right"/>
              <w:rPr/>
            </w:pPr>
            <w:r>
              <w:rPr/>
              <w:t>578.7</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w:t>
            </w:r>
          </w:p>
        </w:tc>
        <w:tc>
          <w:tcPr>
            <w:tcW w:w="1345" w:type="dxa"/>
            <w:tcBorders/>
            <w:shd w:fill="auto" w:val="clear"/>
            <w:vAlign w:val="bottom"/>
          </w:tcPr>
          <w:p>
            <w:pPr>
              <w:pStyle w:val="TableContents"/>
              <w:spacing w:before="0" w:after="283"/>
              <w:jc w:val="right"/>
              <w:rPr/>
            </w:pPr>
            <w:r>
              <w:rPr/>
              <w:t>2,376.6</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N/A</w:t>
            </w:r>
          </w:p>
        </w:tc>
        <w:tc>
          <w:tcPr>
            <w:tcW w:w="68" w:type="dxa"/>
            <w:tcBorders/>
            <w:shd w:fill="auto" w:val="clear"/>
            <w:vAlign w:val="bottom"/>
          </w:tcPr>
          <w:p>
            <w:pPr>
              <w:pStyle w:val="TableContents"/>
              <w:spacing w:before="0" w:after="283"/>
              <w:rPr/>
            </w:pPr>
            <w:r>
              <w:rPr/>
              <w:t> </w:t>
            </w:r>
          </w:p>
        </w:tc>
      </w:tr>
      <w:tr>
        <w:trPr/>
        <w:tc>
          <w:tcPr>
            <w:tcW w:w="2797" w:type="dxa"/>
            <w:tcBorders/>
            <w:shd w:fill="CCEEFF" w:val="clear"/>
          </w:tcPr>
          <w:p>
            <w:pPr>
              <w:pStyle w:val="TableContents"/>
              <w:spacing w:before="0" w:after="0"/>
              <w:rPr>
                <w:rFonts w:ascii="Times New Roman" w:hAnsi="Times New Roman"/>
                <w:sz w:val="20"/>
              </w:rPr>
            </w:pPr>
            <w:r>
              <w:rPr>
                <w:rFonts w:ascii="Times New Roman" w:hAnsi="Times New Roman"/>
                <w:sz w:val="20"/>
              </w:rPr>
              <w:t>December 31, 2015</w:t>
            </w:r>
          </w:p>
        </w:tc>
        <w:tc>
          <w:tcPr>
            <w:tcW w:w="28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w:t>
            </w:r>
          </w:p>
        </w:tc>
        <w:tc>
          <w:tcPr>
            <w:tcW w:w="1177" w:type="dxa"/>
            <w:tcBorders/>
            <w:shd w:fill="CCEEFF" w:val="clear"/>
            <w:vAlign w:val="bottom"/>
          </w:tcPr>
          <w:p>
            <w:pPr>
              <w:pStyle w:val="TableContents"/>
              <w:spacing w:before="0" w:after="283"/>
              <w:jc w:val="right"/>
              <w:rPr/>
            </w:pPr>
            <w:r>
              <w:rPr/>
              <w:t>540.3</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w:t>
            </w:r>
          </w:p>
        </w:tc>
        <w:tc>
          <w:tcPr>
            <w:tcW w:w="1345" w:type="dxa"/>
            <w:tcBorders/>
            <w:shd w:fill="CCEEFF" w:val="clear"/>
            <w:vAlign w:val="bottom"/>
          </w:tcPr>
          <w:p>
            <w:pPr>
              <w:pStyle w:val="TableContents"/>
              <w:spacing w:before="0" w:after="283"/>
              <w:jc w:val="right"/>
              <w:rPr/>
            </w:pPr>
            <w:r>
              <w:rPr/>
              <w:t>2,257.3</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520" w:type="dxa"/>
            <w:tcBorders/>
            <w:shd w:fill="CCEEFF" w:val="clear"/>
            <w:vAlign w:val="bottom"/>
          </w:tcPr>
          <w:p>
            <w:pPr>
              <w:pStyle w:val="TableContents"/>
              <w:spacing w:before="0" w:after="283"/>
              <w:jc w:val="center"/>
              <w:rPr/>
            </w:pPr>
            <w:r>
              <w:rPr/>
              <w:t>N/A</w:t>
            </w:r>
          </w:p>
        </w:tc>
        <w:tc>
          <w:tcPr>
            <w:tcW w:w="68" w:type="dxa"/>
            <w:tcBorders/>
            <w:shd w:fill="CCEEFF" w:val="clear"/>
            <w:vAlign w:val="bottom"/>
          </w:tcPr>
          <w:p>
            <w:pPr>
              <w:pStyle w:val="TableContents"/>
              <w:spacing w:before="0" w:after="283"/>
              <w:rPr/>
            </w:pPr>
            <w:r>
              <w:rPr/>
              <w:t> </w:t>
            </w:r>
          </w:p>
        </w:tc>
      </w:tr>
      <w:tr>
        <w:trPr/>
        <w:tc>
          <w:tcPr>
            <w:tcW w:w="2797" w:type="dxa"/>
            <w:tcBorders/>
            <w:shd w:fill="auto" w:val="clear"/>
          </w:tcPr>
          <w:p>
            <w:pPr>
              <w:pStyle w:val="TableContents"/>
              <w:spacing w:before="0" w:after="0"/>
              <w:rPr>
                <w:rFonts w:ascii="Times New Roman" w:hAnsi="Times New Roman"/>
                <w:sz w:val="20"/>
              </w:rPr>
            </w:pPr>
            <w:r>
              <w:rPr>
                <w:rFonts w:ascii="Times New Roman" w:hAnsi="Times New Roman"/>
                <w:sz w:val="20"/>
              </w:rPr>
              <w:t>December 31, 2014</w:t>
            </w:r>
          </w:p>
        </w:tc>
        <w:tc>
          <w:tcPr>
            <w:tcW w:w="28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w:t>
            </w:r>
          </w:p>
        </w:tc>
        <w:tc>
          <w:tcPr>
            <w:tcW w:w="1177" w:type="dxa"/>
            <w:tcBorders/>
            <w:shd w:fill="auto" w:val="clear"/>
            <w:vAlign w:val="bottom"/>
          </w:tcPr>
          <w:p>
            <w:pPr>
              <w:pStyle w:val="TableContents"/>
              <w:spacing w:before="0" w:after="283"/>
              <w:jc w:val="right"/>
              <w:rPr/>
            </w:pPr>
            <w:r>
              <w:rPr/>
              <w:t>283.9</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w:t>
            </w:r>
          </w:p>
        </w:tc>
        <w:tc>
          <w:tcPr>
            <w:tcW w:w="1345" w:type="dxa"/>
            <w:tcBorders/>
            <w:shd w:fill="auto" w:val="clear"/>
            <w:vAlign w:val="bottom"/>
          </w:tcPr>
          <w:p>
            <w:pPr>
              <w:pStyle w:val="TableContents"/>
              <w:spacing w:before="0" w:after="283"/>
              <w:jc w:val="right"/>
              <w:rPr/>
            </w:pPr>
            <w:r>
              <w:rPr/>
              <w:t>3,110.3</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N/A</w:t>
            </w:r>
          </w:p>
        </w:tc>
        <w:tc>
          <w:tcPr>
            <w:tcW w:w="68" w:type="dxa"/>
            <w:tcBorders/>
            <w:shd w:fill="auto" w:val="clear"/>
            <w:vAlign w:val="bottom"/>
          </w:tcPr>
          <w:p>
            <w:pPr>
              <w:pStyle w:val="TableContents"/>
              <w:spacing w:before="0" w:after="283"/>
              <w:rPr/>
            </w:pPr>
            <w:r>
              <w:rPr/>
              <w:t> </w:t>
            </w:r>
          </w:p>
        </w:tc>
      </w:tr>
      <w:tr>
        <w:trPr/>
        <w:tc>
          <w:tcPr>
            <w:tcW w:w="2797" w:type="dxa"/>
            <w:tcBorders/>
            <w:shd w:fill="CCEEFF" w:val="clear"/>
          </w:tcPr>
          <w:p>
            <w:pPr>
              <w:pStyle w:val="TableContents"/>
              <w:spacing w:before="0" w:after="0"/>
              <w:rPr>
                <w:rFonts w:ascii="Times New Roman" w:hAnsi="Times New Roman"/>
                <w:sz w:val="20"/>
              </w:rPr>
            </w:pPr>
            <w:r>
              <w:rPr>
                <w:rFonts w:ascii="Times New Roman" w:hAnsi="Times New Roman"/>
                <w:sz w:val="20"/>
              </w:rPr>
              <w:t>December 31, 2013</w:t>
            </w:r>
          </w:p>
        </w:tc>
        <w:tc>
          <w:tcPr>
            <w:tcW w:w="28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w:t>
            </w:r>
          </w:p>
        </w:tc>
        <w:tc>
          <w:tcPr>
            <w:tcW w:w="1177" w:type="dxa"/>
            <w:tcBorders/>
            <w:shd w:fill="CCEEFF" w:val="clear"/>
            <w:vAlign w:val="bottom"/>
          </w:tcPr>
          <w:p>
            <w:pPr>
              <w:pStyle w:val="TableContents"/>
              <w:spacing w:before="0" w:after="283"/>
              <w:jc w:val="right"/>
              <w:rPr/>
            </w:pPr>
            <w:r>
              <w:rPr/>
              <w:t>432.3</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w:t>
            </w:r>
          </w:p>
        </w:tc>
        <w:tc>
          <w:tcPr>
            <w:tcW w:w="1345" w:type="dxa"/>
            <w:tcBorders/>
            <w:shd w:fill="CCEEFF" w:val="clear"/>
            <w:vAlign w:val="bottom"/>
          </w:tcPr>
          <w:p>
            <w:pPr>
              <w:pStyle w:val="TableContents"/>
              <w:spacing w:before="0" w:after="283"/>
              <w:jc w:val="right"/>
              <w:rPr/>
            </w:pPr>
            <w:r>
              <w:rPr/>
              <w:t>2,329.5</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520" w:type="dxa"/>
            <w:tcBorders/>
            <w:shd w:fill="CCEEFF" w:val="clear"/>
            <w:vAlign w:val="bottom"/>
          </w:tcPr>
          <w:p>
            <w:pPr>
              <w:pStyle w:val="TableContents"/>
              <w:spacing w:before="0" w:after="283"/>
              <w:jc w:val="center"/>
              <w:rPr/>
            </w:pPr>
            <w:r>
              <w:rPr/>
              <w:t>N/A</w:t>
            </w:r>
          </w:p>
        </w:tc>
        <w:tc>
          <w:tcPr>
            <w:tcW w:w="68" w:type="dxa"/>
            <w:tcBorders/>
            <w:shd w:fill="CCEEFF" w:val="clear"/>
            <w:vAlign w:val="bottom"/>
          </w:tcPr>
          <w:p>
            <w:pPr>
              <w:pStyle w:val="TableContents"/>
              <w:spacing w:before="0" w:after="283"/>
              <w:rPr/>
            </w:pPr>
            <w:r>
              <w:rPr/>
              <w:t> </w:t>
            </w:r>
          </w:p>
        </w:tc>
      </w:tr>
      <w:tr>
        <w:trPr/>
        <w:tc>
          <w:tcPr>
            <w:tcW w:w="2797" w:type="dxa"/>
            <w:tcBorders/>
            <w:shd w:fill="auto" w:val="clear"/>
          </w:tcPr>
          <w:p>
            <w:pPr>
              <w:pStyle w:val="TableContents"/>
              <w:spacing w:before="0" w:after="0"/>
              <w:rPr>
                <w:rFonts w:ascii="Times New Roman" w:hAnsi="Times New Roman"/>
                <w:sz w:val="20"/>
              </w:rPr>
            </w:pPr>
            <w:r>
              <w:rPr>
                <w:rFonts w:ascii="Times New Roman" w:hAnsi="Times New Roman"/>
                <w:sz w:val="20"/>
              </w:rPr>
              <w:t>December 31, 2012</w:t>
            </w:r>
          </w:p>
        </w:tc>
        <w:tc>
          <w:tcPr>
            <w:tcW w:w="28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w:t>
            </w:r>
          </w:p>
        </w:tc>
        <w:tc>
          <w:tcPr>
            <w:tcW w:w="1177" w:type="dxa"/>
            <w:tcBorders/>
            <w:shd w:fill="auto" w:val="clear"/>
            <w:vAlign w:val="bottom"/>
          </w:tcPr>
          <w:p>
            <w:pPr>
              <w:pStyle w:val="TableContents"/>
              <w:spacing w:before="0" w:after="283"/>
              <w:jc w:val="right"/>
              <w:rPr/>
            </w:pPr>
            <w:r>
              <w:rPr/>
              <w:t>331.8</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w:t>
            </w:r>
          </w:p>
        </w:tc>
        <w:tc>
          <w:tcPr>
            <w:tcW w:w="1345" w:type="dxa"/>
            <w:tcBorders/>
            <w:shd w:fill="auto" w:val="clear"/>
            <w:vAlign w:val="bottom"/>
          </w:tcPr>
          <w:p>
            <w:pPr>
              <w:pStyle w:val="TableContents"/>
              <w:spacing w:before="0" w:after="283"/>
              <w:jc w:val="right"/>
              <w:rPr/>
            </w:pPr>
            <w:r>
              <w:rPr/>
              <w:t>2,445.9</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N/A</w:t>
            </w:r>
          </w:p>
        </w:tc>
        <w:tc>
          <w:tcPr>
            <w:tcW w:w="68" w:type="dxa"/>
            <w:tcBorders/>
            <w:shd w:fill="auto" w:val="clear"/>
            <w:vAlign w:val="bottom"/>
          </w:tcPr>
          <w:p>
            <w:pPr>
              <w:pStyle w:val="TableContents"/>
              <w:spacing w:before="0" w:after="283"/>
              <w:rPr/>
            </w:pPr>
            <w:r>
              <w:rPr/>
              <w:t> </w:t>
            </w:r>
          </w:p>
        </w:tc>
      </w:tr>
      <w:tr>
        <w:trPr/>
        <w:tc>
          <w:tcPr>
            <w:tcW w:w="2797" w:type="dxa"/>
            <w:tcBorders/>
            <w:shd w:fill="CCEEFF" w:val="clear"/>
          </w:tcPr>
          <w:p>
            <w:pPr>
              <w:pStyle w:val="TableContents"/>
              <w:spacing w:before="0" w:after="0"/>
              <w:rPr>
                <w:rFonts w:ascii="Times New Roman" w:hAnsi="Times New Roman"/>
                <w:b/>
                <w:sz w:val="20"/>
              </w:rPr>
            </w:pPr>
            <w:r>
              <w:rPr>
                <w:rFonts w:ascii="Times New Roman" w:hAnsi="Times New Roman"/>
                <w:b/>
                <w:sz w:val="20"/>
              </w:rPr>
              <w:t>Convertible Notes due 2019</w:t>
            </w:r>
          </w:p>
        </w:tc>
        <w:tc>
          <w:tcPr>
            <w:tcW w:w="28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sz w:val="4"/>
                <w:szCs w:val="4"/>
              </w:rPr>
            </w:pPr>
            <w:r>
              <w:rPr>
                <w:sz w:val="4"/>
                <w:szCs w:val="4"/>
              </w:rPr>
            </w:r>
          </w:p>
        </w:tc>
        <w:tc>
          <w:tcPr>
            <w:tcW w:w="117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8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sz w:val="4"/>
                <w:szCs w:val="4"/>
              </w:rPr>
            </w:pPr>
            <w:r>
              <w:rPr>
                <w:sz w:val="4"/>
                <w:szCs w:val="4"/>
              </w:rPr>
            </w:r>
          </w:p>
        </w:tc>
        <w:tc>
          <w:tcPr>
            <w:tcW w:w="134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8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sz w:val="4"/>
                <w:szCs w:val="4"/>
              </w:rPr>
            </w:pPr>
            <w:r>
              <w:rPr>
                <w:sz w:val="4"/>
                <w:szCs w:val="4"/>
              </w:rPr>
            </w:r>
          </w:p>
        </w:tc>
        <w:tc>
          <w:tcPr>
            <w:tcW w:w="105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8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sz w:val="4"/>
                <w:szCs w:val="4"/>
              </w:rPr>
            </w:pPr>
            <w:r>
              <w:rPr>
                <w:sz w:val="4"/>
                <w:szCs w:val="4"/>
              </w:rPr>
            </w:r>
          </w:p>
        </w:tc>
        <w:tc>
          <w:tcPr>
            <w:tcW w:w="1520" w:type="dxa"/>
            <w:tcBorders/>
            <w:shd w:fill="CCEEFF" w:val="clear"/>
            <w:vAlign w:val="bottom"/>
          </w:tcPr>
          <w:p>
            <w:pPr>
              <w:pStyle w:val="TableContents"/>
              <w:spacing w:before="0" w:after="283"/>
              <w:rPr>
                <w:sz w:val="4"/>
                <w:szCs w:val="4"/>
              </w:rPr>
            </w:pPr>
            <w:r>
              <w:rPr>
                <w:sz w:val="4"/>
                <w:szCs w:val="4"/>
              </w:rPr>
            </w:r>
          </w:p>
        </w:tc>
        <w:tc>
          <w:tcPr>
            <w:tcW w:w="68" w:type="dxa"/>
            <w:tcBorders/>
            <w:shd w:fill="CCEEFF" w:val="clear"/>
            <w:vAlign w:val="bottom"/>
          </w:tcPr>
          <w:p>
            <w:pPr>
              <w:pStyle w:val="TableContents"/>
              <w:spacing w:before="0" w:after="283"/>
              <w:rPr>
                <w:sz w:val="4"/>
                <w:szCs w:val="4"/>
              </w:rPr>
            </w:pPr>
            <w:r>
              <w:rPr>
                <w:sz w:val="4"/>
                <w:szCs w:val="4"/>
              </w:rPr>
            </w:r>
          </w:p>
        </w:tc>
      </w:tr>
      <w:tr>
        <w:trPr/>
        <w:tc>
          <w:tcPr>
            <w:tcW w:w="2797" w:type="dxa"/>
            <w:tcBorders/>
            <w:shd w:fill="auto" w:val="clear"/>
          </w:tcPr>
          <w:p>
            <w:pPr>
              <w:pStyle w:val="TableContents"/>
              <w:spacing w:before="0" w:after="0"/>
              <w:rPr>
                <w:rFonts w:ascii="Times New Roman" w:hAnsi="Times New Roman"/>
                <w:sz w:val="20"/>
              </w:rPr>
            </w:pPr>
            <w:r>
              <w:rPr>
                <w:rFonts w:ascii="Times New Roman" w:hAnsi="Times New Roman"/>
                <w:sz w:val="20"/>
              </w:rPr>
              <w:t>December 31, 2022 (as of September 30, 2022 Unaudited)</w:t>
            </w:r>
          </w:p>
        </w:tc>
        <w:tc>
          <w:tcPr>
            <w:tcW w:w="28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w:t>
            </w:r>
          </w:p>
        </w:tc>
        <w:tc>
          <w:tcPr>
            <w:tcW w:w="1177"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w:t>
            </w:r>
          </w:p>
        </w:tc>
        <w:tc>
          <w:tcPr>
            <w:tcW w:w="13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N/A</w:t>
            </w:r>
          </w:p>
        </w:tc>
        <w:tc>
          <w:tcPr>
            <w:tcW w:w="68" w:type="dxa"/>
            <w:tcBorders/>
            <w:shd w:fill="auto" w:val="clear"/>
            <w:vAlign w:val="bottom"/>
          </w:tcPr>
          <w:p>
            <w:pPr>
              <w:pStyle w:val="TableContents"/>
              <w:spacing w:before="0" w:after="283"/>
              <w:rPr/>
            </w:pPr>
            <w:r>
              <w:rPr/>
              <w:t> </w:t>
            </w:r>
          </w:p>
        </w:tc>
      </w:tr>
      <w:tr>
        <w:trPr/>
        <w:tc>
          <w:tcPr>
            <w:tcW w:w="2797" w:type="dxa"/>
            <w:tcBorders/>
            <w:shd w:fill="CCEEFF" w:val="clear"/>
          </w:tcPr>
          <w:p>
            <w:pPr>
              <w:pStyle w:val="TableContents"/>
              <w:spacing w:before="0" w:after="0"/>
              <w:rPr>
                <w:rFonts w:ascii="Times New Roman" w:hAnsi="Times New Roman"/>
                <w:sz w:val="20"/>
              </w:rPr>
            </w:pPr>
            <w:r>
              <w:rPr>
                <w:rFonts w:ascii="Times New Roman" w:hAnsi="Times New Roman"/>
                <w:sz w:val="20"/>
              </w:rPr>
              <w:t>December 31, 2021</w:t>
            </w:r>
          </w:p>
        </w:tc>
        <w:tc>
          <w:tcPr>
            <w:tcW w:w="28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w:t>
            </w:r>
          </w:p>
        </w:tc>
        <w:tc>
          <w:tcPr>
            <w:tcW w:w="117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w:t>
            </w:r>
          </w:p>
        </w:tc>
        <w:tc>
          <w:tcPr>
            <w:tcW w:w="134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520" w:type="dxa"/>
            <w:tcBorders/>
            <w:shd w:fill="CCEEFF" w:val="clear"/>
            <w:vAlign w:val="bottom"/>
          </w:tcPr>
          <w:p>
            <w:pPr>
              <w:pStyle w:val="TableContents"/>
              <w:spacing w:before="0" w:after="283"/>
              <w:jc w:val="center"/>
              <w:rPr/>
            </w:pPr>
            <w:r>
              <w:rPr/>
              <w:t>N/A</w:t>
            </w:r>
          </w:p>
        </w:tc>
        <w:tc>
          <w:tcPr>
            <w:tcW w:w="68" w:type="dxa"/>
            <w:tcBorders/>
            <w:shd w:fill="CCEEFF" w:val="clear"/>
            <w:vAlign w:val="bottom"/>
          </w:tcPr>
          <w:p>
            <w:pPr>
              <w:pStyle w:val="TableContents"/>
              <w:spacing w:before="0" w:after="283"/>
              <w:rPr/>
            </w:pPr>
            <w:r>
              <w:rPr/>
              <w:t> </w:t>
            </w:r>
          </w:p>
        </w:tc>
      </w:tr>
      <w:tr>
        <w:trPr/>
        <w:tc>
          <w:tcPr>
            <w:tcW w:w="2797" w:type="dxa"/>
            <w:tcBorders/>
            <w:shd w:fill="auto" w:val="clear"/>
          </w:tcPr>
          <w:p>
            <w:pPr>
              <w:pStyle w:val="TableContents"/>
              <w:spacing w:before="0" w:after="0"/>
              <w:rPr>
                <w:rFonts w:ascii="Times New Roman" w:hAnsi="Times New Roman"/>
                <w:sz w:val="20"/>
              </w:rPr>
            </w:pPr>
            <w:r>
              <w:rPr>
                <w:rFonts w:ascii="Times New Roman" w:hAnsi="Times New Roman"/>
                <w:sz w:val="20"/>
              </w:rPr>
              <w:t>December 31, 2020</w:t>
            </w:r>
          </w:p>
        </w:tc>
        <w:tc>
          <w:tcPr>
            <w:tcW w:w="28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w:t>
            </w:r>
          </w:p>
        </w:tc>
        <w:tc>
          <w:tcPr>
            <w:tcW w:w="1177"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w:t>
            </w:r>
          </w:p>
        </w:tc>
        <w:tc>
          <w:tcPr>
            <w:tcW w:w="13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N/A</w:t>
            </w:r>
          </w:p>
        </w:tc>
        <w:tc>
          <w:tcPr>
            <w:tcW w:w="68" w:type="dxa"/>
            <w:tcBorders/>
            <w:shd w:fill="auto" w:val="clear"/>
            <w:vAlign w:val="bottom"/>
          </w:tcPr>
          <w:p>
            <w:pPr>
              <w:pStyle w:val="TableContents"/>
              <w:spacing w:before="0" w:after="283"/>
              <w:rPr/>
            </w:pPr>
            <w:r>
              <w:rPr/>
              <w:t> </w:t>
            </w:r>
          </w:p>
        </w:tc>
      </w:tr>
      <w:tr>
        <w:trPr/>
        <w:tc>
          <w:tcPr>
            <w:tcW w:w="2797" w:type="dxa"/>
            <w:tcBorders/>
            <w:shd w:fill="CCEEFF" w:val="clear"/>
          </w:tcPr>
          <w:p>
            <w:pPr>
              <w:pStyle w:val="TableContents"/>
              <w:spacing w:before="0" w:after="0"/>
              <w:rPr>
                <w:rFonts w:ascii="Times New Roman" w:hAnsi="Times New Roman"/>
                <w:sz w:val="20"/>
              </w:rPr>
            </w:pPr>
            <w:r>
              <w:rPr>
                <w:rFonts w:ascii="Times New Roman" w:hAnsi="Times New Roman"/>
                <w:sz w:val="20"/>
              </w:rPr>
              <w:t>December 31, 2019</w:t>
            </w:r>
          </w:p>
        </w:tc>
        <w:tc>
          <w:tcPr>
            <w:tcW w:w="28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w:t>
            </w:r>
          </w:p>
        </w:tc>
        <w:tc>
          <w:tcPr>
            <w:tcW w:w="117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w:t>
            </w:r>
          </w:p>
        </w:tc>
        <w:tc>
          <w:tcPr>
            <w:tcW w:w="134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520" w:type="dxa"/>
            <w:tcBorders/>
            <w:shd w:fill="CCEEFF" w:val="clear"/>
            <w:vAlign w:val="bottom"/>
          </w:tcPr>
          <w:p>
            <w:pPr>
              <w:pStyle w:val="TableContents"/>
              <w:spacing w:before="0" w:after="283"/>
              <w:jc w:val="center"/>
              <w:rPr/>
            </w:pPr>
            <w:r>
              <w:rPr/>
              <w:t>N/A</w:t>
            </w:r>
          </w:p>
        </w:tc>
        <w:tc>
          <w:tcPr>
            <w:tcW w:w="68" w:type="dxa"/>
            <w:tcBorders/>
            <w:shd w:fill="CCEEFF" w:val="clear"/>
            <w:vAlign w:val="bottom"/>
          </w:tcPr>
          <w:p>
            <w:pPr>
              <w:pStyle w:val="TableContents"/>
              <w:spacing w:before="0" w:after="283"/>
              <w:rPr/>
            </w:pPr>
            <w:r>
              <w:rPr/>
              <w:t> </w:t>
            </w:r>
          </w:p>
        </w:tc>
      </w:tr>
      <w:tr>
        <w:trPr/>
        <w:tc>
          <w:tcPr>
            <w:tcW w:w="2797" w:type="dxa"/>
            <w:tcBorders/>
            <w:shd w:fill="auto" w:val="clear"/>
          </w:tcPr>
          <w:p>
            <w:pPr>
              <w:pStyle w:val="TableContents"/>
              <w:spacing w:before="0" w:after="0"/>
              <w:rPr>
                <w:rFonts w:ascii="Times New Roman" w:hAnsi="Times New Roman"/>
                <w:sz w:val="20"/>
              </w:rPr>
            </w:pPr>
            <w:r>
              <w:rPr>
                <w:rFonts w:ascii="Times New Roman" w:hAnsi="Times New Roman"/>
                <w:sz w:val="20"/>
              </w:rPr>
              <w:t>December 31, 2018</w:t>
            </w:r>
          </w:p>
        </w:tc>
        <w:tc>
          <w:tcPr>
            <w:tcW w:w="28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w:t>
            </w:r>
          </w:p>
        </w:tc>
        <w:tc>
          <w:tcPr>
            <w:tcW w:w="1177" w:type="dxa"/>
            <w:tcBorders/>
            <w:shd w:fill="auto" w:val="clear"/>
            <w:vAlign w:val="bottom"/>
          </w:tcPr>
          <w:p>
            <w:pPr>
              <w:pStyle w:val="TableContents"/>
              <w:spacing w:before="0" w:after="283"/>
              <w:jc w:val="right"/>
              <w:rPr/>
            </w:pPr>
            <w:r>
              <w:rPr/>
              <w:t>114.3</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w:t>
            </w:r>
          </w:p>
        </w:tc>
        <w:tc>
          <w:tcPr>
            <w:tcW w:w="1345" w:type="dxa"/>
            <w:tcBorders/>
            <w:shd w:fill="auto" w:val="clear"/>
            <w:vAlign w:val="bottom"/>
          </w:tcPr>
          <w:p>
            <w:pPr>
              <w:pStyle w:val="TableContents"/>
              <w:spacing w:before="0" w:after="283"/>
              <w:jc w:val="right"/>
              <w:rPr/>
            </w:pPr>
            <w:r>
              <w:rPr/>
              <w:t>2,705.2</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N/A</w:t>
            </w:r>
          </w:p>
        </w:tc>
        <w:tc>
          <w:tcPr>
            <w:tcW w:w="68" w:type="dxa"/>
            <w:tcBorders/>
            <w:shd w:fill="auto" w:val="clear"/>
            <w:vAlign w:val="bottom"/>
          </w:tcPr>
          <w:p>
            <w:pPr>
              <w:pStyle w:val="TableContents"/>
              <w:spacing w:before="0" w:after="283"/>
              <w:rPr/>
            </w:pPr>
            <w:r>
              <w:rPr/>
              <w:t> </w:t>
            </w:r>
          </w:p>
        </w:tc>
      </w:tr>
      <w:tr>
        <w:trPr/>
        <w:tc>
          <w:tcPr>
            <w:tcW w:w="2797" w:type="dxa"/>
            <w:tcBorders/>
            <w:shd w:fill="CCEEFF" w:val="clear"/>
          </w:tcPr>
          <w:p>
            <w:pPr>
              <w:pStyle w:val="TableContents"/>
              <w:spacing w:before="0" w:after="0"/>
              <w:rPr>
                <w:rFonts w:ascii="Times New Roman" w:hAnsi="Times New Roman"/>
                <w:sz w:val="20"/>
              </w:rPr>
            </w:pPr>
            <w:r>
              <w:rPr>
                <w:rFonts w:ascii="Times New Roman" w:hAnsi="Times New Roman"/>
                <w:sz w:val="20"/>
              </w:rPr>
              <w:t>December 31, 2017</w:t>
            </w:r>
          </w:p>
        </w:tc>
        <w:tc>
          <w:tcPr>
            <w:tcW w:w="28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w:t>
            </w:r>
          </w:p>
        </w:tc>
        <w:tc>
          <w:tcPr>
            <w:tcW w:w="1177" w:type="dxa"/>
            <w:tcBorders/>
            <w:shd w:fill="CCEEFF" w:val="clear"/>
            <w:vAlign w:val="bottom"/>
          </w:tcPr>
          <w:p>
            <w:pPr>
              <w:pStyle w:val="TableContents"/>
              <w:spacing w:before="0" w:after="283"/>
              <w:jc w:val="right"/>
              <w:rPr/>
            </w:pPr>
            <w:r>
              <w:rPr/>
              <w:t>113.7</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w:t>
            </w:r>
          </w:p>
        </w:tc>
        <w:tc>
          <w:tcPr>
            <w:tcW w:w="1345" w:type="dxa"/>
            <w:tcBorders/>
            <w:shd w:fill="CCEEFF" w:val="clear"/>
            <w:vAlign w:val="bottom"/>
          </w:tcPr>
          <w:p>
            <w:pPr>
              <w:pStyle w:val="TableContents"/>
              <w:spacing w:before="0" w:after="283"/>
              <w:jc w:val="right"/>
              <w:rPr/>
            </w:pPr>
            <w:r>
              <w:rPr/>
              <w:t>2,355.3</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520" w:type="dxa"/>
            <w:tcBorders/>
            <w:shd w:fill="CCEEFF" w:val="clear"/>
            <w:vAlign w:val="bottom"/>
          </w:tcPr>
          <w:p>
            <w:pPr>
              <w:pStyle w:val="TableContents"/>
              <w:spacing w:before="0" w:after="283"/>
              <w:jc w:val="center"/>
              <w:rPr/>
            </w:pPr>
            <w:r>
              <w:rPr/>
              <w:t>N/A</w:t>
            </w:r>
          </w:p>
        </w:tc>
        <w:tc>
          <w:tcPr>
            <w:tcW w:w="68" w:type="dxa"/>
            <w:tcBorders/>
            <w:shd w:fill="CCEEFF" w:val="clear"/>
            <w:vAlign w:val="bottom"/>
          </w:tcPr>
          <w:p>
            <w:pPr>
              <w:pStyle w:val="TableContents"/>
              <w:spacing w:before="0" w:after="283"/>
              <w:rPr/>
            </w:pPr>
            <w:r>
              <w:rPr/>
              <w:t> </w:t>
            </w:r>
          </w:p>
        </w:tc>
      </w:tr>
      <w:tr>
        <w:trPr/>
        <w:tc>
          <w:tcPr>
            <w:tcW w:w="2797" w:type="dxa"/>
            <w:tcBorders/>
            <w:shd w:fill="auto" w:val="clear"/>
          </w:tcPr>
          <w:p>
            <w:pPr>
              <w:pStyle w:val="TableContents"/>
              <w:spacing w:before="0" w:after="0"/>
              <w:rPr>
                <w:rFonts w:ascii="Times New Roman" w:hAnsi="Times New Roman"/>
                <w:sz w:val="20"/>
              </w:rPr>
            </w:pPr>
            <w:r>
              <w:rPr>
                <w:rFonts w:ascii="Times New Roman" w:hAnsi="Times New Roman"/>
                <w:sz w:val="20"/>
              </w:rPr>
              <w:t>December 31, 2016</w:t>
            </w:r>
          </w:p>
        </w:tc>
        <w:tc>
          <w:tcPr>
            <w:tcW w:w="28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w:t>
            </w:r>
          </w:p>
        </w:tc>
        <w:tc>
          <w:tcPr>
            <w:tcW w:w="1177" w:type="dxa"/>
            <w:tcBorders/>
            <w:shd w:fill="auto" w:val="clear"/>
            <w:vAlign w:val="bottom"/>
          </w:tcPr>
          <w:p>
            <w:pPr>
              <w:pStyle w:val="TableContents"/>
              <w:spacing w:before="0" w:after="283"/>
              <w:jc w:val="right"/>
              <w:rPr/>
            </w:pPr>
            <w:r>
              <w:rPr/>
              <w:t>113.1</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w:t>
            </w:r>
          </w:p>
        </w:tc>
        <w:tc>
          <w:tcPr>
            <w:tcW w:w="1345" w:type="dxa"/>
            <w:tcBorders/>
            <w:shd w:fill="auto" w:val="clear"/>
            <w:vAlign w:val="bottom"/>
          </w:tcPr>
          <w:p>
            <w:pPr>
              <w:pStyle w:val="TableContents"/>
              <w:spacing w:before="0" w:after="283"/>
              <w:jc w:val="right"/>
              <w:rPr/>
            </w:pPr>
            <w:r>
              <w:rPr/>
              <w:t>2,376.6</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N/A</w:t>
            </w:r>
          </w:p>
        </w:tc>
        <w:tc>
          <w:tcPr>
            <w:tcW w:w="68" w:type="dxa"/>
            <w:tcBorders/>
            <w:shd w:fill="auto" w:val="clear"/>
            <w:vAlign w:val="bottom"/>
          </w:tcPr>
          <w:p>
            <w:pPr>
              <w:pStyle w:val="TableContents"/>
              <w:spacing w:before="0" w:after="283"/>
              <w:rPr/>
            </w:pPr>
            <w:r>
              <w:rPr/>
              <w:t> </w:t>
            </w:r>
          </w:p>
        </w:tc>
      </w:tr>
      <w:tr>
        <w:trPr/>
        <w:tc>
          <w:tcPr>
            <w:tcW w:w="2797" w:type="dxa"/>
            <w:tcBorders/>
            <w:shd w:fill="CCEEFF" w:val="clear"/>
          </w:tcPr>
          <w:p>
            <w:pPr>
              <w:pStyle w:val="TableContents"/>
              <w:spacing w:before="0" w:after="0"/>
              <w:rPr>
                <w:rFonts w:ascii="Times New Roman" w:hAnsi="Times New Roman"/>
                <w:sz w:val="20"/>
              </w:rPr>
            </w:pPr>
            <w:r>
              <w:rPr>
                <w:rFonts w:ascii="Times New Roman" w:hAnsi="Times New Roman"/>
                <w:sz w:val="20"/>
              </w:rPr>
              <w:t>December 31, 2015</w:t>
            </w:r>
          </w:p>
        </w:tc>
        <w:tc>
          <w:tcPr>
            <w:tcW w:w="28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w:t>
            </w:r>
          </w:p>
        </w:tc>
        <w:tc>
          <w:tcPr>
            <w:tcW w:w="1177" w:type="dxa"/>
            <w:tcBorders/>
            <w:shd w:fill="CCEEFF" w:val="clear"/>
            <w:vAlign w:val="bottom"/>
          </w:tcPr>
          <w:p>
            <w:pPr>
              <w:pStyle w:val="TableContents"/>
              <w:spacing w:before="0" w:after="283"/>
              <w:jc w:val="right"/>
              <w:rPr/>
            </w:pPr>
            <w:r>
              <w:rPr/>
              <w:t>112.5</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w:t>
            </w:r>
          </w:p>
        </w:tc>
        <w:tc>
          <w:tcPr>
            <w:tcW w:w="1345" w:type="dxa"/>
            <w:tcBorders/>
            <w:shd w:fill="CCEEFF" w:val="clear"/>
            <w:vAlign w:val="bottom"/>
          </w:tcPr>
          <w:p>
            <w:pPr>
              <w:pStyle w:val="TableContents"/>
              <w:spacing w:before="0" w:after="283"/>
              <w:jc w:val="right"/>
              <w:rPr/>
            </w:pPr>
            <w:r>
              <w:rPr/>
              <w:t>2,257.3</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520" w:type="dxa"/>
            <w:tcBorders/>
            <w:shd w:fill="CCEEFF" w:val="clear"/>
            <w:vAlign w:val="bottom"/>
          </w:tcPr>
          <w:p>
            <w:pPr>
              <w:pStyle w:val="TableContents"/>
              <w:spacing w:before="0" w:after="283"/>
              <w:jc w:val="center"/>
              <w:rPr/>
            </w:pPr>
            <w:r>
              <w:rPr/>
              <w:t>N/A</w:t>
            </w:r>
          </w:p>
        </w:tc>
        <w:tc>
          <w:tcPr>
            <w:tcW w:w="68" w:type="dxa"/>
            <w:tcBorders/>
            <w:shd w:fill="CCEEFF" w:val="clear"/>
            <w:vAlign w:val="bottom"/>
          </w:tcPr>
          <w:p>
            <w:pPr>
              <w:pStyle w:val="TableContents"/>
              <w:spacing w:before="0" w:after="283"/>
              <w:rPr/>
            </w:pPr>
            <w:r>
              <w:rPr/>
              <w:t> </w:t>
            </w:r>
          </w:p>
        </w:tc>
      </w:tr>
      <w:tr>
        <w:trPr/>
        <w:tc>
          <w:tcPr>
            <w:tcW w:w="2797" w:type="dxa"/>
            <w:tcBorders/>
            <w:shd w:fill="auto" w:val="clear"/>
          </w:tcPr>
          <w:p>
            <w:pPr>
              <w:pStyle w:val="TableContents"/>
              <w:spacing w:before="0" w:after="0"/>
              <w:rPr>
                <w:rFonts w:ascii="Times New Roman" w:hAnsi="Times New Roman"/>
                <w:sz w:val="20"/>
              </w:rPr>
            </w:pPr>
            <w:r>
              <w:rPr>
                <w:rFonts w:ascii="Times New Roman" w:hAnsi="Times New Roman"/>
                <w:sz w:val="20"/>
              </w:rPr>
              <w:t>December 31, 2014</w:t>
            </w:r>
          </w:p>
        </w:tc>
        <w:tc>
          <w:tcPr>
            <w:tcW w:w="28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w:t>
            </w:r>
          </w:p>
        </w:tc>
        <w:tc>
          <w:tcPr>
            <w:tcW w:w="1177" w:type="dxa"/>
            <w:tcBorders/>
            <w:shd w:fill="auto" w:val="clear"/>
            <w:vAlign w:val="bottom"/>
          </w:tcPr>
          <w:p>
            <w:pPr>
              <w:pStyle w:val="TableContents"/>
              <w:spacing w:before="0" w:after="283"/>
              <w:jc w:val="right"/>
              <w:rPr/>
            </w:pPr>
            <w:r>
              <w:rPr/>
              <w:t>111.9</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w:t>
            </w:r>
          </w:p>
        </w:tc>
        <w:tc>
          <w:tcPr>
            <w:tcW w:w="1345" w:type="dxa"/>
            <w:tcBorders/>
            <w:shd w:fill="auto" w:val="clear"/>
            <w:vAlign w:val="bottom"/>
          </w:tcPr>
          <w:p>
            <w:pPr>
              <w:pStyle w:val="TableContents"/>
              <w:spacing w:before="0" w:after="283"/>
              <w:jc w:val="right"/>
              <w:rPr/>
            </w:pPr>
            <w:r>
              <w:rPr/>
              <w:t>3,110.3</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N/A</w:t>
            </w:r>
          </w:p>
        </w:tc>
        <w:tc>
          <w:tcPr>
            <w:tcW w:w="68" w:type="dxa"/>
            <w:tcBorders/>
            <w:shd w:fill="auto" w:val="clear"/>
            <w:vAlign w:val="bottom"/>
          </w:tcPr>
          <w:p>
            <w:pPr>
              <w:pStyle w:val="TableContents"/>
              <w:spacing w:before="0" w:after="283"/>
              <w:rPr/>
            </w:pPr>
            <w:r>
              <w:rPr/>
              <w:t> </w:t>
            </w:r>
          </w:p>
        </w:tc>
      </w:tr>
      <w:tr>
        <w:trPr/>
        <w:tc>
          <w:tcPr>
            <w:tcW w:w="2797" w:type="dxa"/>
            <w:tcBorders/>
            <w:shd w:fill="CCEEFF" w:val="clear"/>
          </w:tcPr>
          <w:p>
            <w:pPr>
              <w:pStyle w:val="TableContents"/>
              <w:spacing w:before="0" w:after="0"/>
              <w:rPr>
                <w:rFonts w:ascii="Times New Roman" w:hAnsi="Times New Roman"/>
                <w:b/>
                <w:sz w:val="20"/>
              </w:rPr>
            </w:pPr>
            <w:r>
              <w:rPr>
                <w:rFonts w:ascii="Times New Roman" w:hAnsi="Times New Roman"/>
                <w:b/>
                <w:sz w:val="20"/>
              </w:rPr>
              <w:t>Convertible Notes due 2022</w:t>
            </w:r>
          </w:p>
        </w:tc>
        <w:tc>
          <w:tcPr>
            <w:tcW w:w="28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sz w:val="4"/>
                <w:szCs w:val="4"/>
              </w:rPr>
            </w:pPr>
            <w:r>
              <w:rPr>
                <w:sz w:val="4"/>
                <w:szCs w:val="4"/>
              </w:rPr>
            </w:r>
          </w:p>
        </w:tc>
        <w:tc>
          <w:tcPr>
            <w:tcW w:w="117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8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sz w:val="4"/>
                <w:szCs w:val="4"/>
              </w:rPr>
            </w:pPr>
            <w:r>
              <w:rPr>
                <w:sz w:val="4"/>
                <w:szCs w:val="4"/>
              </w:rPr>
            </w:r>
          </w:p>
        </w:tc>
        <w:tc>
          <w:tcPr>
            <w:tcW w:w="134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8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sz w:val="4"/>
                <w:szCs w:val="4"/>
              </w:rPr>
            </w:pPr>
            <w:r>
              <w:rPr>
                <w:sz w:val="4"/>
                <w:szCs w:val="4"/>
              </w:rPr>
            </w:r>
          </w:p>
        </w:tc>
        <w:tc>
          <w:tcPr>
            <w:tcW w:w="105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8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sz w:val="4"/>
                <w:szCs w:val="4"/>
              </w:rPr>
            </w:pPr>
            <w:r>
              <w:rPr>
                <w:sz w:val="4"/>
                <w:szCs w:val="4"/>
              </w:rPr>
            </w:r>
          </w:p>
        </w:tc>
        <w:tc>
          <w:tcPr>
            <w:tcW w:w="1520" w:type="dxa"/>
            <w:tcBorders/>
            <w:shd w:fill="CCEEFF" w:val="clear"/>
            <w:vAlign w:val="bottom"/>
          </w:tcPr>
          <w:p>
            <w:pPr>
              <w:pStyle w:val="TableContents"/>
              <w:spacing w:before="0" w:after="283"/>
              <w:rPr>
                <w:sz w:val="4"/>
                <w:szCs w:val="4"/>
              </w:rPr>
            </w:pPr>
            <w:r>
              <w:rPr>
                <w:sz w:val="4"/>
                <w:szCs w:val="4"/>
              </w:rPr>
            </w:r>
          </w:p>
        </w:tc>
        <w:tc>
          <w:tcPr>
            <w:tcW w:w="68" w:type="dxa"/>
            <w:tcBorders/>
            <w:shd w:fill="CCEEFF" w:val="clear"/>
            <w:vAlign w:val="bottom"/>
          </w:tcPr>
          <w:p>
            <w:pPr>
              <w:pStyle w:val="TableContents"/>
              <w:spacing w:before="0" w:after="283"/>
              <w:rPr>
                <w:sz w:val="4"/>
                <w:szCs w:val="4"/>
              </w:rPr>
            </w:pPr>
            <w:r>
              <w:rPr>
                <w:sz w:val="4"/>
                <w:szCs w:val="4"/>
              </w:rPr>
            </w:r>
          </w:p>
        </w:tc>
      </w:tr>
      <w:tr>
        <w:trPr/>
        <w:tc>
          <w:tcPr>
            <w:tcW w:w="2797" w:type="dxa"/>
            <w:tcBorders/>
            <w:shd w:fill="auto" w:val="clear"/>
          </w:tcPr>
          <w:p>
            <w:pPr>
              <w:pStyle w:val="TableContents"/>
              <w:spacing w:before="0" w:after="0"/>
              <w:rPr>
                <w:rFonts w:ascii="Times New Roman" w:hAnsi="Times New Roman"/>
                <w:sz w:val="20"/>
              </w:rPr>
            </w:pPr>
            <w:r>
              <w:rPr>
                <w:rFonts w:ascii="Times New Roman" w:hAnsi="Times New Roman"/>
                <w:sz w:val="20"/>
              </w:rPr>
              <w:t>December 31, 2022 (as of September 30, 2022 Unaudited)</w:t>
            </w:r>
          </w:p>
        </w:tc>
        <w:tc>
          <w:tcPr>
            <w:tcW w:w="28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w:t>
            </w:r>
          </w:p>
        </w:tc>
        <w:tc>
          <w:tcPr>
            <w:tcW w:w="1177"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w:t>
            </w:r>
          </w:p>
        </w:tc>
        <w:tc>
          <w:tcPr>
            <w:tcW w:w="1345"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N/A</w:t>
            </w:r>
          </w:p>
        </w:tc>
        <w:tc>
          <w:tcPr>
            <w:tcW w:w="68" w:type="dxa"/>
            <w:tcBorders/>
            <w:shd w:fill="auto" w:val="clear"/>
            <w:vAlign w:val="bottom"/>
          </w:tcPr>
          <w:p>
            <w:pPr>
              <w:pStyle w:val="TableContents"/>
              <w:spacing w:before="0" w:after="283"/>
              <w:rPr/>
            </w:pPr>
            <w:r>
              <w:rPr/>
              <w:t> </w:t>
            </w:r>
          </w:p>
        </w:tc>
      </w:tr>
      <w:tr>
        <w:trPr/>
        <w:tc>
          <w:tcPr>
            <w:tcW w:w="2797" w:type="dxa"/>
            <w:tcBorders/>
            <w:shd w:fill="CCEEFF" w:val="clear"/>
          </w:tcPr>
          <w:p>
            <w:pPr>
              <w:pStyle w:val="TableContents"/>
              <w:spacing w:before="0" w:after="0"/>
              <w:rPr>
                <w:rFonts w:ascii="Times New Roman" w:hAnsi="Times New Roman"/>
                <w:sz w:val="20"/>
              </w:rPr>
            </w:pPr>
            <w:r>
              <w:rPr>
                <w:rFonts w:ascii="Times New Roman" w:hAnsi="Times New Roman"/>
                <w:sz w:val="20"/>
              </w:rPr>
              <w:t>December 31, 2021</w:t>
            </w:r>
          </w:p>
        </w:tc>
        <w:tc>
          <w:tcPr>
            <w:tcW w:w="28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w:t>
            </w:r>
          </w:p>
        </w:tc>
        <w:tc>
          <w:tcPr>
            <w:tcW w:w="1177" w:type="dxa"/>
            <w:tcBorders/>
            <w:shd w:fill="CCEEFF" w:val="clear"/>
            <w:vAlign w:val="bottom"/>
          </w:tcPr>
          <w:p>
            <w:pPr>
              <w:pStyle w:val="TableContents"/>
              <w:spacing w:before="0" w:after="283"/>
              <w:jc w:val="right"/>
              <w:rPr/>
            </w:pPr>
            <w:r>
              <w:rPr/>
              <w:t>100.0</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w:t>
            </w:r>
          </w:p>
        </w:tc>
        <w:tc>
          <w:tcPr>
            <w:tcW w:w="1345" w:type="dxa"/>
            <w:tcBorders/>
            <w:shd w:fill="CCEEFF" w:val="clear"/>
            <w:vAlign w:val="bottom"/>
          </w:tcPr>
          <w:p>
            <w:pPr>
              <w:pStyle w:val="TableContents"/>
              <w:spacing w:before="0" w:after="283"/>
              <w:jc w:val="right"/>
              <w:rPr/>
            </w:pPr>
            <w:r>
              <w:rPr/>
              <w:t>2,053.6</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520" w:type="dxa"/>
            <w:tcBorders/>
            <w:shd w:fill="CCEEFF" w:val="clear"/>
            <w:vAlign w:val="bottom"/>
          </w:tcPr>
          <w:p>
            <w:pPr>
              <w:pStyle w:val="TableContents"/>
              <w:spacing w:before="0" w:after="283"/>
              <w:jc w:val="center"/>
              <w:rPr/>
            </w:pPr>
            <w:r>
              <w:rPr/>
              <w:t>N/A</w:t>
            </w:r>
          </w:p>
        </w:tc>
        <w:tc>
          <w:tcPr>
            <w:tcW w:w="68" w:type="dxa"/>
            <w:tcBorders/>
            <w:shd w:fill="CCEEFF" w:val="clear"/>
            <w:vAlign w:val="bottom"/>
          </w:tcPr>
          <w:p>
            <w:pPr>
              <w:pStyle w:val="TableContents"/>
              <w:spacing w:before="0" w:after="283"/>
              <w:rPr/>
            </w:pPr>
            <w:r>
              <w:rPr/>
              <w:t> </w:t>
            </w:r>
          </w:p>
        </w:tc>
      </w:tr>
      <w:tr>
        <w:trPr/>
        <w:tc>
          <w:tcPr>
            <w:tcW w:w="2797" w:type="dxa"/>
            <w:tcBorders/>
            <w:shd w:fill="auto" w:val="clear"/>
          </w:tcPr>
          <w:p>
            <w:pPr>
              <w:pStyle w:val="TableContents"/>
              <w:spacing w:before="0" w:after="0"/>
              <w:rPr>
                <w:rFonts w:ascii="Times New Roman" w:hAnsi="Times New Roman"/>
                <w:sz w:val="20"/>
              </w:rPr>
            </w:pPr>
            <w:r>
              <w:rPr>
                <w:rFonts w:ascii="Times New Roman" w:hAnsi="Times New Roman"/>
                <w:sz w:val="20"/>
              </w:rPr>
              <w:t>December 31, 2020</w:t>
            </w:r>
          </w:p>
        </w:tc>
        <w:tc>
          <w:tcPr>
            <w:tcW w:w="28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w:t>
            </w:r>
          </w:p>
        </w:tc>
        <w:tc>
          <w:tcPr>
            <w:tcW w:w="1177" w:type="dxa"/>
            <w:tcBorders/>
            <w:shd w:fill="auto" w:val="clear"/>
            <w:vAlign w:val="bottom"/>
          </w:tcPr>
          <w:p>
            <w:pPr>
              <w:pStyle w:val="TableContents"/>
              <w:spacing w:before="0" w:after="283"/>
              <w:jc w:val="right"/>
              <w:rPr/>
            </w:pPr>
            <w:r>
              <w:rPr/>
              <w:t>142.5</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w:t>
            </w:r>
          </w:p>
        </w:tc>
        <w:tc>
          <w:tcPr>
            <w:tcW w:w="1345" w:type="dxa"/>
            <w:tcBorders/>
            <w:shd w:fill="auto" w:val="clear"/>
            <w:vAlign w:val="bottom"/>
          </w:tcPr>
          <w:p>
            <w:pPr>
              <w:pStyle w:val="TableContents"/>
              <w:spacing w:before="0" w:after="283"/>
              <w:jc w:val="right"/>
              <w:rPr/>
            </w:pPr>
            <w:r>
              <w:rPr/>
              <w:t>2,045.4</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N/A</w:t>
            </w:r>
          </w:p>
        </w:tc>
        <w:tc>
          <w:tcPr>
            <w:tcW w:w="68" w:type="dxa"/>
            <w:tcBorders/>
            <w:shd w:fill="auto" w:val="clear"/>
            <w:vAlign w:val="bottom"/>
          </w:tcPr>
          <w:p>
            <w:pPr>
              <w:pStyle w:val="TableContents"/>
              <w:spacing w:before="0" w:after="283"/>
              <w:rPr/>
            </w:pPr>
            <w:r>
              <w:rPr/>
              <w:t> </w:t>
            </w:r>
          </w:p>
        </w:tc>
      </w:tr>
      <w:tr>
        <w:trPr/>
        <w:tc>
          <w:tcPr>
            <w:tcW w:w="2797" w:type="dxa"/>
            <w:tcBorders/>
            <w:shd w:fill="CCEEFF" w:val="clear"/>
          </w:tcPr>
          <w:p>
            <w:pPr>
              <w:pStyle w:val="TableContents"/>
              <w:spacing w:before="0" w:after="0"/>
              <w:rPr>
                <w:rFonts w:ascii="Times New Roman" w:hAnsi="Times New Roman"/>
                <w:sz w:val="20"/>
              </w:rPr>
            </w:pPr>
            <w:r>
              <w:rPr>
                <w:rFonts w:ascii="Times New Roman" w:hAnsi="Times New Roman"/>
                <w:sz w:val="20"/>
              </w:rPr>
              <w:t>December 31, 2019</w:t>
            </w:r>
          </w:p>
        </w:tc>
        <w:tc>
          <w:tcPr>
            <w:tcW w:w="28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w:t>
            </w:r>
          </w:p>
        </w:tc>
        <w:tc>
          <w:tcPr>
            <w:tcW w:w="1177" w:type="dxa"/>
            <w:tcBorders/>
            <w:shd w:fill="CCEEFF" w:val="clear"/>
            <w:vAlign w:val="bottom"/>
          </w:tcPr>
          <w:p>
            <w:pPr>
              <w:pStyle w:val="TableContents"/>
              <w:spacing w:before="0" w:after="283"/>
              <w:jc w:val="right"/>
              <w:rPr/>
            </w:pPr>
            <w:r>
              <w:rPr/>
              <w:t>171.9</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w:t>
            </w:r>
          </w:p>
        </w:tc>
        <w:tc>
          <w:tcPr>
            <w:tcW w:w="1345" w:type="dxa"/>
            <w:tcBorders/>
            <w:shd w:fill="CCEEFF" w:val="clear"/>
            <w:vAlign w:val="bottom"/>
          </w:tcPr>
          <w:p>
            <w:pPr>
              <w:pStyle w:val="TableContents"/>
              <w:spacing w:before="0" w:after="283"/>
              <w:jc w:val="right"/>
              <w:rPr/>
            </w:pPr>
            <w:r>
              <w:rPr/>
              <w:t>2004.1</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520" w:type="dxa"/>
            <w:tcBorders/>
            <w:shd w:fill="CCEEFF" w:val="clear"/>
            <w:vAlign w:val="bottom"/>
          </w:tcPr>
          <w:p>
            <w:pPr>
              <w:pStyle w:val="TableContents"/>
              <w:spacing w:before="0" w:after="283"/>
              <w:jc w:val="center"/>
              <w:rPr/>
            </w:pPr>
            <w:r>
              <w:rPr/>
              <w:t>N/A</w:t>
            </w:r>
          </w:p>
        </w:tc>
        <w:tc>
          <w:tcPr>
            <w:tcW w:w="68" w:type="dxa"/>
            <w:tcBorders/>
            <w:shd w:fill="CCEEFF" w:val="clear"/>
            <w:vAlign w:val="bottom"/>
          </w:tcPr>
          <w:p>
            <w:pPr>
              <w:pStyle w:val="TableContents"/>
              <w:spacing w:before="0" w:after="283"/>
              <w:rPr/>
            </w:pPr>
            <w:r>
              <w:rPr/>
              <w:t> </w:t>
            </w:r>
          </w:p>
        </w:tc>
      </w:tr>
      <w:tr>
        <w:trPr/>
        <w:tc>
          <w:tcPr>
            <w:tcW w:w="2797" w:type="dxa"/>
            <w:tcBorders/>
            <w:shd w:fill="auto" w:val="clear"/>
          </w:tcPr>
          <w:p>
            <w:pPr>
              <w:pStyle w:val="TableContents"/>
              <w:spacing w:before="0" w:after="0"/>
              <w:rPr>
                <w:rFonts w:ascii="Times New Roman" w:hAnsi="Times New Roman"/>
                <w:sz w:val="20"/>
              </w:rPr>
            </w:pPr>
            <w:r>
              <w:rPr>
                <w:rFonts w:ascii="Times New Roman" w:hAnsi="Times New Roman"/>
                <w:sz w:val="20"/>
              </w:rPr>
              <w:t>December 31, 2018</w:t>
            </w:r>
          </w:p>
        </w:tc>
        <w:tc>
          <w:tcPr>
            <w:tcW w:w="28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w:t>
            </w:r>
          </w:p>
        </w:tc>
        <w:tc>
          <w:tcPr>
            <w:tcW w:w="1177" w:type="dxa"/>
            <w:tcBorders/>
            <w:shd w:fill="auto" w:val="clear"/>
            <w:vAlign w:val="bottom"/>
          </w:tcPr>
          <w:p>
            <w:pPr>
              <w:pStyle w:val="TableContents"/>
              <w:spacing w:before="0" w:after="283"/>
              <w:jc w:val="right"/>
              <w:rPr/>
            </w:pPr>
            <w:r>
              <w:rPr/>
              <w:t>171.7</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w:t>
            </w:r>
          </w:p>
        </w:tc>
        <w:tc>
          <w:tcPr>
            <w:tcW w:w="1345" w:type="dxa"/>
            <w:tcBorders/>
            <w:shd w:fill="auto" w:val="clear"/>
            <w:vAlign w:val="bottom"/>
          </w:tcPr>
          <w:p>
            <w:pPr>
              <w:pStyle w:val="TableContents"/>
              <w:spacing w:before="0" w:after="283"/>
              <w:jc w:val="right"/>
              <w:rPr/>
            </w:pPr>
            <w:r>
              <w:rPr/>
              <w:t>2,705.2</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N/A</w:t>
            </w:r>
          </w:p>
        </w:tc>
        <w:tc>
          <w:tcPr>
            <w:tcW w:w="68" w:type="dxa"/>
            <w:tcBorders/>
            <w:shd w:fill="auto" w:val="clear"/>
            <w:vAlign w:val="bottom"/>
          </w:tcPr>
          <w:p>
            <w:pPr>
              <w:pStyle w:val="TableContents"/>
              <w:spacing w:before="0" w:after="283"/>
              <w:rPr/>
            </w:pPr>
            <w:r>
              <w:rPr/>
              <w:t> </w:t>
            </w:r>
          </w:p>
        </w:tc>
      </w:tr>
      <w:tr>
        <w:trPr/>
        <w:tc>
          <w:tcPr>
            <w:tcW w:w="2797" w:type="dxa"/>
            <w:tcBorders/>
            <w:shd w:fill="CCEEFF" w:val="clear"/>
          </w:tcPr>
          <w:p>
            <w:pPr>
              <w:pStyle w:val="TableContents"/>
              <w:spacing w:before="0" w:after="0"/>
              <w:rPr>
                <w:rFonts w:ascii="Times New Roman" w:hAnsi="Times New Roman"/>
                <w:sz w:val="20"/>
              </w:rPr>
            </w:pPr>
            <w:r>
              <w:rPr>
                <w:rFonts w:ascii="Times New Roman" w:hAnsi="Times New Roman"/>
                <w:sz w:val="20"/>
              </w:rPr>
              <w:t>December 31, 2017</w:t>
            </w:r>
          </w:p>
        </w:tc>
        <w:tc>
          <w:tcPr>
            <w:tcW w:w="28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w:t>
            </w:r>
          </w:p>
        </w:tc>
        <w:tc>
          <w:tcPr>
            <w:tcW w:w="1177" w:type="dxa"/>
            <w:tcBorders/>
            <w:shd w:fill="CCEEFF" w:val="clear"/>
            <w:vAlign w:val="bottom"/>
          </w:tcPr>
          <w:p>
            <w:pPr>
              <w:pStyle w:val="TableContents"/>
              <w:spacing w:before="0" w:after="283"/>
              <w:jc w:val="right"/>
              <w:rPr/>
            </w:pPr>
            <w:r>
              <w:rPr/>
              <w:t>114.7</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w:t>
            </w:r>
          </w:p>
        </w:tc>
        <w:tc>
          <w:tcPr>
            <w:tcW w:w="1345" w:type="dxa"/>
            <w:tcBorders/>
            <w:shd w:fill="CCEEFF" w:val="clear"/>
            <w:vAlign w:val="bottom"/>
          </w:tcPr>
          <w:p>
            <w:pPr>
              <w:pStyle w:val="TableContents"/>
              <w:spacing w:before="0" w:after="283"/>
              <w:jc w:val="right"/>
              <w:rPr/>
            </w:pPr>
            <w:r>
              <w:rPr/>
              <w:t>2,355.3</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520" w:type="dxa"/>
            <w:tcBorders/>
            <w:shd w:fill="CCEEFF" w:val="clear"/>
            <w:vAlign w:val="bottom"/>
          </w:tcPr>
          <w:p>
            <w:pPr>
              <w:pStyle w:val="TableContents"/>
              <w:spacing w:before="0" w:after="283"/>
              <w:jc w:val="center"/>
              <w:rPr/>
            </w:pPr>
            <w:r>
              <w:rPr/>
              <w:t>N/A</w:t>
            </w:r>
          </w:p>
        </w:tc>
        <w:tc>
          <w:tcPr>
            <w:tcW w:w="68" w:type="dxa"/>
            <w:tcBorders/>
            <w:shd w:fill="CCEEFF" w:val="clear"/>
            <w:vAlign w:val="bottom"/>
          </w:tcPr>
          <w:p>
            <w:pPr>
              <w:pStyle w:val="TableContents"/>
              <w:spacing w:before="0" w:after="283"/>
              <w:rPr/>
            </w:pPr>
            <w:r>
              <w:rPr/>
              <w:t> </w:t>
            </w:r>
          </w:p>
        </w:tc>
      </w:tr>
      <w:tr>
        <w:trPr/>
        <w:tc>
          <w:tcPr>
            <w:tcW w:w="2797" w:type="dxa"/>
            <w:tcBorders/>
            <w:shd w:fill="auto" w:val="clear"/>
          </w:tcPr>
          <w:p>
            <w:pPr>
              <w:pStyle w:val="TableContents"/>
              <w:spacing w:before="0" w:after="0"/>
              <w:rPr>
                <w:rFonts w:ascii="Times New Roman" w:hAnsi="Times New Roman"/>
                <w:b/>
                <w:sz w:val="20"/>
              </w:rPr>
            </w:pPr>
            <w:r>
              <w:rPr>
                <w:rFonts w:ascii="Times New Roman" w:hAnsi="Times New Roman"/>
                <w:b/>
                <w:sz w:val="20"/>
              </w:rPr>
              <w:t>2023 Notes</w:t>
            </w:r>
          </w:p>
        </w:tc>
        <w:tc>
          <w:tcPr>
            <w:tcW w:w="28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sz w:val="4"/>
                <w:szCs w:val="4"/>
              </w:rPr>
            </w:pPr>
            <w:r>
              <w:rPr>
                <w:sz w:val="4"/>
                <w:szCs w:val="4"/>
              </w:rPr>
            </w:r>
          </w:p>
        </w:tc>
        <w:tc>
          <w:tcPr>
            <w:tcW w:w="117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8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sz w:val="4"/>
                <w:szCs w:val="4"/>
              </w:rPr>
            </w:pPr>
            <w:r>
              <w:rPr>
                <w:sz w:val="4"/>
                <w:szCs w:val="4"/>
              </w:rPr>
            </w:r>
          </w:p>
        </w:tc>
        <w:tc>
          <w:tcPr>
            <w:tcW w:w="134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8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sz w:val="4"/>
                <w:szCs w:val="4"/>
              </w:rPr>
            </w:pPr>
            <w:r>
              <w:rPr>
                <w:sz w:val="4"/>
                <w:szCs w:val="4"/>
              </w:rPr>
            </w:r>
          </w:p>
        </w:tc>
        <w:tc>
          <w:tcPr>
            <w:tcW w:w="10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8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sz w:val="4"/>
                <w:szCs w:val="4"/>
              </w:rPr>
            </w:pPr>
            <w:r>
              <w:rPr>
                <w:sz w:val="4"/>
                <w:szCs w:val="4"/>
              </w:rPr>
            </w:r>
          </w:p>
        </w:tc>
        <w:tc>
          <w:tcPr>
            <w:tcW w:w="1520" w:type="dxa"/>
            <w:tcBorders/>
            <w:shd w:fill="auto" w:val="clear"/>
            <w:vAlign w:val="bottom"/>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sz w:val="4"/>
                <w:szCs w:val="4"/>
              </w:rPr>
            </w:pPr>
            <w:r>
              <w:rPr>
                <w:sz w:val="4"/>
                <w:szCs w:val="4"/>
              </w:rPr>
            </w:r>
          </w:p>
        </w:tc>
      </w:tr>
      <w:tr>
        <w:trPr/>
        <w:tc>
          <w:tcPr>
            <w:tcW w:w="2797" w:type="dxa"/>
            <w:tcBorders/>
            <w:shd w:fill="CCEEFF" w:val="clear"/>
          </w:tcPr>
          <w:p>
            <w:pPr>
              <w:pStyle w:val="TableContents"/>
              <w:spacing w:before="0" w:after="0"/>
              <w:rPr>
                <w:rFonts w:ascii="Times New Roman" w:hAnsi="Times New Roman"/>
                <w:sz w:val="20"/>
              </w:rPr>
            </w:pPr>
            <w:r>
              <w:rPr>
                <w:rFonts w:ascii="Times New Roman" w:hAnsi="Times New Roman"/>
                <w:sz w:val="20"/>
              </w:rPr>
              <w:t>December 31, 2022 (as of September 30, 2022 Unaudited)</w:t>
            </w:r>
          </w:p>
        </w:tc>
        <w:tc>
          <w:tcPr>
            <w:tcW w:w="28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w:t>
            </w:r>
          </w:p>
        </w:tc>
        <w:tc>
          <w:tcPr>
            <w:tcW w:w="1177" w:type="dxa"/>
            <w:tcBorders/>
            <w:shd w:fill="CCEEFF" w:val="clear"/>
            <w:vAlign w:val="bottom"/>
          </w:tcPr>
          <w:p>
            <w:pPr>
              <w:pStyle w:val="TableContents"/>
              <w:spacing w:before="0" w:after="283"/>
              <w:jc w:val="right"/>
              <w:rPr/>
            </w:pPr>
            <w:r>
              <w:rPr/>
              <w:t>150.0</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w:t>
            </w:r>
          </w:p>
        </w:tc>
        <w:tc>
          <w:tcPr>
            <w:tcW w:w="1345" w:type="dxa"/>
            <w:tcBorders/>
            <w:shd w:fill="CCEEFF" w:val="clear"/>
            <w:vAlign w:val="bottom"/>
          </w:tcPr>
          <w:p>
            <w:pPr>
              <w:pStyle w:val="TableContents"/>
              <w:spacing w:before="0" w:after="283"/>
              <w:jc w:val="right"/>
              <w:rPr/>
            </w:pPr>
            <w:r>
              <w:rPr/>
              <w:t>1,865.5</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520" w:type="dxa"/>
            <w:tcBorders/>
            <w:shd w:fill="CCEEFF" w:val="clear"/>
            <w:vAlign w:val="bottom"/>
          </w:tcPr>
          <w:p>
            <w:pPr>
              <w:pStyle w:val="TableContents"/>
              <w:spacing w:before="0" w:after="283"/>
              <w:jc w:val="center"/>
              <w:rPr/>
            </w:pPr>
            <w:r>
              <w:rPr/>
              <w:t>N/A</w:t>
            </w:r>
          </w:p>
        </w:tc>
        <w:tc>
          <w:tcPr>
            <w:tcW w:w="68" w:type="dxa"/>
            <w:tcBorders/>
            <w:shd w:fill="CCEEFF" w:val="clear"/>
            <w:vAlign w:val="bottom"/>
          </w:tcPr>
          <w:p>
            <w:pPr>
              <w:pStyle w:val="TableContents"/>
              <w:spacing w:before="0" w:after="283"/>
              <w:rPr/>
            </w:pPr>
            <w:r>
              <w:rPr/>
              <w:t> </w:t>
            </w:r>
          </w:p>
        </w:tc>
      </w:tr>
      <w:tr>
        <w:trPr/>
        <w:tc>
          <w:tcPr>
            <w:tcW w:w="2797" w:type="dxa"/>
            <w:tcBorders/>
            <w:shd w:fill="auto" w:val="clear"/>
          </w:tcPr>
          <w:p>
            <w:pPr>
              <w:pStyle w:val="TableContents"/>
              <w:spacing w:before="0" w:after="0"/>
              <w:rPr>
                <w:rFonts w:ascii="Times New Roman" w:hAnsi="Times New Roman"/>
                <w:sz w:val="20"/>
              </w:rPr>
            </w:pPr>
            <w:r>
              <w:rPr>
                <w:rFonts w:ascii="Times New Roman" w:hAnsi="Times New Roman"/>
                <w:sz w:val="20"/>
              </w:rPr>
              <w:t>December 31, 2021</w:t>
            </w:r>
          </w:p>
        </w:tc>
        <w:tc>
          <w:tcPr>
            <w:tcW w:w="28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w:t>
            </w:r>
          </w:p>
        </w:tc>
        <w:tc>
          <w:tcPr>
            <w:tcW w:w="1177" w:type="dxa"/>
            <w:tcBorders/>
            <w:shd w:fill="auto" w:val="clear"/>
            <w:vAlign w:val="bottom"/>
          </w:tcPr>
          <w:p>
            <w:pPr>
              <w:pStyle w:val="TableContents"/>
              <w:spacing w:before="0" w:after="283"/>
              <w:jc w:val="right"/>
              <w:rPr/>
            </w:pPr>
            <w:r>
              <w:rPr/>
              <w:t>150.0</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w:t>
            </w:r>
          </w:p>
        </w:tc>
        <w:tc>
          <w:tcPr>
            <w:tcW w:w="1345" w:type="dxa"/>
            <w:tcBorders/>
            <w:shd w:fill="auto" w:val="clear"/>
            <w:vAlign w:val="bottom"/>
          </w:tcPr>
          <w:p>
            <w:pPr>
              <w:pStyle w:val="TableContents"/>
              <w:spacing w:before="0" w:after="283"/>
              <w:jc w:val="right"/>
              <w:rPr/>
            </w:pPr>
            <w:r>
              <w:rPr/>
              <w:t>2,053.6</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N/A</w:t>
            </w:r>
          </w:p>
        </w:tc>
        <w:tc>
          <w:tcPr>
            <w:tcW w:w="68" w:type="dxa"/>
            <w:tcBorders/>
            <w:shd w:fill="auto" w:val="clear"/>
            <w:vAlign w:val="bottom"/>
          </w:tcPr>
          <w:p>
            <w:pPr>
              <w:pStyle w:val="TableContents"/>
              <w:spacing w:before="0" w:after="283"/>
              <w:rPr/>
            </w:pPr>
            <w:r>
              <w:rPr/>
              <w:t> </w:t>
            </w:r>
          </w:p>
        </w:tc>
      </w:tr>
      <w:tr>
        <w:trPr/>
        <w:tc>
          <w:tcPr>
            <w:tcW w:w="2797" w:type="dxa"/>
            <w:tcBorders/>
            <w:shd w:fill="CCEEFF" w:val="clear"/>
          </w:tcPr>
          <w:p>
            <w:pPr>
              <w:pStyle w:val="TableContents"/>
              <w:spacing w:before="0" w:after="0"/>
              <w:rPr>
                <w:rFonts w:ascii="Times New Roman" w:hAnsi="Times New Roman"/>
                <w:sz w:val="20"/>
              </w:rPr>
            </w:pPr>
            <w:r>
              <w:rPr>
                <w:rFonts w:ascii="Times New Roman" w:hAnsi="Times New Roman"/>
                <w:sz w:val="20"/>
              </w:rPr>
              <w:t>December 31, 2020</w:t>
            </w:r>
          </w:p>
        </w:tc>
        <w:tc>
          <w:tcPr>
            <w:tcW w:w="28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w:t>
            </w:r>
          </w:p>
        </w:tc>
        <w:tc>
          <w:tcPr>
            <w:tcW w:w="1177" w:type="dxa"/>
            <w:tcBorders/>
            <w:shd w:fill="CCEEFF" w:val="clear"/>
            <w:vAlign w:val="bottom"/>
          </w:tcPr>
          <w:p>
            <w:pPr>
              <w:pStyle w:val="TableContents"/>
              <w:spacing w:before="0" w:after="283"/>
              <w:jc w:val="right"/>
              <w:rPr/>
            </w:pPr>
            <w:r>
              <w:rPr/>
              <w:t>150.0</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w:t>
            </w:r>
          </w:p>
        </w:tc>
        <w:tc>
          <w:tcPr>
            <w:tcW w:w="1345" w:type="dxa"/>
            <w:tcBorders/>
            <w:shd w:fill="CCEEFF" w:val="clear"/>
            <w:vAlign w:val="bottom"/>
          </w:tcPr>
          <w:p>
            <w:pPr>
              <w:pStyle w:val="TableContents"/>
              <w:spacing w:before="0" w:after="283"/>
              <w:jc w:val="right"/>
              <w:rPr/>
            </w:pPr>
            <w:r>
              <w:rPr/>
              <w:t>2,045.4</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520" w:type="dxa"/>
            <w:tcBorders/>
            <w:shd w:fill="CCEEFF" w:val="clear"/>
            <w:vAlign w:val="bottom"/>
          </w:tcPr>
          <w:p>
            <w:pPr>
              <w:pStyle w:val="TableContents"/>
              <w:spacing w:before="0" w:after="283"/>
              <w:jc w:val="center"/>
              <w:rPr/>
            </w:pPr>
            <w:r>
              <w:rPr/>
              <w:t>N/A</w:t>
            </w:r>
          </w:p>
        </w:tc>
        <w:tc>
          <w:tcPr>
            <w:tcW w:w="68" w:type="dxa"/>
            <w:tcBorders/>
            <w:shd w:fill="CCEEFF" w:val="clear"/>
            <w:vAlign w:val="bottom"/>
          </w:tcPr>
          <w:p>
            <w:pPr>
              <w:pStyle w:val="TableContents"/>
              <w:spacing w:before="0" w:after="283"/>
              <w:rPr/>
            </w:pPr>
            <w:r>
              <w:rPr/>
              <w:t> </w:t>
            </w:r>
          </w:p>
        </w:tc>
      </w:tr>
      <w:tr>
        <w:trPr/>
        <w:tc>
          <w:tcPr>
            <w:tcW w:w="2797" w:type="dxa"/>
            <w:tcBorders/>
            <w:shd w:fill="auto" w:val="clear"/>
          </w:tcPr>
          <w:p>
            <w:pPr>
              <w:pStyle w:val="TableContents"/>
              <w:spacing w:before="0" w:after="0"/>
              <w:rPr>
                <w:rFonts w:ascii="Times New Roman" w:hAnsi="Times New Roman"/>
                <w:sz w:val="20"/>
              </w:rPr>
            </w:pPr>
            <w:r>
              <w:rPr>
                <w:rFonts w:ascii="Times New Roman" w:hAnsi="Times New Roman"/>
                <w:sz w:val="20"/>
              </w:rPr>
              <w:t>December 31, 2019</w:t>
            </w:r>
          </w:p>
        </w:tc>
        <w:tc>
          <w:tcPr>
            <w:tcW w:w="28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w:t>
            </w:r>
          </w:p>
        </w:tc>
        <w:tc>
          <w:tcPr>
            <w:tcW w:w="1177" w:type="dxa"/>
            <w:tcBorders/>
            <w:shd w:fill="auto" w:val="clear"/>
            <w:vAlign w:val="bottom"/>
          </w:tcPr>
          <w:p>
            <w:pPr>
              <w:pStyle w:val="TableContents"/>
              <w:spacing w:before="0" w:after="283"/>
              <w:jc w:val="right"/>
              <w:rPr/>
            </w:pPr>
            <w:r>
              <w:rPr/>
              <w:t>150.0</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w:t>
            </w:r>
          </w:p>
        </w:tc>
        <w:tc>
          <w:tcPr>
            <w:tcW w:w="1345" w:type="dxa"/>
            <w:tcBorders/>
            <w:shd w:fill="auto" w:val="clear"/>
            <w:vAlign w:val="bottom"/>
          </w:tcPr>
          <w:p>
            <w:pPr>
              <w:pStyle w:val="TableContents"/>
              <w:spacing w:before="0" w:after="283"/>
              <w:jc w:val="right"/>
              <w:rPr/>
            </w:pPr>
            <w:r>
              <w:rPr/>
              <w:t>2,004.1</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N/A</w:t>
            </w:r>
          </w:p>
        </w:tc>
        <w:tc>
          <w:tcPr>
            <w:tcW w:w="68" w:type="dxa"/>
            <w:tcBorders/>
            <w:shd w:fill="auto" w:val="clear"/>
            <w:vAlign w:val="bottom"/>
          </w:tcPr>
          <w:p>
            <w:pPr>
              <w:pStyle w:val="TableContents"/>
              <w:spacing w:before="0" w:after="283"/>
              <w:rPr/>
            </w:pPr>
            <w:r>
              <w:rPr/>
              <w:t> </w:t>
            </w:r>
          </w:p>
        </w:tc>
      </w:tr>
      <w:tr>
        <w:trPr/>
        <w:tc>
          <w:tcPr>
            <w:tcW w:w="2797" w:type="dxa"/>
            <w:tcBorders/>
            <w:shd w:fill="CCEEFF" w:val="clear"/>
          </w:tcPr>
          <w:p>
            <w:pPr>
              <w:pStyle w:val="TableContents"/>
              <w:spacing w:before="0" w:after="0"/>
              <w:rPr>
                <w:rFonts w:ascii="Times New Roman" w:hAnsi="Times New Roman"/>
                <w:sz w:val="20"/>
              </w:rPr>
            </w:pPr>
            <w:r>
              <w:rPr>
                <w:rFonts w:ascii="Times New Roman" w:hAnsi="Times New Roman"/>
                <w:sz w:val="20"/>
              </w:rPr>
              <w:t>December 31, 2018</w:t>
            </w:r>
          </w:p>
        </w:tc>
        <w:tc>
          <w:tcPr>
            <w:tcW w:w="28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w:t>
            </w:r>
          </w:p>
        </w:tc>
        <w:tc>
          <w:tcPr>
            <w:tcW w:w="1177" w:type="dxa"/>
            <w:tcBorders/>
            <w:shd w:fill="CCEEFF" w:val="clear"/>
            <w:vAlign w:val="bottom"/>
          </w:tcPr>
          <w:p>
            <w:pPr>
              <w:pStyle w:val="TableContents"/>
              <w:spacing w:before="0" w:after="283"/>
              <w:jc w:val="right"/>
              <w:rPr/>
            </w:pPr>
            <w:r>
              <w:rPr/>
              <w:t>150.0</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w:t>
            </w:r>
          </w:p>
        </w:tc>
        <w:tc>
          <w:tcPr>
            <w:tcW w:w="1345" w:type="dxa"/>
            <w:tcBorders/>
            <w:shd w:fill="CCEEFF" w:val="clear"/>
            <w:vAlign w:val="bottom"/>
          </w:tcPr>
          <w:p>
            <w:pPr>
              <w:pStyle w:val="TableContents"/>
              <w:spacing w:before="0" w:after="283"/>
              <w:jc w:val="right"/>
              <w:rPr/>
            </w:pPr>
            <w:r>
              <w:rPr/>
              <w:t>2,705.2</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520" w:type="dxa"/>
            <w:tcBorders/>
            <w:shd w:fill="CCEEFF" w:val="clear"/>
            <w:vAlign w:val="bottom"/>
          </w:tcPr>
          <w:p>
            <w:pPr>
              <w:pStyle w:val="TableContents"/>
              <w:spacing w:before="0" w:after="283"/>
              <w:jc w:val="center"/>
              <w:rPr/>
            </w:pPr>
            <w:r>
              <w:rPr/>
              <w:t>N/A</w:t>
            </w:r>
          </w:p>
        </w:tc>
        <w:tc>
          <w:tcPr>
            <w:tcW w:w="68" w:type="dxa"/>
            <w:tcBorders/>
            <w:shd w:fill="CCEEFF"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2797"/>
        <w:gridCol w:w="280"/>
        <w:gridCol w:w="292"/>
        <w:gridCol w:w="1177"/>
        <w:gridCol w:w="60"/>
        <w:gridCol w:w="280"/>
        <w:gridCol w:w="253"/>
        <w:gridCol w:w="1345"/>
        <w:gridCol w:w="60"/>
        <w:gridCol w:w="280"/>
        <w:gridCol w:w="195"/>
        <w:gridCol w:w="1054"/>
        <w:gridCol w:w="60"/>
        <w:gridCol w:w="280"/>
        <w:gridCol w:w="204"/>
        <w:gridCol w:w="1520"/>
        <w:gridCol w:w="68"/>
      </w:tblGrid>
      <w:tr>
        <w:trPr/>
        <w:tc>
          <w:tcPr>
            <w:tcW w:w="2797"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bottom"/>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bottom"/>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13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bottom"/>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05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bottom"/>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520" w:type="dxa"/>
            <w:tcBorders/>
            <w:shd w:fill="auto" w:val="clear"/>
            <w:vAlign w:val="center"/>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r>
      <w:tr>
        <w:trPr/>
        <w:tc>
          <w:tcPr>
            <w:tcW w:w="2797" w:type="dxa"/>
            <w:tcBorders/>
            <w:shd w:fill="auto" w:val="clear"/>
            <w:vAlign w:val="bottom"/>
          </w:tcPr>
          <w:p>
            <w:pPr>
              <w:pStyle w:val="TableContents"/>
              <w:spacing w:before="0" w:after="283"/>
              <w:rPr>
                <w:b/>
              </w:rPr>
            </w:pPr>
            <w:r>
              <w:rPr>
                <w:b/>
              </w:rPr>
              <w:t>Class and Year/Period</w:t>
            </w:r>
          </w:p>
        </w:tc>
        <w:tc>
          <w:tcPr>
            <w:tcW w:w="280" w:type="dxa"/>
            <w:tcBorders/>
            <w:shd w:fill="auto" w:val="clear"/>
            <w:vAlign w:val="bottom"/>
          </w:tcPr>
          <w:p>
            <w:pPr>
              <w:pStyle w:val="TableContents"/>
              <w:spacing w:before="0" w:after="283"/>
              <w:rPr/>
            </w:pPr>
            <w:r>
              <w:rPr/>
              <w:t>  </w:t>
            </w:r>
          </w:p>
        </w:tc>
        <w:tc>
          <w:tcPr>
            <w:tcW w:w="146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Total Amount</w:t>
              <w:br/>
              <w:t>Outstanding</w:t>
              <w:br/>
              <w:t>Exclusive of</w:t>
              <w:br/>
              <w:t>Treasury</w:t>
              <w:br/>
              <w:t>Securities(1)</w:t>
              <w:br/>
              <w:t>($ in millions)</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598"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Asset Coverage</w:t>
              <w:br/>
              <w:t>Per Unit(2)</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249"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Involuntary</w:t>
              <w:br/>
              <w:t>Liquidating</w:t>
              <w:br/>
              <w:t>Preference</w:t>
              <w:br/>
              <w:t>Per Unit(3)</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724"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Average Market</w:t>
              <w:br/>
              <w:t>Value Per Unit(4)</w:t>
            </w:r>
          </w:p>
        </w:tc>
        <w:tc>
          <w:tcPr>
            <w:tcW w:w="68" w:type="dxa"/>
            <w:tcBorders/>
            <w:shd w:fill="auto" w:val="clear"/>
            <w:vAlign w:val="bottom"/>
          </w:tcPr>
          <w:p>
            <w:pPr>
              <w:pStyle w:val="TableContents"/>
              <w:spacing w:before="0" w:after="283"/>
              <w:rPr/>
            </w:pPr>
            <w:r>
              <w:rPr/>
              <w:t> </w:t>
            </w:r>
          </w:p>
        </w:tc>
      </w:tr>
      <w:tr>
        <w:trPr/>
        <w:tc>
          <w:tcPr>
            <w:tcW w:w="2797" w:type="dxa"/>
            <w:tcBorders/>
            <w:shd w:fill="CCEEFF" w:val="clear"/>
          </w:tcPr>
          <w:p>
            <w:pPr>
              <w:pStyle w:val="TableContents"/>
              <w:spacing w:before="0" w:after="0"/>
              <w:rPr>
                <w:rFonts w:ascii="Times New Roman" w:hAnsi="Times New Roman"/>
                <w:b/>
                <w:sz w:val="20"/>
              </w:rPr>
            </w:pPr>
            <w:r>
              <w:rPr>
                <w:rFonts w:ascii="Times New Roman" w:hAnsi="Times New Roman"/>
                <w:b/>
                <w:sz w:val="20"/>
              </w:rPr>
              <w:t>2024 Notes</w:t>
            </w:r>
          </w:p>
        </w:tc>
        <w:tc>
          <w:tcPr>
            <w:tcW w:w="28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sz w:val="4"/>
                <w:szCs w:val="4"/>
              </w:rPr>
            </w:pPr>
            <w:r>
              <w:rPr>
                <w:sz w:val="4"/>
                <w:szCs w:val="4"/>
              </w:rPr>
            </w:r>
          </w:p>
        </w:tc>
        <w:tc>
          <w:tcPr>
            <w:tcW w:w="117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8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sz w:val="4"/>
                <w:szCs w:val="4"/>
              </w:rPr>
            </w:pPr>
            <w:r>
              <w:rPr>
                <w:sz w:val="4"/>
                <w:szCs w:val="4"/>
              </w:rPr>
            </w:r>
          </w:p>
        </w:tc>
        <w:tc>
          <w:tcPr>
            <w:tcW w:w="134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8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sz w:val="4"/>
                <w:szCs w:val="4"/>
              </w:rPr>
            </w:pPr>
            <w:r>
              <w:rPr>
                <w:sz w:val="4"/>
                <w:szCs w:val="4"/>
              </w:rPr>
            </w:r>
          </w:p>
        </w:tc>
        <w:tc>
          <w:tcPr>
            <w:tcW w:w="105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28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sz w:val="4"/>
                <w:szCs w:val="4"/>
              </w:rPr>
            </w:pPr>
            <w:r>
              <w:rPr>
                <w:sz w:val="4"/>
                <w:szCs w:val="4"/>
              </w:rPr>
            </w:r>
          </w:p>
        </w:tc>
        <w:tc>
          <w:tcPr>
            <w:tcW w:w="1520" w:type="dxa"/>
            <w:tcBorders/>
            <w:shd w:fill="CCEEFF" w:val="clear"/>
            <w:vAlign w:val="bottom"/>
          </w:tcPr>
          <w:p>
            <w:pPr>
              <w:pStyle w:val="TableContents"/>
              <w:spacing w:before="0" w:after="283"/>
              <w:rPr>
                <w:sz w:val="4"/>
                <w:szCs w:val="4"/>
              </w:rPr>
            </w:pPr>
            <w:r>
              <w:rPr>
                <w:sz w:val="4"/>
                <w:szCs w:val="4"/>
              </w:rPr>
            </w:r>
          </w:p>
        </w:tc>
        <w:tc>
          <w:tcPr>
            <w:tcW w:w="68" w:type="dxa"/>
            <w:tcBorders/>
            <w:shd w:fill="CCEEFF" w:val="clear"/>
            <w:vAlign w:val="bottom"/>
          </w:tcPr>
          <w:p>
            <w:pPr>
              <w:pStyle w:val="TableContents"/>
              <w:spacing w:before="0" w:after="283"/>
              <w:rPr>
                <w:sz w:val="4"/>
                <w:szCs w:val="4"/>
              </w:rPr>
            </w:pPr>
            <w:r>
              <w:rPr>
                <w:sz w:val="4"/>
                <w:szCs w:val="4"/>
              </w:rPr>
            </w:r>
          </w:p>
        </w:tc>
      </w:tr>
      <w:tr>
        <w:trPr/>
        <w:tc>
          <w:tcPr>
            <w:tcW w:w="2797" w:type="dxa"/>
            <w:tcBorders/>
            <w:shd w:fill="auto" w:val="clear"/>
          </w:tcPr>
          <w:p>
            <w:pPr>
              <w:pStyle w:val="TableContents"/>
              <w:spacing w:before="0" w:after="0"/>
              <w:rPr>
                <w:rFonts w:ascii="Times New Roman" w:hAnsi="Times New Roman"/>
                <w:sz w:val="20"/>
              </w:rPr>
            </w:pPr>
            <w:r>
              <w:rPr>
                <w:rFonts w:ascii="Times New Roman" w:hAnsi="Times New Roman"/>
                <w:sz w:val="20"/>
              </w:rPr>
              <w:t>December 31, 2022 (as of September 30, 2022 Unaudited)</w:t>
            </w:r>
          </w:p>
        </w:tc>
        <w:tc>
          <w:tcPr>
            <w:tcW w:w="28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w:t>
            </w:r>
          </w:p>
        </w:tc>
        <w:tc>
          <w:tcPr>
            <w:tcW w:w="1177" w:type="dxa"/>
            <w:tcBorders/>
            <w:shd w:fill="auto" w:val="clear"/>
            <w:vAlign w:val="bottom"/>
          </w:tcPr>
          <w:p>
            <w:pPr>
              <w:pStyle w:val="TableContents"/>
              <w:spacing w:before="0" w:after="283"/>
              <w:jc w:val="right"/>
              <w:rPr/>
            </w:pPr>
            <w:r>
              <w:rPr/>
              <w:t>346.7</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w:t>
            </w:r>
          </w:p>
        </w:tc>
        <w:tc>
          <w:tcPr>
            <w:tcW w:w="1345" w:type="dxa"/>
            <w:tcBorders/>
            <w:shd w:fill="auto" w:val="clear"/>
            <w:vAlign w:val="bottom"/>
          </w:tcPr>
          <w:p>
            <w:pPr>
              <w:pStyle w:val="TableContents"/>
              <w:spacing w:before="0" w:after="283"/>
              <w:jc w:val="right"/>
              <w:rPr/>
            </w:pPr>
            <w:r>
              <w:rPr/>
              <w:t>1,865.5</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N/A</w:t>
            </w:r>
          </w:p>
        </w:tc>
        <w:tc>
          <w:tcPr>
            <w:tcW w:w="68" w:type="dxa"/>
            <w:tcBorders/>
            <w:shd w:fill="auto" w:val="clear"/>
            <w:vAlign w:val="bottom"/>
          </w:tcPr>
          <w:p>
            <w:pPr>
              <w:pStyle w:val="TableContents"/>
              <w:spacing w:before="0" w:after="283"/>
              <w:rPr/>
            </w:pPr>
            <w:r>
              <w:rPr/>
              <w:t> </w:t>
            </w:r>
          </w:p>
        </w:tc>
      </w:tr>
      <w:tr>
        <w:trPr/>
        <w:tc>
          <w:tcPr>
            <w:tcW w:w="2797" w:type="dxa"/>
            <w:tcBorders/>
            <w:shd w:fill="CCEEFF" w:val="clear"/>
          </w:tcPr>
          <w:p>
            <w:pPr>
              <w:pStyle w:val="TableContents"/>
              <w:spacing w:before="0" w:after="0"/>
              <w:rPr>
                <w:rFonts w:ascii="Times New Roman" w:hAnsi="Times New Roman"/>
                <w:sz w:val="20"/>
              </w:rPr>
            </w:pPr>
            <w:r>
              <w:rPr>
                <w:rFonts w:ascii="Times New Roman" w:hAnsi="Times New Roman"/>
                <w:sz w:val="20"/>
              </w:rPr>
              <w:t>December 31, 2021</w:t>
            </w:r>
          </w:p>
        </w:tc>
        <w:tc>
          <w:tcPr>
            <w:tcW w:w="28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w:t>
            </w:r>
          </w:p>
        </w:tc>
        <w:tc>
          <w:tcPr>
            <w:tcW w:w="1177" w:type="dxa"/>
            <w:tcBorders/>
            <w:shd w:fill="CCEEFF" w:val="clear"/>
            <w:vAlign w:val="bottom"/>
          </w:tcPr>
          <w:p>
            <w:pPr>
              <w:pStyle w:val="TableContents"/>
              <w:spacing w:before="0" w:after="283"/>
              <w:jc w:val="right"/>
              <w:rPr/>
            </w:pPr>
            <w:r>
              <w:rPr/>
              <w:t>346.4</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w:t>
            </w:r>
          </w:p>
        </w:tc>
        <w:tc>
          <w:tcPr>
            <w:tcW w:w="1345" w:type="dxa"/>
            <w:tcBorders/>
            <w:shd w:fill="CCEEFF" w:val="clear"/>
            <w:vAlign w:val="bottom"/>
          </w:tcPr>
          <w:p>
            <w:pPr>
              <w:pStyle w:val="TableContents"/>
              <w:spacing w:before="0" w:after="283"/>
              <w:jc w:val="right"/>
              <w:rPr/>
            </w:pPr>
            <w:r>
              <w:rPr/>
              <w:t>2,053.6</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520" w:type="dxa"/>
            <w:tcBorders/>
            <w:shd w:fill="CCEEFF" w:val="clear"/>
            <w:vAlign w:val="bottom"/>
          </w:tcPr>
          <w:p>
            <w:pPr>
              <w:pStyle w:val="TableContents"/>
              <w:spacing w:before="0" w:after="283"/>
              <w:jc w:val="center"/>
              <w:rPr/>
            </w:pPr>
            <w:r>
              <w:rPr/>
              <w:t>N/A</w:t>
            </w:r>
          </w:p>
        </w:tc>
        <w:tc>
          <w:tcPr>
            <w:tcW w:w="68" w:type="dxa"/>
            <w:tcBorders/>
            <w:shd w:fill="CCEEFF" w:val="clear"/>
            <w:vAlign w:val="bottom"/>
          </w:tcPr>
          <w:p>
            <w:pPr>
              <w:pStyle w:val="TableContents"/>
              <w:spacing w:before="0" w:after="283"/>
              <w:rPr/>
            </w:pPr>
            <w:r>
              <w:rPr/>
              <w:t> </w:t>
            </w:r>
          </w:p>
        </w:tc>
      </w:tr>
      <w:tr>
        <w:trPr/>
        <w:tc>
          <w:tcPr>
            <w:tcW w:w="2797" w:type="dxa"/>
            <w:tcBorders/>
            <w:shd w:fill="auto" w:val="clear"/>
          </w:tcPr>
          <w:p>
            <w:pPr>
              <w:pStyle w:val="TableContents"/>
              <w:spacing w:before="0" w:after="0"/>
              <w:rPr>
                <w:rFonts w:ascii="Times New Roman" w:hAnsi="Times New Roman"/>
                <w:sz w:val="20"/>
              </w:rPr>
            </w:pPr>
            <w:r>
              <w:rPr>
                <w:rFonts w:ascii="Times New Roman" w:hAnsi="Times New Roman"/>
                <w:sz w:val="20"/>
              </w:rPr>
              <w:t>December 31, 2020</w:t>
            </w:r>
          </w:p>
        </w:tc>
        <w:tc>
          <w:tcPr>
            <w:tcW w:w="28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w:t>
            </w:r>
          </w:p>
        </w:tc>
        <w:tc>
          <w:tcPr>
            <w:tcW w:w="1177" w:type="dxa"/>
            <w:tcBorders/>
            <w:shd w:fill="auto" w:val="clear"/>
            <w:vAlign w:val="bottom"/>
          </w:tcPr>
          <w:p>
            <w:pPr>
              <w:pStyle w:val="TableContents"/>
              <w:spacing w:before="0" w:after="283"/>
              <w:jc w:val="right"/>
              <w:rPr/>
            </w:pPr>
            <w:r>
              <w:rPr/>
              <w:t>346.1</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w:t>
            </w:r>
          </w:p>
        </w:tc>
        <w:tc>
          <w:tcPr>
            <w:tcW w:w="1345" w:type="dxa"/>
            <w:tcBorders/>
            <w:shd w:fill="auto" w:val="clear"/>
            <w:vAlign w:val="bottom"/>
          </w:tcPr>
          <w:p>
            <w:pPr>
              <w:pStyle w:val="TableContents"/>
              <w:spacing w:before="0" w:after="283"/>
              <w:jc w:val="right"/>
              <w:rPr/>
            </w:pPr>
            <w:r>
              <w:rPr/>
              <w:t>2,045.4</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N/A</w:t>
            </w:r>
          </w:p>
        </w:tc>
        <w:tc>
          <w:tcPr>
            <w:tcW w:w="68" w:type="dxa"/>
            <w:tcBorders/>
            <w:shd w:fill="auto" w:val="clear"/>
            <w:vAlign w:val="bottom"/>
          </w:tcPr>
          <w:p>
            <w:pPr>
              <w:pStyle w:val="TableContents"/>
              <w:spacing w:before="0" w:after="283"/>
              <w:rPr/>
            </w:pPr>
            <w:r>
              <w:rPr/>
              <w:t> </w:t>
            </w:r>
          </w:p>
        </w:tc>
      </w:tr>
      <w:tr>
        <w:trPr/>
        <w:tc>
          <w:tcPr>
            <w:tcW w:w="2797" w:type="dxa"/>
            <w:tcBorders/>
            <w:shd w:fill="CCEEFF" w:val="clear"/>
          </w:tcPr>
          <w:p>
            <w:pPr>
              <w:pStyle w:val="TableContents"/>
              <w:spacing w:before="0" w:after="0"/>
              <w:rPr>
                <w:rFonts w:ascii="Times New Roman" w:hAnsi="Times New Roman"/>
                <w:sz w:val="20"/>
              </w:rPr>
            </w:pPr>
            <w:r>
              <w:rPr>
                <w:rFonts w:ascii="Times New Roman" w:hAnsi="Times New Roman"/>
                <w:sz w:val="20"/>
              </w:rPr>
              <w:t>December 31, 2019</w:t>
            </w:r>
          </w:p>
        </w:tc>
        <w:tc>
          <w:tcPr>
            <w:tcW w:w="28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w:t>
            </w:r>
          </w:p>
        </w:tc>
        <w:tc>
          <w:tcPr>
            <w:tcW w:w="1177" w:type="dxa"/>
            <w:tcBorders/>
            <w:shd w:fill="CCEEFF" w:val="clear"/>
            <w:vAlign w:val="bottom"/>
          </w:tcPr>
          <w:p>
            <w:pPr>
              <w:pStyle w:val="TableContents"/>
              <w:spacing w:before="0" w:after="283"/>
              <w:jc w:val="right"/>
              <w:rPr/>
            </w:pPr>
            <w:r>
              <w:rPr/>
              <w:t>297.2</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w:t>
            </w:r>
          </w:p>
        </w:tc>
        <w:tc>
          <w:tcPr>
            <w:tcW w:w="1345" w:type="dxa"/>
            <w:tcBorders/>
            <w:shd w:fill="CCEEFF" w:val="clear"/>
            <w:vAlign w:val="bottom"/>
          </w:tcPr>
          <w:p>
            <w:pPr>
              <w:pStyle w:val="TableContents"/>
              <w:spacing w:before="0" w:after="283"/>
              <w:jc w:val="right"/>
              <w:rPr/>
            </w:pPr>
            <w:r>
              <w:rPr/>
              <w:t>2,004.1</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520" w:type="dxa"/>
            <w:tcBorders/>
            <w:shd w:fill="CCEEFF" w:val="clear"/>
            <w:vAlign w:val="bottom"/>
          </w:tcPr>
          <w:p>
            <w:pPr>
              <w:pStyle w:val="TableContents"/>
              <w:spacing w:before="0" w:after="283"/>
              <w:jc w:val="center"/>
              <w:rPr/>
            </w:pPr>
            <w:r>
              <w:rPr/>
              <w:t>N/A</w:t>
            </w:r>
          </w:p>
        </w:tc>
        <w:tc>
          <w:tcPr>
            <w:tcW w:w="68" w:type="dxa"/>
            <w:tcBorders/>
            <w:shd w:fill="CCEEFF" w:val="clear"/>
            <w:vAlign w:val="bottom"/>
          </w:tcPr>
          <w:p>
            <w:pPr>
              <w:pStyle w:val="TableContents"/>
              <w:spacing w:before="0" w:after="283"/>
              <w:rPr/>
            </w:pPr>
            <w:r>
              <w:rPr/>
              <w:t> </w:t>
            </w:r>
          </w:p>
        </w:tc>
      </w:tr>
      <w:tr>
        <w:trPr/>
        <w:tc>
          <w:tcPr>
            <w:tcW w:w="2797" w:type="dxa"/>
            <w:tcBorders/>
            <w:shd w:fill="auto" w:val="clear"/>
          </w:tcPr>
          <w:p>
            <w:pPr>
              <w:pStyle w:val="TableContents"/>
              <w:spacing w:before="0" w:after="0"/>
              <w:rPr>
                <w:rFonts w:ascii="Times New Roman" w:hAnsi="Times New Roman"/>
                <w:b/>
                <w:sz w:val="20"/>
              </w:rPr>
            </w:pPr>
            <w:r>
              <w:rPr>
                <w:rFonts w:ascii="Times New Roman" w:hAnsi="Times New Roman"/>
                <w:b/>
                <w:sz w:val="20"/>
              </w:rPr>
              <w:t>2026 Notes</w:t>
            </w:r>
          </w:p>
        </w:tc>
        <w:tc>
          <w:tcPr>
            <w:tcW w:w="28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sz w:val="4"/>
                <w:szCs w:val="4"/>
              </w:rPr>
            </w:pPr>
            <w:r>
              <w:rPr>
                <w:sz w:val="4"/>
                <w:szCs w:val="4"/>
              </w:rPr>
            </w:r>
          </w:p>
        </w:tc>
        <w:tc>
          <w:tcPr>
            <w:tcW w:w="117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8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sz w:val="4"/>
                <w:szCs w:val="4"/>
              </w:rPr>
            </w:pPr>
            <w:r>
              <w:rPr>
                <w:sz w:val="4"/>
                <w:szCs w:val="4"/>
              </w:rPr>
            </w:r>
          </w:p>
        </w:tc>
        <w:tc>
          <w:tcPr>
            <w:tcW w:w="134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8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sz w:val="4"/>
                <w:szCs w:val="4"/>
              </w:rPr>
            </w:pPr>
            <w:r>
              <w:rPr>
                <w:sz w:val="4"/>
                <w:szCs w:val="4"/>
              </w:rPr>
            </w:r>
          </w:p>
        </w:tc>
        <w:tc>
          <w:tcPr>
            <w:tcW w:w="105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8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sz w:val="4"/>
                <w:szCs w:val="4"/>
              </w:rPr>
            </w:pPr>
            <w:r>
              <w:rPr>
                <w:sz w:val="4"/>
                <w:szCs w:val="4"/>
              </w:rPr>
            </w:r>
          </w:p>
        </w:tc>
        <w:tc>
          <w:tcPr>
            <w:tcW w:w="1520" w:type="dxa"/>
            <w:tcBorders/>
            <w:shd w:fill="auto" w:val="clear"/>
            <w:vAlign w:val="bottom"/>
          </w:tcPr>
          <w:p>
            <w:pPr>
              <w:pStyle w:val="TableContents"/>
              <w:spacing w:before="0" w:after="283"/>
              <w:rPr>
                <w:sz w:val="4"/>
                <w:szCs w:val="4"/>
              </w:rPr>
            </w:pPr>
            <w:r>
              <w:rPr>
                <w:sz w:val="4"/>
                <w:szCs w:val="4"/>
              </w:rPr>
            </w:r>
          </w:p>
        </w:tc>
        <w:tc>
          <w:tcPr>
            <w:tcW w:w="68" w:type="dxa"/>
            <w:tcBorders/>
            <w:shd w:fill="auto" w:val="clear"/>
            <w:vAlign w:val="bottom"/>
          </w:tcPr>
          <w:p>
            <w:pPr>
              <w:pStyle w:val="TableContents"/>
              <w:spacing w:before="0" w:after="283"/>
              <w:rPr>
                <w:sz w:val="4"/>
                <w:szCs w:val="4"/>
              </w:rPr>
            </w:pPr>
            <w:r>
              <w:rPr>
                <w:sz w:val="4"/>
                <w:szCs w:val="4"/>
              </w:rPr>
            </w:r>
          </w:p>
        </w:tc>
      </w:tr>
      <w:tr>
        <w:trPr/>
        <w:tc>
          <w:tcPr>
            <w:tcW w:w="2797" w:type="dxa"/>
            <w:tcBorders/>
            <w:shd w:fill="CCEEFF" w:val="clear"/>
          </w:tcPr>
          <w:p>
            <w:pPr>
              <w:pStyle w:val="TableContents"/>
              <w:spacing w:before="0" w:after="0"/>
              <w:rPr>
                <w:rFonts w:ascii="Times New Roman" w:hAnsi="Times New Roman"/>
                <w:sz w:val="20"/>
              </w:rPr>
            </w:pPr>
            <w:r>
              <w:rPr>
                <w:rFonts w:ascii="Times New Roman" w:hAnsi="Times New Roman"/>
                <w:sz w:val="20"/>
              </w:rPr>
              <w:t>December 31, 2022 (as of September 30, 2022 Unaudited)</w:t>
            </w:r>
          </w:p>
        </w:tc>
        <w:tc>
          <w:tcPr>
            <w:tcW w:w="280" w:type="dxa"/>
            <w:tcBorders/>
            <w:shd w:fill="CCEEFF" w:val="clear"/>
            <w:vAlign w:val="bottom"/>
          </w:tcPr>
          <w:p>
            <w:pPr>
              <w:pStyle w:val="TableContents"/>
              <w:spacing w:before="0" w:after="283"/>
              <w:rPr/>
            </w:pPr>
            <w:r>
              <w:rPr/>
              <w:t>  </w:t>
            </w:r>
          </w:p>
        </w:tc>
        <w:tc>
          <w:tcPr>
            <w:tcW w:w="292" w:type="dxa"/>
            <w:tcBorders/>
            <w:shd w:fill="CCEEFF" w:val="clear"/>
            <w:vAlign w:val="bottom"/>
          </w:tcPr>
          <w:p>
            <w:pPr>
              <w:pStyle w:val="TableContents"/>
              <w:spacing w:before="0" w:after="283"/>
              <w:rPr/>
            </w:pPr>
            <w:r>
              <w:rPr/>
              <w:t>$</w:t>
            </w:r>
          </w:p>
        </w:tc>
        <w:tc>
          <w:tcPr>
            <w:tcW w:w="1177" w:type="dxa"/>
            <w:tcBorders/>
            <w:shd w:fill="CCEEFF" w:val="clear"/>
            <w:vAlign w:val="bottom"/>
          </w:tcPr>
          <w:p>
            <w:pPr>
              <w:pStyle w:val="TableContents"/>
              <w:spacing w:before="0" w:after="283"/>
              <w:jc w:val="right"/>
              <w:rPr/>
            </w:pPr>
            <w:r>
              <w:rPr/>
              <w:t>298.4</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53" w:type="dxa"/>
            <w:tcBorders/>
            <w:shd w:fill="CCEEFF" w:val="clear"/>
            <w:vAlign w:val="bottom"/>
          </w:tcPr>
          <w:p>
            <w:pPr>
              <w:pStyle w:val="TableContents"/>
              <w:spacing w:before="0" w:after="283"/>
              <w:rPr/>
            </w:pPr>
            <w:r>
              <w:rPr/>
              <w:t>$</w:t>
            </w:r>
          </w:p>
        </w:tc>
        <w:tc>
          <w:tcPr>
            <w:tcW w:w="1345" w:type="dxa"/>
            <w:tcBorders/>
            <w:shd w:fill="CCEEFF" w:val="clear"/>
            <w:vAlign w:val="bottom"/>
          </w:tcPr>
          <w:p>
            <w:pPr>
              <w:pStyle w:val="TableContents"/>
              <w:spacing w:before="0" w:after="283"/>
              <w:jc w:val="right"/>
              <w:rPr/>
            </w:pPr>
            <w:r>
              <w:rPr/>
              <w:t>1,865.5</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195" w:type="dxa"/>
            <w:tcBorders/>
            <w:shd w:fill="CCEEFF" w:val="clear"/>
            <w:vAlign w:val="bottom"/>
          </w:tcPr>
          <w:p>
            <w:pPr>
              <w:pStyle w:val="TableContents"/>
              <w:spacing w:before="0" w:after="283"/>
              <w:rPr/>
            </w:pPr>
            <w:r>
              <w:rPr/>
              <w:t> </w:t>
            </w:r>
          </w:p>
        </w:tc>
        <w:tc>
          <w:tcPr>
            <w:tcW w:w="105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280" w:type="dxa"/>
            <w:tcBorders/>
            <w:shd w:fill="CCEEFF" w:val="clear"/>
            <w:vAlign w:val="bottom"/>
          </w:tcPr>
          <w:p>
            <w:pPr>
              <w:pStyle w:val="TableContents"/>
              <w:spacing w:before="0" w:after="283"/>
              <w:rPr/>
            </w:pPr>
            <w:r>
              <w:rPr/>
              <w:t>  </w:t>
            </w:r>
          </w:p>
        </w:tc>
        <w:tc>
          <w:tcPr>
            <w:tcW w:w="204" w:type="dxa"/>
            <w:tcBorders/>
            <w:shd w:fill="CCEEFF" w:val="clear"/>
            <w:vAlign w:val="bottom"/>
          </w:tcPr>
          <w:p>
            <w:pPr>
              <w:pStyle w:val="TableContents"/>
              <w:spacing w:before="0" w:after="283"/>
              <w:rPr/>
            </w:pPr>
            <w:r>
              <w:rPr/>
              <w:t> </w:t>
            </w:r>
          </w:p>
        </w:tc>
        <w:tc>
          <w:tcPr>
            <w:tcW w:w="1520" w:type="dxa"/>
            <w:tcBorders/>
            <w:shd w:fill="CCEEFF" w:val="clear"/>
            <w:vAlign w:val="bottom"/>
          </w:tcPr>
          <w:p>
            <w:pPr>
              <w:pStyle w:val="TableContents"/>
              <w:spacing w:before="0" w:after="283"/>
              <w:jc w:val="center"/>
              <w:rPr/>
            </w:pPr>
            <w:r>
              <w:rPr/>
              <w:t>N/A</w:t>
            </w:r>
          </w:p>
        </w:tc>
        <w:tc>
          <w:tcPr>
            <w:tcW w:w="68" w:type="dxa"/>
            <w:tcBorders/>
            <w:shd w:fill="CCEEFF" w:val="clear"/>
            <w:vAlign w:val="bottom"/>
          </w:tcPr>
          <w:p>
            <w:pPr>
              <w:pStyle w:val="TableContents"/>
              <w:spacing w:before="0" w:after="283"/>
              <w:rPr/>
            </w:pPr>
            <w:r>
              <w:rPr/>
              <w:t> </w:t>
            </w:r>
          </w:p>
        </w:tc>
      </w:tr>
      <w:tr>
        <w:trPr/>
        <w:tc>
          <w:tcPr>
            <w:tcW w:w="2797" w:type="dxa"/>
            <w:tcBorders/>
            <w:shd w:fill="auto" w:val="clear"/>
          </w:tcPr>
          <w:p>
            <w:pPr>
              <w:pStyle w:val="TableContents"/>
              <w:spacing w:before="0" w:after="0"/>
              <w:rPr>
                <w:rFonts w:ascii="Times New Roman" w:hAnsi="Times New Roman"/>
                <w:sz w:val="20"/>
              </w:rPr>
            </w:pPr>
            <w:r>
              <w:rPr>
                <w:rFonts w:ascii="Times New Roman" w:hAnsi="Times New Roman"/>
                <w:sz w:val="20"/>
              </w:rPr>
              <w:t>December 31, 2021</w:t>
            </w:r>
          </w:p>
        </w:tc>
        <w:tc>
          <w:tcPr>
            <w:tcW w:w="280" w:type="dxa"/>
            <w:tcBorders/>
            <w:shd w:fill="auto" w:val="clear"/>
            <w:vAlign w:val="bottom"/>
          </w:tcPr>
          <w:p>
            <w:pPr>
              <w:pStyle w:val="TableContents"/>
              <w:spacing w:before="0" w:after="283"/>
              <w:rPr/>
            </w:pPr>
            <w:r>
              <w:rPr/>
              <w:t>  </w:t>
            </w:r>
          </w:p>
        </w:tc>
        <w:tc>
          <w:tcPr>
            <w:tcW w:w="292" w:type="dxa"/>
            <w:tcBorders/>
            <w:shd w:fill="auto" w:val="clear"/>
            <w:vAlign w:val="bottom"/>
          </w:tcPr>
          <w:p>
            <w:pPr>
              <w:pStyle w:val="TableContents"/>
              <w:spacing w:before="0" w:after="283"/>
              <w:rPr/>
            </w:pPr>
            <w:r>
              <w:rPr/>
              <w:t>$</w:t>
            </w:r>
          </w:p>
        </w:tc>
        <w:tc>
          <w:tcPr>
            <w:tcW w:w="1177" w:type="dxa"/>
            <w:tcBorders/>
            <w:shd w:fill="auto" w:val="clear"/>
            <w:vAlign w:val="bottom"/>
          </w:tcPr>
          <w:p>
            <w:pPr>
              <w:pStyle w:val="TableContents"/>
              <w:spacing w:before="0" w:after="283"/>
              <w:jc w:val="right"/>
              <w:rPr/>
            </w:pPr>
            <w:r>
              <w:rPr/>
              <w:t>298.1</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53" w:type="dxa"/>
            <w:tcBorders/>
            <w:shd w:fill="auto" w:val="clear"/>
            <w:vAlign w:val="bottom"/>
          </w:tcPr>
          <w:p>
            <w:pPr>
              <w:pStyle w:val="TableContents"/>
              <w:spacing w:before="0" w:after="283"/>
              <w:rPr/>
            </w:pPr>
            <w:r>
              <w:rPr/>
              <w:t>$</w:t>
            </w:r>
          </w:p>
        </w:tc>
        <w:tc>
          <w:tcPr>
            <w:tcW w:w="1345" w:type="dxa"/>
            <w:tcBorders/>
            <w:shd w:fill="auto" w:val="clear"/>
            <w:vAlign w:val="bottom"/>
          </w:tcPr>
          <w:p>
            <w:pPr>
              <w:pStyle w:val="TableContents"/>
              <w:spacing w:before="0" w:after="283"/>
              <w:jc w:val="right"/>
              <w:rPr/>
            </w:pPr>
            <w:r>
              <w:rPr/>
              <w:t>2,053.6</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195" w:type="dxa"/>
            <w:tcBorders/>
            <w:shd w:fill="auto" w:val="clear"/>
            <w:vAlign w:val="bottom"/>
          </w:tcPr>
          <w:p>
            <w:pPr>
              <w:pStyle w:val="TableContents"/>
              <w:spacing w:before="0" w:after="283"/>
              <w:rPr/>
            </w:pPr>
            <w:r>
              <w:rPr/>
              <w:t> </w:t>
            </w:r>
          </w:p>
        </w:tc>
        <w:tc>
          <w:tcPr>
            <w:tcW w:w="105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280" w:type="dxa"/>
            <w:tcBorders/>
            <w:shd w:fill="auto" w:val="clear"/>
            <w:vAlign w:val="bottom"/>
          </w:tcPr>
          <w:p>
            <w:pPr>
              <w:pStyle w:val="TableContents"/>
              <w:spacing w:before="0" w:after="283"/>
              <w:rPr/>
            </w:pPr>
            <w:r>
              <w:rPr/>
              <w:t>  </w:t>
            </w:r>
          </w:p>
        </w:tc>
        <w:tc>
          <w:tcPr>
            <w:tcW w:w="204" w:type="dxa"/>
            <w:tcBorders/>
            <w:shd w:fill="auto" w:val="clear"/>
            <w:vAlign w:val="bottom"/>
          </w:tcPr>
          <w:p>
            <w:pPr>
              <w:pStyle w:val="TableContents"/>
              <w:spacing w:before="0" w:after="283"/>
              <w:rPr/>
            </w:pPr>
            <w:r>
              <w:rPr/>
              <w:t> </w:t>
            </w:r>
          </w:p>
        </w:tc>
        <w:tc>
          <w:tcPr>
            <w:tcW w:w="1520" w:type="dxa"/>
            <w:tcBorders/>
            <w:shd w:fill="auto" w:val="clear"/>
            <w:vAlign w:val="bottom"/>
          </w:tcPr>
          <w:p>
            <w:pPr>
              <w:pStyle w:val="TableContents"/>
              <w:spacing w:before="0" w:after="283"/>
              <w:jc w:val="center"/>
              <w:rPr/>
            </w:pPr>
            <w:r>
              <w:rPr/>
              <w:t>N/A</w:t>
            </w:r>
          </w:p>
        </w:tc>
        <w:tc>
          <w:tcPr>
            <w:tcW w:w="68" w:type="dxa"/>
            <w:tcBorders/>
            <w:shd w:fill="auto" w:val="clear"/>
            <w:vAlign w:val="bottom"/>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Total amount of each class of senior securities outstanding at carrying value, excluding the impact of deferred financing costs, at the end of the period presented.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(4)</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Not applicable because the senior securities are not registered for public trading.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2" w:name="rom451583_14"/>
      <w:bookmarkEnd w:id="22"/>
      <w:r>
        <w:rPr>
          <w:rFonts w:ascii="Times New Roman" w:hAnsi="Times New Roman"/>
          <w:b/>
          <w:sz w:val="20"/>
        </w:rPr>
        <w:t xml:space="preserve">PORTFOLIO COMPANIES </w:t>
      </w:r>
    </w:p>
    <w:p>
      <w:pPr>
        <w:pStyle w:val="TextBody"/>
        <w:spacing w:before="240" w:after="0"/>
        <w:rPr>
          <w:rFonts w:ascii="Times New Roman" w:hAnsi="Times New Roman"/>
          <w:sz w:val="20"/>
        </w:rPr>
      </w:pPr>
      <w:r>
        <w:rPr>
          <w:rFonts w:ascii="Times New Roman" w:hAnsi="Times New Roman"/>
          <w:sz w:val="20"/>
        </w:rPr>
        <w:t xml:space="preserve">The table set forth below contains certain information as of September 30, 2022 for each portfolio company in which we had an investment. Other than these investments, our only formal relationships with our portfolio companies are the managerial assistance that we may provide upon request and any board observer or participation rights we may receive in connection with our investment. In this table, we have further specified our descriptions of certain investments to indicate whether they are Debt Investments such as first-lien or second-lien loans, unsecured notes, or bonds, or they are Equity or Other Investments such as common equity, preferred equity, or equity warrants. We either originated or purchased in the secondary market the Debt Investments and Equity or Other Investments in our current portfolio. </w:t>
      </w:r>
    </w:p>
    <w:p>
      <w:pPr>
        <w:pStyle w:val="TextBody"/>
        <w:spacing w:before="0" w:after="0"/>
        <w:rPr/>
      </w:pPr>
      <w:r>
        <w:rPr/>
        <w:t> </w:t>
      </w:r>
    </w:p>
    <w:tbl>
      <w:tblPr>
        <w:tblW w:w="17215" w:type="dxa"/>
        <w:jc w:val="center"/>
        <w:tblInd w:w="0" w:type="dxa"/>
        <w:tblCellMar>
          <w:top w:w="0" w:type="dxa"/>
          <w:left w:w="0" w:type="dxa"/>
          <w:bottom w:w="0" w:type="dxa"/>
          <w:right w:w="0" w:type="dxa"/>
        </w:tblCellMar>
      </w:tblPr>
      <w:tblGrid>
        <w:gridCol w:w="2270"/>
        <w:gridCol w:w="60"/>
        <w:gridCol w:w="4955"/>
        <w:gridCol w:w="60"/>
        <w:gridCol w:w="60"/>
        <w:gridCol w:w="1115"/>
        <w:gridCol w:w="60"/>
        <w:gridCol w:w="60"/>
        <w:gridCol w:w="60"/>
        <w:gridCol w:w="1310"/>
        <w:gridCol w:w="275"/>
        <w:gridCol w:w="60"/>
        <w:gridCol w:w="2615"/>
        <w:gridCol w:w="60"/>
        <w:gridCol w:w="163"/>
        <w:gridCol w:w="937"/>
        <w:gridCol w:w="60"/>
        <w:gridCol w:w="60"/>
        <w:gridCol w:w="150"/>
        <w:gridCol w:w="1040"/>
        <w:gridCol w:w="125"/>
        <w:gridCol w:w="60"/>
        <w:gridCol w:w="159"/>
        <w:gridCol w:w="1166"/>
        <w:gridCol w:w="275"/>
      </w:tblGrid>
      <w:tr>
        <w:trPr/>
        <w:tc>
          <w:tcPr>
            <w:tcW w:w="22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9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1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6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93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16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2270" w:type="dxa"/>
            <w:tcBorders/>
            <w:shd w:fill="auto" w:val="clear"/>
            <w:vAlign w:val="bottom"/>
          </w:tcPr>
          <w:p>
            <w:pPr>
              <w:pStyle w:val="TableContents"/>
              <w:pBdr>
                <w:bottom w:val="single" w:sz="8" w:space="1" w:color="000000"/>
              </w:pBdr>
              <w:spacing w:before="0" w:after="0"/>
              <w:rPr>
                <w:rFonts w:ascii="Times New Roman" w:hAnsi="Times New Roman"/>
                <w:b/>
                <w:sz w:val="14"/>
              </w:rPr>
            </w:pPr>
            <w:r>
              <w:rPr>
                <w:rFonts w:ascii="Times New Roman" w:hAnsi="Times New Roman"/>
                <w:b/>
                <w:sz w:val="14"/>
              </w:rPr>
              <w:t>Company(1)(6)</w:t>
            </w:r>
          </w:p>
        </w:tc>
        <w:tc>
          <w:tcPr>
            <w:tcW w:w="60" w:type="dxa"/>
            <w:tcBorders/>
            <w:shd w:fill="auto" w:val="clear"/>
            <w:vAlign w:val="bottom"/>
          </w:tcPr>
          <w:p>
            <w:pPr>
              <w:pStyle w:val="TableContents"/>
              <w:spacing w:before="0" w:after="283"/>
              <w:rPr/>
            </w:pPr>
            <w:r>
              <w:rPr/>
              <w:t> </w:t>
            </w:r>
          </w:p>
        </w:tc>
        <w:tc>
          <w:tcPr>
            <w:tcW w:w="4955"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4"/>
              </w:rPr>
            </w:pPr>
            <w:r>
              <w:rPr>
                <w:rFonts w:ascii="Times New Roman" w:hAnsi="Times New Roman"/>
                <w:b/>
                <w:sz w:val="14"/>
              </w:rPr>
              <w:t>Investment</w:t>
            </w:r>
          </w:p>
        </w:tc>
        <w:tc>
          <w:tcPr>
            <w:tcW w:w="60" w:type="dxa"/>
            <w:tcBorders/>
            <w:shd w:fill="auto" w:val="clear"/>
            <w:vAlign w:val="bottom"/>
          </w:tcPr>
          <w:p>
            <w:pPr>
              <w:pStyle w:val="TableContents"/>
              <w:spacing w:before="0" w:after="283"/>
              <w:rPr/>
            </w:pPr>
            <w:r>
              <w:rPr/>
              <w:t> </w:t>
            </w:r>
          </w:p>
        </w:tc>
        <w:tc>
          <w:tcPr>
            <w:tcW w:w="11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Initial</w:t>
              <w:br/>
              <w:t>Acquisition</w:t>
              <w:br/>
              <w:t>Date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7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Reference</w:t>
              <w:br/>
              <w:t>Rate and</w:t>
              <w:br/>
              <w:t>Spread</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5"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4"/>
              </w:rPr>
            </w:pPr>
            <w:r>
              <w:rPr>
                <w:rFonts w:ascii="Times New Roman" w:hAnsi="Times New Roman"/>
                <w:b/>
                <w:sz w:val="14"/>
              </w:rPr>
              <w:t>Interest Rate</w:t>
            </w:r>
          </w:p>
        </w:tc>
        <w:tc>
          <w:tcPr>
            <w:tcW w:w="60" w:type="dxa"/>
            <w:tcBorders/>
            <w:shd w:fill="auto" w:val="clear"/>
            <w:vAlign w:val="bottom"/>
          </w:tcPr>
          <w:p>
            <w:pPr>
              <w:pStyle w:val="TableContents"/>
              <w:spacing w:before="0" w:after="283"/>
              <w:rPr/>
            </w:pPr>
            <w:r>
              <w:rPr/>
              <w:t> </w:t>
            </w:r>
          </w:p>
        </w:tc>
        <w:tc>
          <w:tcPr>
            <w:tcW w:w="11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Amortized</w:t>
              <w:br/>
              <w:t>Cost(2)(8)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Fair Value(9)</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2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Percentage</w:t>
              <w:br/>
              <w:t>of Net Assets</w:t>
            </w:r>
          </w:p>
        </w:tc>
        <w:tc>
          <w:tcPr>
            <w:tcW w:w="275" w:type="dxa"/>
            <w:tcBorders/>
            <w:shd w:fill="auto" w:val="clear"/>
            <w:vAlign w:val="bottom"/>
          </w:tcPr>
          <w:p>
            <w:pPr>
              <w:pStyle w:val="TableContents"/>
              <w:spacing w:before="0" w:after="283"/>
              <w:rPr/>
            </w:pPr>
            <w:r>
              <w:rPr/>
              <w:t> </w:t>
            </w:r>
          </w:p>
        </w:tc>
      </w:tr>
      <w:tr>
        <w:trPr/>
        <w:tc>
          <w:tcPr>
            <w:tcW w:w="2270" w:type="dxa"/>
            <w:tcBorders/>
            <w:shd w:fill="CCEEFF" w:val="clear"/>
          </w:tcPr>
          <w:p>
            <w:pPr>
              <w:pStyle w:val="TableContents"/>
              <w:spacing w:before="0" w:after="0"/>
              <w:rPr>
                <w:rFonts w:ascii="Times New Roman" w:hAnsi="Times New Roman"/>
                <w:b/>
                <w:sz w:val="16"/>
              </w:rPr>
            </w:pPr>
            <w:r>
              <w:rPr>
                <w:rFonts w:ascii="Times New Roman" w:hAnsi="Times New Roman"/>
                <w:b/>
                <w:sz w:val="16"/>
              </w:rPr>
              <w:t>Debt Investments</w:t>
            </w:r>
          </w:p>
        </w:tc>
        <w:tc>
          <w:tcPr>
            <w:tcW w:w="60" w:type="dxa"/>
            <w:tcBorders/>
            <w:shd w:fill="CCEEFF" w:val="clear"/>
            <w:vAlign w:val="bottom"/>
          </w:tcPr>
          <w:p>
            <w:pPr>
              <w:pStyle w:val="TableContents"/>
              <w:spacing w:before="0" w:after="283"/>
              <w:rPr/>
            </w:pPr>
            <w:r>
              <w:rPr/>
              <w:t> </w:t>
            </w:r>
          </w:p>
        </w:tc>
        <w:tc>
          <w:tcPr>
            <w:tcW w:w="495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sz w:val="4"/>
                <w:szCs w:val="4"/>
              </w:rPr>
            </w:pPr>
            <w:r>
              <w:rPr>
                <w:sz w:val="4"/>
                <w:szCs w:val="4"/>
              </w:rPr>
            </w:r>
          </w:p>
        </w:tc>
        <w:tc>
          <w:tcPr>
            <w:tcW w:w="1115" w:type="dxa"/>
            <w:tcBorders/>
            <w:shd w:fill="CCEEFF" w:val="clear"/>
          </w:tcPr>
          <w:p>
            <w:pPr>
              <w:pStyle w:val="TableContents"/>
              <w:spacing w:before="0" w:after="283"/>
              <w:rPr>
                <w:sz w:val="4"/>
                <w:szCs w:val="4"/>
              </w:rPr>
            </w:pPr>
            <w:r>
              <w:rPr>
                <w:sz w:val="4"/>
                <w:szCs w:val="4"/>
              </w:rPr>
            </w:r>
          </w:p>
        </w:tc>
        <w:tc>
          <w:tcPr>
            <w:tcW w:w="6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sz w:val="4"/>
                <w:szCs w:val="4"/>
              </w:rPr>
            </w:pPr>
            <w:r>
              <w:rPr>
                <w:sz w:val="4"/>
                <w:szCs w:val="4"/>
              </w:rPr>
            </w:r>
          </w:p>
        </w:tc>
        <w:tc>
          <w:tcPr>
            <w:tcW w:w="1310" w:type="dxa"/>
            <w:tcBorders/>
            <w:shd w:fill="CCEEFF" w:val="clear"/>
          </w:tcPr>
          <w:p>
            <w:pPr>
              <w:pStyle w:val="TableContents"/>
              <w:spacing w:before="0" w:after="283"/>
              <w:rPr>
                <w:sz w:val="4"/>
                <w:szCs w:val="4"/>
              </w:rPr>
            </w:pPr>
            <w:r>
              <w:rPr>
                <w:sz w:val="4"/>
                <w:szCs w:val="4"/>
              </w:rPr>
            </w:r>
          </w:p>
        </w:tc>
        <w:tc>
          <w:tcPr>
            <w:tcW w:w="27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61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63" w:type="dxa"/>
            <w:tcBorders/>
            <w:shd w:fill="CCEEFF" w:val="clear"/>
          </w:tcPr>
          <w:p>
            <w:pPr>
              <w:pStyle w:val="TableContents"/>
              <w:spacing w:before="0" w:after="283"/>
              <w:rPr>
                <w:sz w:val="4"/>
                <w:szCs w:val="4"/>
              </w:rPr>
            </w:pPr>
            <w:r>
              <w:rPr>
                <w:sz w:val="4"/>
                <w:szCs w:val="4"/>
              </w:rPr>
            </w:r>
          </w:p>
        </w:tc>
        <w:tc>
          <w:tcPr>
            <w:tcW w:w="937" w:type="dxa"/>
            <w:tcBorders/>
            <w:shd w:fill="CCEEFF" w:val="clear"/>
          </w:tcPr>
          <w:p>
            <w:pPr>
              <w:pStyle w:val="TableContents"/>
              <w:spacing w:before="0" w:after="283"/>
              <w:rPr>
                <w:sz w:val="4"/>
                <w:szCs w:val="4"/>
              </w:rPr>
            </w:pPr>
            <w:r>
              <w:rPr>
                <w:sz w:val="4"/>
                <w:szCs w:val="4"/>
              </w:rPr>
            </w:r>
          </w:p>
        </w:tc>
        <w:tc>
          <w:tcPr>
            <w:tcW w:w="6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50" w:type="dxa"/>
            <w:tcBorders/>
            <w:shd w:fill="CCEEFF" w:val="clear"/>
          </w:tcPr>
          <w:p>
            <w:pPr>
              <w:pStyle w:val="TableContents"/>
              <w:spacing w:before="0" w:after="283"/>
              <w:rPr>
                <w:sz w:val="4"/>
                <w:szCs w:val="4"/>
              </w:rPr>
            </w:pPr>
            <w:r>
              <w:rPr>
                <w:sz w:val="4"/>
                <w:szCs w:val="4"/>
              </w:rPr>
            </w:r>
          </w:p>
        </w:tc>
        <w:tc>
          <w:tcPr>
            <w:tcW w:w="1040" w:type="dxa"/>
            <w:tcBorders/>
            <w:shd w:fill="CCEEFF" w:val="clear"/>
          </w:tcPr>
          <w:p>
            <w:pPr>
              <w:pStyle w:val="TableContents"/>
              <w:spacing w:before="0" w:after="283"/>
              <w:rPr>
                <w:sz w:val="4"/>
                <w:szCs w:val="4"/>
              </w:rPr>
            </w:pPr>
            <w:r>
              <w:rPr>
                <w:sz w:val="4"/>
                <w:szCs w:val="4"/>
              </w:rPr>
            </w:r>
          </w:p>
        </w:tc>
        <w:tc>
          <w:tcPr>
            <w:tcW w:w="12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59" w:type="dxa"/>
            <w:tcBorders/>
            <w:shd w:fill="CCEEFF" w:val="clear"/>
          </w:tcPr>
          <w:p>
            <w:pPr>
              <w:pStyle w:val="TableContents"/>
              <w:spacing w:before="0" w:after="283"/>
              <w:rPr>
                <w:sz w:val="4"/>
                <w:szCs w:val="4"/>
              </w:rPr>
            </w:pPr>
            <w:r>
              <w:rPr>
                <w:sz w:val="4"/>
                <w:szCs w:val="4"/>
              </w:rPr>
            </w:r>
          </w:p>
        </w:tc>
        <w:tc>
          <w:tcPr>
            <w:tcW w:w="1166" w:type="dxa"/>
            <w:tcBorders/>
            <w:shd w:fill="CCEEFF" w:val="clear"/>
          </w:tcPr>
          <w:p>
            <w:pPr>
              <w:pStyle w:val="TableContents"/>
              <w:spacing w:before="0" w:after="283"/>
              <w:rPr>
                <w:sz w:val="4"/>
                <w:szCs w:val="4"/>
              </w:rPr>
            </w:pPr>
            <w:r>
              <w:rPr>
                <w:sz w:val="4"/>
                <w:szCs w:val="4"/>
              </w:rPr>
            </w:r>
          </w:p>
        </w:tc>
        <w:tc>
          <w:tcPr>
            <w:tcW w:w="275" w:type="dxa"/>
            <w:tcBorders/>
            <w:shd w:fill="CCEEFF" w:val="clear"/>
          </w:tcPr>
          <w:p>
            <w:pPr>
              <w:pStyle w:val="TableContents"/>
              <w:spacing w:before="0" w:after="283"/>
              <w:rPr>
                <w:sz w:val="4"/>
                <w:szCs w:val="4"/>
              </w:rPr>
            </w:pPr>
            <w:r>
              <w:rPr>
                <w:sz w:val="4"/>
                <w:szCs w:val="4"/>
              </w:rPr>
            </w:r>
          </w:p>
        </w:tc>
      </w:tr>
      <w:tr>
        <w:trPr/>
        <w:tc>
          <w:tcPr>
            <w:tcW w:w="2270" w:type="dxa"/>
            <w:tcBorders/>
            <w:shd w:fill="auto" w:val="clear"/>
          </w:tcPr>
          <w:p>
            <w:pPr>
              <w:pStyle w:val="TableContents"/>
              <w:spacing w:before="0" w:after="0"/>
              <w:rPr>
                <w:rFonts w:ascii="Times New Roman" w:hAnsi="Times New Roman"/>
                <w:sz w:val="16"/>
              </w:rPr>
            </w:pPr>
            <w:r>
              <w:rPr>
                <w:rFonts w:ascii="Times New Roman" w:hAnsi="Times New Roman"/>
                <w:sz w:val="16"/>
              </w:rPr>
              <w:t>Automotive</w:t>
            </w:r>
          </w:p>
        </w:tc>
        <w:tc>
          <w:tcPr>
            <w:tcW w:w="60" w:type="dxa"/>
            <w:tcBorders/>
            <w:shd w:fill="auto" w:val="clear"/>
            <w:vAlign w:val="bottom"/>
          </w:tcPr>
          <w:p>
            <w:pPr>
              <w:pStyle w:val="TableContents"/>
              <w:spacing w:before="0" w:after="283"/>
              <w:rPr/>
            </w:pPr>
            <w:r>
              <w:rPr/>
              <w:t> </w:t>
            </w:r>
          </w:p>
        </w:tc>
        <w:tc>
          <w:tcPr>
            <w:tcW w:w="495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1115"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1310" w:type="dxa"/>
            <w:tcBorders/>
            <w:shd w:fill="auto" w:val="clear"/>
          </w:tcPr>
          <w:p>
            <w:pPr>
              <w:pStyle w:val="TableContents"/>
              <w:spacing w:before="0" w:after="283"/>
              <w:rPr>
                <w:sz w:val="4"/>
                <w:szCs w:val="4"/>
              </w:rPr>
            </w:pPr>
            <w:r>
              <w:rPr>
                <w:sz w:val="4"/>
                <w:szCs w:val="4"/>
              </w:rPr>
            </w:r>
          </w:p>
        </w:tc>
        <w:tc>
          <w:tcPr>
            <w:tcW w:w="27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61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3" w:type="dxa"/>
            <w:tcBorders/>
            <w:shd w:fill="auto" w:val="clear"/>
          </w:tcPr>
          <w:p>
            <w:pPr>
              <w:pStyle w:val="TableContents"/>
              <w:spacing w:before="0" w:after="283"/>
              <w:rPr>
                <w:sz w:val="4"/>
                <w:szCs w:val="4"/>
              </w:rPr>
            </w:pPr>
            <w:r>
              <w:rPr>
                <w:sz w:val="4"/>
                <w:szCs w:val="4"/>
              </w:rPr>
            </w:r>
          </w:p>
        </w:tc>
        <w:tc>
          <w:tcPr>
            <w:tcW w:w="937"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50" w:type="dxa"/>
            <w:tcBorders/>
            <w:shd w:fill="auto" w:val="clear"/>
          </w:tcPr>
          <w:p>
            <w:pPr>
              <w:pStyle w:val="TableContents"/>
              <w:spacing w:before="0" w:after="283"/>
              <w:rPr>
                <w:sz w:val="4"/>
                <w:szCs w:val="4"/>
              </w:rPr>
            </w:pPr>
            <w:r>
              <w:rPr>
                <w:sz w:val="4"/>
                <w:szCs w:val="4"/>
              </w:rPr>
            </w:r>
          </w:p>
        </w:tc>
        <w:tc>
          <w:tcPr>
            <w:tcW w:w="1040" w:type="dxa"/>
            <w:tcBorders/>
            <w:shd w:fill="auto" w:val="clear"/>
          </w:tcPr>
          <w:p>
            <w:pPr>
              <w:pStyle w:val="TableContents"/>
              <w:spacing w:before="0" w:after="283"/>
              <w:rPr>
                <w:sz w:val="4"/>
                <w:szCs w:val="4"/>
              </w:rPr>
            </w:pPr>
            <w:r>
              <w:rPr>
                <w:sz w:val="4"/>
                <w:szCs w:val="4"/>
              </w:rPr>
            </w:r>
          </w:p>
        </w:tc>
        <w:tc>
          <w:tcPr>
            <w:tcW w:w="12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59" w:type="dxa"/>
            <w:tcBorders/>
            <w:shd w:fill="auto" w:val="clear"/>
          </w:tcPr>
          <w:p>
            <w:pPr>
              <w:pStyle w:val="TableContents"/>
              <w:spacing w:before="0" w:after="283"/>
              <w:rPr>
                <w:sz w:val="4"/>
                <w:szCs w:val="4"/>
              </w:rPr>
            </w:pPr>
            <w:r>
              <w:rPr>
                <w:sz w:val="4"/>
                <w:szCs w:val="4"/>
              </w:rPr>
            </w:r>
          </w:p>
        </w:tc>
        <w:tc>
          <w:tcPr>
            <w:tcW w:w="1166" w:type="dxa"/>
            <w:tcBorders/>
            <w:shd w:fill="auto" w:val="clear"/>
          </w:tcPr>
          <w:p>
            <w:pPr>
              <w:pStyle w:val="TableContents"/>
              <w:spacing w:before="0" w:after="283"/>
              <w:rPr>
                <w:sz w:val="4"/>
                <w:szCs w:val="4"/>
              </w:rPr>
            </w:pPr>
            <w:r>
              <w:rPr>
                <w:sz w:val="4"/>
                <w:szCs w:val="4"/>
              </w:rPr>
            </w:r>
          </w:p>
        </w:tc>
        <w:tc>
          <w:tcPr>
            <w:tcW w:w="275" w:type="dxa"/>
            <w:tcBorders/>
            <w:shd w:fill="auto" w:val="clear"/>
          </w:tcPr>
          <w:p>
            <w:pPr>
              <w:pStyle w:val="TableContents"/>
              <w:spacing w:before="0" w:after="283"/>
              <w:rPr>
                <w:sz w:val="4"/>
                <w:szCs w:val="4"/>
              </w:rPr>
            </w:pPr>
            <w:r>
              <w:rPr>
                <w:sz w:val="4"/>
                <w:szCs w:val="4"/>
              </w:rPr>
            </w:r>
          </w:p>
        </w:tc>
      </w:tr>
      <w:tr>
        <w:trPr/>
        <w:tc>
          <w:tcPr>
            <w:tcW w:w="2270" w:type="dxa"/>
            <w:tcBorders/>
            <w:shd w:fill="CCEEFF" w:val="clear"/>
          </w:tcPr>
          <w:p>
            <w:pPr>
              <w:pStyle w:val="TableContents"/>
              <w:spacing w:before="0" w:after="0"/>
              <w:rPr>
                <w:rFonts w:ascii="Times New Roman" w:hAnsi="Times New Roman"/>
                <w:sz w:val="16"/>
              </w:rPr>
            </w:pPr>
            <w:r>
              <w:rPr>
                <w:rFonts w:ascii="Times New Roman" w:hAnsi="Times New Roman"/>
                <w:sz w:val="16"/>
              </w:rPr>
              <w:t>Carlstar Group, LLC(3)</w:t>
            </w:r>
          </w:p>
        </w:tc>
        <w:tc>
          <w:tcPr>
            <w:tcW w:w="60" w:type="dxa"/>
            <w:tcBorders/>
            <w:shd w:fill="CCEEFF" w:val="clear"/>
            <w:vAlign w:val="bottom"/>
          </w:tcPr>
          <w:p>
            <w:pPr>
              <w:pStyle w:val="TableContents"/>
              <w:spacing w:before="0" w:after="283"/>
              <w:rPr/>
            </w:pPr>
            <w:r>
              <w:rPr/>
              <w:t> </w:t>
            </w:r>
          </w:p>
        </w:tc>
        <w:tc>
          <w:tcPr>
            <w:tcW w:w="4955" w:type="dxa"/>
            <w:tcBorders/>
            <w:shd w:fill="CCEEFF" w:val="clear"/>
          </w:tcPr>
          <w:p>
            <w:pPr>
              <w:pStyle w:val="TableContents"/>
              <w:spacing w:before="0" w:after="283"/>
              <w:rPr/>
            </w:pPr>
            <w:r>
              <w:rPr/>
              <w:t>First-lien loan ($34,000 par, due 7/2027)</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115" w:type="dxa"/>
            <w:tcBorders/>
            <w:shd w:fill="CCEEFF" w:val="clear"/>
          </w:tcPr>
          <w:p>
            <w:pPr>
              <w:pStyle w:val="TableContents"/>
              <w:spacing w:before="0" w:after="283"/>
              <w:jc w:val="right"/>
              <w:rPr/>
            </w:pPr>
            <w:r>
              <w:rPr/>
              <w:t>7/8/2022</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310" w:type="dxa"/>
            <w:tcBorders/>
            <w:shd w:fill="CCEEFF" w:val="clear"/>
          </w:tcPr>
          <w:p>
            <w:pPr>
              <w:pStyle w:val="TableContents"/>
              <w:spacing w:before="0" w:after="283"/>
              <w:jc w:val="right"/>
              <w:rPr/>
            </w:pPr>
            <w:r>
              <w:rPr/>
              <w:t>SOFR + 6.60</w:t>
            </w:r>
          </w:p>
        </w:tc>
        <w:tc>
          <w:tcPr>
            <w:tcW w:w="27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15" w:type="dxa"/>
            <w:tcBorders/>
            <w:shd w:fill="CCEEFF" w:val="clear"/>
          </w:tcPr>
          <w:p>
            <w:pPr>
              <w:pStyle w:val="TableContents"/>
              <w:spacing w:before="0" w:after="283"/>
              <w:jc w:val="right"/>
              <w:rPr/>
            </w:pPr>
            <w:r>
              <w:rPr/>
              <w:t>9.25%</w:t>
            </w:r>
          </w:p>
        </w:tc>
        <w:tc>
          <w:tcPr>
            <w:tcW w:w="60" w:type="dxa"/>
            <w:tcBorders/>
            <w:shd w:fill="CCEEFF" w:val="clear"/>
            <w:vAlign w:val="bottom"/>
          </w:tcPr>
          <w:p>
            <w:pPr>
              <w:pStyle w:val="TableContents"/>
              <w:spacing w:before="0" w:after="283"/>
              <w:rPr/>
            </w:pPr>
            <w:r>
              <w:rPr/>
              <w:t> </w:t>
            </w:r>
          </w:p>
        </w:tc>
        <w:tc>
          <w:tcPr>
            <w:tcW w:w="163" w:type="dxa"/>
            <w:tcBorders/>
            <w:shd w:fill="CCEEFF" w:val="clear"/>
          </w:tcPr>
          <w:p>
            <w:pPr>
              <w:pStyle w:val="TableContents"/>
              <w:spacing w:before="0" w:after="283"/>
              <w:rPr/>
            </w:pPr>
            <w:r>
              <w:rPr/>
              <w:t>$</w:t>
            </w:r>
          </w:p>
        </w:tc>
        <w:tc>
          <w:tcPr>
            <w:tcW w:w="937" w:type="dxa"/>
            <w:tcBorders/>
            <w:shd w:fill="CCEEFF" w:val="clear"/>
          </w:tcPr>
          <w:p>
            <w:pPr>
              <w:pStyle w:val="TableContents"/>
              <w:spacing w:before="0" w:after="283"/>
              <w:jc w:val="right"/>
              <w:rPr/>
            </w:pPr>
            <w:r>
              <w:rPr/>
              <w:t>33,125</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tcPr>
          <w:p>
            <w:pPr>
              <w:pStyle w:val="TableContents"/>
              <w:spacing w:before="0" w:after="283"/>
              <w:rPr/>
            </w:pPr>
            <w:r>
              <w:rPr/>
              <w:t>$</w:t>
            </w:r>
          </w:p>
        </w:tc>
        <w:tc>
          <w:tcPr>
            <w:tcW w:w="1040" w:type="dxa"/>
            <w:tcBorders/>
            <w:shd w:fill="CCEEFF" w:val="clear"/>
          </w:tcPr>
          <w:p>
            <w:pPr>
              <w:pStyle w:val="TableContents"/>
              <w:spacing w:before="0" w:after="283"/>
              <w:jc w:val="right"/>
              <w:rPr/>
            </w:pPr>
            <w:r>
              <w:rPr/>
              <w:t>33,256</w:t>
            </w:r>
          </w:p>
        </w:tc>
        <w:tc>
          <w:tcPr>
            <w:tcW w:w="12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tcPr>
          <w:p>
            <w:pPr>
              <w:pStyle w:val="TableContents"/>
              <w:spacing w:before="0" w:after="283"/>
              <w:rPr/>
            </w:pPr>
            <w:r>
              <w:rPr/>
              <w:t> </w:t>
            </w:r>
          </w:p>
        </w:tc>
        <w:tc>
          <w:tcPr>
            <w:tcW w:w="1166" w:type="dxa"/>
            <w:tcBorders/>
            <w:shd w:fill="CCEEFF" w:val="clear"/>
          </w:tcPr>
          <w:p>
            <w:pPr>
              <w:pStyle w:val="TableContents"/>
              <w:spacing w:before="0" w:after="283"/>
              <w:jc w:val="right"/>
              <w:rPr/>
            </w:pPr>
            <w:r>
              <w:rPr/>
              <w:t>2.5</w:t>
            </w:r>
          </w:p>
        </w:tc>
        <w:tc>
          <w:tcPr>
            <w:tcW w:w="275" w:type="dxa"/>
            <w:tcBorders/>
            <w:shd w:fill="CCEEFF" w:val="clear"/>
          </w:tcPr>
          <w:p>
            <w:pPr>
              <w:pStyle w:val="TableContents"/>
              <w:spacing w:before="0" w:after="283"/>
              <w:rPr/>
            </w:pPr>
            <w:r>
              <w:rPr/>
              <w:t>% </w:t>
            </w:r>
          </w:p>
        </w:tc>
      </w:tr>
      <w:tr>
        <w:trPr/>
        <w:tc>
          <w:tcPr>
            <w:tcW w:w="2270" w:type="dxa"/>
            <w:tcBorders/>
            <w:shd w:fill="auto" w:val="clear"/>
          </w:tcPr>
          <w:p>
            <w:pPr>
              <w:pStyle w:val="TableContents"/>
              <w:spacing w:before="0" w:after="0"/>
              <w:rPr>
                <w:rFonts w:ascii="Times New Roman" w:hAnsi="Times New Roman"/>
                <w:b/>
                <w:sz w:val="16"/>
              </w:rPr>
            </w:pPr>
            <w:r>
              <w:rPr>
                <w:rFonts w:ascii="Times New Roman" w:hAnsi="Times New Roman"/>
                <w:b/>
                <w:sz w:val="16"/>
              </w:rPr>
              <w:t>Business services</w:t>
            </w:r>
          </w:p>
        </w:tc>
        <w:tc>
          <w:tcPr>
            <w:tcW w:w="60" w:type="dxa"/>
            <w:tcBorders/>
            <w:shd w:fill="auto" w:val="clear"/>
            <w:vAlign w:val="bottom"/>
          </w:tcPr>
          <w:p>
            <w:pPr>
              <w:pStyle w:val="TableContents"/>
              <w:spacing w:before="0" w:after="283"/>
              <w:rPr/>
            </w:pPr>
            <w:r>
              <w:rPr/>
              <w:t> </w:t>
            </w:r>
          </w:p>
        </w:tc>
        <w:tc>
          <w:tcPr>
            <w:tcW w:w="495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1115"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1310" w:type="dxa"/>
            <w:tcBorders/>
            <w:shd w:fill="auto" w:val="clear"/>
          </w:tcPr>
          <w:p>
            <w:pPr>
              <w:pStyle w:val="TableContents"/>
              <w:spacing w:before="0" w:after="283"/>
              <w:rPr>
                <w:sz w:val="4"/>
                <w:szCs w:val="4"/>
              </w:rPr>
            </w:pPr>
            <w:r>
              <w:rPr>
                <w:sz w:val="4"/>
                <w:szCs w:val="4"/>
              </w:rPr>
            </w:r>
          </w:p>
        </w:tc>
        <w:tc>
          <w:tcPr>
            <w:tcW w:w="27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61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3" w:type="dxa"/>
            <w:tcBorders/>
            <w:shd w:fill="auto" w:val="clear"/>
          </w:tcPr>
          <w:p>
            <w:pPr>
              <w:pStyle w:val="TableContents"/>
              <w:spacing w:before="0" w:after="283"/>
              <w:rPr>
                <w:sz w:val="4"/>
                <w:szCs w:val="4"/>
              </w:rPr>
            </w:pPr>
            <w:r>
              <w:rPr>
                <w:sz w:val="4"/>
                <w:szCs w:val="4"/>
              </w:rPr>
            </w:r>
          </w:p>
        </w:tc>
        <w:tc>
          <w:tcPr>
            <w:tcW w:w="937"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50" w:type="dxa"/>
            <w:tcBorders/>
            <w:shd w:fill="auto" w:val="clear"/>
          </w:tcPr>
          <w:p>
            <w:pPr>
              <w:pStyle w:val="TableContents"/>
              <w:spacing w:before="0" w:after="283"/>
              <w:rPr>
                <w:sz w:val="4"/>
                <w:szCs w:val="4"/>
              </w:rPr>
            </w:pPr>
            <w:r>
              <w:rPr>
                <w:sz w:val="4"/>
                <w:szCs w:val="4"/>
              </w:rPr>
            </w:r>
          </w:p>
        </w:tc>
        <w:tc>
          <w:tcPr>
            <w:tcW w:w="1040" w:type="dxa"/>
            <w:tcBorders/>
            <w:shd w:fill="auto" w:val="clear"/>
          </w:tcPr>
          <w:p>
            <w:pPr>
              <w:pStyle w:val="TableContents"/>
              <w:spacing w:before="0" w:after="283"/>
              <w:rPr>
                <w:sz w:val="4"/>
                <w:szCs w:val="4"/>
              </w:rPr>
            </w:pPr>
            <w:r>
              <w:rPr>
                <w:sz w:val="4"/>
                <w:szCs w:val="4"/>
              </w:rPr>
            </w:r>
          </w:p>
        </w:tc>
        <w:tc>
          <w:tcPr>
            <w:tcW w:w="12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59" w:type="dxa"/>
            <w:tcBorders/>
            <w:shd w:fill="auto" w:val="clear"/>
          </w:tcPr>
          <w:p>
            <w:pPr>
              <w:pStyle w:val="TableContents"/>
              <w:spacing w:before="0" w:after="283"/>
              <w:rPr>
                <w:sz w:val="4"/>
                <w:szCs w:val="4"/>
              </w:rPr>
            </w:pPr>
            <w:r>
              <w:rPr>
                <w:sz w:val="4"/>
                <w:szCs w:val="4"/>
              </w:rPr>
            </w:r>
          </w:p>
        </w:tc>
        <w:tc>
          <w:tcPr>
            <w:tcW w:w="1166" w:type="dxa"/>
            <w:tcBorders/>
            <w:shd w:fill="auto" w:val="clear"/>
          </w:tcPr>
          <w:p>
            <w:pPr>
              <w:pStyle w:val="TableContents"/>
              <w:spacing w:before="0" w:after="283"/>
              <w:rPr>
                <w:sz w:val="4"/>
                <w:szCs w:val="4"/>
              </w:rPr>
            </w:pPr>
            <w:r>
              <w:rPr>
                <w:sz w:val="4"/>
                <w:szCs w:val="4"/>
              </w:rPr>
            </w:r>
          </w:p>
        </w:tc>
        <w:tc>
          <w:tcPr>
            <w:tcW w:w="275" w:type="dxa"/>
            <w:tcBorders/>
            <w:shd w:fill="auto" w:val="clear"/>
          </w:tcPr>
          <w:p>
            <w:pPr>
              <w:pStyle w:val="TableContents"/>
              <w:spacing w:before="0" w:after="283"/>
              <w:rPr>
                <w:sz w:val="4"/>
                <w:szCs w:val="4"/>
              </w:rPr>
            </w:pPr>
            <w:r>
              <w:rPr>
                <w:sz w:val="4"/>
                <w:szCs w:val="4"/>
              </w:rPr>
            </w:r>
          </w:p>
        </w:tc>
      </w:tr>
      <w:tr>
        <w:trPr/>
        <w:tc>
          <w:tcPr>
            <w:tcW w:w="2270" w:type="dxa"/>
            <w:tcBorders/>
            <w:shd w:fill="CCEEFF" w:val="clear"/>
          </w:tcPr>
          <w:p>
            <w:pPr>
              <w:pStyle w:val="TableContents"/>
              <w:spacing w:before="0" w:after="0"/>
              <w:rPr>
                <w:rFonts w:ascii="Times New Roman" w:hAnsi="Times New Roman"/>
                <w:sz w:val="16"/>
              </w:rPr>
            </w:pPr>
            <w:r>
              <w:rPr>
                <w:rFonts w:ascii="Times New Roman" w:hAnsi="Times New Roman"/>
                <w:sz w:val="16"/>
              </w:rPr>
              <w:t>Acceo Solutions, Inc.(3)(4)(5)</w:t>
            </w:r>
          </w:p>
        </w:tc>
        <w:tc>
          <w:tcPr>
            <w:tcW w:w="60" w:type="dxa"/>
            <w:tcBorders/>
            <w:shd w:fill="CCEEFF" w:val="clear"/>
            <w:vAlign w:val="bottom"/>
          </w:tcPr>
          <w:p>
            <w:pPr>
              <w:pStyle w:val="TableContents"/>
              <w:spacing w:before="0" w:after="283"/>
              <w:rPr/>
            </w:pPr>
            <w:r>
              <w:rPr/>
              <w:t> </w:t>
            </w:r>
          </w:p>
        </w:tc>
        <w:tc>
          <w:tcPr>
            <w:tcW w:w="4955" w:type="dxa"/>
            <w:tcBorders/>
            <w:shd w:fill="CCEEFF" w:val="clear"/>
          </w:tcPr>
          <w:p>
            <w:pPr>
              <w:pStyle w:val="TableContents"/>
              <w:spacing w:before="0" w:after="283"/>
              <w:rPr/>
            </w:pPr>
            <w:r>
              <w:rPr/>
              <w:t>First-lien loan (CAD 73,687 par, due 10/2025)</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115" w:type="dxa"/>
            <w:tcBorders/>
            <w:shd w:fill="CCEEFF" w:val="clear"/>
          </w:tcPr>
          <w:p>
            <w:pPr>
              <w:pStyle w:val="TableContents"/>
              <w:spacing w:before="0" w:after="283"/>
              <w:jc w:val="right"/>
              <w:rPr/>
            </w:pPr>
            <w:r>
              <w:rPr/>
              <w:t>7/6/2018</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310" w:type="dxa"/>
            <w:tcBorders/>
            <w:shd w:fill="CCEEFF" w:val="clear"/>
          </w:tcPr>
          <w:p>
            <w:pPr>
              <w:pStyle w:val="TableContents"/>
              <w:spacing w:before="0" w:after="283"/>
              <w:jc w:val="right"/>
              <w:rPr/>
            </w:pPr>
            <w:r>
              <w:rPr/>
              <w:t>C + 4.75</w:t>
            </w:r>
          </w:p>
        </w:tc>
        <w:tc>
          <w:tcPr>
            <w:tcW w:w="27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15" w:type="dxa"/>
            <w:tcBorders/>
            <w:shd w:fill="CCEEFF" w:val="clear"/>
          </w:tcPr>
          <w:p>
            <w:pPr>
              <w:pStyle w:val="TableContents"/>
              <w:spacing w:before="0" w:after="283"/>
              <w:jc w:val="right"/>
              <w:rPr/>
            </w:pPr>
            <w:r>
              <w:rPr/>
              <w:t>8.70%</w:t>
            </w:r>
          </w:p>
        </w:tc>
        <w:tc>
          <w:tcPr>
            <w:tcW w:w="60" w:type="dxa"/>
            <w:tcBorders/>
            <w:shd w:fill="CCEEFF" w:val="clear"/>
            <w:vAlign w:val="bottom"/>
          </w:tcPr>
          <w:p>
            <w:pPr>
              <w:pStyle w:val="TableContents"/>
              <w:spacing w:before="0" w:after="283"/>
              <w:rPr/>
            </w:pPr>
            <w:r>
              <w:rPr/>
              <w:t> </w:t>
            </w:r>
          </w:p>
        </w:tc>
        <w:tc>
          <w:tcPr>
            <w:tcW w:w="163" w:type="dxa"/>
            <w:tcBorders/>
            <w:shd w:fill="CCEEFF" w:val="clear"/>
          </w:tcPr>
          <w:p>
            <w:pPr>
              <w:pStyle w:val="TableContents"/>
              <w:spacing w:before="0" w:after="283"/>
              <w:rPr/>
            </w:pPr>
            <w:r>
              <w:rPr/>
              <w:t> </w:t>
            </w:r>
          </w:p>
        </w:tc>
        <w:tc>
          <w:tcPr>
            <w:tcW w:w="937" w:type="dxa"/>
            <w:tcBorders/>
            <w:shd w:fill="CCEEFF" w:val="clear"/>
          </w:tcPr>
          <w:p>
            <w:pPr>
              <w:pStyle w:val="TableContents"/>
              <w:spacing w:before="0" w:after="283"/>
              <w:jc w:val="right"/>
              <w:rPr/>
            </w:pPr>
            <w:r>
              <w:rPr/>
              <w:t>55,562</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tcPr>
          <w:p>
            <w:pPr>
              <w:pStyle w:val="TableContents"/>
              <w:spacing w:before="0" w:after="283"/>
              <w:rPr/>
            </w:pPr>
            <w:r>
              <w:rPr/>
              <w:t> </w:t>
            </w:r>
          </w:p>
        </w:tc>
        <w:tc>
          <w:tcPr>
            <w:tcW w:w="1040" w:type="dxa"/>
            <w:tcBorders/>
            <w:shd w:fill="CCEEFF" w:val="clear"/>
          </w:tcPr>
          <w:p>
            <w:pPr>
              <w:pStyle w:val="TableContents"/>
              <w:jc w:val="right"/>
              <w:rPr/>
            </w:pPr>
            <w:r>
              <w:rPr/>
              <w:t>54,164</w:t>
            </w:r>
          </w:p>
          <w:p>
            <w:pPr>
              <w:pStyle w:val="TableContents"/>
              <w:spacing w:before="0" w:after="20"/>
              <w:jc w:val="right"/>
              <w:rPr>
                <w:rFonts w:ascii="Times New Roman" w:hAnsi="Times New Roman"/>
                <w:sz w:val="16"/>
              </w:rPr>
            </w:pPr>
            <w:r>
              <w:rPr>
                <w:rFonts w:ascii="Times New Roman" w:hAnsi="Times New Roman"/>
                <w:sz w:val="16"/>
              </w:rPr>
              <w:t>(CAD 74,424</w:t>
            </w:r>
          </w:p>
        </w:tc>
        <w:tc>
          <w:tcPr>
            <w:tcW w:w="125" w:type="dxa"/>
            <w:tcBorders/>
            <w:shd w:fill="CCEEFF" w:val="clear"/>
          </w:tcPr>
          <w:p>
            <w:pPr>
              <w:pStyle w:val="TableContents"/>
              <w:rPr/>
            </w:pPr>
            <w:r>
              <w:rPr/>
              <w:t> </w:t>
            </w:r>
          </w:p>
          <w:p>
            <w:pPr>
              <w:pStyle w:val="TableContents"/>
              <w:spacing w:before="0" w:after="20"/>
              <w:rPr>
                <w:rFonts w:ascii="Times New Roman" w:hAnsi="Times New Roman"/>
                <w:sz w:val="16"/>
              </w:rPr>
            </w:pPr>
            <w:r>
              <w:rPr>
                <w:rFonts w:ascii="Times New Roman" w:hAnsi="Times New Roman"/>
                <w:sz w:val="16"/>
              </w:rPr>
              <w:t>) </w:t>
            </w:r>
          </w:p>
        </w:tc>
        <w:tc>
          <w:tcPr>
            <w:tcW w:w="60" w:type="dxa"/>
            <w:tcBorders/>
            <w:shd w:fill="CCEEFF" w:val="clear"/>
            <w:vAlign w:val="bottom"/>
          </w:tcPr>
          <w:p>
            <w:pPr>
              <w:pStyle w:val="TableContents"/>
              <w:spacing w:before="0" w:after="283"/>
              <w:rPr/>
            </w:pPr>
            <w:r>
              <w:rPr/>
              <w:t> </w:t>
            </w:r>
          </w:p>
        </w:tc>
        <w:tc>
          <w:tcPr>
            <w:tcW w:w="159" w:type="dxa"/>
            <w:tcBorders/>
            <w:shd w:fill="CCEEFF" w:val="clear"/>
          </w:tcPr>
          <w:p>
            <w:pPr>
              <w:pStyle w:val="TableContents"/>
              <w:spacing w:before="0" w:after="283"/>
              <w:rPr/>
            </w:pPr>
            <w:r>
              <w:rPr/>
              <w:t> </w:t>
            </w:r>
          </w:p>
        </w:tc>
        <w:tc>
          <w:tcPr>
            <w:tcW w:w="1166" w:type="dxa"/>
            <w:tcBorders/>
            <w:shd w:fill="CCEEFF" w:val="clear"/>
          </w:tcPr>
          <w:p>
            <w:pPr>
              <w:pStyle w:val="TableContents"/>
              <w:spacing w:before="0" w:after="283"/>
              <w:jc w:val="right"/>
              <w:rPr/>
            </w:pPr>
            <w:r>
              <w:rPr/>
              <w:t>4.1</w:t>
            </w:r>
          </w:p>
        </w:tc>
        <w:tc>
          <w:tcPr>
            <w:tcW w:w="275" w:type="dxa"/>
            <w:tcBorders/>
            <w:shd w:fill="CCEEFF" w:val="clear"/>
          </w:tcPr>
          <w:p>
            <w:pPr>
              <w:pStyle w:val="TableContents"/>
              <w:spacing w:before="0" w:after="283"/>
              <w:rPr/>
            </w:pPr>
            <w:r>
              <w:rPr/>
              <w:t>% </w:t>
            </w:r>
          </w:p>
        </w:tc>
      </w:tr>
      <w:tr>
        <w:trPr/>
        <w:tc>
          <w:tcPr>
            <w:tcW w:w="2270" w:type="dxa"/>
            <w:tcBorders/>
            <w:shd w:fill="auto" w:val="clear"/>
          </w:tcPr>
          <w:p>
            <w:pPr>
              <w:pStyle w:val="TableContents"/>
              <w:spacing w:before="0" w:after="0"/>
              <w:rPr>
                <w:rFonts w:ascii="Times New Roman" w:hAnsi="Times New Roman"/>
                <w:sz w:val="16"/>
              </w:rPr>
            </w:pPr>
            <w:r>
              <w:rPr>
                <w:rFonts w:ascii="Times New Roman" w:hAnsi="Times New Roman"/>
                <w:sz w:val="16"/>
              </w:rPr>
              <w:t>Alpha Midco, Inc.(3)(5)</w:t>
            </w:r>
          </w:p>
        </w:tc>
        <w:tc>
          <w:tcPr>
            <w:tcW w:w="60" w:type="dxa"/>
            <w:tcBorders/>
            <w:shd w:fill="auto" w:val="clear"/>
            <w:vAlign w:val="bottom"/>
          </w:tcPr>
          <w:p>
            <w:pPr>
              <w:pStyle w:val="TableContents"/>
              <w:spacing w:before="0" w:after="283"/>
              <w:rPr/>
            </w:pPr>
            <w:r>
              <w:rPr/>
              <w:t> </w:t>
            </w:r>
          </w:p>
        </w:tc>
        <w:tc>
          <w:tcPr>
            <w:tcW w:w="4955" w:type="dxa"/>
            <w:tcBorders/>
            <w:shd w:fill="auto" w:val="clear"/>
          </w:tcPr>
          <w:p>
            <w:pPr>
              <w:pStyle w:val="TableContents"/>
              <w:spacing w:before="0" w:after="283"/>
              <w:rPr/>
            </w:pPr>
            <w:r>
              <w:rPr/>
              <w:t>First-lien loan ($68,788 par, due 8/2025)</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115" w:type="dxa"/>
            <w:tcBorders/>
            <w:shd w:fill="auto" w:val="clear"/>
          </w:tcPr>
          <w:p>
            <w:pPr>
              <w:pStyle w:val="TableContents"/>
              <w:spacing w:before="0" w:after="283"/>
              <w:jc w:val="right"/>
              <w:rPr/>
            </w:pPr>
            <w:r>
              <w:rPr/>
              <w:t>8/15/2019</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310" w:type="dxa"/>
            <w:tcBorders/>
            <w:shd w:fill="auto" w:val="clear"/>
          </w:tcPr>
          <w:p>
            <w:pPr>
              <w:pStyle w:val="TableContents"/>
              <w:spacing w:before="0" w:after="283"/>
              <w:jc w:val="right"/>
              <w:rPr/>
            </w:pPr>
            <w:r>
              <w:rPr/>
              <w:t>SOFR + 7.50</w:t>
            </w:r>
          </w:p>
        </w:tc>
        <w:tc>
          <w:tcPr>
            <w:tcW w:w="27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5" w:type="dxa"/>
            <w:tcBorders/>
            <w:shd w:fill="auto" w:val="clear"/>
          </w:tcPr>
          <w:p>
            <w:pPr>
              <w:pStyle w:val="TableContents"/>
              <w:spacing w:before="0" w:after="283"/>
              <w:jc w:val="right"/>
              <w:rPr/>
            </w:pPr>
            <w:r>
              <w:rPr/>
              <w:t>11.17%</w:t>
            </w:r>
          </w:p>
        </w:tc>
        <w:tc>
          <w:tcPr>
            <w:tcW w:w="60" w:type="dxa"/>
            <w:tcBorders/>
            <w:shd w:fill="auto" w:val="clear"/>
            <w:vAlign w:val="bottom"/>
          </w:tcPr>
          <w:p>
            <w:pPr>
              <w:pStyle w:val="TableContents"/>
              <w:spacing w:before="0" w:after="283"/>
              <w:rPr/>
            </w:pPr>
            <w:r>
              <w:rPr/>
              <w:t> </w:t>
            </w:r>
          </w:p>
        </w:tc>
        <w:tc>
          <w:tcPr>
            <w:tcW w:w="163" w:type="dxa"/>
            <w:tcBorders/>
            <w:shd w:fill="auto" w:val="clear"/>
          </w:tcPr>
          <w:p>
            <w:pPr>
              <w:pStyle w:val="TableContents"/>
              <w:spacing w:before="0" w:after="283"/>
              <w:rPr/>
            </w:pPr>
            <w:r>
              <w:rPr/>
              <w:t> </w:t>
            </w:r>
          </w:p>
        </w:tc>
        <w:tc>
          <w:tcPr>
            <w:tcW w:w="937" w:type="dxa"/>
            <w:tcBorders/>
            <w:shd w:fill="auto" w:val="clear"/>
          </w:tcPr>
          <w:p>
            <w:pPr>
              <w:pStyle w:val="TableContents"/>
              <w:spacing w:before="0" w:after="283"/>
              <w:jc w:val="right"/>
              <w:rPr/>
            </w:pPr>
            <w:r>
              <w:rPr/>
              <w:t>67,823</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tcPr>
          <w:p>
            <w:pPr>
              <w:pStyle w:val="TableContents"/>
              <w:spacing w:before="0" w:after="283"/>
              <w:rPr/>
            </w:pPr>
            <w:r>
              <w:rPr/>
              <w:t> </w:t>
            </w:r>
          </w:p>
        </w:tc>
        <w:tc>
          <w:tcPr>
            <w:tcW w:w="1040" w:type="dxa"/>
            <w:tcBorders/>
            <w:shd w:fill="auto" w:val="clear"/>
          </w:tcPr>
          <w:p>
            <w:pPr>
              <w:pStyle w:val="TableContents"/>
              <w:spacing w:before="0" w:after="283"/>
              <w:jc w:val="right"/>
              <w:rPr/>
            </w:pPr>
            <w:r>
              <w:rPr/>
              <w:t>69,485</w:t>
            </w:r>
          </w:p>
        </w:tc>
        <w:tc>
          <w:tcPr>
            <w:tcW w:w="12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tcPr>
          <w:p>
            <w:pPr>
              <w:pStyle w:val="TableContents"/>
              <w:spacing w:before="0" w:after="283"/>
              <w:rPr/>
            </w:pPr>
            <w:r>
              <w:rPr/>
              <w:t> </w:t>
            </w:r>
          </w:p>
        </w:tc>
        <w:tc>
          <w:tcPr>
            <w:tcW w:w="1166" w:type="dxa"/>
            <w:tcBorders/>
            <w:shd w:fill="auto" w:val="clear"/>
          </w:tcPr>
          <w:p>
            <w:pPr>
              <w:pStyle w:val="TableContents"/>
              <w:spacing w:before="0" w:after="283"/>
              <w:jc w:val="right"/>
              <w:rPr/>
            </w:pPr>
            <w:r>
              <w:rPr/>
              <w:t>5.2</w:t>
            </w:r>
          </w:p>
        </w:tc>
        <w:tc>
          <w:tcPr>
            <w:tcW w:w="275" w:type="dxa"/>
            <w:tcBorders/>
            <w:shd w:fill="auto" w:val="clear"/>
          </w:tcPr>
          <w:p>
            <w:pPr>
              <w:pStyle w:val="TableContents"/>
              <w:spacing w:before="0" w:after="283"/>
              <w:rPr/>
            </w:pPr>
            <w:r>
              <w:rPr/>
              <w:t>% </w:t>
            </w:r>
          </w:p>
        </w:tc>
      </w:tr>
      <w:tr>
        <w:trPr/>
        <w:tc>
          <w:tcPr>
            <w:tcW w:w="2270" w:type="dxa"/>
            <w:tcBorders/>
            <w:shd w:fill="CCEEFF" w:val="clear"/>
          </w:tcPr>
          <w:p>
            <w:pPr>
              <w:pStyle w:val="TableContents"/>
              <w:spacing w:before="0" w:after="0"/>
              <w:rPr>
                <w:rFonts w:ascii="Times New Roman" w:hAnsi="Times New Roman"/>
                <w:sz w:val="16"/>
              </w:rPr>
            </w:pPr>
            <w:r>
              <w:rPr>
                <w:rFonts w:ascii="Times New Roman" w:hAnsi="Times New Roman"/>
                <w:sz w:val="16"/>
              </w:rPr>
              <w:t>Dye &amp; Durham Corp.(3)(4)</w:t>
            </w:r>
          </w:p>
        </w:tc>
        <w:tc>
          <w:tcPr>
            <w:tcW w:w="60" w:type="dxa"/>
            <w:tcBorders/>
            <w:shd w:fill="CCEEFF" w:val="clear"/>
            <w:vAlign w:val="bottom"/>
          </w:tcPr>
          <w:p>
            <w:pPr>
              <w:pStyle w:val="TableContents"/>
              <w:spacing w:before="0" w:after="283"/>
              <w:rPr/>
            </w:pPr>
            <w:r>
              <w:rPr/>
              <w:t> </w:t>
            </w:r>
          </w:p>
        </w:tc>
        <w:tc>
          <w:tcPr>
            <w:tcW w:w="4955" w:type="dxa"/>
            <w:tcBorders/>
            <w:shd w:fill="CCEEFF" w:val="clear"/>
          </w:tcPr>
          <w:p>
            <w:pPr>
              <w:pStyle w:val="TableContents"/>
              <w:spacing w:before="0" w:after="283"/>
              <w:rPr/>
            </w:pPr>
            <w:r>
              <w:rPr/>
              <w:t>First-lien loan (CAD 32,772 par, due 12/2027)</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115" w:type="dxa"/>
            <w:tcBorders/>
            <w:shd w:fill="CCEEFF" w:val="clear"/>
          </w:tcPr>
          <w:p>
            <w:pPr>
              <w:pStyle w:val="TableContents"/>
              <w:spacing w:before="0" w:after="283"/>
              <w:jc w:val="right"/>
              <w:rPr/>
            </w:pPr>
            <w:r>
              <w:rPr/>
              <w:t>12/3/2021</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310" w:type="dxa"/>
            <w:tcBorders/>
            <w:shd w:fill="CCEEFF" w:val="clear"/>
          </w:tcPr>
          <w:p>
            <w:pPr>
              <w:pStyle w:val="TableContents"/>
              <w:spacing w:before="0" w:after="283"/>
              <w:jc w:val="right"/>
              <w:rPr/>
            </w:pPr>
            <w:r>
              <w:rPr/>
              <w:t>C + 5.75</w:t>
            </w:r>
          </w:p>
        </w:tc>
        <w:tc>
          <w:tcPr>
            <w:tcW w:w="27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15" w:type="dxa"/>
            <w:tcBorders/>
            <w:shd w:fill="CCEEFF" w:val="clear"/>
          </w:tcPr>
          <w:p>
            <w:pPr>
              <w:pStyle w:val="TableContents"/>
              <w:spacing w:before="0" w:after="283"/>
              <w:jc w:val="right"/>
              <w:rPr/>
            </w:pPr>
            <w:r>
              <w:rPr/>
              <w:t>9.95%</w:t>
            </w:r>
          </w:p>
        </w:tc>
        <w:tc>
          <w:tcPr>
            <w:tcW w:w="60" w:type="dxa"/>
            <w:tcBorders/>
            <w:shd w:fill="CCEEFF" w:val="clear"/>
            <w:vAlign w:val="bottom"/>
          </w:tcPr>
          <w:p>
            <w:pPr>
              <w:pStyle w:val="TableContents"/>
              <w:spacing w:before="0" w:after="283"/>
              <w:rPr/>
            </w:pPr>
            <w:r>
              <w:rPr/>
              <w:t> </w:t>
            </w:r>
          </w:p>
        </w:tc>
        <w:tc>
          <w:tcPr>
            <w:tcW w:w="163" w:type="dxa"/>
            <w:tcBorders/>
            <w:shd w:fill="CCEEFF" w:val="clear"/>
          </w:tcPr>
          <w:p>
            <w:pPr>
              <w:pStyle w:val="TableContents"/>
              <w:spacing w:before="0" w:after="283"/>
              <w:rPr/>
            </w:pPr>
            <w:r>
              <w:rPr/>
              <w:t> </w:t>
            </w:r>
          </w:p>
        </w:tc>
        <w:tc>
          <w:tcPr>
            <w:tcW w:w="937" w:type="dxa"/>
            <w:tcBorders/>
            <w:shd w:fill="CCEEFF" w:val="clear"/>
          </w:tcPr>
          <w:p>
            <w:pPr>
              <w:pStyle w:val="TableContents"/>
              <w:spacing w:before="0" w:after="283"/>
              <w:jc w:val="right"/>
              <w:rPr/>
            </w:pPr>
            <w:r>
              <w:rPr/>
              <w:t>25,011</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tcPr>
          <w:p>
            <w:pPr>
              <w:pStyle w:val="TableContents"/>
              <w:spacing w:before="0" w:after="283"/>
              <w:rPr/>
            </w:pPr>
            <w:r>
              <w:rPr/>
              <w:t> </w:t>
            </w:r>
          </w:p>
        </w:tc>
        <w:tc>
          <w:tcPr>
            <w:tcW w:w="1040" w:type="dxa"/>
            <w:tcBorders/>
            <w:shd w:fill="CCEEFF" w:val="clear"/>
          </w:tcPr>
          <w:p>
            <w:pPr>
              <w:pStyle w:val="TableContents"/>
              <w:jc w:val="right"/>
              <w:rPr/>
            </w:pPr>
            <w:r>
              <w:rPr/>
              <w:t>23,778</w:t>
            </w:r>
          </w:p>
          <w:p>
            <w:pPr>
              <w:pStyle w:val="TableContents"/>
              <w:spacing w:before="0" w:after="20"/>
              <w:jc w:val="right"/>
              <w:rPr>
                <w:rFonts w:ascii="Times New Roman" w:hAnsi="Times New Roman"/>
                <w:sz w:val="16"/>
              </w:rPr>
            </w:pPr>
            <w:r>
              <w:rPr>
                <w:rFonts w:ascii="Times New Roman" w:hAnsi="Times New Roman"/>
                <w:sz w:val="16"/>
              </w:rPr>
              <w:t>(CAD 32,672</w:t>
            </w:r>
          </w:p>
        </w:tc>
        <w:tc>
          <w:tcPr>
            <w:tcW w:w="125" w:type="dxa"/>
            <w:tcBorders/>
            <w:shd w:fill="CCEEFF" w:val="clear"/>
          </w:tcPr>
          <w:p>
            <w:pPr>
              <w:pStyle w:val="TableContents"/>
              <w:rPr/>
            </w:pPr>
            <w:r>
              <w:rPr/>
              <w:t> </w:t>
            </w:r>
          </w:p>
          <w:p>
            <w:pPr>
              <w:pStyle w:val="TableContents"/>
              <w:spacing w:before="0" w:after="20"/>
              <w:rPr>
                <w:rFonts w:ascii="Times New Roman" w:hAnsi="Times New Roman"/>
                <w:sz w:val="16"/>
              </w:rPr>
            </w:pPr>
            <w:r>
              <w:rPr>
                <w:rFonts w:ascii="Times New Roman" w:hAnsi="Times New Roman"/>
                <w:sz w:val="16"/>
              </w:rPr>
              <w:t>) </w:t>
            </w:r>
          </w:p>
        </w:tc>
        <w:tc>
          <w:tcPr>
            <w:tcW w:w="60" w:type="dxa"/>
            <w:tcBorders/>
            <w:shd w:fill="CCEEFF" w:val="clear"/>
            <w:vAlign w:val="bottom"/>
          </w:tcPr>
          <w:p>
            <w:pPr>
              <w:pStyle w:val="TableContents"/>
              <w:spacing w:before="0" w:after="283"/>
              <w:rPr/>
            </w:pPr>
            <w:r>
              <w:rPr/>
              <w:t> </w:t>
            </w:r>
          </w:p>
        </w:tc>
        <w:tc>
          <w:tcPr>
            <w:tcW w:w="159" w:type="dxa"/>
            <w:tcBorders/>
            <w:shd w:fill="CCEEFF" w:val="clear"/>
          </w:tcPr>
          <w:p>
            <w:pPr>
              <w:pStyle w:val="TableContents"/>
              <w:spacing w:before="0" w:after="283"/>
              <w:rPr/>
            </w:pPr>
            <w:r>
              <w:rPr/>
              <w:t> </w:t>
            </w:r>
          </w:p>
        </w:tc>
        <w:tc>
          <w:tcPr>
            <w:tcW w:w="1166" w:type="dxa"/>
            <w:tcBorders/>
            <w:shd w:fill="CCEEFF" w:val="clear"/>
          </w:tcPr>
          <w:p>
            <w:pPr>
              <w:pStyle w:val="TableContents"/>
              <w:spacing w:before="0" w:after="283"/>
              <w:jc w:val="right"/>
              <w:rPr/>
            </w:pPr>
            <w:r>
              <w:rPr/>
              <w:t>1.8</w:t>
            </w:r>
          </w:p>
        </w:tc>
        <w:tc>
          <w:tcPr>
            <w:tcW w:w="275" w:type="dxa"/>
            <w:tcBorders/>
            <w:shd w:fill="CCEEFF" w:val="clear"/>
          </w:tcPr>
          <w:p>
            <w:pPr>
              <w:pStyle w:val="TableContents"/>
              <w:spacing w:before="0" w:after="283"/>
              <w:rPr/>
            </w:pPr>
            <w:r>
              <w:rPr/>
              <w:t>% </w:t>
            </w:r>
          </w:p>
        </w:tc>
      </w:tr>
      <w:tr>
        <w:trPr/>
        <w:tc>
          <w:tcPr>
            <w:tcW w:w="2270" w:type="dxa"/>
            <w:tcBorders/>
            <w:shd w:fill="auto" w:val="clear"/>
          </w:tcPr>
          <w:p>
            <w:pPr>
              <w:pStyle w:val="TableContents"/>
              <w:spacing w:before="0" w:after="0"/>
              <w:rPr>
                <w:rFonts w:ascii="Times New Roman" w:hAnsi="Times New Roman"/>
                <w:sz w:val="16"/>
              </w:rPr>
            </w:pPr>
            <w:r>
              <w:rPr>
                <w:rFonts w:ascii="Times New Roman" w:hAnsi="Times New Roman"/>
                <w:sz w:val="16"/>
              </w:rPr>
              <w:t>ExtraHop Networks, Inc.(3)(5)</w:t>
            </w:r>
          </w:p>
        </w:tc>
        <w:tc>
          <w:tcPr>
            <w:tcW w:w="60" w:type="dxa"/>
            <w:tcBorders/>
            <w:shd w:fill="auto" w:val="clear"/>
            <w:vAlign w:val="bottom"/>
          </w:tcPr>
          <w:p>
            <w:pPr>
              <w:pStyle w:val="TableContents"/>
              <w:spacing w:before="0" w:after="283"/>
              <w:rPr/>
            </w:pPr>
            <w:r>
              <w:rPr/>
              <w:t> </w:t>
            </w:r>
          </w:p>
        </w:tc>
        <w:tc>
          <w:tcPr>
            <w:tcW w:w="4955" w:type="dxa"/>
            <w:tcBorders/>
            <w:shd w:fill="auto" w:val="clear"/>
          </w:tcPr>
          <w:p>
            <w:pPr>
              <w:pStyle w:val="TableContents"/>
              <w:spacing w:before="0" w:after="283"/>
              <w:rPr/>
            </w:pPr>
            <w:r>
              <w:rPr/>
              <w:t>First-lien loan ($56,066 par, due 7/2027)</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115" w:type="dxa"/>
            <w:tcBorders/>
            <w:shd w:fill="auto" w:val="clear"/>
          </w:tcPr>
          <w:p>
            <w:pPr>
              <w:pStyle w:val="TableContents"/>
              <w:spacing w:before="0" w:after="283"/>
              <w:jc w:val="right"/>
              <w:rPr/>
            </w:pPr>
            <w:r>
              <w:rPr/>
              <w:t>7/22/2021</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310" w:type="dxa"/>
            <w:tcBorders/>
            <w:shd w:fill="auto" w:val="clear"/>
          </w:tcPr>
          <w:p>
            <w:pPr>
              <w:pStyle w:val="TableContents"/>
              <w:spacing w:before="0" w:after="283"/>
              <w:jc w:val="right"/>
              <w:rPr/>
            </w:pPr>
            <w:r>
              <w:rPr/>
              <w:t>L + 7.50</w:t>
            </w:r>
          </w:p>
        </w:tc>
        <w:tc>
          <w:tcPr>
            <w:tcW w:w="27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5" w:type="dxa"/>
            <w:tcBorders/>
            <w:shd w:fill="auto" w:val="clear"/>
          </w:tcPr>
          <w:p>
            <w:pPr>
              <w:pStyle w:val="TableContents"/>
              <w:spacing w:before="0" w:after="283"/>
              <w:jc w:val="right"/>
              <w:rPr/>
            </w:pPr>
            <w:r>
              <w:rPr/>
              <w:t>11.17%</w:t>
            </w:r>
          </w:p>
        </w:tc>
        <w:tc>
          <w:tcPr>
            <w:tcW w:w="60" w:type="dxa"/>
            <w:tcBorders/>
            <w:shd w:fill="auto" w:val="clear"/>
            <w:vAlign w:val="bottom"/>
          </w:tcPr>
          <w:p>
            <w:pPr>
              <w:pStyle w:val="TableContents"/>
              <w:spacing w:before="0" w:after="283"/>
              <w:rPr/>
            </w:pPr>
            <w:r>
              <w:rPr/>
              <w:t> </w:t>
            </w:r>
          </w:p>
        </w:tc>
        <w:tc>
          <w:tcPr>
            <w:tcW w:w="163" w:type="dxa"/>
            <w:tcBorders/>
            <w:shd w:fill="auto" w:val="clear"/>
          </w:tcPr>
          <w:p>
            <w:pPr>
              <w:pStyle w:val="TableContents"/>
              <w:spacing w:before="0" w:after="283"/>
              <w:rPr/>
            </w:pPr>
            <w:r>
              <w:rPr/>
              <w:t> </w:t>
            </w:r>
          </w:p>
        </w:tc>
        <w:tc>
          <w:tcPr>
            <w:tcW w:w="937" w:type="dxa"/>
            <w:tcBorders/>
            <w:shd w:fill="auto" w:val="clear"/>
          </w:tcPr>
          <w:p>
            <w:pPr>
              <w:pStyle w:val="TableContents"/>
              <w:spacing w:before="0" w:after="283"/>
              <w:jc w:val="right"/>
              <w:rPr/>
            </w:pPr>
            <w:r>
              <w:rPr/>
              <w:t>54,881</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tcPr>
          <w:p>
            <w:pPr>
              <w:pStyle w:val="TableContents"/>
              <w:spacing w:before="0" w:after="283"/>
              <w:rPr/>
            </w:pPr>
            <w:r>
              <w:rPr/>
              <w:t> </w:t>
            </w:r>
          </w:p>
        </w:tc>
        <w:tc>
          <w:tcPr>
            <w:tcW w:w="1040" w:type="dxa"/>
            <w:tcBorders/>
            <w:shd w:fill="auto" w:val="clear"/>
          </w:tcPr>
          <w:p>
            <w:pPr>
              <w:pStyle w:val="TableContents"/>
              <w:spacing w:before="0" w:after="283"/>
              <w:jc w:val="right"/>
              <w:rPr/>
            </w:pPr>
            <w:r>
              <w:rPr/>
              <w:t>54,384</w:t>
            </w:r>
          </w:p>
        </w:tc>
        <w:tc>
          <w:tcPr>
            <w:tcW w:w="12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tcPr>
          <w:p>
            <w:pPr>
              <w:pStyle w:val="TableContents"/>
              <w:spacing w:before="0" w:after="283"/>
              <w:rPr/>
            </w:pPr>
            <w:r>
              <w:rPr/>
              <w:t> </w:t>
            </w:r>
          </w:p>
        </w:tc>
        <w:tc>
          <w:tcPr>
            <w:tcW w:w="1166" w:type="dxa"/>
            <w:tcBorders/>
            <w:shd w:fill="auto" w:val="clear"/>
          </w:tcPr>
          <w:p>
            <w:pPr>
              <w:pStyle w:val="TableContents"/>
              <w:spacing w:before="0" w:after="283"/>
              <w:jc w:val="right"/>
              <w:rPr/>
            </w:pPr>
            <w:r>
              <w:rPr/>
              <w:t>4.0</w:t>
            </w:r>
          </w:p>
        </w:tc>
        <w:tc>
          <w:tcPr>
            <w:tcW w:w="275" w:type="dxa"/>
            <w:tcBorders/>
            <w:shd w:fill="auto" w:val="clear"/>
          </w:tcPr>
          <w:p>
            <w:pPr>
              <w:pStyle w:val="TableContents"/>
              <w:spacing w:before="0" w:after="283"/>
              <w:rPr/>
            </w:pPr>
            <w:r>
              <w:rPr/>
              <w:t>% </w:t>
            </w:r>
          </w:p>
        </w:tc>
      </w:tr>
      <w:tr>
        <w:trPr/>
        <w:tc>
          <w:tcPr>
            <w:tcW w:w="2270" w:type="dxa"/>
            <w:tcBorders/>
            <w:shd w:fill="CCEEFF" w:val="clear"/>
          </w:tcPr>
          <w:p>
            <w:pPr>
              <w:pStyle w:val="TableContents"/>
              <w:spacing w:before="0" w:after="0"/>
              <w:rPr>
                <w:rFonts w:ascii="Times New Roman" w:hAnsi="Times New Roman"/>
                <w:sz w:val="16"/>
              </w:rPr>
            </w:pPr>
            <w:r>
              <w:rPr>
                <w:rFonts w:ascii="Times New Roman" w:hAnsi="Times New Roman"/>
                <w:sz w:val="16"/>
              </w:rPr>
              <w:t>ForeScout Technologies, Inc.(3)</w:t>
            </w:r>
          </w:p>
        </w:tc>
        <w:tc>
          <w:tcPr>
            <w:tcW w:w="60" w:type="dxa"/>
            <w:tcBorders/>
            <w:shd w:fill="CCEEFF" w:val="clear"/>
            <w:vAlign w:val="bottom"/>
          </w:tcPr>
          <w:p>
            <w:pPr>
              <w:pStyle w:val="TableContents"/>
              <w:spacing w:before="0" w:after="283"/>
              <w:rPr/>
            </w:pPr>
            <w:r>
              <w:rPr/>
              <w:t> </w:t>
            </w:r>
          </w:p>
        </w:tc>
        <w:tc>
          <w:tcPr>
            <w:tcW w:w="4955" w:type="dxa"/>
            <w:tcBorders/>
            <w:shd w:fill="CCEEFF" w:val="clear"/>
          </w:tcPr>
          <w:p>
            <w:pPr>
              <w:pStyle w:val="TableContents"/>
              <w:spacing w:before="0" w:after="283"/>
              <w:rPr/>
            </w:pPr>
            <w:r>
              <w:rPr/>
              <w:t>First-lien loan ($6,349 par, due 8/2026)</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115" w:type="dxa"/>
            <w:tcBorders/>
            <w:shd w:fill="CCEEFF" w:val="clear"/>
          </w:tcPr>
          <w:p>
            <w:pPr>
              <w:pStyle w:val="TableContents"/>
              <w:spacing w:before="0" w:after="283"/>
              <w:jc w:val="right"/>
              <w:rPr/>
            </w:pPr>
            <w:r>
              <w:rPr/>
              <w:t>8/17/2020</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310" w:type="dxa"/>
            <w:tcBorders/>
            <w:shd w:fill="CCEEFF" w:val="clear"/>
          </w:tcPr>
          <w:p>
            <w:pPr>
              <w:pStyle w:val="TableContents"/>
              <w:spacing w:before="0" w:after="283"/>
              <w:jc w:val="right"/>
              <w:rPr/>
            </w:pPr>
            <w:r>
              <w:rPr/>
              <w:t>L + 9.50</w:t>
            </w:r>
          </w:p>
        </w:tc>
        <w:tc>
          <w:tcPr>
            <w:tcW w:w="27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15" w:type="dxa"/>
            <w:tcBorders/>
            <w:shd w:fill="CCEEFF" w:val="clear"/>
          </w:tcPr>
          <w:p>
            <w:pPr>
              <w:pStyle w:val="TableContents"/>
              <w:spacing w:before="0" w:after="283"/>
              <w:jc w:val="right"/>
              <w:rPr/>
            </w:pPr>
            <w:r>
              <w:rPr/>
              <w:t>13.17% (incl. 9.50% PIK)</w:t>
            </w:r>
          </w:p>
        </w:tc>
        <w:tc>
          <w:tcPr>
            <w:tcW w:w="60" w:type="dxa"/>
            <w:tcBorders/>
            <w:shd w:fill="CCEEFF" w:val="clear"/>
            <w:vAlign w:val="bottom"/>
          </w:tcPr>
          <w:p>
            <w:pPr>
              <w:pStyle w:val="TableContents"/>
              <w:spacing w:before="0" w:after="283"/>
              <w:rPr/>
            </w:pPr>
            <w:r>
              <w:rPr/>
              <w:t> </w:t>
            </w:r>
          </w:p>
        </w:tc>
        <w:tc>
          <w:tcPr>
            <w:tcW w:w="163" w:type="dxa"/>
            <w:tcBorders/>
            <w:shd w:fill="CCEEFF" w:val="clear"/>
          </w:tcPr>
          <w:p>
            <w:pPr>
              <w:pStyle w:val="TableContents"/>
              <w:spacing w:before="0" w:after="283"/>
              <w:rPr/>
            </w:pPr>
            <w:r>
              <w:rPr/>
              <w:t> </w:t>
            </w:r>
          </w:p>
        </w:tc>
        <w:tc>
          <w:tcPr>
            <w:tcW w:w="937" w:type="dxa"/>
            <w:tcBorders/>
            <w:shd w:fill="CCEEFF" w:val="clear"/>
          </w:tcPr>
          <w:p>
            <w:pPr>
              <w:pStyle w:val="TableContents"/>
              <w:spacing w:before="0" w:after="283"/>
              <w:jc w:val="right"/>
              <w:rPr/>
            </w:pPr>
            <w:r>
              <w:rPr/>
              <w:t>6,247</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tcPr>
          <w:p>
            <w:pPr>
              <w:pStyle w:val="TableContents"/>
              <w:spacing w:before="0" w:after="283"/>
              <w:rPr/>
            </w:pPr>
            <w:r>
              <w:rPr/>
              <w:t> </w:t>
            </w:r>
          </w:p>
        </w:tc>
        <w:tc>
          <w:tcPr>
            <w:tcW w:w="1040" w:type="dxa"/>
            <w:tcBorders/>
            <w:shd w:fill="CCEEFF" w:val="clear"/>
          </w:tcPr>
          <w:p>
            <w:pPr>
              <w:pStyle w:val="TableContents"/>
              <w:spacing w:before="0" w:after="283"/>
              <w:jc w:val="right"/>
              <w:rPr/>
            </w:pPr>
            <w:r>
              <w:rPr/>
              <w:t>6,263</w:t>
            </w:r>
          </w:p>
        </w:tc>
        <w:tc>
          <w:tcPr>
            <w:tcW w:w="12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tcPr>
          <w:p>
            <w:pPr>
              <w:pStyle w:val="TableContents"/>
              <w:spacing w:before="0" w:after="283"/>
              <w:rPr/>
            </w:pPr>
            <w:r>
              <w:rPr/>
              <w:t> </w:t>
            </w:r>
          </w:p>
        </w:tc>
        <w:tc>
          <w:tcPr>
            <w:tcW w:w="1166" w:type="dxa"/>
            <w:tcBorders/>
            <w:shd w:fill="CCEEFF" w:val="clear"/>
          </w:tcPr>
          <w:p>
            <w:pPr>
              <w:pStyle w:val="TableContents"/>
              <w:spacing w:before="0" w:after="283"/>
              <w:jc w:val="right"/>
              <w:rPr/>
            </w:pPr>
            <w:r>
              <w:rPr/>
              <w:t>0.5</w:t>
            </w:r>
          </w:p>
        </w:tc>
        <w:tc>
          <w:tcPr>
            <w:tcW w:w="275" w:type="dxa"/>
            <w:tcBorders/>
            <w:shd w:fill="CCEEFF" w:val="clear"/>
          </w:tcPr>
          <w:p>
            <w:pPr>
              <w:pStyle w:val="TableContents"/>
              <w:spacing w:before="0" w:after="283"/>
              <w:rPr/>
            </w:pPr>
            <w:r>
              <w:rPr/>
              <w:t>% </w:t>
            </w:r>
          </w:p>
        </w:tc>
      </w:tr>
      <w:tr>
        <w:trPr/>
        <w:tc>
          <w:tcPr>
            <w:tcW w:w="227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955" w:type="dxa"/>
            <w:tcBorders/>
            <w:shd w:fill="auto" w:val="clear"/>
          </w:tcPr>
          <w:p>
            <w:pPr>
              <w:pStyle w:val="TableContents"/>
              <w:spacing w:before="0" w:after="283"/>
              <w:rPr/>
            </w:pPr>
            <w:r>
              <w:rPr/>
              <w:t>First-lien loan ($2,548 par, due 8/2026)</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115" w:type="dxa"/>
            <w:tcBorders/>
            <w:shd w:fill="auto" w:val="clear"/>
          </w:tcPr>
          <w:p>
            <w:pPr>
              <w:pStyle w:val="TableContents"/>
              <w:spacing w:before="0" w:after="283"/>
              <w:jc w:val="right"/>
              <w:rPr/>
            </w:pPr>
            <w:r>
              <w:rPr/>
              <w:t>7/1/2022</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310" w:type="dxa"/>
            <w:tcBorders/>
            <w:shd w:fill="auto" w:val="clear"/>
          </w:tcPr>
          <w:p>
            <w:pPr>
              <w:pStyle w:val="TableContents"/>
              <w:spacing w:before="0" w:after="283"/>
              <w:jc w:val="right"/>
              <w:rPr/>
            </w:pPr>
            <w:r>
              <w:rPr/>
              <w:t>L + 9.00</w:t>
            </w:r>
          </w:p>
        </w:tc>
        <w:tc>
          <w:tcPr>
            <w:tcW w:w="27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5" w:type="dxa"/>
            <w:tcBorders/>
            <w:shd w:fill="auto" w:val="clear"/>
          </w:tcPr>
          <w:p>
            <w:pPr>
              <w:pStyle w:val="TableContents"/>
              <w:spacing w:before="0" w:after="283"/>
              <w:jc w:val="right"/>
              <w:rPr/>
            </w:pPr>
            <w:r>
              <w:rPr/>
              <w:t>12.67% (incl. 9.00% PIK)</w:t>
            </w:r>
          </w:p>
        </w:tc>
        <w:tc>
          <w:tcPr>
            <w:tcW w:w="60" w:type="dxa"/>
            <w:tcBorders/>
            <w:shd w:fill="auto" w:val="clear"/>
            <w:vAlign w:val="bottom"/>
          </w:tcPr>
          <w:p>
            <w:pPr>
              <w:pStyle w:val="TableContents"/>
              <w:spacing w:before="0" w:after="283"/>
              <w:rPr/>
            </w:pPr>
            <w:r>
              <w:rPr/>
              <w:t> </w:t>
            </w:r>
          </w:p>
        </w:tc>
        <w:tc>
          <w:tcPr>
            <w:tcW w:w="163" w:type="dxa"/>
            <w:tcBorders/>
            <w:shd w:fill="auto" w:val="clear"/>
          </w:tcPr>
          <w:p>
            <w:pPr>
              <w:pStyle w:val="TableContents"/>
              <w:spacing w:before="0" w:after="283"/>
              <w:rPr/>
            </w:pPr>
            <w:r>
              <w:rPr/>
              <w:t> </w:t>
            </w:r>
          </w:p>
        </w:tc>
        <w:tc>
          <w:tcPr>
            <w:tcW w:w="937" w:type="dxa"/>
            <w:tcBorders/>
            <w:shd w:fill="auto" w:val="clear"/>
          </w:tcPr>
          <w:p>
            <w:pPr>
              <w:pStyle w:val="TableContents"/>
              <w:spacing w:before="0" w:after="283"/>
              <w:jc w:val="right"/>
              <w:rPr/>
            </w:pPr>
            <w:r>
              <w:rPr/>
              <w:t>2,475</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tcPr>
          <w:p>
            <w:pPr>
              <w:pStyle w:val="TableContents"/>
              <w:spacing w:before="0" w:after="283"/>
              <w:rPr/>
            </w:pPr>
            <w:r>
              <w:rPr/>
              <w:t> </w:t>
            </w:r>
          </w:p>
        </w:tc>
        <w:tc>
          <w:tcPr>
            <w:tcW w:w="1040" w:type="dxa"/>
            <w:tcBorders/>
            <w:shd w:fill="auto" w:val="clear"/>
          </w:tcPr>
          <w:p>
            <w:pPr>
              <w:pStyle w:val="TableContents"/>
              <w:spacing w:before="0" w:after="283"/>
              <w:jc w:val="right"/>
              <w:rPr/>
            </w:pPr>
            <w:r>
              <w:rPr/>
              <w:t>2,453</w:t>
            </w:r>
          </w:p>
        </w:tc>
        <w:tc>
          <w:tcPr>
            <w:tcW w:w="12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tcPr>
          <w:p>
            <w:pPr>
              <w:pStyle w:val="TableContents"/>
              <w:spacing w:before="0" w:after="283"/>
              <w:rPr/>
            </w:pPr>
            <w:r>
              <w:rPr/>
              <w:t> </w:t>
            </w:r>
          </w:p>
        </w:tc>
        <w:tc>
          <w:tcPr>
            <w:tcW w:w="1166" w:type="dxa"/>
            <w:tcBorders/>
            <w:shd w:fill="auto" w:val="clear"/>
          </w:tcPr>
          <w:p>
            <w:pPr>
              <w:pStyle w:val="TableContents"/>
              <w:spacing w:before="0" w:after="283"/>
              <w:jc w:val="right"/>
              <w:rPr/>
            </w:pPr>
            <w:r>
              <w:rPr/>
              <w:t>0.2</w:t>
            </w:r>
          </w:p>
        </w:tc>
        <w:tc>
          <w:tcPr>
            <w:tcW w:w="275" w:type="dxa"/>
            <w:tcBorders/>
            <w:shd w:fill="auto" w:val="clear"/>
          </w:tcPr>
          <w:p>
            <w:pPr>
              <w:pStyle w:val="TableContents"/>
              <w:spacing w:before="0" w:after="283"/>
              <w:rPr/>
            </w:pPr>
            <w:r>
              <w:rPr/>
              <w:t>% </w:t>
            </w:r>
          </w:p>
        </w:tc>
      </w:tr>
      <w:tr>
        <w:trPr/>
        <w:tc>
          <w:tcPr>
            <w:tcW w:w="2270" w:type="dxa"/>
            <w:tcBorders/>
            <w:shd w:fill="CCEEFF" w:val="clear"/>
          </w:tcPr>
          <w:p>
            <w:pPr>
              <w:pStyle w:val="TableContents"/>
              <w:spacing w:before="0" w:after="0"/>
              <w:rPr>
                <w:rFonts w:ascii="Times New Roman" w:hAnsi="Times New Roman"/>
                <w:sz w:val="16"/>
              </w:rPr>
            </w:pPr>
            <w:r>
              <w:rPr>
                <w:rFonts w:ascii="Times New Roman" w:hAnsi="Times New Roman"/>
                <w:sz w:val="16"/>
              </w:rPr>
              <w:t>Information Clearinghouse, LLC and MS Market Service, LLC(3)(5)</w:t>
            </w:r>
          </w:p>
        </w:tc>
        <w:tc>
          <w:tcPr>
            <w:tcW w:w="60" w:type="dxa"/>
            <w:tcBorders/>
            <w:shd w:fill="CCEEFF" w:val="clear"/>
            <w:vAlign w:val="bottom"/>
          </w:tcPr>
          <w:p>
            <w:pPr>
              <w:pStyle w:val="TableContents"/>
              <w:spacing w:before="0" w:after="283"/>
              <w:rPr/>
            </w:pPr>
            <w:r>
              <w:rPr/>
              <w:t> </w:t>
            </w:r>
          </w:p>
        </w:tc>
        <w:tc>
          <w:tcPr>
            <w:tcW w:w="4955" w:type="dxa"/>
            <w:tcBorders/>
            <w:shd w:fill="CCEEFF" w:val="clear"/>
            <w:vAlign w:val="bottom"/>
          </w:tcPr>
          <w:p>
            <w:pPr>
              <w:pStyle w:val="TableContents"/>
              <w:spacing w:before="0" w:after="283"/>
              <w:rPr/>
            </w:pPr>
            <w:r>
              <w:rPr/>
              <w:t>First-lien loan ($17,865 par, due 12/2026)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pPr>
            <w:r>
              <w:rPr/>
              <w:t>12/20/2021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10" w:type="dxa"/>
            <w:tcBorders/>
            <w:shd w:fill="CCEEFF" w:val="clear"/>
            <w:vAlign w:val="bottom"/>
          </w:tcPr>
          <w:p>
            <w:pPr>
              <w:pStyle w:val="TableContents"/>
              <w:spacing w:before="0" w:after="283"/>
              <w:jc w:val="right"/>
              <w:rPr/>
            </w:pPr>
            <w:r>
              <w:rPr/>
              <w:t>L + 6.50</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15" w:type="dxa"/>
            <w:tcBorders/>
            <w:shd w:fill="CCEEFF" w:val="clear"/>
            <w:vAlign w:val="bottom"/>
          </w:tcPr>
          <w:p>
            <w:pPr>
              <w:pStyle w:val="TableContents"/>
              <w:spacing w:before="0" w:after="283"/>
              <w:jc w:val="right"/>
              <w:rPr/>
            </w:pPr>
            <w:r>
              <w:rPr/>
              <w:t>10.07%</w:t>
            </w:r>
          </w:p>
        </w:tc>
        <w:tc>
          <w:tcPr>
            <w:tcW w:w="6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pPr>
            <w:r>
              <w:rPr/>
              <w:t>17,457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040" w:type="dxa"/>
            <w:tcBorders/>
            <w:shd w:fill="CCEEFF" w:val="clear"/>
            <w:vAlign w:val="bottom"/>
          </w:tcPr>
          <w:p>
            <w:pPr>
              <w:pStyle w:val="TableContents"/>
              <w:spacing w:before="0" w:after="283"/>
              <w:jc w:val="right"/>
              <w:rPr/>
            </w:pPr>
            <w:r>
              <w:rPr/>
              <w:t>17,284</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166" w:type="dxa"/>
            <w:tcBorders/>
            <w:shd w:fill="CCEEFF" w:val="clear"/>
            <w:vAlign w:val="bottom"/>
          </w:tcPr>
          <w:p>
            <w:pPr>
              <w:pStyle w:val="TableContents"/>
              <w:spacing w:before="0" w:after="283"/>
              <w:jc w:val="right"/>
              <w:rPr/>
            </w:pPr>
            <w:r>
              <w:rPr/>
              <w:t>1.3</w:t>
            </w:r>
          </w:p>
        </w:tc>
        <w:tc>
          <w:tcPr>
            <w:tcW w:w="275" w:type="dxa"/>
            <w:tcBorders/>
            <w:shd w:fill="CCEEFF" w:val="clear"/>
            <w:vAlign w:val="bottom"/>
          </w:tcPr>
          <w:p>
            <w:pPr>
              <w:pStyle w:val="TableContents"/>
              <w:spacing w:before="0" w:after="283"/>
              <w:rPr/>
            </w:pPr>
            <w:r>
              <w:rPr/>
              <w:t>% </w:t>
            </w:r>
          </w:p>
        </w:tc>
      </w:tr>
      <w:tr>
        <w:trPr/>
        <w:tc>
          <w:tcPr>
            <w:tcW w:w="2270" w:type="dxa"/>
            <w:tcBorders/>
            <w:shd w:fill="auto" w:val="clear"/>
          </w:tcPr>
          <w:p>
            <w:pPr>
              <w:pStyle w:val="TableContents"/>
              <w:spacing w:before="0" w:after="0"/>
              <w:rPr>
                <w:rFonts w:ascii="Times New Roman" w:hAnsi="Times New Roman"/>
                <w:sz w:val="16"/>
              </w:rPr>
            </w:pPr>
            <w:r>
              <w:rPr>
                <w:rFonts w:ascii="Times New Roman" w:hAnsi="Times New Roman"/>
                <w:sz w:val="16"/>
              </w:rPr>
              <w:t>Mitnick Corporate Purchaser, Inc.(3)(10)</w:t>
            </w:r>
          </w:p>
        </w:tc>
        <w:tc>
          <w:tcPr>
            <w:tcW w:w="60" w:type="dxa"/>
            <w:tcBorders/>
            <w:shd w:fill="auto" w:val="clear"/>
            <w:vAlign w:val="bottom"/>
          </w:tcPr>
          <w:p>
            <w:pPr>
              <w:pStyle w:val="TableContents"/>
              <w:spacing w:before="0" w:after="283"/>
              <w:rPr/>
            </w:pPr>
            <w:r>
              <w:rPr/>
              <w:t> </w:t>
            </w:r>
          </w:p>
        </w:tc>
        <w:tc>
          <w:tcPr>
            <w:tcW w:w="4955" w:type="dxa"/>
            <w:tcBorders/>
            <w:shd w:fill="auto" w:val="clear"/>
            <w:vAlign w:val="bottom"/>
          </w:tcPr>
          <w:p>
            <w:pPr>
              <w:pStyle w:val="TableContents"/>
              <w:spacing w:before="0" w:after="283"/>
              <w:rPr/>
            </w:pPr>
            <w:r>
              <w:rPr/>
              <w:t>First-lien loan ($333 par, due 5/2029)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right"/>
              <w:rPr/>
            </w:pPr>
            <w:r>
              <w:rPr/>
              <w:t>5/2/2022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0" w:type="dxa"/>
            <w:tcBorders/>
            <w:shd w:fill="auto" w:val="clear"/>
            <w:vAlign w:val="bottom"/>
          </w:tcPr>
          <w:p>
            <w:pPr>
              <w:pStyle w:val="TableContents"/>
              <w:spacing w:before="0" w:after="283"/>
              <w:jc w:val="right"/>
              <w:rPr/>
            </w:pPr>
            <w:r>
              <w:rPr/>
              <w:t>SOFR + 4.85</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5" w:type="dxa"/>
            <w:tcBorders/>
            <w:shd w:fill="auto" w:val="clear"/>
            <w:vAlign w:val="bottom"/>
          </w:tcPr>
          <w:p>
            <w:pPr>
              <w:pStyle w:val="TableContents"/>
              <w:spacing w:before="0" w:after="283"/>
              <w:jc w:val="right"/>
              <w:rPr/>
            </w:pPr>
            <w:r>
              <w:rPr/>
              <w:t>7.39%</w:t>
            </w:r>
          </w:p>
        </w:tc>
        <w:tc>
          <w:tcPr>
            <w:tcW w:w="6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jc w:val="right"/>
              <w:rPr/>
            </w:pPr>
            <w:r>
              <w:rPr/>
              <w:t>334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040" w:type="dxa"/>
            <w:tcBorders/>
            <w:shd w:fill="auto" w:val="clear"/>
            <w:vAlign w:val="bottom"/>
          </w:tcPr>
          <w:p>
            <w:pPr>
              <w:pStyle w:val="TableContents"/>
              <w:spacing w:before="0" w:after="283"/>
              <w:jc w:val="right"/>
              <w:rPr/>
            </w:pPr>
            <w:r>
              <w:rPr/>
              <w:t>314</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166" w:type="dxa"/>
            <w:tcBorders/>
            <w:shd w:fill="auto" w:val="clear"/>
            <w:vAlign w:val="bottom"/>
          </w:tcPr>
          <w:p>
            <w:pPr>
              <w:pStyle w:val="TableContents"/>
              <w:spacing w:before="0" w:after="283"/>
              <w:jc w:val="right"/>
              <w:rPr/>
            </w:pPr>
            <w:r>
              <w:rPr/>
              <w:t>0.0</w:t>
            </w:r>
          </w:p>
        </w:tc>
        <w:tc>
          <w:tcPr>
            <w:tcW w:w="275" w:type="dxa"/>
            <w:tcBorders/>
            <w:shd w:fill="auto" w:val="clear"/>
            <w:vAlign w:val="bottom"/>
          </w:tcPr>
          <w:p>
            <w:pPr>
              <w:pStyle w:val="TableContents"/>
              <w:spacing w:before="0" w:after="283"/>
              <w:rPr/>
            </w:pPr>
            <w:r>
              <w:rPr/>
              <w:t>% </w:t>
            </w:r>
          </w:p>
        </w:tc>
      </w:tr>
      <w:tr>
        <w:trPr/>
        <w:tc>
          <w:tcPr>
            <w:tcW w:w="2270" w:type="dxa"/>
            <w:tcBorders/>
            <w:shd w:fill="CCEEFF" w:val="clear"/>
          </w:tcPr>
          <w:p>
            <w:pPr>
              <w:pStyle w:val="TableContents"/>
              <w:spacing w:before="0" w:after="0"/>
              <w:rPr>
                <w:rFonts w:ascii="Times New Roman" w:hAnsi="Times New Roman"/>
                <w:sz w:val="16"/>
              </w:rPr>
            </w:pPr>
            <w:r>
              <w:rPr>
                <w:rFonts w:ascii="Times New Roman" w:hAnsi="Times New Roman"/>
                <w:sz w:val="16"/>
              </w:rPr>
              <w:t>Netwrix Corp.(3)</w:t>
            </w:r>
          </w:p>
        </w:tc>
        <w:tc>
          <w:tcPr>
            <w:tcW w:w="60" w:type="dxa"/>
            <w:tcBorders/>
            <w:shd w:fill="CCEEFF" w:val="clear"/>
            <w:vAlign w:val="bottom"/>
          </w:tcPr>
          <w:p>
            <w:pPr>
              <w:pStyle w:val="TableContents"/>
              <w:spacing w:before="0" w:after="283"/>
              <w:rPr/>
            </w:pPr>
            <w:r>
              <w:rPr/>
              <w:t> </w:t>
            </w:r>
          </w:p>
        </w:tc>
        <w:tc>
          <w:tcPr>
            <w:tcW w:w="4955" w:type="dxa"/>
            <w:tcBorders/>
            <w:shd w:fill="CCEEFF" w:val="clear"/>
          </w:tcPr>
          <w:p>
            <w:pPr>
              <w:pStyle w:val="TableContents"/>
              <w:spacing w:before="0" w:after="283"/>
              <w:rPr/>
            </w:pPr>
            <w:r>
              <w:rPr/>
              <w:t>First-lien loan ($47,130 par, due 6/2029)</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115" w:type="dxa"/>
            <w:tcBorders/>
            <w:shd w:fill="CCEEFF" w:val="clear"/>
          </w:tcPr>
          <w:p>
            <w:pPr>
              <w:pStyle w:val="TableContents"/>
              <w:spacing w:before="0" w:after="283"/>
              <w:jc w:val="right"/>
              <w:rPr/>
            </w:pPr>
            <w:r>
              <w:rPr/>
              <w:t>6/9/2022</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310" w:type="dxa"/>
            <w:tcBorders/>
            <w:shd w:fill="CCEEFF" w:val="clear"/>
          </w:tcPr>
          <w:p>
            <w:pPr>
              <w:pStyle w:val="TableContents"/>
              <w:spacing w:before="0" w:after="283"/>
              <w:jc w:val="right"/>
              <w:rPr/>
            </w:pPr>
            <w:r>
              <w:rPr/>
              <w:t>SOFR + 5.00</w:t>
            </w:r>
          </w:p>
        </w:tc>
        <w:tc>
          <w:tcPr>
            <w:tcW w:w="27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15" w:type="dxa"/>
            <w:tcBorders/>
            <w:shd w:fill="CCEEFF" w:val="clear"/>
          </w:tcPr>
          <w:p>
            <w:pPr>
              <w:pStyle w:val="TableContents"/>
              <w:spacing w:before="0" w:after="283"/>
              <w:jc w:val="right"/>
              <w:rPr/>
            </w:pPr>
            <w:r>
              <w:rPr/>
              <w:t>7.92%</w:t>
            </w:r>
          </w:p>
        </w:tc>
        <w:tc>
          <w:tcPr>
            <w:tcW w:w="60" w:type="dxa"/>
            <w:tcBorders/>
            <w:shd w:fill="CCEEFF" w:val="clear"/>
            <w:vAlign w:val="bottom"/>
          </w:tcPr>
          <w:p>
            <w:pPr>
              <w:pStyle w:val="TableContents"/>
              <w:spacing w:before="0" w:after="283"/>
              <w:rPr/>
            </w:pPr>
            <w:r>
              <w:rPr/>
              <w:t> </w:t>
            </w:r>
          </w:p>
        </w:tc>
        <w:tc>
          <w:tcPr>
            <w:tcW w:w="163" w:type="dxa"/>
            <w:tcBorders/>
            <w:shd w:fill="CCEEFF" w:val="clear"/>
          </w:tcPr>
          <w:p>
            <w:pPr>
              <w:pStyle w:val="TableContents"/>
              <w:spacing w:before="0" w:after="283"/>
              <w:rPr/>
            </w:pPr>
            <w:r>
              <w:rPr/>
              <w:t> </w:t>
            </w:r>
          </w:p>
        </w:tc>
        <w:tc>
          <w:tcPr>
            <w:tcW w:w="937" w:type="dxa"/>
            <w:tcBorders/>
            <w:shd w:fill="CCEEFF" w:val="clear"/>
          </w:tcPr>
          <w:p>
            <w:pPr>
              <w:pStyle w:val="TableContents"/>
              <w:spacing w:before="0" w:after="283"/>
              <w:jc w:val="right"/>
              <w:rPr/>
            </w:pPr>
            <w:r>
              <w:rPr/>
              <w:t>31,211</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tcPr>
          <w:p>
            <w:pPr>
              <w:pStyle w:val="TableContents"/>
              <w:spacing w:before="0" w:after="283"/>
              <w:rPr/>
            </w:pPr>
            <w:r>
              <w:rPr/>
              <w:t> </w:t>
            </w:r>
          </w:p>
        </w:tc>
        <w:tc>
          <w:tcPr>
            <w:tcW w:w="1040" w:type="dxa"/>
            <w:tcBorders/>
            <w:shd w:fill="CCEEFF" w:val="clear"/>
          </w:tcPr>
          <w:p>
            <w:pPr>
              <w:pStyle w:val="TableContents"/>
              <w:spacing w:before="0" w:after="283"/>
              <w:jc w:val="right"/>
              <w:rPr/>
            </w:pPr>
            <w:r>
              <w:rPr/>
              <w:t>30,697</w:t>
            </w:r>
          </w:p>
        </w:tc>
        <w:tc>
          <w:tcPr>
            <w:tcW w:w="12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tcPr>
          <w:p>
            <w:pPr>
              <w:pStyle w:val="TableContents"/>
              <w:spacing w:before="0" w:after="283"/>
              <w:rPr/>
            </w:pPr>
            <w:r>
              <w:rPr/>
              <w:t> </w:t>
            </w:r>
          </w:p>
        </w:tc>
        <w:tc>
          <w:tcPr>
            <w:tcW w:w="1166" w:type="dxa"/>
            <w:tcBorders/>
            <w:shd w:fill="CCEEFF" w:val="clear"/>
          </w:tcPr>
          <w:p>
            <w:pPr>
              <w:pStyle w:val="TableContents"/>
              <w:spacing w:before="0" w:after="283"/>
              <w:jc w:val="right"/>
              <w:rPr/>
            </w:pPr>
            <w:r>
              <w:rPr/>
              <w:t>2.3</w:t>
            </w:r>
          </w:p>
        </w:tc>
        <w:tc>
          <w:tcPr>
            <w:tcW w:w="275" w:type="dxa"/>
            <w:tcBorders/>
            <w:shd w:fill="CCEEFF" w:val="clear"/>
          </w:tcPr>
          <w:p>
            <w:pPr>
              <w:pStyle w:val="TableContents"/>
              <w:spacing w:before="0" w:after="283"/>
              <w:rPr/>
            </w:pPr>
            <w:r>
              <w:rPr/>
              <w:t>% </w:t>
            </w:r>
          </w:p>
        </w:tc>
      </w:tr>
      <w:tr>
        <w:trPr/>
        <w:tc>
          <w:tcPr>
            <w:tcW w:w="2270" w:type="dxa"/>
            <w:tcBorders/>
            <w:shd w:fill="auto" w:val="clear"/>
          </w:tcPr>
          <w:p>
            <w:pPr>
              <w:pStyle w:val="TableContents"/>
              <w:spacing w:before="0" w:after="0"/>
              <w:rPr>
                <w:rFonts w:ascii="Times New Roman" w:hAnsi="Times New Roman"/>
                <w:sz w:val="16"/>
              </w:rPr>
            </w:pPr>
            <w:r>
              <w:rPr>
                <w:rFonts w:ascii="Times New Roman" w:hAnsi="Times New Roman"/>
                <w:sz w:val="16"/>
              </w:rPr>
              <w:t>ReliaQuest Holdings, LLC(3)(5)</w:t>
            </w:r>
          </w:p>
        </w:tc>
        <w:tc>
          <w:tcPr>
            <w:tcW w:w="60" w:type="dxa"/>
            <w:tcBorders/>
            <w:shd w:fill="auto" w:val="clear"/>
            <w:vAlign w:val="bottom"/>
          </w:tcPr>
          <w:p>
            <w:pPr>
              <w:pStyle w:val="TableContents"/>
              <w:spacing w:before="0" w:after="283"/>
              <w:rPr/>
            </w:pPr>
            <w:r>
              <w:rPr/>
              <w:t> </w:t>
            </w:r>
          </w:p>
        </w:tc>
        <w:tc>
          <w:tcPr>
            <w:tcW w:w="4955" w:type="dxa"/>
            <w:tcBorders/>
            <w:shd w:fill="auto" w:val="clear"/>
          </w:tcPr>
          <w:p>
            <w:pPr>
              <w:pStyle w:val="TableContents"/>
              <w:spacing w:before="0" w:after="283"/>
              <w:rPr/>
            </w:pPr>
            <w:r>
              <w:rPr/>
              <w:t>First-lien loan ($60,497 par, due 10/2026)</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115" w:type="dxa"/>
            <w:tcBorders/>
            <w:shd w:fill="auto" w:val="clear"/>
          </w:tcPr>
          <w:p>
            <w:pPr>
              <w:pStyle w:val="TableContents"/>
              <w:spacing w:before="0" w:after="283"/>
              <w:jc w:val="right"/>
              <w:rPr/>
            </w:pPr>
            <w:r>
              <w:rPr/>
              <w:t>10/8/2020</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310" w:type="dxa"/>
            <w:tcBorders/>
            <w:shd w:fill="auto" w:val="clear"/>
          </w:tcPr>
          <w:p>
            <w:pPr>
              <w:pStyle w:val="TableContents"/>
              <w:spacing w:before="0" w:after="283"/>
              <w:jc w:val="right"/>
              <w:rPr/>
            </w:pPr>
            <w:r>
              <w:rPr/>
              <w:t>SOFR + 7.25</w:t>
            </w:r>
          </w:p>
        </w:tc>
        <w:tc>
          <w:tcPr>
            <w:tcW w:w="27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5" w:type="dxa"/>
            <w:tcBorders/>
            <w:shd w:fill="auto" w:val="clear"/>
          </w:tcPr>
          <w:p>
            <w:pPr>
              <w:pStyle w:val="TableContents"/>
              <w:spacing w:before="0" w:after="283"/>
              <w:jc w:val="right"/>
              <w:rPr/>
            </w:pPr>
            <w:r>
              <w:rPr/>
              <w:t>10.80%</w:t>
            </w:r>
          </w:p>
        </w:tc>
        <w:tc>
          <w:tcPr>
            <w:tcW w:w="60" w:type="dxa"/>
            <w:tcBorders/>
            <w:shd w:fill="auto" w:val="clear"/>
            <w:vAlign w:val="bottom"/>
          </w:tcPr>
          <w:p>
            <w:pPr>
              <w:pStyle w:val="TableContents"/>
              <w:spacing w:before="0" w:after="283"/>
              <w:rPr/>
            </w:pPr>
            <w:r>
              <w:rPr/>
              <w:t> </w:t>
            </w:r>
          </w:p>
        </w:tc>
        <w:tc>
          <w:tcPr>
            <w:tcW w:w="163" w:type="dxa"/>
            <w:tcBorders/>
            <w:shd w:fill="auto" w:val="clear"/>
          </w:tcPr>
          <w:p>
            <w:pPr>
              <w:pStyle w:val="TableContents"/>
              <w:spacing w:before="0" w:after="283"/>
              <w:rPr/>
            </w:pPr>
            <w:r>
              <w:rPr/>
              <w:t> </w:t>
            </w:r>
          </w:p>
        </w:tc>
        <w:tc>
          <w:tcPr>
            <w:tcW w:w="937" w:type="dxa"/>
            <w:tcBorders/>
            <w:shd w:fill="auto" w:val="clear"/>
          </w:tcPr>
          <w:p>
            <w:pPr>
              <w:pStyle w:val="TableContents"/>
              <w:spacing w:before="0" w:after="283"/>
              <w:jc w:val="right"/>
              <w:rPr/>
            </w:pPr>
            <w:r>
              <w:rPr/>
              <w:t>59,366</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tcPr>
          <w:p>
            <w:pPr>
              <w:pStyle w:val="TableContents"/>
              <w:spacing w:before="0" w:after="283"/>
              <w:rPr/>
            </w:pPr>
            <w:r>
              <w:rPr/>
              <w:t> </w:t>
            </w:r>
          </w:p>
        </w:tc>
        <w:tc>
          <w:tcPr>
            <w:tcW w:w="1040" w:type="dxa"/>
            <w:tcBorders/>
            <w:shd w:fill="auto" w:val="clear"/>
          </w:tcPr>
          <w:p>
            <w:pPr>
              <w:pStyle w:val="TableContents"/>
              <w:spacing w:before="0" w:after="283"/>
              <w:jc w:val="right"/>
              <w:rPr/>
            </w:pPr>
            <w:r>
              <w:rPr/>
              <w:t>60,346</w:t>
            </w:r>
          </w:p>
        </w:tc>
        <w:tc>
          <w:tcPr>
            <w:tcW w:w="12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tcPr>
          <w:p>
            <w:pPr>
              <w:pStyle w:val="TableContents"/>
              <w:spacing w:before="0" w:after="283"/>
              <w:rPr/>
            </w:pPr>
            <w:r>
              <w:rPr/>
              <w:t> </w:t>
            </w:r>
          </w:p>
        </w:tc>
        <w:tc>
          <w:tcPr>
            <w:tcW w:w="1166" w:type="dxa"/>
            <w:tcBorders/>
            <w:shd w:fill="auto" w:val="clear"/>
          </w:tcPr>
          <w:p>
            <w:pPr>
              <w:pStyle w:val="TableContents"/>
              <w:spacing w:before="0" w:after="283"/>
              <w:jc w:val="right"/>
              <w:rPr/>
            </w:pPr>
            <w:r>
              <w:rPr/>
              <w:t>4.5</w:t>
            </w:r>
          </w:p>
        </w:tc>
        <w:tc>
          <w:tcPr>
            <w:tcW w:w="275" w:type="dxa"/>
            <w:tcBorders/>
            <w:shd w:fill="auto" w:val="clear"/>
          </w:tcPr>
          <w:p>
            <w:pPr>
              <w:pStyle w:val="TableContents"/>
              <w:spacing w:before="0" w:after="283"/>
              <w:rPr/>
            </w:pPr>
            <w:r>
              <w:rPr/>
              <w:t>% </w:t>
            </w:r>
          </w:p>
        </w:tc>
      </w:tr>
      <w:tr>
        <w:trPr/>
        <w:tc>
          <w:tcPr>
            <w:tcW w:w="2270" w:type="dxa"/>
            <w:tcBorders/>
            <w:shd w:fill="CCEEFF" w:val="clear"/>
          </w:tcPr>
          <w:p>
            <w:pPr>
              <w:pStyle w:val="TableContents"/>
              <w:spacing w:before="0" w:after="0"/>
              <w:rPr>
                <w:rFonts w:ascii="Times New Roman" w:hAnsi="Times New Roman"/>
                <w:sz w:val="16"/>
              </w:rPr>
            </w:pPr>
            <w:r>
              <w:rPr>
                <w:rFonts w:ascii="Times New Roman" w:hAnsi="Times New Roman"/>
                <w:sz w:val="16"/>
              </w:rPr>
              <w:t>TIBCO Software Inc.(10)</w:t>
            </w:r>
          </w:p>
        </w:tc>
        <w:tc>
          <w:tcPr>
            <w:tcW w:w="60" w:type="dxa"/>
            <w:tcBorders/>
            <w:shd w:fill="CCEEFF" w:val="clear"/>
            <w:vAlign w:val="bottom"/>
          </w:tcPr>
          <w:p>
            <w:pPr>
              <w:pStyle w:val="TableContents"/>
              <w:spacing w:before="0" w:after="283"/>
              <w:rPr/>
            </w:pPr>
            <w:r>
              <w:rPr/>
              <w:t> </w:t>
            </w:r>
          </w:p>
        </w:tc>
        <w:tc>
          <w:tcPr>
            <w:tcW w:w="4955" w:type="dxa"/>
            <w:tcBorders/>
            <w:shd w:fill="CCEEFF" w:val="clear"/>
          </w:tcPr>
          <w:p>
            <w:pPr>
              <w:pStyle w:val="TableContents"/>
              <w:spacing w:before="0" w:after="283"/>
              <w:rPr/>
            </w:pPr>
            <w:r>
              <w:rPr/>
              <w:t>First-lien note ($13,000 par, due 3/2029)</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115" w:type="dxa"/>
            <w:tcBorders/>
            <w:shd w:fill="CCEEFF" w:val="clear"/>
          </w:tcPr>
          <w:p>
            <w:pPr>
              <w:pStyle w:val="TableContents"/>
              <w:spacing w:before="0" w:after="283"/>
              <w:jc w:val="right"/>
              <w:rPr/>
            </w:pPr>
            <w:r>
              <w:rPr/>
              <w:t>9/20/2022</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310" w:type="dxa"/>
            <w:tcBorders/>
            <w:shd w:fill="CCEEFF" w:val="clear"/>
          </w:tcPr>
          <w:p>
            <w:pPr>
              <w:pStyle w:val="TableContents"/>
              <w:spacing w:before="0" w:after="283"/>
              <w:jc w:val="right"/>
              <w:rPr/>
            </w:pPr>
            <w:r>
              <w:rPr/>
              <w:t>6.50</w:t>
            </w:r>
          </w:p>
        </w:tc>
        <w:tc>
          <w:tcPr>
            <w:tcW w:w="27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15" w:type="dxa"/>
            <w:tcBorders/>
            <w:shd w:fill="CCEEFF" w:val="clear"/>
          </w:tcPr>
          <w:p>
            <w:pPr>
              <w:pStyle w:val="TableContents"/>
              <w:spacing w:before="0" w:after="283"/>
              <w:jc w:val="right"/>
              <w:rPr/>
            </w:pPr>
            <w:r>
              <w:rPr/>
              <w:t>6.50%</w:t>
            </w:r>
          </w:p>
        </w:tc>
        <w:tc>
          <w:tcPr>
            <w:tcW w:w="60" w:type="dxa"/>
            <w:tcBorders/>
            <w:shd w:fill="CCEEFF" w:val="clear"/>
            <w:vAlign w:val="bottom"/>
          </w:tcPr>
          <w:p>
            <w:pPr>
              <w:pStyle w:val="TableContents"/>
              <w:spacing w:before="0" w:after="283"/>
              <w:rPr/>
            </w:pPr>
            <w:r>
              <w:rPr/>
              <w:t> </w:t>
            </w:r>
          </w:p>
        </w:tc>
        <w:tc>
          <w:tcPr>
            <w:tcW w:w="163" w:type="dxa"/>
            <w:tcBorders/>
            <w:shd w:fill="CCEEFF" w:val="clear"/>
          </w:tcPr>
          <w:p>
            <w:pPr>
              <w:pStyle w:val="TableContents"/>
              <w:spacing w:before="0" w:after="283"/>
              <w:rPr/>
            </w:pPr>
            <w:r>
              <w:rPr/>
              <w:t> </w:t>
            </w:r>
          </w:p>
        </w:tc>
        <w:tc>
          <w:tcPr>
            <w:tcW w:w="937" w:type="dxa"/>
            <w:tcBorders/>
            <w:shd w:fill="CCEEFF" w:val="clear"/>
          </w:tcPr>
          <w:p>
            <w:pPr>
              <w:pStyle w:val="TableContents"/>
              <w:spacing w:before="0" w:after="283"/>
              <w:jc w:val="right"/>
              <w:rPr/>
            </w:pPr>
            <w:r>
              <w:rPr/>
              <w:t>10,863</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tcPr>
          <w:p>
            <w:pPr>
              <w:pStyle w:val="TableContents"/>
              <w:spacing w:before="0" w:after="283"/>
              <w:rPr/>
            </w:pPr>
            <w:r>
              <w:rPr/>
              <w:t> </w:t>
            </w:r>
          </w:p>
        </w:tc>
        <w:tc>
          <w:tcPr>
            <w:tcW w:w="1040" w:type="dxa"/>
            <w:tcBorders/>
            <w:shd w:fill="CCEEFF" w:val="clear"/>
          </w:tcPr>
          <w:p>
            <w:pPr>
              <w:pStyle w:val="TableContents"/>
              <w:spacing w:before="0" w:after="283"/>
              <w:jc w:val="right"/>
              <w:rPr/>
            </w:pPr>
            <w:r>
              <w:rPr/>
              <w:t>11,046</w:t>
            </w:r>
          </w:p>
        </w:tc>
        <w:tc>
          <w:tcPr>
            <w:tcW w:w="12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tcPr>
          <w:p>
            <w:pPr>
              <w:pStyle w:val="TableContents"/>
              <w:spacing w:before="0" w:after="283"/>
              <w:rPr/>
            </w:pPr>
            <w:r>
              <w:rPr/>
              <w:t> </w:t>
            </w:r>
          </w:p>
        </w:tc>
        <w:tc>
          <w:tcPr>
            <w:tcW w:w="1166" w:type="dxa"/>
            <w:tcBorders/>
            <w:shd w:fill="CCEEFF" w:val="clear"/>
          </w:tcPr>
          <w:p>
            <w:pPr>
              <w:pStyle w:val="TableContents"/>
              <w:spacing w:before="0" w:after="283"/>
              <w:jc w:val="right"/>
              <w:rPr/>
            </w:pPr>
            <w:r>
              <w:rPr/>
              <w:t>0.8</w:t>
            </w:r>
          </w:p>
        </w:tc>
        <w:tc>
          <w:tcPr>
            <w:tcW w:w="275" w:type="dxa"/>
            <w:tcBorders/>
            <w:shd w:fill="CCEEFF" w:val="clear"/>
          </w:tcPr>
          <w:p>
            <w:pPr>
              <w:pStyle w:val="TableContents"/>
              <w:spacing w:before="0" w:after="283"/>
              <w:rPr/>
            </w:pPr>
            <w:r>
              <w:rPr/>
              <w:t>% </w:t>
            </w:r>
          </w:p>
        </w:tc>
      </w:tr>
      <w:tr>
        <w:trPr/>
        <w:tc>
          <w:tcPr>
            <w:tcW w:w="227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955" w:type="dxa"/>
            <w:tcBorders/>
            <w:shd w:fill="auto" w:val="clear"/>
          </w:tcPr>
          <w:p>
            <w:pPr>
              <w:pStyle w:val="TableContents"/>
              <w:spacing w:before="0" w:after="283"/>
              <w:rPr/>
            </w:pPr>
            <w:r>
              <w:rPr/>
              <w:t>First-lien loan ($12,000 par, due 3/2029)(3)</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115" w:type="dxa"/>
            <w:tcBorders/>
            <w:shd w:fill="auto" w:val="clear"/>
          </w:tcPr>
          <w:p>
            <w:pPr>
              <w:pStyle w:val="TableContents"/>
              <w:spacing w:before="0" w:after="283"/>
              <w:jc w:val="right"/>
              <w:rPr/>
            </w:pPr>
            <w:r>
              <w:rPr/>
              <w:t>9/20/2022</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310" w:type="dxa"/>
            <w:tcBorders/>
            <w:shd w:fill="auto" w:val="clear"/>
          </w:tcPr>
          <w:p>
            <w:pPr>
              <w:pStyle w:val="TableContents"/>
              <w:spacing w:before="0" w:after="283"/>
              <w:jc w:val="right"/>
              <w:rPr/>
            </w:pPr>
            <w:r>
              <w:rPr/>
              <w:t>SOFR + 4.50</w:t>
            </w:r>
          </w:p>
        </w:tc>
        <w:tc>
          <w:tcPr>
            <w:tcW w:w="27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5" w:type="dxa"/>
            <w:tcBorders/>
            <w:shd w:fill="auto" w:val="clear"/>
          </w:tcPr>
          <w:p>
            <w:pPr>
              <w:pStyle w:val="TableContents"/>
              <w:spacing w:before="0" w:after="283"/>
              <w:jc w:val="right"/>
              <w:rPr/>
            </w:pPr>
            <w:r>
              <w:rPr/>
              <w:t>8.15%</w:t>
            </w:r>
          </w:p>
        </w:tc>
        <w:tc>
          <w:tcPr>
            <w:tcW w:w="60" w:type="dxa"/>
            <w:tcBorders/>
            <w:shd w:fill="auto" w:val="clear"/>
            <w:vAlign w:val="bottom"/>
          </w:tcPr>
          <w:p>
            <w:pPr>
              <w:pStyle w:val="TableContents"/>
              <w:spacing w:before="0" w:after="283"/>
              <w:rPr/>
            </w:pPr>
            <w:r>
              <w:rPr/>
              <w:t> </w:t>
            </w:r>
          </w:p>
        </w:tc>
        <w:tc>
          <w:tcPr>
            <w:tcW w:w="163" w:type="dxa"/>
            <w:tcBorders/>
            <w:shd w:fill="auto" w:val="clear"/>
          </w:tcPr>
          <w:p>
            <w:pPr>
              <w:pStyle w:val="TableContents"/>
              <w:spacing w:before="0" w:after="283"/>
              <w:rPr/>
            </w:pPr>
            <w:r>
              <w:rPr/>
              <w:t> </w:t>
            </w:r>
          </w:p>
        </w:tc>
        <w:tc>
          <w:tcPr>
            <w:tcW w:w="937" w:type="dxa"/>
            <w:tcBorders/>
            <w:shd w:fill="auto" w:val="clear"/>
          </w:tcPr>
          <w:p>
            <w:pPr>
              <w:pStyle w:val="TableContents"/>
              <w:spacing w:before="0" w:after="283"/>
              <w:jc w:val="right"/>
              <w:rPr/>
            </w:pPr>
            <w:r>
              <w:rPr/>
              <w:t>10,920</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tcPr>
          <w:p>
            <w:pPr>
              <w:pStyle w:val="TableContents"/>
              <w:spacing w:before="0" w:after="283"/>
              <w:rPr/>
            </w:pPr>
            <w:r>
              <w:rPr/>
              <w:t> </w:t>
            </w:r>
          </w:p>
        </w:tc>
        <w:tc>
          <w:tcPr>
            <w:tcW w:w="1040" w:type="dxa"/>
            <w:tcBorders/>
            <w:shd w:fill="auto" w:val="clear"/>
          </w:tcPr>
          <w:p>
            <w:pPr>
              <w:pStyle w:val="TableContents"/>
              <w:spacing w:before="0" w:after="283"/>
              <w:jc w:val="right"/>
              <w:rPr/>
            </w:pPr>
            <w:r>
              <w:rPr/>
              <w:t>11,087</w:t>
            </w:r>
          </w:p>
        </w:tc>
        <w:tc>
          <w:tcPr>
            <w:tcW w:w="12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tcPr>
          <w:p>
            <w:pPr>
              <w:pStyle w:val="TableContents"/>
              <w:spacing w:before="0" w:after="283"/>
              <w:rPr/>
            </w:pPr>
            <w:r>
              <w:rPr/>
              <w:t> </w:t>
            </w:r>
          </w:p>
        </w:tc>
        <w:tc>
          <w:tcPr>
            <w:tcW w:w="1166" w:type="dxa"/>
            <w:tcBorders/>
            <w:shd w:fill="auto" w:val="clear"/>
          </w:tcPr>
          <w:p>
            <w:pPr>
              <w:pStyle w:val="TableContents"/>
              <w:spacing w:before="0" w:after="283"/>
              <w:jc w:val="right"/>
              <w:rPr/>
            </w:pPr>
            <w:r>
              <w:rPr/>
              <w:t>0.8</w:t>
            </w:r>
          </w:p>
        </w:tc>
        <w:tc>
          <w:tcPr>
            <w:tcW w:w="275" w:type="dxa"/>
            <w:tcBorders/>
            <w:shd w:fill="auto" w:val="clear"/>
          </w:tcPr>
          <w:p>
            <w:pPr>
              <w:pStyle w:val="TableContents"/>
              <w:spacing w:before="0" w:after="283"/>
              <w:rPr/>
            </w:pPr>
            <w:r>
              <w:rPr/>
              <w:t>% </w:t>
            </w:r>
          </w:p>
        </w:tc>
      </w:tr>
      <w:tr>
        <w:trPr/>
        <w:tc>
          <w:tcPr>
            <w:tcW w:w="2270" w:type="dxa"/>
            <w:tcBorders/>
            <w:shd w:fill="CCEEFF" w:val="clear"/>
          </w:tcPr>
          <w:p>
            <w:pPr>
              <w:pStyle w:val="TableContents"/>
              <w:spacing w:before="0" w:after="0"/>
              <w:rPr>
                <w:rFonts w:ascii="Times New Roman" w:hAnsi="Times New Roman"/>
                <w:sz w:val="16"/>
              </w:rPr>
            </w:pPr>
            <w:r>
              <w:rPr>
                <w:rFonts w:ascii="Times New Roman" w:hAnsi="Times New Roman"/>
                <w:sz w:val="16"/>
              </w:rPr>
              <w:t>WideOrbit, Inc.(3)</w:t>
            </w:r>
          </w:p>
        </w:tc>
        <w:tc>
          <w:tcPr>
            <w:tcW w:w="60" w:type="dxa"/>
            <w:tcBorders/>
            <w:shd w:fill="CCEEFF" w:val="clear"/>
            <w:vAlign w:val="bottom"/>
          </w:tcPr>
          <w:p>
            <w:pPr>
              <w:pStyle w:val="TableContents"/>
              <w:spacing w:before="0" w:after="283"/>
              <w:rPr/>
            </w:pPr>
            <w:r>
              <w:rPr/>
              <w:t> </w:t>
            </w:r>
          </w:p>
        </w:tc>
        <w:tc>
          <w:tcPr>
            <w:tcW w:w="4955" w:type="dxa"/>
            <w:tcBorders/>
            <w:shd w:fill="CCEEFF" w:val="clear"/>
          </w:tcPr>
          <w:p>
            <w:pPr>
              <w:pStyle w:val="TableContents"/>
              <w:spacing w:before="0" w:after="283"/>
              <w:rPr/>
            </w:pPr>
            <w:r>
              <w:rPr/>
              <w:t>First-lien loan ($35,655 par, due 7/2025)</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115" w:type="dxa"/>
            <w:tcBorders/>
            <w:shd w:fill="CCEEFF" w:val="clear"/>
          </w:tcPr>
          <w:p>
            <w:pPr>
              <w:pStyle w:val="TableContents"/>
              <w:spacing w:before="0" w:after="283"/>
              <w:jc w:val="right"/>
              <w:rPr/>
            </w:pPr>
            <w:r>
              <w:rPr/>
              <w:t>7/8/2020</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310" w:type="dxa"/>
            <w:tcBorders/>
            <w:shd w:fill="CCEEFF" w:val="clear"/>
          </w:tcPr>
          <w:p>
            <w:pPr>
              <w:pStyle w:val="TableContents"/>
              <w:spacing w:before="0" w:after="283"/>
              <w:jc w:val="right"/>
              <w:rPr/>
            </w:pPr>
            <w:r>
              <w:rPr/>
              <w:t>L + 8.50</w:t>
            </w:r>
          </w:p>
        </w:tc>
        <w:tc>
          <w:tcPr>
            <w:tcW w:w="27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15" w:type="dxa"/>
            <w:tcBorders/>
            <w:shd w:fill="CCEEFF" w:val="clear"/>
          </w:tcPr>
          <w:p>
            <w:pPr>
              <w:pStyle w:val="TableContents"/>
              <w:spacing w:before="0" w:after="283"/>
              <w:jc w:val="right"/>
              <w:rPr/>
            </w:pPr>
            <w:r>
              <w:rPr/>
              <w:t>11.62%</w:t>
            </w:r>
          </w:p>
        </w:tc>
        <w:tc>
          <w:tcPr>
            <w:tcW w:w="60" w:type="dxa"/>
            <w:tcBorders/>
            <w:shd w:fill="CCEEFF" w:val="clear"/>
            <w:vAlign w:val="bottom"/>
          </w:tcPr>
          <w:p>
            <w:pPr>
              <w:pStyle w:val="TableContents"/>
              <w:spacing w:before="0" w:after="283"/>
              <w:rPr/>
            </w:pPr>
            <w:r>
              <w:rPr/>
              <w:t> </w:t>
            </w:r>
          </w:p>
        </w:tc>
        <w:tc>
          <w:tcPr>
            <w:tcW w:w="163" w:type="dxa"/>
            <w:tcBorders/>
            <w:shd w:fill="CCEEFF" w:val="clear"/>
          </w:tcPr>
          <w:p>
            <w:pPr>
              <w:pStyle w:val="TableContents"/>
              <w:spacing w:before="0" w:after="283"/>
              <w:rPr/>
            </w:pPr>
            <w:r>
              <w:rPr/>
              <w:t> </w:t>
            </w:r>
          </w:p>
        </w:tc>
        <w:tc>
          <w:tcPr>
            <w:tcW w:w="937" w:type="dxa"/>
            <w:tcBorders/>
            <w:shd w:fill="CCEEFF" w:val="clear"/>
          </w:tcPr>
          <w:p>
            <w:pPr>
              <w:pStyle w:val="TableContents"/>
              <w:spacing w:before="0" w:after="283"/>
              <w:jc w:val="right"/>
              <w:rPr/>
            </w:pPr>
            <w:r>
              <w:rPr/>
              <w:t>35,291</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tcPr>
          <w:p>
            <w:pPr>
              <w:pStyle w:val="TableContents"/>
              <w:spacing w:before="0" w:after="283"/>
              <w:rPr/>
            </w:pPr>
            <w:r>
              <w:rPr/>
              <w:t> </w:t>
            </w:r>
          </w:p>
        </w:tc>
        <w:tc>
          <w:tcPr>
            <w:tcW w:w="1040" w:type="dxa"/>
            <w:tcBorders/>
            <w:shd w:fill="CCEEFF" w:val="clear"/>
          </w:tcPr>
          <w:p>
            <w:pPr>
              <w:pStyle w:val="TableContents"/>
              <w:spacing w:before="0" w:after="283"/>
              <w:jc w:val="right"/>
              <w:rPr/>
            </w:pPr>
            <w:r>
              <w:rPr/>
              <w:t>36,457</w:t>
            </w:r>
          </w:p>
        </w:tc>
        <w:tc>
          <w:tcPr>
            <w:tcW w:w="12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tcPr>
          <w:p>
            <w:pPr>
              <w:pStyle w:val="TableContents"/>
              <w:spacing w:before="0" w:after="283"/>
              <w:rPr/>
            </w:pPr>
            <w:r>
              <w:rPr/>
              <w:t> </w:t>
            </w:r>
          </w:p>
        </w:tc>
        <w:tc>
          <w:tcPr>
            <w:tcW w:w="1166" w:type="dxa"/>
            <w:tcBorders/>
            <w:shd w:fill="CCEEFF" w:val="clear"/>
          </w:tcPr>
          <w:p>
            <w:pPr>
              <w:pStyle w:val="TableContents"/>
              <w:spacing w:before="0" w:after="283"/>
              <w:jc w:val="right"/>
              <w:rPr/>
            </w:pPr>
            <w:r>
              <w:rPr/>
              <w:t>2.7</w:t>
            </w:r>
          </w:p>
        </w:tc>
        <w:tc>
          <w:tcPr>
            <w:tcW w:w="275" w:type="dxa"/>
            <w:tcBorders/>
            <w:shd w:fill="CCEEFF" w:val="clear"/>
          </w:tcPr>
          <w:p>
            <w:pPr>
              <w:pStyle w:val="TableContents"/>
              <w:spacing w:before="0" w:after="283"/>
              <w:rPr/>
            </w:pPr>
            <w:r>
              <w:rPr/>
              <w:t>% </w:t>
            </w:r>
          </w:p>
        </w:tc>
      </w:tr>
      <w:tr>
        <w:trPr/>
        <w:tc>
          <w:tcPr>
            <w:tcW w:w="227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9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1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31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6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pBdr>
                <w:top w:val="single" w:sz="2" w:space="1" w:color="000000"/>
              </w:pBdr>
              <w:spacing w:before="0" w:after="0"/>
              <w:rPr/>
            </w:pPr>
            <w:r>
              <w:rPr/>
              <w:t> </w:t>
            </w:r>
          </w:p>
        </w:tc>
        <w:tc>
          <w:tcPr>
            <w:tcW w:w="93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pBdr>
                <w:top w:val="single" w:sz="2" w:space="1" w:color="000000"/>
              </w:pBdr>
              <w:spacing w:before="0" w:after="0"/>
              <w:rPr/>
            </w:pPr>
            <w:r>
              <w:rPr/>
              <w:t> </w:t>
            </w:r>
          </w:p>
        </w:tc>
        <w:tc>
          <w:tcPr>
            <w:tcW w:w="1040" w:type="dxa"/>
            <w:tcBorders/>
            <w:shd w:fill="auto" w:val="clear"/>
            <w:vAlign w:val="bottom"/>
          </w:tcPr>
          <w:p>
            <w:pPr>
              <w:pStyle w:val="TableContents"/>
              <w:pBdr>
                <w:top w:val="single" w:sz="2" w:space="1" w:color="000000"/>
              </w:pBdr>
              <w:spacing w:before="0" w:after="0"/>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single" w:sz="2" w:space="1" w:color="000000"/>
              </w:pBdr>
              <w:spacing w:before="0" w:after="0"/>
              <w:rPr/>
            </w:pPr>
            <w:r>
              <w:rPr/>
              <w:t> </w:t>
            </w:r>
          </w:p>
        </w:tc>
        <w:tc>
          <w:tcPr>
            <w:tcW w:w="1166" w:type="dxa"/>
            <w:tcBorders/>
            <w:shd w:fill="auto" w:val="clear"/>
            <w:vAlign w:val="bottom"/>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r>
      <w:tr>
        <w:trPr/>
        <w:tc>
          <w:tcPr>
            <w:tcW w:w="227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95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1115"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1310" w:type="dxa"/>
            <w:tcBorders/>
            <w:shd w:fill="auto" w:val="clear"/>
          </w:tcPr>
          <w:p>
            <w:pPr>
              <w:pStyle w:val="TableContents"/>
              <w:spacing w:before="0" w:after="283"/>
              <w:rPr>
                <w:sz w:val="4"/>
                <w:szCs w:val="4"/>
              </w:rPr>
            </w:pPr>
            <w:r>
              <w:rPr>
                <w:sz w:val="4"/>
                <w:szCs w:val="4"/>
              </w:rPr>
            </w:r>
          </w:p>
        </w:tc>
        <w:tc>
          <w:tcPr>
            <w:tcW w:w="27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61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3" w:type="dxa"/>
            <w:tcBorders/>
            <w:shd w:fill="auto" w:val="clear"/>
          </w:tcPr>
          <w:p>
            <w:pPr>
              <w:pStyle w:val="TableContents"/>
              <w:spacing w:before="0" w:after="283"/>
              <w:rPr/>
            </w:pPr>
            <w:r>
              <w:rPr/>
              <w:t> </w:t>
            </w:r>
          </w:p>
        </w:tc>
        <w:tc>
          <w:tcPr>
            <w:tcW w:w="937" w:type="dxa"/>
            <w:tcBorders/>
            <w:shd w:fill="auto" w:val="clear"/>
          </w:tcPr>
          <w:p>
            <w:pPr>
              <w:pStyle w:val="TableContents"/>
              <w:spacing w:before="0" w:after="283"/>
              <w:jc w:val="right"/>
              <w:rPr/>
            </w:pPr>
            <w:r>
              <w:rPr/>
              <w:t>377,441</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tcPr>
          <w:p>
            <w:pPr>
              <w:pStyle w:val="TableContents"/>
              <w:spacing w:before="0" w:after="283"/>
              <w:rPr/>
            </w:pPr>
            <w:r>
              <w:rPr/>
              <w:t> </w:t>
            </w:r>
          </w:p>
        </w:tc>
        <w:tc>
          <w:tcPr>
            <w:tcW w:w="1040" w:type="dxa"/>
            <w:tcBorders/>
            <w:shd w:fill="auto" w:val="clear"/>
          </w:tcPr>
          <w:p>
            <w:pPr>
              <w:pStyle w:val="TableContents"/>
              <w:spacing w:before="0" w:after="283"/>
              <w:jc w:val="right"/>
              <w:rPr/>
            </w:pPr>
            <w:r>
              <w:rPr/>
              <w:t>377,758</w:t>
            </w:r>
          </w:p>
        </w:tc>
        <w:tc>
          <w:tcPr>
            <w:tcW w:w="12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tcPr>
          <w:p>
            <w:pPr>
              <w:pStyle w:val="TableContents"/>
              <w:spacing w:before="0" w:after="283"/>
              <w:rPr/>
            </w:pPr>
            <w:r>
              <w:rPr/>
              <w:t> </w:t>
            </w:r>
          </w:p>
        </w:tc>
        <w:tc>
          <w:tcPr>
            <w:tcW w:w="1166" w:type="dxa"/>
            <w:tcBorders/>
            <w:shd w:fill="auto" w:val="clear"/>
          </w:tcPr>
          <w:p>
            <w:pPr>
              <w:pStyle w:val="TableContents"/>
              <w:spacing w:before="0" w:after="283"/>
              <w:jc w:val="right"/>
              <w:rPr/>
            </w:pPr>
            <w:r>
              <w:rPr/>
              <w:t>28.2</w:t>
            </w:r>
          </w:p>
        </w:tc>
        <w:tc>
          <w:tcPr>
            <w:tcW w:w="275" w:type="dxa"/>
            <w:tcBorders/>
            <w:shd w:fill="auto" w:val="clear"/>
          </w:tcPr>
          <w:p>
            <w:pPr>
              <w:pStyle w:val="TableContents"/>
              <w:spacing w:before="0" w:after="283"/>
              <w:rPr/>
            </w:pPr>
            <w:r>
              <w:rPr/>
              <w:t>% </w:t>
            </w:r>
          </w:p>
        </w:tc>
      </w:tr>
      <w:tr>
        <w:trPr/>
        <w:tc>
          <w:tcPr>
            <w:tcW w:w="227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9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1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31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6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pBdr>
                <w:top w:val="single" w:sz="2" w:space="1" w:color="000000"/>
              </w:pBdr>
              <w:spacing w:before="0" w:after="0"/>
              <w:rPr/>
            </w:pPr>
            <w:r>
              <w:rPr/>
              <w:t> </w:t>
            </w:r>
          </w:p>
        </w:tc>
        <w:tc>
          <w:tcPr>
            <w:tcW w:w="93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pBdr>
                <w:top w:val="single" w:sz="2" w:space="1" w:color="000000"/>
              </w:pBdr>
              <w:spacing w:before="0" w:after="0"/>
              <w:rPr/>
            </w:pPr>
            <w:r>
              <w:rPr/>
              <w:t> </w:t>
            </w:r>
          </w:p>
        </w:tc>
        <w:tc>
          <w:tcPr>
            <w:tcW w:w="1040" w:type="dxa"/>
            <w:tcBorders/>
            <w:shd w:fill="auto" w:val="clear"/>
            <w:vAlign w:val="bottom"/>
          </w:tcPr>
          <w:p>
            <w:pPr>
              <w:pStyle w:val="TableContents"/>
              <w:pBdr>
                <w:top w:val="single" w:sz="2" w:space="1" w:color="000000"/>
              </w:pBdr>
              <w:spacing w:before="0" w:after="0"/>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single" w:sz="2" w:space="1" w:color="000000"/>
              </w:pBdr>
              <w:spacing w:before="0" w:after="0"/>
              <w:rPr/>
            </w:pPr>
            <w:r>
              <w:rPr/>
              <w:t> </w:t>
            </w:r>
          </w:p>
        </w:tc>
        <w:tc>
          <w:tcPr>
            <w:tcW w:w="1166" w:type="dxa"/>
            <w:tcBorders/>
            <w:shd w:fill="auto" w:val="clear"/>
            <w:vAlign w:val="bottom"/>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r>
      <w:tr>
        <w:trPr/>
        <w:tc>
          <w:tcPr>
            <w:tcW w:w="2270" w:type="dxa"/>
            <w:tcBorders/>
            <w:shd w:fill="CCEEFF" w:val="clear"/>
          </w:tcPr>
          <w:p>
            <w:pPr>
              <w:pStyle w:val="TableContents"/>
              <w:spacing w:before="0" w:after="0"/>
              <w:rPr>
                <w:rFonts w:ascii="Times New Roman" w:hAnsi="Times New Roman"/>
                <w:b/>
                <w:sz w:val="16"/>
              </w:rPr>
            </w:pPr>
            <w:r>
              <w:rPr>
                <w:rFonts w:ascii="Times New Roman" w:hAnsi="Times New Roman"/>
                <w:b/>
                <w:sz w:val="16"/>
              </w:rPr>
              <w:t>Chemicals</w:t>
            </w:r>
          </w:p>
        </w:tc>
        <w:tc>
          <w:tcPr>
            <w:tcW w:w="60" w:type="dxa"/>
            <w:tcBorders/>
            <w:shd w:fill="CCEEFF" w:val="clear"/>
            <w:vAlign w:val="bottom"/>
          </w:tcPr>
          <w:p>
            <w:pPr>
              <w:pStyle w:val="TableContents"/>
              <w:spacing w:before="0" w:after="283"/>
              <w:rPr/>
            </w:pPr>
            <w:r>
              <w:rPr/>
              <w:t> </w:t>
            </w:r>
          </w:p>
        </w:tc>
        <w:tc>
          <w:tcPr>
            <w:tcW w:w="495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sz w:val="4"/>
                <w:szCs w:val="4"/>
              </w:rPr>
            </w:pPr>
            <w:r>
              <w:rPr>
                <w:sz w:val="4"/>
                <w:szCs w:val="4"/>
              </w:rPr>
            </w:r>
          </w:p>
        </w:tc>
        <w:tc>
          <w:tcPr>
            <w:tcW w:w="1115" w:type="dxa"/>
            <w:tcBorders/>
            <w:shd w:fill="CCEEFF" w:val="clear"/>
          </w:tcPr>
          <w:p>
            <w:pPr>
              <w:pStyle w:val="TableContents"/>
              <w:spacing w:before="0" w:after="283"/>
              <w:rPr>
                <w:sz w:val="4"/>
                <w:szCs w:val="4"/>
              </w:rPr>
            </w:pPr>
            <w:r>
              <w:rPr>
                <w:sz w:val="4"/>
                <w:szCs w:val="4"/>
              </w:rPr>
            </w:r>
          </w:p>
        </w:tc>
        <w:tc>
          <w:tcPr>
            <w:tcW w:w="6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sz w:val="4"/>
                <w:szCs w:val="4"/>
              </w:rPr>
            </w:pPr>
            <w:r>
              <w:rPr>
                <w:sz w:val="4"/>
                <w:szCs w:val="4"/>
              </w:rPr>
            </w:r>
          </w:p>
        </w:tc>
        <w:tc>
          <w:tcPr>
            <w:tcW w:w="1310" w:type="dxa"/>
            <w:tcBorders/>
            <w:shd w:fill="CCEEFF" w:val="clear"/>
          </w:tcPr>
          <w:p>
            <w:pPr>
              <w:pStyle w:val="TableContents"/>
              <w:spacing w:before="0" w:after="283"/>
              <w:rPr>
                <w:sz w:val="4"/>
                <w:szCs w:val="4"/>
              </w:rPr>
            </w:pPr>
            <w:r>
              <w:rPr>
                <w:sz w:val="4"/>
                <w:szCs w:val="4"/>
              </w:rPr>
            </w:r>
          </w:p>
        </w:tc>
        <w:tc>
          <w:tcPr>
            <w:tcW w:w="27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61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63" w:type="dxa"/>
            <w:tcBorders/>
            <w:shd w:fill="CCEEFF" w:val="clear"/>
          </w:tcPr>
          <w:p>
            <w:pPr>
              <w:pStyle w:val="TableContents"/>
              <w:spacing w:before="0" w:after="283"/>
              <w:rPr>
                <w:sz w:val="4"/>
                <w:szCs w:val="4"/>
              </w:rPr>
            </w:pPr>
            <w:r>
              <w:rPr>
                <w:sz w:val="4"/>
                <w:szCs w:val="4"/>
              </w:rPr>
            </w:r>
          </w:p>
        </w:tc>
        <w:tc>
          <w:tcPr>
            <w:tcW w:w="937" w:type="dxa"/>
            <w:tcBorders/>
            <w:shd w:fill="CCEEFF" w:val="clear"/>
          </w:tcPr>
          <w:p>
            <w:pPr>
              <w:pStyle w:val="TableContents"/>
              <w:spacing w:before="0" w:after="283"/>
              <w:rPr>
                <w:sz w:val="4"/>
                <w:szCs w:val="4"/>
              </w:rPr>
            </w:pPr>
            <w:r>
              <w:rPr>
                <w:sz w:val="4"/>
                <w:szCs w:val="4"/>
              </w:rPr>
            </w:r>
          </w:p>
        </w:tc>
        <w:tc>
          <w:tcPr>
            <w:tcW w:w="6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50" w:type="dxa"/>
            <w:tcBorders/>
            <w:shd w:fill="CCEEFF" w:val="clear"/>
          </w:tcPr>
          <w:p>
            <w:pPr>
              <w:pStyle w:val="TableContents"/>
              <w:spacing w:before="0" w:after="283"/>
              <w:rPr>
                <w:sz w:val="4"/>
                <w:szCs w:val="4"/>
              </w:rPr>
            </w:pPr>
            <w:r>
              <w:rPr>
                <w:sz w:val="4"/>
                <w:szCs w:val="4"/>
              </w:rPr>
            </w:r>
          </w:p>
        </w:tc>
        <w:tc>
          <w:tcPr>
            <w:tcW w:w="1040" w:type="dxa"/>
            <w:tcBorders/>
            <w:shd w:fill="CCEEFF" w:val="clear"/>
          </w:tcPr>
          <w:p>
            <w:pPr>
              <w:pStyle w:val="TableContents"/>
              <w:spacing w:before="0" w:after="283"/>
              <w:rPr>
                <w:sz w:val="4"/>
                <w:szCs w:val="4"/>
              </w:rPr>
            </w:pPr>
            <w:r>
              <w:rPr>
                <w:sz w:val="4"/>
                <w:szCs w:val="4"/>
              </w:rPr>
            </w:r>
          </w:p>
        </w:tc>
        <w:tc>
          <w:tcPr>
            <w:tcW w:w="12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59" w:type="dxa"/>
            <w:tcBorders/>
            <w:shd w:fill="CCEEFF" w:val="clear"/>
          </w:tcPr>
          <w:p>
            <w:pPr>
              <w:pStyle w:val="TableContents"/>
              <w:spacing w:before="0" w:after="283"/>
              <w:rPr>
                <w:sz w:val="4"/>
                <w:szCs w:val="4"/>
              </w:rPr>
            </w:pPr>
            <w:r>
              <w:rPr>
                <w:sz w:val="4"/>
                <w:szCs w:val="4"/>
              </w:rPr>
            </w:r>
          </w:p>
        </w:tc>
        <w:tc>
          <w:tcPr>
            <w:tcW w:w="1166" w:type="dxa"/>
            <w:tcBorders/>
            <w:shd w:fill="CCEEFF" w:val="clear"/>
          </w:tcPr>
          <w:p>
            <w:pPr>
              <w:pStyle w:val="TableContents"/>
              <w:spacing w:before="0" w:after="283"/>
              <w:rPr>
                <w:sz w:val="4"/>
                <w:szCs w:val="4"/>
              </w:rPr>
            </w:pPr>
            <w:r>
              <w:rPr>
                <w:sz w:val="4"/>
                <w:szCs w:val="4"/>
              </w:rPr>
            </w:r>
          </w:p>
        </w:tc>
        <w:tc>
          <w:tcPr>
            <w:tcW w:w="275" w:type="dxa"/>
            <w:tcBorders/>
            <w:shd w:fill="CCEEFF" w:val="clear"/>
          </w:tcPr>
          <w:p>
            <w:pPr>
              <w:pStyle w:val="TableContents"/>
              <w:spacing w:before="0" w:after="283"/>
              <w:rPr>
                <w:sz w:val="4"/>
                <w:szCs w:val="4"/>
              </w:rPr>
            </w:pPr>
            <w:r>
              <w:rPr>
                <w:sz w:val="4"/>
                <w:szCs w:val="4"/>
              </w:rPr>
            </w:r>
          </w:p>
        </w:tc>
      </w:tr>
      <w:tr>
        <w:trPr/>
        <w:tc>
          <w:tcPr>
            <w:tcW w:w="2270" w:type="dxa"/>
            <w:tcBorders/>
            <w:shd w:fill="auto" w:val="clear"/>
          </w:tcPr>
          <w:p>
            <w:pPr>
              <w:pStyle w:val="TableContents"/>
              <w:spacing w:before="0" w:after="0"/>
              <w:rPr>
                <w:rFonts w:ascii="Times New Roman" w:hAnsi="Times New Roman"/>
                <w:sz w:val="16"/>
              </w:rPr>
            </w:pPr>
            <w:r>
              <w:rPr>
                <w:rFonts w:ascii="Times New Roman" w:hAnsi="Times New Roman"/>
                <w:sz w:val="16"/>
              </w:rPr>
              <w:t>Erling Lux Bidco Sarl(3)(4)</w:t>
            </w:r>
          </w:p>
        </w:tc>
        <w:tc>
          <w:tcPr>
            <w:tcW w:w="60" w:type="dxa"/>
            <w:tcBorders/>
            <w:shd w:fill="auto" w:val="clear"/>
            <w:vAlign w:val="bottom"/>
          </w:tcPr>
          <w:p>
            <w:pPr>
              <w:pStyle w:val="TableContents"/>
              <w:spacing w:before="0" w:after="283"/>
              <w:rPr/>
            </w:pPr>
            <w:r>
              <w:rPr/>
              <w:t> </w:t>
            </w:r>
          </w:p>
        </w:tc>
        <w:tc>
          <w:tcPr>
            <w:tcW w:w="4955" w:type="dxa"/>
            <w:tcBorders/>
            <w:shd w:fill="auto" w:val="clear"/>
          </w:tcPr>
          <w:p>
            <w:pPr>
              <w:pStyle w:val="TableContents"/>
              <w:spacing w:before="0" w:after="283"/>
              <w:rPr/>
            </w:pPr>
            <w:r>
              <w:rPr/>
              <w:t>First-lien loan (EUR 3,660 par, due 9/2028)</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115" w:type="dxa"/>
            <w:tcBorders/>
            <w:shd w:fill="auto" w:val="clear"/>
          </w:tcPr>
          <w:p>
            <w:pPr>
              <w:pStyle w:val="TableContents"/>
              <w:spacing w:before="0" w:after="283"/>
              <w:jc w:val="right"/>
              <w:rPr/>
            </w:pPr>
            <w:r>
              <w:rPr/>
              <w:t>9/6/2022</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310" w:type="dxa"/>
            <w:tcBorders/>
            <w:shd w:fill="auto" w:val="clear"/>
          </w:tcPr>
          <w:p>
            <w:pPr>
              <w:pStyle w:val="TableContents"/>
              <w:spacing w:before="0" w:after="283"/>
              <w:jc w:val="right"/>
              <w:rPr/>
            </w:pPr>
            <w:r>
              <w:rPr/>
              <w:t>E + 6.75</w:t>
            </w:r>
          </w:p>
        </w:tc>
        <w:tc>
          <w:tcPr>
            <w:tcW w:w="27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5" w:type="dxa"/>
            <w:tcBorders/>
            <w:shd w:fill="auto" w:val="clear"/>
          </w:tcPr>
          <w:p>
            <w:pPr>
              <w:pStyle w:val="TableContents"/>
              <w:spacing w:before="0" w:after="283"/>
              <w:jc w:val="right"/>
              <w:rPr/>
            </w:pPr>
            <w:r>
              <w:rPr/>
              <w:t>7.46%</w:t>
            </w:r>
          </w:p>
        </w:tc>
        <w:tc>
          <w:tcPr>
            <w:tcW w:w="60" w:type="dxa"/>
            <w:tcBorders/>
            <w:shd w:fill="auto" w:val="clear"/>
            <w:vAlign w:val="bottom"/>
          </w:tcPr>
          <w:p>
            <w:pPr>
              <w:pStyle w:val="TableContents"/>
              <w:spacing w:before="0" w:after="283"/>
              <w:rPr/>
            </w:pPr>
            <w:r>
              <w:rPr/>
              <w:t> </w:t>
            </w:r>
          </w:p>
        </w:tc>
        <w:tc>
          <w:tcPr>
            <w:tcW w:w="163" w:type="dxa"/>
            <w:tcBorders/>
            <w:shd w:fill="auto" w:val="clear"/>
          </w:tcPr>
          <w:p>
            <w:pPr>
              <w:pStyle w:val="TableContents"/>
              <w:spacing w:before="0" w:after="283"/>
              <w:rPr/>
            </w:pPr>
            <w:r>
              <w:rPr/>
              <w:t> </w:t>
            </w:r>
          </w:p>
        </w:tc>
        <w:tc>
          <w:tcPr>
            <w:tcW w:w="937" w:type="dxa"/>
            <w:tcBorders/>
            <w:shd w:fill="auto" w:val="clear"/>
          </w:tcPr>
          <w:p>
            <w:pPr>
              <w:pStyle w:val="TableContents"/>
              <w:spacing w:before="0" w:after="283"/>
              <w:jc w:val="right"/>
              <w:rPr/>
            </w:pPr>
            <w:r>
              <w:rPr/>
              <w:t>3,586</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tcPr>
          <w:p>
            <w:pPr>
              <w:pStyle w:val="TableContents"/>
              <w:spacing w:before="0" w:after="283"/>
              <w:rPr/>
            </w:pPr>
            <w:r>
              <w:rPr/>
              <w:t> </w:t>
            </w:r>
          </w:p>
        </w:tc>
        <w:tc>
          <w:tcPr>
            <w:tcW w:w="1040" w:type="dxa"/>
            <w:tcBorders/>
            <w:shd w:fill="auto" w:val="clear"/>
          </w:tcPr>
          <w:p>
            <w:pPr>
              <w:pStyle w:val="TableContents"/>
              <w:jc w:val="right"/>
              <w:rPr/>
            </w:pPr>
            <w:r>
              <w:rPr/>
              <w:t>3,505</w:t>
            </w:r>
          </w:p>
          <w:p>
            <w:pPr>
              <w:pStyle w:val="TableContents"/>
              <w:spacing w:before="0" w:after="20"/>
              <w:jc w:val="right"/>
              <w:rPr>
                <w:rFonts w:ascii="Times New Roman" w:hAnsi="Times New Roman"/>
                <w:sz w:val="16"/>
              </w:rPr>
            </w:pPr>
            <w:r>
              <w:rPr>
                <w:rFonts w:ascii="Times New Roman" w:hAnsi="Times New Roman"/>
                <w:sz w:val="16"/>
              </w:rPr>
              <w:t>(EUR 3,578</w:t>
            </w:r>
          </w:p>
        </w:tc>
        <w:tc>
          <w:tcPr>
            <w:tcW w:w="125" w:type="dxa"/>
            <w:tcBorders/>
            <w:shd w:fill="auto" w:val="clear"/>
          </w:tcPr>
          <w:p>
            <w:pPr>
              <w:pStyle w:val="TableContents"/>
              <w:rPr/>
            </w:pPr>
            <w:r>
              <w:rPr/>
              <w:t> </w:t>
            </w:r>
          </w:p>
          <w:p>
            <w:pPr>
              <w:pStyle w:val="TableContents"/>
              <w:spacing w:before="0" w:after="20"/>
              <w:rPr>
                <w:rFonts w:ascii="Times New Roman" w:hAnsi="Times New Roman"/>
                <w:sz w:val="16"/>
              </w:rPr>
            </w:pPr>
            <w:r>
              <w:rPr>
                <w:rFonts w:ascii="Times New Roman" w:hAnsi="Times New Roman"/>
                <w:sz w:val="16"/>
              </w:rPr>
              <w:t>) </w:t>
            </w:r>
          </w:p>
        </w:tc>
        <w:tc>
          <w:tcPr>
            <w:tcW w:w="60" w:type="dxa"/>
            <w:tcBorders/>
            <w:shd w:fill="auto" w:val="clear"/>
            <w:vAlign w:val="bottom"/>
          </w:tcPr>
          <w:p>
            <w:pPr>
              <w:pStyle w:val="TableContents"/>
              <w:spacing w:before="0" w:after="283"/>
              <w:rPr/>
            </w:pPr>
            <w:r>
              <w:rPr/>
              <w:t> </w:t>
            </w:r>
          </w:p>
        </w:tc>
        <w:tc>
          <w:tcPr>
            <w:tcW w:w="159" w:type="dxa"/>
            <w:tcBorders/>
            <w:shd w:fill="auto" w:val="clear"/>
          </w:tcPr>
          <w:p>
            <w:pPr>
              <w:pStyle w:val="TableContents"/>
              <w:spacing w:before="0" w:after="283"/>
              <w:rPr/>
            </w:pPr>
            <w:r>
              <w:rPr/>
              <w:t> </w:t>
            </w:r>
          </w:p>
        </w:tc>
        <w:tc>
          <w:tcPr>
            <w:tcW w:w="1166" w:type="dxa"/>
            <w:tcBorders/>
            <w:shd w:fill="auto" w:val="clear"/>
          </w:tcPr>
          <w:p>
            <w:pPr>
              <w:pStyle w:val="TableContents"/>
              <w:spacing w:before="0" w:after="283"/>
              <w:jc w:val="right"/>
              <w:rPr/>
            </w:pPr>
            <w:r>
              <w:rPr/>
              <w:t>0.3</w:t>
            </w:r>
          </w:p>
        </w:tc>
        <w:tc>
          <w:tcPr>
            <w:tcW w:w="275" w:type="dxa"/>
            <w:tcBorders/>
            <w:shd w:fill="auto" w:val="clear"/>
          </w:tcPr>
          <w:p>
            <w:pPr>
              <w:pStyle w:val="TableContents"/>
              <w:spacing w:before="0" w:after="283"/>
              <w:rPr/>
            </w:pPr>
            <w:r>
              <w:rPr/>
              <w:t>% </w:t>
            </w:r>
          </w:p>
        </w:tc>
      </w:tr>
      <w:tr>
        <w:trPr/>
        <w:tc>
          <w:tcPr>
            <w:tcW w:w="227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4955" w:type="dxa"/>
            <w:tcBorders/>
            <w:shd w:fill="CCEEFF" w:val="clear"/>
          </w:tcPr>
          <w:p>
            <w:pPr>
              <w:pStyle w:val="TableContents"/>
              <w:spacing w:before="0" w:after="283"/>
              <w:rPr/>
            </w:pPr>
            <w:r>
              <w:rPr/>
              <w:t>First-lien loan (GBP 3,538 par, due 9/2028)</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115" w:type="dxa"/>
            <w:tcBorders/>
            <w:shd w:fill="CCEEFF" w:val="clear"/>
          </w:tcPr>
          <w:p>
            <w:pPr>
              <w:pStyle w:val="TableContents"/>
              <w:spacing w:before="0" w:after="283"/>
              <w:jc w:val="right"/>
              <w:rPr/>
            </w:pPr>
            <w:r>
              <w:rPr/>
              <w:t>9/6/2022</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310" w:type="dxa"/>
            <w:tcBorders/>
            <w:shd w:fill="CCEEFF" w:val="clear"/>
          </w:tcPr>
          <w:p>
            <w:pPr>
              <w:pStyle w:val="TableContents"/>
              <w:spacing w:before="0" w:after="283"/>
              <w:jc w:val="right"/>
              <w:rPr/>
            </w:pPr>
            <w:r>
              <w:rPr/>
              <w:t>S + 6.75</w:t>
            </w:r>
          </w:p>
        </w:tc>
        <w:tc>
          <w:tcPr>
            <w:tcW w:w="27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15" w:type="dxa"/>
            <w:tcBorders/>
            <w:shd w:fill="CCEEFF" w:val="clear"/>
          </w:tcPr>
          <w:p>
            <w:pPr>
              <w:pStyle w:val="TableContents"/>
              <w:spacing w:before="0" w:after="283"/>
              <w:jc w:val="right"/>
              <w:rPr/>
            </w:pPr>
            <w:r>
              <w:rPr/>
              <w:t>8.94%</w:t>
            </w:r>
          </w:p>
        </w:tc>
        <w:tc>
          <w:tcPr>
            <w:tcW w:w="60" w:type="dxa"/>
            <w:tcBorders/>
            <w:shd w:fill="CCEEFF" w:val="clear"/>
            <w:vAlign w:val="bottom"/>
          </w:tcPr>
          <w:p>
            <w:pPr>
              <w:pStyle w:val="TableContents"/>
              <w:spacing w:before="0" w:after="283"/>
              <w:rPr/>
            </w:pPr>
            <w:r>
              <w:rPr/>
              <w:t> </w:t>
            </w:r>
          </w:p>
        </w:tc>
        <w:tc>
          <w:tcPr>
            <w:tcW w:w="163" w:type="dxa"/>
            <w:tcBorders/>
            <w:shd w:fill="CCEEFF" w:val="clear"/>
          </w:tcPr>
          <w:p>
            <w:pPr>
              <w:pStyle w:val="TableContents"/>
              <w:spacing w:before="0" w:after="283"/>
              <w:rPr/>
            </w:pPr>
            <w:r>
              <w:rPr/>
              <w:t> </w:t>
            </w:r>
          </w:p>
        </w:tc>
        <w:tc>
          <w:tcPr>
            <w:tcW w:w="937" w:type="dxa"/>
            <w:tcBorders/>
            <w:shd w:fill="CCEEFF" w:val="clear"/>
          </w:tcPr>
          <w:p>
            <w:pPr>
              <w:pStyle w:val="TableContents"/>
              <w:spacing w:before="0" w:after="283"/>
              <w:jc w:val="right"/>
              <w:rPr/>
            </w:pPr>
            <w:r>
              <w:rPr/>
              <w:t>3,564</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tcPr>
          <w:p>
            <w:pPr>
              <w:pStyle w:val="TableContents"/>
              <w:spacing w:before="0" w:after="283"/>
              <w:rPr/>
            </w:pPr>
            <w:r>
              <w:rPr/>
              <w:t> </w:t>
            </w:r>
          </w:p>
        </w:tc>
        <w:tc>
          <w:tcPr>
            <w:tcW w:w="1040" w:type="dxa"/>
            <w:tcBorders/>
            <w:shd w:fill="CCEEFF" w:val="clear"/>
          </w:tcPr>
          <w:p>
            <w:pPr>
              <w:pStyle w:val="TableContents"/>
              <w:jc w:val="right"/>
              <w:rPr/>
            </w:pPr>
            <w:r>
              <w:rPr/>
              <w:t>3,449</w:t>
            </w:r>
          </w:p>
          <w:p>
            <w:pPr>
              <w:pStyle w:val="TableContents"/>
              <w:spacing w:before="0" w:after="20"/>
              <w:jc w:val="right"/>
              <w:rPr>
                <w:rFonts w:ascii="Times New Roman" w:hAnsi="Times New Roman"/>
                <w:sz w:val="16"/>
              </w:rPr>
            </w:pPr>
            <w:r>
              <w:rPr>
                <w:rFonts w:ascii="Times New Roman" w:hAnsi="Times New Roman"/>
                <w:sz w:val="16"/>
              </w:rPr>
              <w:t>(GBP 3,090</w:t>
            </w:r>
          </w:p>
        </w:tc>
        <w:tc>
          <w:tcPr>
            <w:tcW w:w="125" w:type="dxa"/>
            <w:tcBorders/>
            <w:shd w:fill="CCEEFF" w:val="clear"/>
          </w:tcPr>
          <w:p>
            <w:pPr>
              <w:pStyle w:val="TableContents"/>
              <w:rPr/>
            </w:pPr>
            <w:r>
              <w:rPr/>
              <w:t> </w:t>
            </w:r>
          </w:p>
          <w:p>
            <w:pPr>
              <w:pStyle w:val="TableContents"/>
              <w:spacing w:before="0" w:after="20"/>
              <w:rPr>
                <w:rFonts w:ascii="Times New Roman" w:hAnsi="Times New Roman"/>
                <w:sz w:val="16"/>
              </w:rPr>
            </w:pPr>
            <w:r>
              <w:rPr>
                <w:rFonts w:ascii="Times New Roman" w:hAnsi="Times New Roman"/>
                <w:sz w:val="16"/>
              </w:rPr>
              <w:t>) </w:t>
            </w:r>
          </w:p>
        </w:tc>
        <w:tc>
          <w:tcPr>
            <w:tcW w:w="60" w:type="dxa"/>
            <w:tcBorders/>
            <w:shd w:fill="CCEEFF" w:val="clear"/>
            <w:vAlign w:val="bottom"/>
          </w:tcPr>
          <w:p>
            <w:pPr>
              <w:pStyle w:val="TableContents"/>
              <w:spacing w:before="0" w:after="283"/>
              <w:rPr/>
            </w:pPr>
            <w:r>
              <w:rPr/>
              <w:t> </w:t>
            </w:r>
          </w:p>
        </w:tc>
        <w:tc>
          <w:tcPr>
            <w:tcW w:w="159" w:type="dxa"/>
            <w:tcBorders/>
            <w:shd w:fill="CCEEFF" w:val="clear"/>
          </w:tcPr>
          <w:p>
            <w:pPr>
              <w:pStyle w:val="TableContents"/>
              <w:spacing w:before="0" w:after="283"/>
              <w:rPr/>
            </w:pPr>
            <w:r>
              <w:rPr/>
              <w:t> </w:t>
            </w:r>
          </w:p>
        </w:tc>
        <w:tc>
          <w:tcPr>
            <w:tcW w:w="1166" w:type="dxa"/>
            <w:tcBorders/>
            <w:shd w:fill="CCEEFF" w:val="clear"/>
          </w:tcPr>
          <w:p>
            <w:pPr>
              <w:pStyle w:val="TableContents"/>
              <w:spacing w:before="0" w:after="283"/>
              <w:jc w:val="right"/>
              <w:rPr/>
            </w:pPr>
            <w:r>
              <w:rPr/>
              <w:t>0.3</w:t>
            </w:r>
          </w:p>
        </w:tc>
        <w:tc>
          <w:tcPr>
            <w:tcW w:w="275" w:type="dxa"/>
            <w:tcBorders/>
            <w:shd w:fill="CCEEFF" w:val="clear"/>
          </w:tcPr>
          <w:p>
            <w:pPr>
              <w:pStyle w:val="TableContents"/>
              <w:spacing w:before="0" w:after="283"/>
              <w:rPr/>
            </w:pPr>
            <w:r>
              <w:rPr/>
              <w:t>% </w:t>
            </w:r>
          </w:p>
        </w:tc>
      </w:tr>
      <w:tr>
        <w:trPr/>
        <w:tc>
          <w:tcPr>
            <w:tcW w:w="227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9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1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31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6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pBdr>
                <w:top w:val="single" w:sz="2" w:space="1" w:color="000000"/>
              </w:pBdr>
              <w:spacing w:before="0" w:after="0"/>
              <w:rPr/>
            </w:pPr>
            <w:r>
              <w:rPr/>
              <w:t> </w:t>
            </w:r>
          </w:p>
        </w:tc>
        <w:tc>
          <w:tcPr>
            <w:tcW w:w="93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pBdr>
                <w:top w:val="single" w:sz="2" w:space="1" w:color="000000"/>
              </w:pBdr>
              <w:spacing w:before="0" w:after="0"/>
              <w:rPr/>
            </w:pPr>
            <w:r>
              <w:rPr/>
              <w:t> </w:t>
            </w:r>
          </w:p>
        </w:tc>
        <w:tc>
          <w:tcPr>
            <w:tcW w:w="1040" w:type="dxa"/>
            <w:tcBorders/>
            <w:shd w:fill="auto" w:val="clear"/>
            <w:vAlign w:val="bottom"/>
          </w:tcPr>
          <w:p>
            <w:pPr>
              <w:pStyle w:val="TableContents"/>
              <w:pBdr>
                <w:top w:val="single" w:sz="2" w:space="1" w:color="000000"/>
              </w:pBdr>
              <w:spacing w:before="0" w:after="0"/>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single" w:sz="2" w:space="1" w:color="000000"/>
              </w:pBdr>
              <w:spacing w:before="0" w:after="0"/>
              <w:rPr/>
            </w:pPr>
            <w:r>
              <w:rPr/>
              <w:t> </w:t>
            </w:r>
          </w:p>
        </w:tc>
        <w:tc>
          <w:tcPr>
            <w:tcW w:w="1166" w:type="dxa"/>
            <w:tcBorders/>
            <w:shd w:fill="auto" w:val="clear"/>
            <w:vAlign w:val="bottom"/>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r>
      <w:tr>
        <w:trPr/>
        <w:tc>
          <w:tcPr>
            <w:tcW w:w="227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95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1115"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1310" w:type="dxa"/>
            <w:tcBorders/>
            <w:shd w:fill="auto" w:val="clear"/>
          </w:tcPr>
          <w:p>
            <w:pPr>
              <w:pStyle w:val="TableContents"/>
              <w:spacing w:before="0" w:after="283"/>
              <w:rPr>
                <w:sz w:val="4"/>
                <w:szCs w:val="4"/>
              </w:rPr>
            </w:pPr>
            <w:r>
              <w:rPr>
                <w:sz w:val="4"/>
                <w:szCs w:val="4"/>
              </w:rPr>
            </w:r>
          </w:p>
        </w:tc>
        <w:tc>
          <w:tcPr>
            <w:tcW w:w="27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61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3" w:type="dxa"/>
            <w:tcBorders/>
            <w:shd w:fill="auto" w:val="clear"/>
          </w:tcPr>
          <w:p>
            <w:pPr>
              <w:pStyle w:val="TableContents"/>
              <w:spacing w:before="0" w:after="283"/>
              <w:rPr/>
            </w:pPr>
            <w:r>
              <w:rPr/>
              <w:t> </w:t>
            </w:r>
          </w:p>
        </w:tc>
        <w:tc>
          <w:tcPr>
            <w:tcW w:w="937" w:type="dxa"/>
            <w:tcBorders/>
            <w:shd w:fill="auto" w:val="clear"/>
          </w:tcPr>
          <w:p>
            <w:pPr>
              <w:pStyle w:val="TableContents"/>
              <w:spacing w:before="0" w:after="283"/>
              <w:jc w:val="right"/>
              <w:rPr/>
            </w:pPr>
            <w:r>
              <w:rPr/>
              <w:t>7,150</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tcPr>
          <w:p>
            <w:pPr>
              <w:pStyle w:val="TableContents"/>
              <w:spacing w:before="0" w:after="283"/>
              <w:rPr/>
            </w:pPr>
            <w:r>
              <w:rPr/>
              <w:t> </w:t>
            </w:r>
          </w:p>
        </w:tc>
        <w:tc>
          <w:tcPr>
            <w:tcW w:w="1040" w:type="dxa"/>
            <w:tcBorders/>
            <w:shd w:fill="auto" w:val="clear"/>
          </w:tcPr>
          <w:p>
            <w:pPr>
              <w:pStyle w:val="TableContents"/>
              <w:spacing w:before="0" w:after="283"/>
              <w:jc w:val="right"/>
              <w:rPr/>
            </w:pPr>
            <w:r>
              <w:rPr/>
              <w:t>6,954</w:t>
            </w:r>
          </w:p>
        </w:tc>
        <w:tc>
          <w:tcPr>
            <w:tcW w:w="12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tcPr>
          <w:p>
            <w:pPr>
              <w:pStyle w:val="TableContents"/>
              <w:spacing w:before="0" w:after="283"/>
              <w:rPr/>
            </w:pPr>
            <w:r>
              <w:rPr/>
              <w:t> </w:t>
            </w:r>
          </w:p>
        </w:tc>
        <w:tc>
          <w:tcPr>
            <w:tcW w:w="1166" w:type="dxa"/>
            <w:tcBorders/>
            <w:shd w:fill="auto" w:val="clear"/>
          </w:tcPr>
          <w:p>
            <w:pPr>
              <w:pStyle w:val="TableContents"/>
              <w:spacing w:before="0" w:after="283"/>
              <w:jc w:val="right"/>
              <w:rPr/>
            </w:pPr>
            <w:r>
              <w:rPr/>
              <w:t>0.6</w:t>
            </w:r>
          </w:p>
        </w:tc>
        <w:tc>
          <w:tcPr>
            <w:tcW w:w="275" w:type="dxa"/>
            <w:tcBorders/>
            <w:shd w:fill="auto" w:val="clear"/>
          </w:tcPr>
          <w:p>
            <w:pPr>
              <w:pStyle w:val="TableContents"/>
              <w:spacing w:before="0" w:after="283"/>
              <w:rPr/>
            </w:pPr>
            <w:r>
              <w:rPr/>
              <w:t>% </w:t>
            </w:r>
          </w:p>
        </w:tc>
      </w:tr>
      <w:tr>
        <w:trPr/>
        <w:tc>
          <w:tcPr>
            <w:tcW w:w="227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9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1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31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6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pBdr>
                <w:top w:val="single" w:sz="2" w:space="1" w:color="000000"/>
              </w:pBdr>
              <w:spacing w:before="0" w:after="0"/>
              <w:rPr/>
            </w:pPr>
            <w:r>
              <w:rPr/>
              <w:t> </w:t>
            </w:r>
          </w:p>
        </w:tc>
        <w:tc>
          <w:tcPr>
            <w:tcW w:w="93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pBdr>
                <w:top w:val="single" w:sz="2" w:space="1" w:color="000000"/>
              </w:pBdr>
              <w:spacing w:before="0" w:after="0"/>
              <w:rPr/>
            </w:pPr>
            <w:r>
              <w:rPr/>
              <w:t> </w:t>
            </w:r>
          </w:p>
        </w:tc>
        <w:tc>
          <w:tcPr>
            <w:tcW w:w="1040" w:type="dxa"/>
            <w:tcBorders/>
            <w:shd w:fill="auto" w:val="clear"/>
            <w:vAlign w:val="bottom"/>
          </w:tcPr>
          <w:p>
            <w:pPr>
              <w:pStyle w:val="TableContents"/>
              <w:pBdr>
                <w:top w:val="single" w:sz="2" w:space="1" w:color="000000"/>
              </w:pBdr>
              <w:spacing w:before="0" w:after="0"/>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single" w:sz="2" w:space="1" w:color="000000"/>
              </w:pBdr>
              <w:spacing w:before="0" w:after="0"/>
              <w:rPr/>
            </w:pPr>
            <w:r>
              <w:rPr/>
              <w:t> </w:t>
            </w:r>
          </w:p>
        </w:tc>
        <w:tc>
          <w:tcPr>
            <w:tcW w:w="1166" w:type="dxa"/>
            <w:tcBorders/>
            <w:shd w:fill="auto" w:val="clear"/>
            <w:vAlign w:val="bottom"/>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r>
      <w:tr>
        <w:trPr/>
        <w:tc>
          <w:tcPr>
            <w:tcW w:w="2270" w:type="dxa"/>
            <w:tcBorders/>
            <w:shd w:fill="CCEEFF" w:val="clear"/>
          </w:tcPr>
          <w:p>
            <w:pPr>
              <w:pStyle w:val="TableContents"/>
              <w:spacing w:before="0" w:after="0"/>
              <w:rPr>
                <w:rFonts w:ascii="Times New Roman" w:hAnsi="Times New Roman"/>
                <w:b/>
                <w:sz w:val="16"/>
              </w:rPr>
            </w:pPr>
            <w:r>
              <w:rPr>
                <w:rFonts w:ascii="Times New Roman" w:hAnsi="Times New Roman"/>
                <w:b/>
                <w:sz w:val="16"/>
              </w:rPr>
              <w:t>Communications</w:t>
            </w:r>
          </w:p>
        </w:tc>
        <w:tc>
          <w:tcPr>
            <w:tcW w:w="60" w:type="dxa"/>
            <w:tcBorders/>
            <w:shd w:fill="CCEEFF" w:val="clear"/>
            <w:vAlign w:val="bottom"/>
          </w:tcPr>
          <w:p>
            <w:pPr>
              <w:pStyle w:val="TableContents"/>
              <w:spacing w:before="0" w:after="283"/>
              <w:rPr/>
            </w:pPr>
            <w:r>
              <w:rPr/>
              <w:t> </w:t>
            </w:r>
          </w:p>
        </w:tc>
        <w:tc>
          <w:tcPr>
            <w:tcW w:w="495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sz w:val="4"/>
                <w:szCs w:val="4"/>
              </w:rPr>
            </w:pPr>
            <w:r>
              <w:rPr>
                <w:sz w:val="4"/>
                <w:szCs w:val="4"/>
              </w:rPr>
            </w:r>
          </w:p>
        </w:tc>
        <w:tc>
          <w:tcPr>
            <w:tcW w:w="1115" w:type="dxa"/>
            <w:tcBorders/>
            <w:shd w:fill="CCEEFF" w:val="clear"/>
          </w:tcPr>
          <w:p>
            <w:pPr>
              <w:pStyle w:val="TableContents"/>
              <w:spacing w:before="0" w:after="283"/>
              <w:rPr>
                <w:sz w:val="4"/>
                <w:szCs w:val="4"/>
              </w:rPr>
            </w:pPr>
            <w:r>
              <w:rPr>
                <w:sz w:val="4"/>
                <w:szCs w:val="4"/>
              </w:rPr>
            </w:r>
          </w:p>
        </w:tc>
        <w:tc>
          <w:tcPr>
            <w:tcW w:w="6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sz w:val="4"/>
                <w:szCs w:val="4"/>
              </w:rPr>
            </w:pPr>
            <w:r>
              <w:rPr>
                <w:sz w:val="4"/>
                <w:szCs w:val="4"/>
              </w:rPr>
            </w:r>
          </w:p>
        </w:tc>
        <w:tc>
          <w:tcPr>
            <w:tcW w:w="1310" w:type="dxa"/>
            <w:tcBorders/>
            <w:shd w:fill="CCEEFF" w:val="clear"/>
          </w:tcPr>
          <w:p>
            <w:pPr>
              <w:pStyle w:val="TableContents"/>
              <w:spacing w:before="0" w:after="283"/>
              <w:rPr>
                <w:sz w:val="4"/>
                <w:szCs w:val="4"/>
              </w:rPr>
            </w:pPr>
            <w:r>
              <w:rPr>
                <w:sz w:val="4"/>
                <w:szCs w:val="4"/>
              </w:rPr>
            </w:r>
          </w:p>
        </w:tc>
        <w:tc>
          <w:tcPr>
            <w:tcW w:w="27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61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63" w:type="dxa"/>
            <w:tcBorders/>
            <w:shd w:fill="CCEEFF" w:val="clear"/>
          </w:tcPr>
          <w:p>
            <w:pPr>
              <w:pStyle w:val="TableContents"/>
              <w:spacing w:before="0" w:after="283"/>
              <w:rPr>
                <w:sz w:val="4"/>
                <w:szCs w:val="4"/>
              </w:rPr>
            </w:pPr>
            <w:r>
              <w:rPr>
                <w:sz w:val="4"/>
                <w:szCs w:val="4"/>
              </w:rPr>
            </w:r>
          </w:p>
        </w:tc>
        <w:tc>
          <w:tcPr>
            <w:tcW w:w="937" w:type="dxa"/>
            <w:tcBorders/>
            <w:shd w:fill="CCEEFF" w:val="clear"/>
          </w:tcPr>
          <w:p>
            <w:pPr>
              <w:pStyle w:val="TableContents"/>
              <w:spacing w:before="0" w:after="283"/>
              <w:rPr>
                <w:sz w:val="4"/>
                <w:szCs w:val="4"/>
              </w:rPr>
            </w:pPr>
            <w:r>
              <w:rPr>
                <w:sz w:val="4"/>
                <w:szCs w:val="4"/>
              </w:rPr>
            </w:r>
          </w:p>
        </w:tc>
        <w:tc>
          <w:tcPr>
            <w:tcW w:w="6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50" w:type="dxa"/>
            <w:tcBorders/>
            <w:shd w:fill="CCEEFF" w:val="clear"/>
          </w:tcPr>
          <w:p>
            <w:pPr>
              <w:pStyle w:val="TableContents"/>
              <w:spacing w:before="0" w:after="283"/>
              <w:rPr>
                <w:sz w:val="4"/>
                <w:szCs w:val="4"/>
              </w:rPr>
            </w:pPr>
            <w:r>
              <w:rPr>
                <w:sz w:val="4"/>
                <w:szCs w:val="4"/>
              </w:rPr>
            </w:r>
          </w:p>
        </w:tc>
        <w:tc>
          <w:tcPr>
            <w:tcW w:w="1040" w:type="dxa"/>
            <w:tcBorders/>
            <w:shd w:fill="CCEEFF" w:val="clear"/>
          </w:tcPr>
          <w:p>
            <w:pPr>
              <w:pStyle w:val="TableContents"/>
              <w:spacing w:before="0" w:after="283"/>
              <w:rPr>
                <w:sz w:val="4"/>
                <w:szCs w:val="4"/>
              </w:rPr>
            </w:pPr>
            <w:r>
              <w:rPr>
                <w:sz w:val="4"/>
                <w:szCs w:val="4"/>
              </w:rPr>
            </w:r>
          </w:p>
        </w:tc>
        <w:tc>
          <w:tcPr>
            <w:tcW w:w="12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59" w:type="dxa"/>
            <w:tcBorders/>
            <w:shd w:fill="CCEEFF" w:val="clear"/>
          </w:tcPr>
          <w:p>
            <w:pPr>
              <w:pStyle w:val="TableContents"/>
              <w:spacing w:before="0" w:after="283"/>
              <w:rPr>
                <w:sz w:val="4"/>
                <w:szCs w:val="4"/>
              </w:rPr>
            </w:pPr>
            <w:r>
              <w:rPr>
                <w:sz w:val="4"/>
                <w:szCs w:val="4"/>
              </w:rPr>
            </w:r>
          </w:p>
        </w:tc>
        <w:tc>
          <w:tcPr>
            <w:tcW w:w="1166" w:type="dxa"/>
            <w:tcBorders/>
            <w:shd w:fill="CCEEFF" w:val="clear"/>
          </w:tcPr>
          <w:p>
            <w:pPr>
              <w:pStyle w:val="TableContents"/>
              <w:spacing w:before="0" w:after="283"/>
              <w:rPr>
                <w:sz w:val="4"/>
                <w:szCs w:val="4"/>
              </w:rPr>
            </w:pPr>
            <w:r>
              <w:rPr>
                <w:sz w:val="4"/>
                <w:szCs w:val="4"/>
              </w:rPr>
            </w:r>
          </w:p>
        </w:tc>
        <w:tc>
          <w:tcPr>
            <w:tcW w:w="275" w:type="dxa"/>
            <w:tcBorders/>
            <w:shd w:fill="CCEEFF" w:val="clear"/>
          </w:tcPr>
          <w:p>
            <w:pPr>
              <w:pStyle w:val="TableContents"/>
              <w:spacing w:before="0" w:after="283"/>
              <w:rPr>
                <w:sz w:val="4"/>
                <w:szCs w:val="4"/>
              </w:rPr>
            </w:pPr>
            <w:r>
              <w:rPr>
                <w:sz w:val="4"/>
                <w:szCs w:val="4"/>
              </w:rPr>
            </w:r>
          </w:p>
        </w:tc>
      </w:tr>
      <w:tr>
        <w:trPr/>
        <w:tc>
          <w:tcPr>
            <w:tcW w:w="2270" w:type="dxa"/>
            <w:tcBorders/>
            <w:shd w:fill="auto" w:val="clear"/>
          </w:tcPr>
          <w:p>
            <w:pPr>
              <w:pStyle w:val="TableContents"/>
              <w:spacing w:before="0" w:after="0"/>
              <w:rPr>
                <w:rFonts w:ascii="Times New Roman" w:hAnsi="Times New Roman"/>
                <w:sz w:val="16"/>
              </w:rPr>
            </w:pPr>
            <w:r>
              <w:rPr>
                <w:rFonts w:ascii="Times New Roman" w:hAnsi="Times New Roman"/>
                <w:sz w:val="16"/>
              </w:rPr>
              <w:t>Celtra Technologies, Inc.(3)(5)</w:t>
            </w:r>
          </w:p>
        </w:tc>
        <w:tc>
          <w:tcPr>
            <w:tcW w:w="60" w:type="dxa"/>
            <w:tcBorders/>
            <w:shd w:fill="auto" w:val="clear"/>
            <w:vAlign w:val="bottom"/>
          </w:tcPr>
          <w:p>
            <w:pPr>
              <w:pStyle w:val="TableContents"/>
              <w:spacing w:before="0" w:after="283"/>
              <w:rPr/>
            </w:pPr>
            <w:r>
              <w:rPr/>
              <w:t> </w:t>
            </w:r>
          </w:p>
        </w:tc>
        <w:tc>
          <w:tcPr>
            <w:tcW w:w="4955" w:type="dxa"/>
            <w:tcBorders/>
            <w:shd w:fill="auto" w:val="clear"/>
          </w:tcPr>
          <w:p>
            <w:pPr>
              <w:pStyle w:val="TableContents"/>
              <w:spacing w:before="0" w:after="283"/>
              <w:rPr/>
            </w:pPr>
            <w:r>
              <w:rPr/>
              <w:t>First-lien loan ($34,738 par, due 11/2026)</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115" w:type="dxa"/>
            <w:tcBorders/>
            <w:shd w:fill="auto" w:val="clear"/>
          </w:tcPr>
          <w:p>
            <w:pPr>
              <w:pStyle w:val="TableContents"/>
              <w:spacing w:before="0" w:after="283"/>
              <w:jc w:val="right"/>
              <w:rPr/>
            </w:pPr>
            <w:r>
              <w:rPr/>
              <w:t>11/19/2021</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310" w:type="dxa"/>
            <w:tcBorders/>
            <w:shd w:fill="auto" w:val="clear"/>
          </w:tcPr>
          <w:p>
            <w:pPr>
              <w:pStyle w:val="TableContents"/>
              <w:spacing w:before="0" w:after="283"/>
              <w:jc w:val="right"/>
              <w:rPr/>
            </w:pPr>
            <w:r>
              <w:rPr/>
              <w:t>L + 7.00</w:t>
            </w:r>
          </w:p>
        </w:tc>
        <w:tc>
          <w:tcPr>
            <w:tcW w:w="27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5" w:type="dxa"/>
            <w:tcBorders/>
            <w:shd w:fill="auto" w:val="clear"/>
          </w:tcPr>
          <w:p>
            <w:pPr>
              <w:pStyle w:val="TableContents"/>
              <w:spacing w:before="0" w:after="283"/>
              <w:jc w:val="right"/>
              <w:rPr/>
            </w:pPr>
            <w:r>
              <w:rPr/>
              <w:t>10.67%</w:t>
            </w:r>
          </w:p>
        </w:tc>
        <w:tc>
          <w:tcPr>
            <w:tcW w:w="60" w:type="dxa"/>
            <w:tcBorders/>
            <w:shd w:fill="auto" w:val="clear"/>
            <w:vAlign w:val="bottom"/>
          </w:tcPr>
          <w:p>
            <w:pPr>
              <w:pStyle w:val="TableContents"/>
              <w:spacing w:before="0" w:after="283"/>
              <w:rPr/>
            </w:pPr>
            <w:r>
              <w:rPr/>
              <w:t> </w:t>
            </w:r>
          </w:p>
        </w:tc>
        <w:tc>
          <w:tcPr>
            <w:tcW w:w="163" w:type="dxa"/>
            <w:tcBorders/>
            <w:shd w:fill="auto" w:val="clear"/>
          </w:tcPr>
          <w:p>
            <w:pPr>
              <w:pStyle w:val="TableContents"/>
              <w:spacing w:before="0" w:after="283"/>
              <w:rPr/>
            </w:pPr>
            <w:r>
              <w:rPr/>
              <w:t> </w:t>
            </w:r>
          </w:p>
        </w:tc>
        <w:tc>
          <w:tcPr>
            <w:tcW w:w="937" w:type="dxa"/>
            <w:tcBorders/>
            <w:shd w:fill="auto" w:val="clear"/>
          </w:tcPr>
          <w:p>
            <w:pPr>
              <w:pStyle w:val="TableContents"/>
              <w:spacing w:before="0" w:after="283"/>
              <w:jc w:val="right"/>
              <w:rPr/>
            </w:pPr>
            <w:r>
              <w:rPr/>
              <w:t>33,803</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tcPr>
          <w:p>
            <w:pPr>
              <w:pStyle w:val="TableContents"/>
              <w:spacing w:before="0" w:after="283"/>
              <w:rPr/>
            </w:pPr>
            <w:r>
              <w:rPr/>
              <w:t> </w:t>
            </w:r>
          </w:p>
        </w:tc>
        <w:tc>
          <w:tcPr>
            <w:tcW w:w="1040" w:type="dxa"/>
            <w:tcBorders/>
            <w:shd w:fill="auto" w:val="clear"/>
          </w:tcPr>
          <w:p>
            <w:pPr>
              <w:pStyle w:val="TableContents"/>
              <w:spacing w:before="0" w:after="283"/>
              <w:jc w:val="right"/>
              <w:rPr/>
            </w:pPr>
            <w:r>
              <w:rPr/>
              <w:t>33,435</w:t>
            </w:r>
          </w:p>
        </w:tc>
        <w:tc>
          <w:tcPr>
            <w:tcW w:w="12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tcPr>
          <w:p>
            <w:pPr>
              <w:pStyle w:val="TableContents"/>
              <w:spacing w:before="0" w:after="283"/>
              <w:rPr/>
            </w:pPr>
            <w:r>
              <w:rPr/>
              <w:t> </w:t>
            </w:r>
          </w:p>
        </w:tc>
        <w:tc>
          <w:tcPr>
            <w:tcW w:w="1166" w:type="dxa"/>
            <w:tcBorders/>
            <w:shd w:fill="auto" w:val="clear"/>
          </w:tcPr>
          <w:p>
            <w:pPr>
              <w:pStyle w:val="TableContents"/>
              <w:spacing w:before="0" w:after="283"/>
              <w:jc w:val="right"/>
              <w:rPr/>
            </w:pPr>
            <w:r>
              <w:rPr/>
              <w:t>2.5</w:t>
            </w:r>
          </w:p>
        </w:tc>
        <w:tc>
          <w:tcPr>
            <w:tcW w:w="275" w:type="dxa"/>
            <w:tcBorders/>
            <w:shd w:fill="auto" w:val="clear"/>
          </w:tcPr>
          <w:p>
            <w:pPr>
              <w:pStyle w:val="TableContents"/>
              <w:spacing w:before="0" w:after="283"/>
              <w:rPr/>
            </w:pPr>
            <w:r>
              <w:rPr/>
              <w:t>% </w:t>
            </w:r>
          </w:p>
        </w:tc>
      </w:tr>
      <w:tr>
        <w:trPr/>
        <w:tc>
          <w:tcPr>
            <w:tcW w:w="2270" w:type="dxa"/>
            <w:tcBorders/>
            <w:shd w:fill="CCEEFF" w:val="clear"/>
          </w:tcPr>
          <w:p>
            <w:pPr>
              <w:pStyle w:val="TableContents"/>
              <w:spacing w:before="0" w:after="0"/>
              <w:rPr>
                <w:rFonts w:ascii="Times New Roman" w:hAnsi="Times New Roman"/>
                <w:sz w:val="16"/>
              </w:rPr>
            </w:pPr>
            <w:r>
              <w:rPr>
                <w:rFonts w:ascii="Times New Roman" w:hAnsi="Times New Roman"/>
                <w:sz w:val="16"/>
              </w:rPr>
              <w:t>IntelePeer Holdings, Inc.</w:t>
            </w:r>
          </w:p>
        </w:tc>
        <w:tc>
          <w:tcPr>
            <w:tcW w:w="60" w:type="dxa"/>
            <w:tcBorders/>
            <w:shd w:fill="CCEEFF" w:val="clear"/>
            <w:vAlign w:val="bottom"/>
          </w:tcPr>
          <w:p>
            <w:pPr>
              <w:pStyle w:val="TableContents"/>
              <w:spacing w:before="0" w:after="283"/>
              <w:rPr/>
            </w:pPr>
            <w:r>
              <w:rPr/>
              <w:t> </w:t>
            </w:r>
          </w:p>
        </w:tc>
        <w:tc>
          <w:tcPr>
            <w:tcW w:w="4955" w:type="dxa"/>
            <w:tcBorders/>
            <w:shd w:fill="CCEEFF" w:val="clear"/>
          </w:tcPr>
          <w:p>
            <w:pPr>
              <w:pStyle w:val="TableContents"/>
              <w:spacing w:before="0" w:after="283"/>
              <w:rPr/>
            </w:pPr>
            <w:r>
              <w:rPr/>
              <w:t>First-lien loan ($34,956 par, due 12/2024)(3)</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115" w:type="dxa"/>
            <w:tcBorders/>
            <w:shd w:fill="CCEEFF" w:val="clear"/>
          </w:tcPr>
          <w:p>
            <w:pPr>
              <w:pStyle w:val="TableContents"/>
              <w:spacing w:before="0" w:after="283"/>
              <w:jc w:val="right"/>
              <w:rPr/>
            </w:pPr>
            <w:r>
              <w:rPr/>
              <w:t>12/2/2019</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310" w:type="dxa"/>
            <w:tcBorders/>
            <w:shd w:fill="CCEEFF" w:val="clear"/>
          </w:tcPr>
          <w:p>
            <w:pPr>
              <w:pStyle w:val="TableContents"/>
              <w:spacing w:before="0" w:after="283"/>
              <w:jc w:val="right"/>
              <w:rPr/>
            </w:pPr>
            <w:r>
              <w:rPr/>
              <w:t>L + 8.25</w:t>
            </w:r>
          </w:p>
        </w:tc>
        <w:tc>
          <w:tcPr>
            <w:tcW w:w="27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15" w:type="dxa"/>
            <w:tcBorders/>
            <w:shd w:fill="CCEEFF" w:val="clear"/>
          </w:tcPr>
          <w:p>
            <w:pPr>
              <w:pStyle w:val="TableContents"/>
              <w:spacing w:before="0" w:after="283"/>
              <w:jc w:val="right"/>
              <w:rPr/>
            </w:pPr>
            <w:r>
              <w:rPr/>
              <w:t>11.37%</w:t>
            </w:r>
          </w:p>
        </w:tc>
        <w:tc>
          <w:tcPr>
            <w:tcW w:w="60" w:type="dxa"/>
            <w:tcBorders/>
            <w:shd w:fill="CCEEFF" w:val="clear"/>
            <w:vAlign w:val="bottom"/>
          </w:tcPr>
          <w:p>
            <w:pPr>
              <w:pStyle w:val="TableContents"/>
              <w:spacing w:before="0" w:after="283"/>
              <w:rPr/>
            </w:pPr>
            <w:r>
              <w:rPr/>
              <w:t> </w:t>
            </w:r>
          </w:p>
        </w:tc>
        <w:tc>
          <w:tcPr>
            <w:tcW w:w="163" w:type="dxa"/>
            <w:tcBorders/>
            <w:shd w:fill="CCEEFF" w:val="clear"/>
          </w:tcPr>
          <w:p>
            <w:pPr>
              <w:pStyle w:val="TableContents"/>
              <w:spacing w:before="0" w:after="283"/>
              <w:rPr/>
            </w:pPr>
            <w:r>
              <w:rPr/>
              <w:t> </w:t>
            </w:r>
          </w:p>
        </w:tc>
        <w:tc>
          <w:tcPr>
            <w:tcW w:w="937" w:type="dxa"/>
            <w:tcBorders/>
            <w:shd w:fill="CCEEFF" w:val="clear"/>
          </w:tcPr>
          <w:p>
            <w:pPr>
              <w:pStyle w:val="TableContents"/>
              <w:spacing w:before="0" w:after="283"/>
              <w:jc w:val="right"/>
              <w:rPr/>
            </w:pPr>
            <w:r>
              <w:rPr/>
              <w:t>34,907</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tcPr>
          <w:p>
            <w:pPr>
              <w:pStyle w:val="TableContents"/>
              <w:spacing w:before="0" w:after="283"/>
              <w:rPr/>
            </w:pPr>
            <w:r>
              <w:rPr/>
              <w:t> </w:t>
            </w:r>
          </w:p>
        </w:tc>
        <w:tc>
          <w:tcPr>
            <w:tcW w:w="1040" w:type="dxa"/>
            <w:tcBorders/>
            <w:shd w:fill="CCEEFF" w:val="clear"/>
          </w:tcPr>
          <w:p>
            <w:pPr>
              <w:pStyle w:val="TableContents"/>
              <w:spacing w:before="0" w:after="283"/>
              <w:jc w:val="right"/>
              <w:rPr/>
            </w:pPr>
            <w:r>
              <w:rPr/>
              <w:t>34,257</w:t>
            </w:r>
          </w:p>
        </w:tc>
        <w:tc>
          <w:tcPr>
            <w:tcW w:w="12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tcPr>
          <w:p>
            <w:pPr>
              <w:pStyle w:val="TableContents"/>
              <w:spacing w:before="0" w:after="283"/>
              <w:rPr/>
            </w:pPr>
            <w:r>
              <w:rPr/>
              <w:t> </w:t>
            </w:r>
          </w:p>
        </w:tc>
        <w:tc>
          <w:tcPr>
            <w:tcW w:w="1166" w:type="dxa"/>
            <w:tcBorders/>
            <w:shd w:fill="CCEEFF" w:val="clear"/>
          </w:tcPr>
          <w:p>
            <w:pPr>
              <w:pStyle w:val="TableContents"/>
              <w:spacing w:before="0" w:after="283"/>
              <w:jc w:val="right"/>
              <w:rPr/>
            </w:pPr>
            <w:r>
              <w:rPr/>
              <w:t>2.6</w:t>
            </w:r>
          </w:p>
        </w:tc>
        <w:tc>
          <w:tcPr>
            <w:tcW w:w="275" w:type="dxa"/>
            <w:tcBorders/>
            <w:shd w:fill="CCEEFF" w:val="clear"/>
          </w:tcPr>
          <w:p>
            <w:pPr>
              <w:pStyle w:val="TableContents"/>
              <w:spacing w:before="0" w:after="283"/>
              <w:rPr/>
            </w:pPr>
            <w:r>
              <w:rPr/>
              <w:t>% </w:t>
            </w:r>
          </w:p>
        </w:tc>
      </w:tr>
      <w:tr>
        <w:trPr/>
        <w:tc>
          <w:tcPr>
            <w:tcW w:w="227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955" w:type="dxa"/>
            <w:tcBorders/>
            <w:shd w:fill="auto" w:val="clear"/>
          </w:tcPr>
          <w:p>
            <w:pPr>
              <w:pStyle w:val="TableContents"/>
              <w:spacing w:before="0" w:after="283"/>
              <w:rPr/>
            </w:pPr>
            <w:r>
              <w:rPr/>
              <w:t>Convertible note ($4,314 par, due 5/2028)</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115" w:type="dxa"/>
            <w:tcBorders/>
            <w:shd w:fill="auto" w:val="clear"/>
          </w:tcPr>
          <w:p>
            <w:pPr>
              <w:pStyle w:val="TableContents"/>
              <w:spacing w:before="0" w:after="283"/>
              <w:jc w:val="right"/>
              <w:rPr/>
            </w:pPr>
            <w:r>
              <w:rPr/>
              <w:t>5/12/2021</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310" w:type="dxa"/>
            <w:tcBorders/>
            <w:shd w:fill="auto" w:val="clear"/>
          </w:tcPr>
          <w:p>
            <w:pPr>
              <w:pStyle w:val="TableContents"/>
              <w:spacing w:before="0" w:after="283"/>
              <w:jc w:val="right"/>
              <w:rPr/>
            </w:pPr>
            <w:r>
              <w:rPr/>
              <w:t>6.00</w:t>
            </w:r>
          </w:p>
        </w:tc>
        <w:tc>
          <w:tcPr>
            <w:tcW w:w="27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5" w:type="dxa"/>
            <w:tcBorders/>
            <w:shd w:fill="auto" w:val="clear"/>
          </w:tcPr>
          <w:p>
            <w:pPr>
              <w:pStyle w:val="TableContents"/>
              <w:spacing w:before="0" w:after="283"/>
              <w:jc w:val="right"/>
              <w:rPr/>
            </w:pPr>
            <w:r>
              <w:rPr/>
              <w:t>6.00% PIK</w:t>
            </w:r>
          </w:p>
        </w:tc>
        <w:tc>
          <w:tcPr>
            <w:tcW w:w="60" w:type="dxa"/>
            <w:tcBorders/>
            <w:shd w:fill="auto" w:val="clear"/>
            <w:vAlign w:val="bottom"/>
          </w:tcPr>
          <w:p>
            <w:pPr>
              <w:pStyle w:val="TableContents"/>
              <w:spacing w:before="0" w:after="283"/>
              <w:rPr/>
            </w:pPr>
            <w:r>
              <w:rPr/>
              <w:t> </w:t>
            </w:r>
          </w:p>
        </w:tc>
        <w:tc>
          <w:tcPr>
            <w:tcW w:w="163" w:type="dxa"/>
            <w:tcBorders/>
            <w:shd w:fill="auto" w:val="clear"/>
          </w:tcPr>
          <w:p>
            <w:pPr>
              <w:pStyle w:val="TableContents"/>
              <w:spacing w:before="0" w:after="283"/>
              <w:rPr/>
            </w:pPr>
            <w:r>
              <w:rPr/>
              <w:t> </w:t>
            </w:r>
          </w:p>
        </w:tc>
        <w:tc>
          <w:tcPr>
            <w:tcW w:w="937" w:type="dxa"/>
            <w:tcBorders/>
            <w:shd w:fill="auto" w:val="clear"/>
          </w:tcPr>
          <w:p>
            <w:pPr>
              <w:pStyle w:val="TableContents"/>
              <w:spacing w:before="0" w:after="283"/>
              <w:jc w:val="right"/>
              <w:rPr/>
            </w:pPr>
            <w:r>
              <w:rPr/>
              <w:t>4,281</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tcPr>
          <w:p>
            <w:pPr>
              <w:pStyle w:val="TableContents"/>
              <w:spacing w:before="0" w:after="283"/>
              <w:rPr/>
            </w:pPr>
            <w:r>
              <w:rPr/>
              <w:t> </w:t>
            </w:r>
          </w:p>
        </w:tc>
        <w:tc>
          <w:tcPr>
            <w:tcW w:w="1040" w:type="dxa"/>
            <w:tcBorders/>
            <w:shd w:fill="auto" w:val="clear"/>
          </w:tcPr>
          <w:p>
            <w:pPr>
              <w:pStyle w:val="TableContents"/>
              <w:spacing w:before="0" w:after="283"/>
              <w:jc w:val="right"/>
              <w:rPr/>
            </w:pPr>
            <w:r>
              <w:rPr/>
              <w:t>4,239</w:t>
            </w:r>
          </w:p>
        </w:tc>
        <w:tc>
          <w:tcPr>
            <w:tcW w:w="12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tcPr>
          <w:p>
            <w:pPr>
              <w:pStyle w:val="TableContents"/>
              <w:spacing w:before="0" w:after="283"/>
              <w:rPr/>
            </w:pPr>
            <w:r>
              <w:rPr/>
              <w:t> </w:t>
            </w:r>
          </w:p>
        </w:tc>
        <w:tc>
          <w:tcPr>
            <w:tcW w:w="1166" w:type="dxa"/>
            <w:tcBorders/>
            <w:shd w:fill="auto" w:val="clear"/>
          </w:tcPr>
          <w:p>
            <w:pPr>
              <w:pStyle w:val="TableContents"/>
              <w:spacing w:before="0" w:after="283"/>
              <w:jc w:val="right"/>
              <w:rPr/>
            </w:pPr>
            <w:r>
              <w:rPr/>
              <w:t>0.3</w:t>
            </w:r>
          </w:p>
        </w:tc>
        <w:tc>
          <w:tcPr>
            <w:tcW w:w="275" w:type="dxa"/>
            <w:tcBorders/>
            <w:shd w:fill="auto" w:val="clear"/>
          </w:tcPr>
          <w:p>
            <w:pPr>
              <w:pStyle w:val="TableContents"/>
              <w:spacing w:before="0" w:after="283"/>
              <w:rPr/>
            </w:pPr>
            <w:r>
              <w:rPr/>
              <w:t>% </w:t>
            </w:r>
          </w:p>
        </w:tc>
      </w:tr>
      <w:tr>
        <w:trPr/>
        <w:tc>
          <w:tcPr>
            <w:tcW w:w="227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9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1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31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6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pBdr>
                <w:top w:val="single" w:sz="2" w:space="1" w:color="000000"/>
              </w:pBdr>
              <w:spacing w:before="0" w:after="0"/>
              <w:rPr/>
            </w:pPr>
            <w:r>
              <w:rPr/>
              <w:t> </w:t>
            </w:r>
          </w:p>
        </w:tc>
        <w:tc>
          <w:tcPr>
            <w:tcW w:w="93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pBdr>
                <w:top w:val="single" w:sz="2" w:space="1" w:color="000000"/>
              </w:pBdr>
              <w:spacing w:before="0" w:after="0"/>
              <w:rPr/>
            </w:pPr>
            <w:r>
              <w:rPr/>
              <w:t> </w:t>
            </w:r>
          </w:p>
        </w:tc>
        <w:tc>
          <w:tcPr>
            <w:tcW w:w="1040" w:type="dxa"/>
            <w:tcBorders/>
            <w:shd w:fill="auto" w:val="clear"/>
            <w:vAlign w:val="bottom"/>
          </w:tcPr>
          <w:p>
            <w:pPr>
              <w:pStyle w:val="TableContents"/>
              <w:pBdr>
                <w:top w:val="single" w:sz="2" w:space="1" w:color="000000"/>
              </w:pBdr>
              <w:spacing w:before="0" w:after="0"/>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single" w:sz="2" w:space="1" w:color="000000"/>
              </w:pBdr>
              <w:spacing w:before="0" w:after="0"/>
              <w:rPr/>
            </w:pPr>
            <w:r>
              <w:rPr/>
              <w:t> </w:t>
            </w:r>
          </w:p>
        </w:tc>
        <w:tc>
          <w:tcPr>
            <w:tcW w:w="1166" w:type="dxa"/>
            <w:tcBorders/>
            <w:shd w:fill="auto" w:val="clear"/>
            <w:vAlign w:val="bottom"/>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r>
      <w:tr>
        <w:trPr/>
        <w:tc>
          <w:tcPr>
            <w:tcW w:w="227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495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sz w:val="4"/>
                <w:szCs w:val="4"/>
              </w:rPr>
            </w:pPr>
            <w:r>
              <w:rPr>
                <w:sz w:val="4"/>
                <w:szCs w:val="4"/>
              </w:rPr>
            </w:r>
          </w:p>
        </w:tc>
        <w:tc>
          <w:tcPr>
            <w:tcW w:w="1115" w:type="dxa"/>
            <w:tcBorders/>
            <w:shd w:fill="CCEEFF" w:val="clear"/>
          </w:tcPr>
          <w:p>
            <w:pPr>
              <w:pStyle w:val="TableContents"/>
              <w:spacing w:before="0" w:after="283"/>
              <w:rPr>
                <w:sz w:val="4"/>
                <w:szCs w:val="4"/>
              </w:rPr>
            </w:pPr>
            <w:r>
              <w:rPr>
                <w:sz w:val="4"/>
                <w:szCs w:val="4"/>
              </w:rPr>
            </w:r>
          </w:p>
        </w:tc>
        <w:tc>
          <w:tcPr>
            <w:tcW w:w="6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sz w:val="4"/>
                <w:szCs w:val="4"/>
              </w:rPr>
            </w:pPr>
            <w:r>
              <w:rPr>
                <w:sz w:val="4"/>
                <w:szCs w:val="4"/>
              </w:rPr>
            </w:r>
          </w:p>
        </w:tc>
        <w:tc>
          <w:tcPr>
            <w:tcW w:w="1310" w:type="dxa"/>
            <w:tcBorders/>
            <w:shd w:fill="CCEEFF" w:val="clear"/>
          </w:tcPr>
          <w:p>
            <w:pPr>
              <w:pStyle w:val="TableContents"/>
              <w:spacing w:before="0" w:after="283"/>
              <w:rPr>
                <w:sz w:val="4"/>
                <w:szCs w:val="4"/>
              </w:rPr>
            </w:pPr>
            <w:r>
              <w:rPr>
                <w:sz w:val="4"/>
                <w:szCs w:val="4"/>
              </w:rPr>
            </w:r>
          </w:p>
        </w:tc>
        <w:tc>
          <w:tcPr>
            <w:tcW w:w="27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61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63" w:type="dxa"/>
            <w:tcBorders/>
            <w:shd w:fill="CCEEFF" w:val="clear"/>
          </w:tcPr>
          <w:p>
            <w:pPr>
              <w:pStyle w:val="TableContents"/>
              <w:spacing w:before="0" w:after="283"/>
              <w:rPr/>
            </w:pPr>
            <w:r>
              <w:rPr/>
              <w:t> </w:t>
            </w:r>
          </w:p>
        </w:tc>
        <w:tc>
          <w:tcPr>
            <w:tcW w:w="937" w:type="dxa"/>
            <w:tcBorders/>
            <w:shd w:fill="CCEEFF" w:val="clear"/>
          </w:tcPr>
          <w:p>
            <w:pPr>
              <w:pStyle w:val="TableContents"/>
              <w:spacing w:before="0" w:after="283"/>
              <w:jc w:val="right"/>
              <w:rPr/>
            </w:pPr>
            <w:r>
              <w:rPr/>
              <w:t>72,991</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tcPr>
          <w:p>
            <w:pPr>
              <w:pStyle w:val="TableContents"/>
              <w:spacing w:before="0" w:after="283"/>
              <w:rPr/>
            </w:pPr>
            <w:r>
              <w:rPr/>
              <w:t> </w:t>
            </w:r>
          </w:p>
        </w:tc>
        <w:tc>
          <w:tcPr>
            <w:tcW w:w="1040" w:type="dxa"/>
            <w:tcBorders/>
            <w:shd w:fill="CCEEFF" w:val="clear"/>
          </w:tcPr>
          <w:p>
            <w:pPr>
              <w:pStyle w:val="TableContents"/>
              <w:spacing w:before="0" w:after="283"/>
              <w:jc w:val="right"/>
              <w:rPr/>
            </w:pPr>
            <w:r>
              <w:rPr/>
              <w:t>71,931</w:t>
            </w:r>
          </w:p>
        </w:tc>
        <w:tc>
          <w:tcPr>
            <w:tcW w:w="12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tcPr>
          <w:p>
            <w:pPr>
              <w:pStyle w:val="TableContents"/>
              <w:spacing w:before="0" w:after="283"/>
              <w:rPr/>
            </w:pPr>
            <w:r>
              <w:rPr/>
              <w:t> </w:t>
            </w:r>
          </w:p>
        </w:tc>
        <w:tc>
          <w:tcPr>
            <w:tcW w:w="1166" w:type="dxa"/>
            <w:tcBorders/>
            <w:shd w:fill="CCEEFF" w:val="clear"/>
          </w:tcPr>
          <w:p>
            <w:pPr>
              <w:pStyle w:val="TableContents"/>
              <w:spacing w:before="0" w:after="283"/>
              <w:jc w:val="right"/>
              <w:rPr/>
            </w:pPr>
            <w:r>
              <w:rPr/>
              <w:t>5.4</w:t>
            </w:r>
          </w:p>
        </w:tc>
        <w:tc>
          <w:tcPr>
            <w:tcW w:w="275" w:type="dxa"/>
            <w:tcBorders/>
            <w:shd w:fill="CCEEFF" w:val="clear"/>
          </w:tcPr>
          <w:p>
            <w:pPr>
              <w:pStyle w:val="TableContents"/>
              <w:spacing w:before="0" w:after="283"/>
              <w:rPr/>
            </w:pPr>
            <w:r>
              <w:rPr/>
              <w:t>% </w:t>
            </w:r>
          </w:p>
        </w:tc>
      </w:tr>
      <w:tr>
        <w:trPr/>
        <w:tc>
          <w:tcPr>
            <w:tcW w:w="227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9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1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31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6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pBdr>
                <w:top w:val="single" w:sz="2" w:space="1" w:color="000000"/>
              </w:pBdr>
              <w:spacing w:before="0" w:after="0"/>
              <w:rPr/>
            </w:pPr>
            <w:r>
              <w:rPr/>
              <w:t> </w:t>
            </w:r>
          </w:p>
        </w:tc>
        <w:tc>
          <w:tcPr>
            <w:tcW w:w="93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pBdr>
                <w:top w:val="single" w:sz="2" w:space="1" w:color="000000"/>
              </w:pBdr>
              <w:spacing w:before="0" w:after="0"/>
              <w:rPr/>
            </w:pPr>
            <w:r>
              <w:rPr/>
              <w:t> </w:t>
            </w:r>
          </w:p>
        </w:tc>
        <w:tc>
          <w:tcPr>
            <w:tcW w:w="1040" w:type="dxa"/>
            <w:tcBorders/>
            <w:shd w:fill="auto" w:val="clear"/>
            <w:vAlign w:val="bottom"/>
          </w:tcPr>
          <w:p>
            <w:pPr>
              <w:pStyle w:val="TableContents"/>
              <w:pBdr>
                <w:top w:val="single" w:sz="2" w:space="1" w:color="000000"/>
              </w:pBdr>
              <w:spacing w:before="0" w:after="0"/>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single" w:sz="2" w:space="1" w:color="000000"/>
              </w:pBdr>
              <w:spacing w:before="0" w:after="0"/>
              <w:rPr/>
            </w:pPr>
            <w:r>
              <w:rPr/>
              <w:t> </w:t>
            </w:r>
          </w:p>
        </w:tc>
        <w:tc>
          <w:tcPr>
            <w:tcW w:w="1166" w:type="dxa"/>
            <w:tcBorders/>
            <w:shd w:fill="auto" w:val="clear"/>
            <w:vAlign w:val="bottom"/>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r>
      <w:tr>
        <w:trPr/>
        <w:tc>
          <w:tcPr>
            <w:tcW w:w="2270" w:type="dxa"/>
            <w:tcBorders/>
            <w:shd w:fill="auto" w:val="clear"/>
          </w:tcPr>
          <w:p>
            <w:pPr>
              <w:pStyle w:val="TableContents"/>
              <w:spacing w:before="0" w:after="0"/>
              <w:rPr>
                <w:rFonts w:ascii="Times New Roman" w:hAnsi="Times New Roman"/>
                <w:b/>
                <w:sz w:val="16"/>
              </w:rPr>
            </w:pPr>
            <w:r>
              <w:rPr>
                <w:rFonts w:ascii="Times New Roman" w:hAnsi="Times New Roman"/>
                <w:b/>
                <w:sz w:val="16"/>
              </w:rPr>
              <w:t>Education</w:t>
            </w:r>
          </w:p>
        </w:tc>
        <w:tc>
          <w:tcPr>
            <w:tcW w:w="60" w:type="dxa"/>
            <w:tcBorders/>
            <w:shd w:fill="auto" w:val="clear"/>
            <w:vAlign w:val="bottom"/>
          </w:tcPr>
          <w:p>
            <w:pPr>
              <w:pStyle w:val="TableContents"/>
              <w:spacing w:before="0" w:after="283"/>
              <w:rPr/>
            </w:pPr>
            <w:r>
              <w:rPr/>
              <w:t> </w:t>
            </w:r>
          </w:p>
        </w:tc>
        <w:tc>
          <w:tcPr>
            <w:tcW w:w="495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1115"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1310" w:type="dxa"/>
            <w:tcBorders/>
            <w:shd w:fill="auto" w:val="clear"/>
          </w:tcPr>
          <w:p>
            <w:pPr>
              <w:pStyle w:val="TableContents"/>
              <w:spacing w:before="0" w:after="283"/>
              <w:rPr>
                <w:sz w:val="4"/>
                <w:szCs w:val="4"/>
              </w:rPr>
            </w:pPr>
            <w:r>
              <w:rPr>
                <w:sz w:val="4"/>
                <w:szCs w:val="4"/>
              </w:rPr>
            </w:r>
          </w:p>
        </w:tc>
        <w:tc>
          <w:tcPr>
            <w:tcW w:w="27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61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3" w:type="dxa"/>
            <w:tcBorders/>
            <w:shd w:fill="auto" w:val="clear"/>
          </w:tcPr>
          <w:p>
            <w:pPr>
              <w:pStyle w:val="TableContents"/>
              <w:spacing w:before="0" w:after="283"/>
              <w:rPr>
                <w:sz w:val="4"/>
                <w:szCs w:val="4"/>
              </w:rPr>
            </w:pPr>
            <w:r>
              <w:rPr>
                <w:sz w:val="4"/>
                <w:szCs w:val="4"/>
              </w:rPr>
            </w:r>
          </w:p>
        </w:tc>
        <w:tc>
          <w:tcPr>
            <w:tcW w:w="937"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50" w:type="dxa"/>
            <w:tcBorders/>
            <w:shd w:fill="auto" w:val="clear"/>
          </w:tcPr>
          <w:p>
            <w:pPr>
              <w:pStyle w:val="TableContents"/>
              <w:spacing w:before="0" w:after="283"/>
              <w:rPr>
                <w:sz w:val="4"/>
                <w:szCs w:val="4"/>
              </w:rPr>
            </w:pPr>
            <w:r>
              <w:rPr>
                <w:sz w:val="4"/>
                <w:szCs w:val="4"/>
              </w:rPr>
            </w:r>
          </w:p>
        </w:tc>
        <w:tc>
          <w:tcPr>
            <w:tcW w:w="1040" w:type="dxa"/>
            <w:tcBorders/>
            <w:shd w:fill="auto" w:val="clear"/>
          </w:tcPr>
          <w:p>
            <w:pPr>
              <w:pStyle w:val="TableContents"/>
              <w:spacing w:before="0" w:after="283"/>
              <w:rPr>
                <w:sz w:val="4"/>
                <w:szCs w:val="4"/>
              </w:rPr>
            </w:pPr>
            <w:r>
              <w:rPr>
                <w:sz w:val="4"/>
                <w:szCs w:val="4"/>
              </w:rPr>
            </w:r>
          </w:p>
        </w:tc>
        <w:tc>
          <w:tcPr>
            <w:tcW w:w="12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59" w:type="dxa"/>
            <w:tcBorders/>
            <w:shd w:fill="auto" w:val="clear"/>
          </w:tcPr>
          <w:p>
            <w:pPr>
              <w:pStyle w:val="TableContents"/>
              <w:spacing w:before="0" w:after="283"/>
              <w:rPr>
                <w:sz w:val="4"/>
                <w:szCs w:val="4"/>
              </w:rPr>
            </w:pPr>
            <w:r>
              <w:rPr>
                <w:sz w:val="4"/>
                <w:szCs w:val="4"/>
              </w:rPr>
            </w:r>
          </w:p>
        </w:tc>
        <w:tc>
          <w:tcPr>
            <w:tcW w:w="1166" w:type="dxa"/>
            <w:tcBorders/>
            <w:shd w:fill="auto" w:val="clear"/>
          </w:tcPr>
          <w:p>
            <w:pPr>
              <w:pStyle w:val="TableContents"/>
              <w:spacing w:before="0" w:after="283"/>
              <w:rPr>
                <w:sz w:val="4"/>
                <w:szCs w:val="4"/>
              </w:rPr>
            </w:pPr>
            <w:r>
              <w:rPr>
                <w:sz w:val="4"/>
                <w:szCs w:val="4"/>
              </w:rPr>
            </w:r>
          </w:p>
        </w:tc>
        <w:tc>
          <w:tcPr>
            <w:tcW w:w="275" w:type="dxa"/>
            <w:tcBorders/>
            <w:shd w:fill="auto" w:val="clear"/>
          </w:tcPr>
          <w:p>
            <w:pPr>
              <w:pStyle w:val="TableContents"/>
              <w:spacing w:before="0" w:after="283"/>
              <w:rPr>
                <w:sz w:val="4"/>
                <w:szCs w:val="4"/>
              </w:rPr>
            </w:pPr>
            <w:r>
              <w:rPr>
                <w:sz w:val="4"/>
                <w:szCs w:val="4"/>
              </w:rPr>
            </w:r>
          </w:p>
        </w:tc>
      </w:tr>
      <w:tr>
        <w:trPr/>
        <w:tc>
          <w:tcPr>
            <w:tcW w:w="2270" w:type="dxa"/>
            <w:tcBorders/>
            <w:shd w:fill="CCEEFF" w:val="clear"/>
          </w:tcPr>
          <w:p>
            <w:pPr>
              <w:pStyle w:val="TableContents"/>
              <w:spacing w:before="0" w:after="0"/>
              <w:rPr>
                <w:rFonts w:ascii="Times New Roman" w:hAnsi="Times New Roman"/>
                <w:sz w:val="16"/>
              </w:rPr>
            </w:pPr>
            <w:r>
              <w:rPr>
                <w:rFonts w:ascii="Times New Roman" w:hAnsi="Times New Roman"/>
                <w:sz w:val="16"/>
              </w:rPr>
              <w:t>Astra Acquisition Corp.(3)</w:t>
            </w:r>
          </w:p>
        </w:tc>
        <w:tc>
          <w:tcPr>
            <w:tcW w:w="60" w:type="dxa"/>
            <w:tcBorders/>
            <w:shd w:fill="CCEEFF" w:val="clear"/>
            <w:vAlign w:val="bottom"/>
          </w:tcPr>
          <w:p>
            <w:pPr>
              <w:pStyle w:val="TableContents"/>
              <w:spacing w:before="0" w:after="283"/>
              <w:rPr/>
            </w:pPr>
            <w:r>
              <w:rPr/>
              <w:t> </w:t>
            </w:r>
          </w:p>
        </w:tc>
        <w:tc>
          <w:tcPr>
            <w:tcW w:w="4955" w:type="dxa"/>
            <w:tcBorders/>
            <w:shd w:fill="CCEEFF" w:val="clear"/>
          </w:tcPr>
          <w:p>
            <w:pPr>
              <w:pStyle w:val="TableContents"/>
              <w:spacing w:before="0" w:after="283"/>
              <w:rPr/>
            </w:pPr>
            <w:r>
              <w:rPr/>
              <w:t>Second-lien loan ($43,479 par, due 10/2029)</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115" w:type="dxa"/>
            <w:tcBorders/>
            <w:shd w:fill="CCEEFF" w:val="clear"/>
          </w:tcPr>
          <w:p>
            <w:pPr>
              <w:pStyle w:val="TableContents"/>
              <w:spacing w:before="0" w:after="283"/>
              <w:jc w:val="right"/>
              <w:rPr/>
            </w:pPr>
            <w:r>
              <w:rPr/>
              <w:t>10/25/2021</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310" w:type="dxa"/>
            <w:tcBorders/>
            <w:shd w:fill="CCEEFF" w:val="clear"/>
          </w:tcPr>
          <w:p>
            <w:pPr>
              <w:pStyle w:val="TableContents"/>
              <w:spacing w:before="0" w:after="283"/>
              <w:jc w:val="right"/>
              <w:rPr/>
            </w:pPr>
            <w:r>
              <w:rPr/>
              <w:t>L + 8.88</w:t>
            </w:r>
          </w:p>
        </w:tc>
        <w:tc>
          <w:tcPr>
            <w:tcW w:w="27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15" w:type="dxa"/>
            <w:tcBorders/>
            <w:shd w:fill="CCEEFF" w:val="clear"/>
          </w:tcPr>
          <w:p>
            <w:pPr>
              <w:pStyle w:val="TableContents"/>
              <w:spacing w:before="0" w:after="283"/>
              <w:jc w:val="right"/>
              <w:rPr/>
            </w:pPr>
            <w:r>
              <w:rPr/>
              <w:t>11.99%</w:t>
            </w:r>
          </w:p>
        </w:tc>
        <w:tc>
          <w:tcPr>
            <w:tcW w:w="60" w:type="dxa"/>
            <w:tcBorders/>
            <w:shd w:fill="CCEEFF" w:val="clear"/>
            <w:vAlign w:val="bottom"/>
          </w:tcPr>
          <w:p>
            <w:pPr>
              <w:pStyle w:val="TableContents"/>
              <w:spacing w:before="0" w:after="283"/>
              <w:rPr/>
            </w:pPr>
            <w:r>
              <w:rPr/>
              <w:t> </w:t>
            </w:r>
          </w:p>
        </w:tc>
        <w:tc>
          <w:tcPr>
            <w:tcW w:w="163" w:type="dxa"/>
            <w:tcBorders/>
            <w:shd w:fill="CCEEFF" w:val="clear"/>
          </w:tcPr>
          <w:p>
            <w:pPr>
              <w:pStyle w:val="TableContents"/>
              <w:spacing w:before="0" w:after="283"/>
              <w:rPr/>
            </w:pPr>
            <w:r>
              <w:rPr/>
              <w:t> </w:t>
            </w:r>
          </w:p>
        </w:tc>
        <w:tc>
          <w:tcPr>
            <w:tcW w:w="937" w:type="dxa"/>
            <w:tcBorders/>
            <w:shd w:fill="CCEEFF" w:val="clear"/>
          </w:tcPr>
          <w:p>
            <w:pPr>
              <w:pStyle w:val="TableContents"/>
              <w:spacing w:before="0" w:after="283"/>
              <w:jc w:val="right"/>
              <w:rPr/>
            </w:pPr>
            <w:r>
              <w:rPr/>
              <w:t>42,725</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tcPr>
          <w:p>
            <w:pPr>
              <w:pStyle w:val="TableContents"/>
              <w:spacing w:before="0" w:after="283"/>
              <w:rPr/>
            </w:pPr>
            <w:r>
              <w:rPr/>
              <w:t> </w:t>
            </w:r>
          </w:p>
        </w:tc>
        <w:tc>
          <w:tcPr>
            <w:tcW w:w="1040" w:type="dxa"/>
            <w:tcBorders/>
            <w:shd w:fill="CCEEFF" w:val="clear"/>
          </w:tcPr>
          <w:p>
            <w:pPr>
              <w:pStyle w:val="TableContents"/>
              <w:spacing w:before="0" w:after="283"/>
              <w:jc w:val="right"/>
              <w:rPr/>
            </w:pPr>
            <w:r>
              <w:rPr/>
              <w:t>41,197</w:t>
            </w:r>
          </w:p>
        </w:tc>
        <w:tc>
          <w:tcPr>
            <w:tcW w:w="12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tcPr>
          <w:p>
            <w:pPr>
              <w:pStyle w:val="TableContents"/>
              <w:spacing w:before="0" w:after="283"/>
              <w:rPr/>
            </w:pPr>
            <w:r>
              <w:rPr/>
              <w:t> </w:t>
            </w:r>
          </w:p>
        </w:tc>
        <w:tc>
          <w:tcPr>
            <w:tcW w:w="1166" w:type="dxa"/>
            <w:tcBorders/>
            <w:shd w:fill="CCEEFF" w:val="clear"/>
          </w:tcPr>
          <w:p>
            <w:pPr>
              <w:pStyle w:val="TableContents"/>
              <w:spacing w:before="0" w:after="283"/>
              <w:jc w:val="right"/>
              <w:rPr/>
            </w:pPr>
            <w:r>
              <w:rPr/>
              <w:t>3.1</w:t>
            </w:r>
          </w:p>
        </w:tc>
        <w:tc>
          <w:tcPr>
            <w:tcW w:w="275" w:type="dxa"/>
            <w:tcBorders/>
            <w:shd w:fill="CCEEFF" w:val="clear"/>
          </w:tcPr>
          <w:p>
            <w:pPr>
              <w:pStyle w:val="TableContents"/>
              <w:spacing w:before="0" w:after="283"/>
              <w:rPr/>
            </w:pPr>
            <w:r>
              <w:rPr/>
              <w:t>% </w:t>
            </w:r>
          </w:p>
        </w:tc>
      </w:tr>
      <w:tr>
        <w:trPr/>
        <w:tc>
          <w:tcPr>
            <w:tcW w:w="2270" w:type="dxa"/>
            <w:tcBorders/>
            <w:shd w:fill="auto" w:val="clear"/>
          </w:tcPr>
          <w:p>
            <w:pPr>
              <w:pStyle w:val="TableContents"/>
              <w:spacing w:before="0" w:after="0"/>
              <w:rPr>
                <w:rFonts w:ascii="Times New Roman" w:hAnsi="Times New Roman"/>
                <w:sz w:val="16"/>
              </w:rPr>
            </w:pPr>
            <w:r>
              <w:rPr>
                <w:rFonts w:ascii="Times New Roman" w:hAnsi="Times New Roman"/>
                <w:sz w:val="16"/>
              </w:rPr>
              <w:t>Destiny Solutions Parent Holding Company(3)(5)</w:t>
            </w:r>
          </w:p>
        </w:tc>
        <w:tc>
          <w:tcPr>
            <w:tcW w:w="60" w:type="dxa"/>
            <w:tcBorders/>
            <w:shd w:fill="auto" w:val="clear"/>
            <w:vAlign w:val="bottom"/>
          </w:tcPr>
          <w:p>
            <w:pPr>
              <w:pStyle w:val="TableContents"/>
              <w:spacing w:before="0" w:after="283"/>
              <w:rPr/>
            </w:pPr>
            <w:r>
              <w:rPr/>
              <w:t> </w:t>
            </w:r>
          </w:p>
        </w:tc>
        <w:tc>
          <w:tcPr>
            <w:tcW w:w="4955" w:type="dxa"/>
            <w:tcBorders/>
            <w:shd w:fill="auto" w:val="clear"/>
            <w:vAlign w:val="bottom"/>
          </w:tcPr>
          <w:p>
            <w:pPr>
              <w:pStyle w:val="TableContents"/>
              <w:spacing w:before="0" w:after="283"/>
              <w:rPr/>
            </w:pPr>
            <w:r>
              <w:rPr/>
              <w:t>First-lien loan ($60,000 par, due 6/2026)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right"/>
              <w:rPr/>
            </w:pPr>
            <w:r>
              <w:rPr/>
              <w:t>6/8/2021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0" w:type="dxa"/>
            <w:tcBorders/>
            <w:shd w:fill="auto" w:val="clear"/>
            <w:vAlign w:val="bottom"/>
          </w:tcPr>
          <w:p>
            <w:pPr>
              <w:pStyle w:val="TableContents"/>
              <w:spacing w:before="0" w:after="283"/>
              <w:jc w:val="right"/>
              <w:rPr/>
            </w:pPr>
            <w:r>
              <w:rPr/>
              <w:t>L + 5.75</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5" w:type="dxa"/>
            <w:tcBorders/>
            <w:shd w:fill="auto" w:val="clear"/>
            <w:vAlign w:val="bottom"/>
          </w:tcPr>
          <w:p>
            <w:pPr>
              <w:pStyle w:val="TableContents"/>
              <w:spacing w:before="0" w:after="283"/>
              <w:jc w:val="right"/>
              <w:rPr/>
            </w:pPr>
            <w:r>
              <w:rPr/>
              <w:t>8.87%</w:t>
            </w:r>
          </w:p>
        </w:tc>
        <w:tc>
          <w:tcPr>
            <w:tcW w:w="6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jc w:val="right"/>
              <w:rPr/>
            </w:pPr>
            <w:r>
              <w:rPr/>
              <w:t>58,983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040" w:type="dxa"/>
            <w:tcBorders/>
            <w:shd w:fill="auto" w:val="clear"/>
            <w:vAlign w:val="bottom"/>
          </w:tcPr>
          <w:p>
            <w:pPr>
              <w:pStyle w:val="TableContents"/>
              <w:spacing w:before="0" w:after="283"/>
              <w:jc w:val="right"/>
              <w:rPr/>
            </w:pPr>
            <w:r>
              <w:rPr/>
              <w:t>58,200</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166" w:type="dxa"/>
            <w:tcBorders/>
            <w:shd w:fill="auto" w:val="clear"/>
            <w:vAlign w:val="bottom"/>
          </w:tcPr>
          <w:p>
            <w:pPr>
              <w:pStyle w:val="TableContents"/>
              <w:spacing w:before="0" w:after="283"/>
              <w:jc w:val="right"/>
              <w:rPr/>
            </w:pPr>
            <w:r>
              <w:rPr/>
              <w:t>4.4</w:t>
            </w:r>
          </w:p>
        </w:tc>
        <w:tc>
          <w:tcPr>
            <w:tcW w:w="275" w:type="dxa"/>
            <w:tcBorders/>
            <w:shd w:fill="auto" w:val="clear"/>
            <w:vAlign w:val="bottom"/>
          </w:tcPr>
          <w:p>
            <w:pPr>
              <w:pStyle w:val="TableContents"/>
              <w:spacing w:before="0" w:after="283"/>
              <w:rPr/>
            </w:pPr>
            <w:r>
              <w:rPr/>
              <w:t>% </w:t>
            </w:r>
          </w:p>
        </w:tc>
      </w:tr>
      <w:tr>
        <w:trPr/>
        <w:tc>
          <w:tcPr>
            <w:tcW w:w="2270" w:type="dxa"/>
            <w:tcBorders/>
            <w:shd w:fill="CCEEFF" w:val="clear"/>
          </w:tcPr>
          <w:p>
            <w:pPr>
              <w:pStyle w:val="TableContents"/>
              <w:spacing w:before="0" w:after="0"/>
              <w:rPr>
                <w:rFonts w:ascii="Times New Roman" w:hAnsi="Times New Roman"/>
                <w:sz w:val="16"/>
              </w:rPr>
            </w:pPr>
            <w:r>
              <w:rPr>
                <w:rFonts w:ascii="Times New Roman" w:hAnsi="Times New Roman"/>
                <w:sz w:val="16"/>
              </w:rPr>
              <w:t>EMS Linq, Inc.(3)</w:t>
            </w:r>
          </w:p>
        </w:tc>
        <w:tc>
          <w:tcPr>
            <w:tcW w:w="60" w:type="dxa"/>
            <w:tcBorders/>
            <w:shd w:fill="CCEEFF" w:val="clear"/>
            <w:vAlign w:val="bottom"/>
          </w:tcPr>
          <w:p>
            <w:pPr>
              <w:pStyle w:val="TableContents"/>
              <w:spacing w:before="0" w:after="283"/>
              <w:rPr/>
            </w:pPr>
            <w:r>
              <w:rPr/>
              <w:t> </w:t>
            </w:r>
          </w:p>
        </w:tc>
        <w:tc>
          <w:tcPr>
            <w:tcW w:w="4955" w:type="dxa"/>
            <w:tcBorders/>
            <w:shd w:fill="CCEEFF" w:val="clear"/>
          </w:tcPr>
          <w:p>
            <w:pPr>
              <w:pStyle w:val="TableContents"/>
              <w:spacing w:before="0" w:after="283"/>
              <w:rPr/>
            </w:pPr>
            <w:r>
              <w:rPr/>
              <w:t>First-lien loan ($56,216 par, due 12/2027)</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115" w:type="dxa"/>
            <w:tcBorders/>
            <w:shd w:fill="CCEEFF" w:val="clear"/>
          </w:tcPr>
          <w:p>
            <w:pPr>
              <w:pStyle w:val="TableContents"/>
              <w:spacing w:before="0" w:after="283"/>
              <w:jc w:val="right"/>
              <w:rPr/>
            </w:pPr>
            <w:r>
              <w:rPr/>
              <w:t>12/22/2021</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310" w:type="dxa"/>
            <w:tcBorders/>
            <w:shd w:fill="CCEEFF" w:val="clear"/>
          </w:tcPr>
          <w:p>
            <w:pPr>
              <w:pStyle w:val="TableContents"/>
              <w:spacing w:before="0" w:after="283"/>
              <w:jc w:val="right"/>
              <w:rPr/>
            </w:pPr>
            <w:r>
              <w:rPr/>
              <w:t>L + 6.25</w:t>
            </w:r>
          </w:p>
        </w:tc>
        <w:tc>
          <w:tcPr>
            <w:tcW w:w="27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15" w:type="dxa"/>
            <w:tcBorders/>
            <w:shd w:fill="CCEEFF" w:val="clear"/>
          </w:tcPr>
          <w:p>
            <w:pPr>
              <w:pStyle w:val="TableContents"/>
              <w:spacing w:before="0" w:after="283"/>
              <w:jc w:val="right"/>
              <w:rPr/>
            </w:pPr>
            <w:r>
              <w:rPr/>
              <w:t>9.37%</w:t>
            </w:r>
          </w:p>
        </w:tc>
        <w:tc>
          <w:tcPr>
            <w:tcW w:w="60" w:type="dxa"/>
            <w:tcBorders/>
            <w:shd w:fill="CCEEFF" w:val="clear"/>
            <w:vAlign w:val="bottom"/>
          </w:tcPr>
          <w:p>
            <w:pPr>
              <w:pStyle w:val="TableContents"/>
              <w:spacing w:before="0" w:after="283"/>
              <w:rPr/>
            </w:pPr>
            <w:r>
              <w:rPr/>
              <w:t> </w:t>
            </w:r>
          </w:p>
        </w:tc>
        <w:tc>
          <w:tcPr>
            <w:tcW w:w="163" w:type="dxa"/>
            <w:tcBorders/>
            <w:shd w:fill="CCEEFF" w:val="clear"/>
          </w:tcPr>
          <w:p>
            <w:pPr>
              <w:pStyle w:val="TableContents"/>
              <w:spacing w:before="0" w:after="283"/>
              <w:rPr/>
            </w:pPr>
            <w:r>
              <w:rPr/>
              <w:t> </w:t>
            </w:r>
          </w:p>
        </w:tc>
        <w:tc>
          <w:tcPr>
            <w:tcW w:w="937" w:type="dxa"/>
            <w:tcBorders/>
            <w:shd w:fill="CCEEFF" w:val="clear"/>
          </w:tcPr>
          <w:p>
            <w:pPr>
              <w:pStyle w:val="TableContents"/>
              <w:spacing w:before="0" w:after="283"/>
              <w:jc w:val="right"/>
              <w:rPr/>
            </w:pPr>
            <w:r>
              <w:rPr/>
              <w:t>55,057</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tcPr>
          <w:p>
            <w:pPr>
              <w:pStyle w:val="TableContents"/>
              <w:spacing w:before="0" w:after="283"/>
              <w:rPr/>
            </w:pPr>
            <w:r>
              <w:rPr/>
              <w:t> </w:t>
            </w:r>
          </w:p>
        </w:tc>
        <w:tc>
          <w:tcPr>
            <w:tcW w:w="1040" w:type="dxa"/>
            <w:tcBorders/>
            <w:shd w:fill="CCEEFF" w:val="clear"/>
          </w:tcPr>
          <w:p>
            <w:pPr>
              <w:pStyle w:val="TableContents"/>
              <w:spacing w:before="0" w:after="283"/>
              <w:jc w:val="right"/>
              <w:rPr/>
            </w:pPr>
            <w:r>
              <w:rPr/>
              <w:t>53,616</w:t>
            </w:r>
          </w:p>
        </w:tc>
        <w:tc>
          <w:tcPr>
            <w:tcW w:w="12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tcPr>
          <w:p>
            <w:pPr>
              <w:pStyle w:val="TableContents"/>
              <w:spacing w:before="0" w:after="283"/>
              <w:rPr/>
            </w:pPr>
            <w:r>
              <w:rPr/>
              <w:t> </w:t>
            </w:r>
          </w:p>
        </w:tc>
        <w:tc>
          <w:tcPr>
            <w:tcW w:w="1166" w:type="dxa"/>
            <w:tcBorders/>
            <w:shd w:fill="CCEEFF" w:val="clear"/>
          </w:tcPr>
          <w:p>
            <w:pPr>
              <w:pStyle w:val="TableContents"/>
              <w:spacing w:before="0" w:after="283"/>
              <w:jc w:val="right"/>
              <w:rPr/>
            </w:pPr>
            <w:r>
              <w:rPr/>
              <w:t>4.0</w:t>
            </w:r>
          </w:p>
        </w:tc>
        <w:tc>
          <w:tcPr>
            <w:tcW w:w="275" w:type="dxa"/>
            <w:tcBorders/>
            <w:shd w:fill="CCEEFF" w:val="clear"/>
          </w:tcPr>
          <w:p>
            <w:pPr>
              <w:pStyle w:val="TableContents"/>
              <w:spacing w:before="0" w:after="283"/>
              <w:rPr/>
            </w:pPr>
            <w:r>
              <w:rPr/>
              <w:t>% </w:t>
            </w:r>
          </w:p>
        </w:tc>
      </w:tr>
      <w:tr>
        <w:trPr/>
        <w:tc>
          <w:tcPr>
            <w:tcW w:w="2270" w:type="dxa"/>
            <w:tcBorders/>
            <w:shd w:fill="auto" w:val="clear"/>
          </w:tcPr>
          <w:p>
            <w:pPr>
              <w:pStyle w:val="TableContents"/>
              <w:spacing w:before="0" w:after="0"/>
              <w:rPr>
                <w:rFonts w:ascii="Times New Roman" w:hAnsi="Times New Roman"/>
                <w:sz w:val="16"/>
              </w:rPr>
            </w:pPr>
            <w:r>
              <w:rPr>
                <w:rFonts w:ascii="Times New Roman" w:hAnsi="Times New Roman"/>
                <w:sz w:val="16"/>
              </w:rPr>
              <w:t>Frontline Technologies</w:t>
              <w:br/>
              <w:t>Group, LLC(3)</w:t>
            </w:r>
          </w:p>
        </w:tc>
        <w:tc>
          <w:tcPr>
            <w:tcW w:w="60" w:type="dxa"/>
            <w:tcBorders/>
            <w:shd w:fill="auto" w:val="clear"/>
            <w:vAlign w:val="bottom"/>
          </w:tcPr>
          <w:p>
            <w:pPr>
              <w:pStyle w:val="TableContents"/>
              <w:spacing w:before="0" w:after="283"/>
              <w:rPr/>
            </w:pPr>
            <w:r>
              <w:rPr/>
              <w:t> </w:t>
            </w:r>
          </w:p>
        </w:tc>
        <w:tc>
          <w:tcPr>
            <w:tcW w:w="4955" w:type="dxa"/>
            <w:tcBorders/>
            <w:shd w:fill="auto" w:val="clear"/>
            <w:vAlign w:val="bottom"/>
          </w:tcPr>
          <w:p>
            <w:pPr>
              <w:pStyle w:val="TableContents"/>
              <w:spacing w:before="0" w:after="283"/>
              <w:rPr/>
            </w:pPr>
            <w:r>
              <w:rPr/>
              <w:t>First-lien loan ($85,389 par, due 9/2023)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right"/>
              <w:rPr/>
            </w:pPr>
            <w:r>
              <w:rPr/>
              <w:t>9/18/2017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0" w:type="dxa"/>
            <w:tcBorders/>
            <w:shd w:fill="auto" w:val="clear"/>
            <w:vAlign w:val="bottom"/>
          </w:tcPr>
          <w:p>
            <w:pPr>
              <w:pStyle w:val="TableContents"/>
              <w:spacing w:before="0" w:after="283"/>
              <w:jc w:val="right"/>
              <w:rPr/>
            </w:pPr>
            <w:r>
              <w:rPr/>
              <w:t>L + 5.25</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5" w:type="dxa"/>
            <w:tcBorders/>
            <w:shd w:fill="auto" w:val="clear"/>
            <w:vAlign w:val="bottom"/>
          </w:tcPr>
          <w:p>
            <w:pPr>
              <w:pStyle w:val="TableContents"/>
              <w:spacing w:before="0" w:after="283"/>
              <w:jc w:val="right"/>
              <w:rPr/>
            </w:pPr>
            <w:r>
              <w:rPr/>
              <w:t>11.00%</w:t>
            </w:r>
          </w:p>
        </w:tc>
        <w:tc>
          <w:tcPr>
            <w:tcW w:w="6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spacing w:before="0" w:after="283"/>
              <w:rPr/>
            </w:pPr>
            <w:r>
              <w:rPr/>
              <w:t> </w:t>
            </w:r>
          </w:p>
        </w:tc>
        <w:tc>
          <w:tcPr>
            <w:tcW w:w="937" w:type="dxa"/>
            <w:tcBorders/>
            <w:shd w:fill="auto" w:val="clear"/>
            <w:vAlign w:val="bottom"/>
          </w:tcPr>
          <w:p>
            <w:pPr>
              <w:pStyle w:val="TableContents"/>
              <w:spacing w:before="0" w:after="283"/>
              <w:jc w:val="right"/>
              <w:rPr/>
            </w:pPr>
            <w:r>
              <w:rPr/>
              <w:t>85,259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spacing w:before="0" w:after="283"/>
              <w:rPr/>
            </w:pPr>
            <w:r>
              <w:rPr/>
              <w:t> </w:t>
            </w:r>
          </w:p>
        </w:tc>
        <w:tc>
          <w:tcPr>
            <w:tcW w:w="1040" w:type="dxa"/>
            <w:tcBorders/>
            <w:shd w:fill="auto" w:val="clear"/>
            <w:vAlign w:val="bottom"/>
          </w:tcPr>
          <w:p>
            <w:pPr>
              <w:pStyle w:val="TableContents"/>
              <w:spacing w:before="0" w:after="283"/>
              <w:jc w:val="right"/>
              <w:rPr/>
            </w:pPr>
            <w:r>
              <w:rPr/>
              <w:t>85,389</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166" w:type="dxa"/>
            <w:tcBorders/>
            <w:shd w:fill="auto" w:val="clear"/>
            <w:vAlign w:val="bottom"/>
          </w:tcPr>
          <w:p>
            <w:pPr>
              <w:pStyle w:val="TableContents"/>
              <w:spacing w:before="0" w:after="283"/>
              <w:jc w:val="right"/>
              <w:rPr/>
            </w:pPr>
            <w:r>
              <w:rPr/>
              <w:t>6.4</w:t>
            </w:r>
          </w:p>
        </w:tc>
        <w:tc>
          <w:tcPr>
            <w:tcW w:w="275" w:type="dxa"/>
            <w:tcBorders/>
            <w:shd w:fill="auto" w:val="clear"/>
            <w:vAlign w:val="bottom"/>
          </w:tcPr>
          <w:p>
            <w:pPr>
              <w:pStyle w:val="TableContents"/>
              <w:spacing w:before="0" w:after="283"/>
              <w:rPr/>
            </w:pPr>
            <w:r>
              <w:rPr/>
              <w:t>% </w:t>
            </w:r>
          </w:p>
        </w:tc>
      </w:tr>
      <w:tr>
        <w:trPr/>
        <w:tc>
          <w:tcPr>
            <w:tcW w:w="227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9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1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31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6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pBdr>
                <w:top w:val="single" w:sz="2" w:space="1" w:color="000000"/>
              </w:pBdr>
              <w:spacing w:before="0" w:after="0"/>
              <w:rPr/>
            </w:pPr>
            <w:r>
              <w:rPr/>
              <w:t> </w:t>
            </w:r>
          </w:p>
        </w:tc>
        <w:tc>
          <w:tcPr>
            <w:tcW w:w="93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pBdr>
                <w:top w:val="single" w:sz="2" w:space="1" w:color="000000"/>
              </w:pBdr>
              <w:spacing w:before="0" w:after="0"/>
              <w:rPr/>
            </w:pPr>
            <w:r>
              <w:rPr/>
              <w:t> </w:t>
            </w:r>
          </w:p>
        </w:tc>
        <w:tc>
          <w:tcPr>
            <w:tcW w:w="1040" w:type="dxa"/>
            <w:tcBorders/>
            <w:shd w:fill="auto" w:val="clear"/>
            <w:vAlign w:val="bottom"/>
          </w:tcPr>
          <w:p>
            <w:pPr>
              <w:pStyle w:val="TableContents"/>
              <w:pBdr>
                <w:top w:val="single" w:sz="2" w:space="1" w:color="000000"/>
              </w:pBdr>
              <w:spacing w:before="0" w:after="0"/>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single" w:sz="2" w:space="1" w:color="000000"/>
              </w:pBdr>
              <w:spacing w:before="0" w:after="0"/>
              <w:rPr/>
            </w:pPr>
            <w:r>
              <w:rPr/>
              <w:t> </w:t>
            </w:r>
          </w:p>
        </w:tc>
        <w:tc>
          <w:tcPr>
            <w:tcW w:w="1166" w:type="dxa"/>
            <w:tcBorders/>
            <w:shd w:fill="auto" w:val="clear"/>
            <w:vAlign w:val="bottom"/>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r>
      <w:tr>
        <w:trPr/>
        <w:tc>
          <w:tcPr>
            <w:tcW w:w="227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495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sz w:val="4"/>
                <w:szCs w:val="4"/>
              </w:rPr>
            </w:pPr>
            <w:r>
              <w:rPr>
                <w:sz w:val="4"/>
                <w:szCs w:val="4"/>
              </w:rPr>
            </w:r>
          </w:p>
        </w:tc>
        <w:tc>
          <w:tcPr>
            <w:tcW w:w="1115" w:type="dxa"/>
            <w:tcBorders/>
            <w:shd w:fill="CCEEFF" w:val="clear"/>
          </w:tcPr>
          <w:p>
            <w:pPr>
              <w:pStyle w:val="TableContents"/>
              <w:spacing w:before="0" w:after="283"/>
              <w:rPr>
                <w:sz w:val="4"/>
                <w:szCs w:val="4"/>
              </w:rPr>
            </w:pPr>
            <w:r>
              <w:rPr>
                <w:sz w:val="4"/>
                <w:szCs w:val="4"/>
              </w:rPr>
            </w:r>
          </w:p>
        </w:tc>
        <w:tc>
          <w:tcPr>
            <w:tcW w:w="6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sz w:val="4"/>
                <w:szCs w:val="4"/>
              </w:rPr>
            </w:pPr>
            <w:r>
              <w:rPr>
                <w:sz w:val="4"/>
                <w:szCs w:val="4"/>
              </w:rPr>
            </w:r>
          </w:p>
        </w:tc>
        <w:tc>
          <w:tcPr>
            <w:tcW w:w="1310" w:type="dxa"/>
            <w:tcBorders/>
            <w:shd w:fill="CCEEFF" w:val="clear"/>
          </w:tcPr>
          <w:p>
            <w:pPr>
              <w:pStyle w:val="TableContents"/>
              <w:spacing w:before="0" w:after="283"/>
              <w:rPr>
                <w:sz w:val="4"/>
                <w:szCs w:val="4"/>
              </w:rPr>
            </w:pPr>
            <w:r>
              <w:rPr>
                <w:sz w:val="4"/>
                <w:szCs w:val="4"/>
              </w:rPr>
            </w:r>
          </w:p>
        </w:tc>
        <w:tc>
          <w:tcPr>
            <w:tcW w:w="27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61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63" w:type="dxa"/>
            <w:tcBorders/>
            <w:shd w:fill="CCEEFF" w:val="clear"/>
          </w:tcPr>
          <w:p>
            <w:pPr>
              <w:pStyle w:val="TableContents"/>
              <w:spacing w:before="0" w:after="283"/>
              <w:rPr/>
            </w:pPr>
            <w:r>
              <w:rPr/>
              <w:t> </w:t>
            </w:r>
          </w:p>
        </w:tc>
        <w:tc>
          <w:tcPr>
            <w:tcW w:w="937" w:type="dxa"/>
            <w:tcBorders/>
            <w:shd w:fill="CCEEFF" w:val="clear"/>
          </w:tcPr>
          <w:p>
            <w:pPr>
              <w:pStyle w:val="TableContents"/>
              <w:spacing w:before="0" w:after="283"/>
              <w:jc w:val="right"/>
              <w:rPr/>
            </w:pPr>
            <w:r>
              <w:rPr/>
              <w:t>242,024</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tcPr>
          <w:p>
            <w:pPr>
              <w:pStyle w:val="TableContents"/>
              <w:spacing w:before="0" w:after="283"/>
              <w:rPr/>
            </w:pPr>
            <w:r>
              <w:rPr/>
              <w:t> </w:t>
            </w:r>
          </w:p>
        </w:tc>
        <w:tc>
          <w:tcPr>
            <w:tcW w:w="1040" w:type="dxa"/>
            <w:tcBorders/>
            <w:shd w:fill="CCEEFF" w:val="clear"/>
          </w:tcPr>
          <w:p>
            <w:pPr>
              <w:pStyle w:val="TableContents"/>
              <w:spacing w:before="0" w:after="283"/>
              <w:jc w:val="right"/>
              <w:rPr/>
            </w:pPr>
            <w:r>
              <w:rPr/>
              <w:t>238,402</w:t>
            </w:r>
          </w:p>
        </w:tc>
        <w:tc>
          <w:tcPr>
            <w:tcW w:w="12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tcPr>
          <w:p>
            <w:pPr>
              <w:pStyle w:val="TableContents"/>
              <w:spacing w:before="0" w:after="283"/>
              <w:rPr/>
            </w:pPr>
            <w:r>
              <w:rPr/>
              <w:t> </w:t>
            </w:r>
          </w:p>
        </w:tc>
        <w:tc>
          <w:tcPr>
            <w:tcW w:w="1166" w:type="dxa"/>
            <w:tcBorders/>
            <w:shd w:fill="CCEEFF" w:val="clear"/>
          </w:tcPr>
          <w:p>
            <w:pPr>
              <w:pStyle w:val="TableContents"/>
              <w:spacing w:before="0" w:after="283"/>
              <w:jc w:val="right"/>
              <w:rPr/>
            </w:pPr>
            <w:r>
              <w:rPr/>
              <w:t>17.9</w:t>
            </w:r>
          </w:p>
        </w:tc>
        <w:tc>
          <w:tcPr>
            <w:tcW w:w="275" w:type="dxa"/>
            <w:tcBorders/>
            <w:shd w:fill="CCEEFF" w:val="clear"/>
          </w:tcPr>
          <w:p>
            <w:pPr>
              <w:pStyle w:val="TableContents"/>
              <w:spacing w:before="0" w:after="283"/>
              <w:rPr/>
            </w:pPr>
            <w:r>
              <w:rPr/>
              <w:t>% </w:t>
            </w:r>
          </w:p>
        </w:tc>
      </w:tr>
      <w:tr>
        <w:trPr/>
        <w:tc>
          <w:tcPr>
            <w:tcW w:w="227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9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1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31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6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pBdr>
                <w:top w:val="single" w:sz="2" w:space="1" w:color="000000"/>
              </w:pBdr>
              <w:spacing w:before="0" w:after="0"/>
              <w:rPr/>
            </w:pPr>
            <w:r>
              <w:rPr/>
              <w:t> </w:t>
            </w:r>
          </w:p>
        </w:tc>
        <w:tc>
          <w:tcPr>
            <w:tcW w:w="93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pBdr>
                <w:top w:val="single" w:sz="2" w:space="1" w:color="000000"/>
              </w:pBdr>
              <w:spacing w:before="0" w:after="0"/>
              <w:rPr/>
            </w:pPr>
            <w:r>
              <w:rPr/>
              <w:t> </w:t>
            </w:r>
          </w:p>
        </w:tc>
        <w:tc>
          <w:tcPr>
            <w:tcW w:w="1040" w:type="dxa"/>
            <w:tcBorders/>
            <w:shd w:fill="auto" w:val="clear"/>
            <w:vAlign w:val="bottom"/>
          </w:tcPr>
          <w:p>
            <w:pPr>
              <w:pStyle w:val="TableContents"/>
              <w:pBdr>
                <w:top w:val="single" w:sz="2" w:space="1" w:color="000000"/>
              </w:pBdr>
              <w:spacing w:before="0" w:after="0"/>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single" w:sz="2" w:space="1" w:color="000000"/>
              </w:pBdr>
              <w:spacing w:before="0" w:after="0"/>
              <w:rPr/>
            </w:pPr>
            <w:r>
              <w:rPr/>
              <w:t> </w:t>
            </w:r>
          </w:p>
        </w:tc>
        <w:tc>
          <w:tcPr>
            <w:tcW w:w="1166" w:type="dxa"/>
            <w:tcBorders/>
            <w:shd w:fill="auto" w:val="clear"/>
            <w:vAlign w:val="bottom"/>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r>
      <w:tr>
        <w:trPr/>
        <w:tc>
          <w:tcPr>
            <w:tcW w:w="2270" w:type="dxa"/>
            <w:tcBorders/>
            <w:shd w:fill="auto" w:val="clear"/>
          </w:tcPr>
          <w:p>
            <w:pPr>
              <w:pStyle w:val="TableContents"/>
              <w:spacing w:before="0" w:after="0"/>
              <w:rPr>
                <w:rFonts w:ascii="Times New Roman" w:hAnsi="Times New Roman"/>
                <w:b/>
                <w:sz w:val="16"/>
              </w:rPr>
            </w:pPr>
            <w:r>
              <w:rPr>
                <w:rFonts w:ascii="Times New Roman" w:hAnsi="Times New Roman"/>
                <w:b/>
                <w:sz w:val="16"/>
              </w:rPr>
              <w:t>Financial Services</w:t>
            </w:r>
          </w:p>
        </w:tc>
        <w:tc>
          <w:tcPr>
            <w:tcW w:w="60" w:type="dxa"/>
            <w:tcBorders/>
            <w:shd w:fill="auto" w:val="clear"/>
            <w:vAlign w:val="bottom"/>
          </w:tcPr>
          <w:p>
            <w:pPr>
              <w:pStyle w:val="TableContents"/>
              <w:spacing w:before="0" w:after="283"/>
              <w:rPr/>
            </w:pPr>
            <w:r>
              <w:rPr/>
              <w:t> </w:t>
            </w:r>
          </w:p>
        </w:tc>
        <w:tc>
          <w:tcPr>
            <w:tcW w:w="495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1115"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1310" w:type="dxa"/>
            <w:tcBorders/>
            <w:shd w:fill="auto" w:val="clear"/>
          </w:tcPr>
          <w:p>
            <w:pPr>
              <w:pStyle w:val="TableContents"/>
              <w:spacing w:before="0" w:after="283"/>
              <w:rPr>
                <w:sz w:val="4"/>
                <w:szCs w:val="4"/>
              </w:rPr>
            </w:pPr>
            <w:r>
              <w:rPr>
                <w:sz w:val="4"/>
                <w:szCs w:val="4"/>
              </w:rPr>
            </w:r>
          </w:p>
        </w:tc>
        <w:tc>
          <w:tcPr>
            <w:tcW w:w="27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61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3" w:type="dxa"/>
            <w:tcBorders/>
            <w:shd w:fill="auto" w:val="clear"/>
          </w:tcPr>
          <w:p>
            <w:pPr>
              <w:pStyle w:val="TableContents"/>
              <w:spacing w:before="0" w:after="283"/>
              <w:rPr>
                <w:sz w:val="4"/>
                <w:szCs w:val="4"/>
              </w:rPr>
            </w:pPr>
            <w:r>
              <w:rPr>
                <w:sz w:val="4"/>
                <w:szCs w:val="4"/>
              </w:rPr>
            </w:r>
          </w:p>
        </w:tc>
        <w:tc>
          <w:tcPr>
            <w:tcW w:w="937"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50" w:type="dxa"/>
            <w:tcBorders/>
            <w:shd w:fill="auto" w:val="clear"/>
          </w:tcPr>
          <w:p>
            <w:pPr>
              <w:pStyle w:val="TableContents"/>
              <w:spacing w:before="0" w:after="283"/>
              <w:rPr>
                <w:sz w:val="4"/>
                <w:szCs w:val="4"/>
              </w:rPr>
            </w:pPr>
            <w:r>
              <w:rPr>
                <w:sz w:val="4"/>
                <w:szCs w:val="4"/>
              </w:rPr>
            </w:r>
          </w:p>
        </w:tc>
        <w:tc>
          <w:tcPr>
            <w:tcW w:w="1040" w:type="dxa"/>
            <w:tcBorders/>
            <w:shd w:fill="auto" w:val="clear"/>
          </w:tcPr>
          <w:p>
            <w:pPr>
              <w:pStyle w:val="TableContents"/>
              <w:spacing w:before="0" w:after="283"/>
              <w:rPr>
                <w:sz w:val="4"/>
                <w:szCs w:val="4"/>
              </w:rPr>
            </w:pPr>
            <w:r>
              <w:rPr>
                <w:sz w:val="4"/>
                <w:szCs w:val="4"/>
              </w:rPr>
            </w:r>
          </w:p>
        </w:tc>
        <w:tc>
          <w:tcPr>
            <w:tcW w:w="12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59" w:type="dxa"/>
            <w:tcBorders/>
            <w:shd w:fill="auto" w:val="clear"/>
          </w:tcPr>
          <w:p>
            <w:pPr>
              <w:pStyle w:val="TableContents"/>
              <w:spacing w:before="0" w:after="283"/>
              <w:rPr>
                <w:sz w:val="4"/>
                <w:szCs w:val="4"/>
              </w:rPr>
            </w:pPr>
            <w:r>
              <w:rPr>
                <w:sz w:val="4"/>
                <w:szCs w:val="4"/>
              </w:rPr>
            </w:r>
          </w:p>
        </w:tc>
        <w:tc>
          <w:tcPr>
            <w:tcW w:w="1166" w:type="dxa"/>
            <w:tcBorders/>
            <w:shd w:fill="auto" w:val="clear"/>
          </w:tcPr>
          <w:p>
            <w:pPr>
              <w:pStyle w:val="TableContents"/>
              <w:spacing w:before="0" w:after="283"/>
              <w:rPr>
                <w:sz w:val="4"/>
                <w:szCs w:val="4"/>
              </w:rPr>
            </w:pPr>
            <w:r>
              <w:rPr>
                <w:sz w:val="4"/>
                <w:szCs w:val="4"/>
              </w:rPr>
            </w:r>
          </w:p>
        </w:tc>
        <w:tc>
          <w:tcPr>
            <w:tcW w:w="275" w:type="dxa"/>
            <w:tcBorders/>
            <w:shd w:fill="auto" w:val="clear"/>
          </w:tcPr>
          <w:p>
            <w:pPr>
              <w:pStyle w:val="TableContents"/>
              <w:spacing w:before="0" w:after="283"/>
              <w:rPr>
                <w:sz w:val="4"/>
                <w:szCs w:val="4"/>
              </w:rPr>
            </w:pPr>
            <w:r>
              <w:rPr>
                <w:sz w:val="4"/>
                <w:szCs w:val="4"/>
              </w:rPr>
            </w:r>
          </w:p>
        </w:tc>
      </w:tr>
      <w:tr>
        <w:trPr/>
        <w:tc>
          <w:tcPr>
            <w:tcW w:w="2270" w:type="dxa"/>
            <w:tcBorders/>
            <w:shd w:fill="CCEEFF" w:val="clear"/>
          </w:tcPr>
          <w:p>
            <w:pPr>
              <w:pStyle w:val="TableContents"/>
              <w:spacing w:before="0" w:after="0"/>
              <w:rPr>
                <w:rFonts w:ascii="Times New Roman" w:hAnsi="Times New Roman"/>
                <w:sz w:val="16"/>
              </w:rPr>
            </w:pPr>
            <w:r>
              <w:rPr>
                <w:rFonts w:ascii="Times New Roman" w:hAnsi="Times New Roman"/>
                <w:sz w:val="16"/>
              </w:rPr>
              <w:t>AvidXchange, Inc.(3)(5)</w:t>
            </w:r>
          </w:p>
        </w:tc>
        <w:tc>
          <w:tcPr>
            <w:tcW w:w="60" w:type="dxa"/>
            <w:tcBorders/>
            <w:shd w:fill="CCEEFF" w:val="clear"/>
            <w:vAlign w:val="bottom"/>
          </w:tcPr>
          <w:p>
            <w:pPr>
              <w:pStyle w:val="TableContents"/>
              <w:spacing w:before="0" w:after="283"/>
              <w:rPr/>
            </w:pPr>
            <w:r>
              <w:rPr/>
              <w:t> </w:t>
            </w:r>
          </w:p>
        </w:tc>
        <w:tc>
          <w:tcPr>
            <w:tcW w:w="4955" w:type="dxa"/>
            <w:tcBorders/>
            <w:shd w:fill="CCEEFF" w:val="clear"/>
          </w:tcPr>
          <w:p>
            <w:pPr>
              <w:pStyle w:val="TableContents"/>
              <w:spacing w:before="0" w:after="283"/>
              <w:rPr/>
            </w:pPr>
            <w:r>
              <w:rPr/>
              <w:t>First-lien loan ($11,460 par, due 4/2024)</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115" w:type="dxa"/>
            <w:tcBorders/>
            <w:shd w:fill="CCEEFF" w:val="clear"/>
          </w:tcPr>
          <w:p>
            <w:pPr>
              <w:pStyle w:val="TableContents"/>
              <w:spacing w:before="0" w:after="283"/>
              <w:jc w:val="right"/>
              <w:rPr/>
            </w:pPr>
            <w:r>
              <w:rPr/>
              <w:t>10/1/2019</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310" w:type="dxa"/>
            <w:tcBorders/>
            <w:shd w:fill="CCEEFF" w:val="clear"/>
          </w:tcPr>
          <w:p>
            <w:pPr>
              <w:pStyle w:val="TableContents"/>
              <w:spacing w:before="0" w:after="283"/>
              <w:jc w:val="right"/>
              <w:rPr/>
            </w:pPr>
            <w:r>
              <w:rPr/>
              <w:t>L + 9.00</w:t>
            </w:r>
          </w:p>
        </w:tc>
        <w:tc>
          <w:tcPr>
            <w:tcW w:w="27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15" w:type="dxa"/>
            <w:tcBorders/>
            <w:shd w:fill="CCEEFF" w:val="clear"/>
          </w:tcPr>
          <w:p>
            <w:pPr>
              <w:pStyle w:val="TableContents"/>
              <w:spacing w:before="0" w:after="283"/>
              <w:jc w:val="right"/>
              <w:rPr/>
            </w:pPr>
            <w:r>
              <w:rPr/>
              <w:t>12.69%</w:t>
            </w:r>
          </w:p>
        </w:tc>
        <w:tc>
          <w:tcPr>
            <w:tcW w:w="60" w:type="dxa"/>
            <w:tcBorders/>
            <w:shd w:fill="CCEEFF" w:val="clear"/>
            <w:vAlign w:val="bottom"/>
          </w:tcPr>
          <w:p>
            <w:pPr>
              <w:pStyle w:val="TableContents"/>
              <w:spacing w:before="0" w:after="283"/>
              <w:rPr/>
            </w:pPr>
            <w:r>
              <w:rPr/>
              <w:t> </w:t>
            </w:r>
          </w:p>
        </w:tc>
        <w:tc>
          <w:tcPr>
            <w:tcW w:w="163" w:type="dxa"/>
            <w:tcBorders/>
            <w:shd w:fill="CCEEFF" w:val="clear"/>
          </w:tcPr>
          <w:p>
            <w:pPr>
              <w:pStyle w:val="TableContents"/>
              <w:spacing w:before="0" w:after="283"/>
              <w:rPr/>
            </w:pPr>
            <w:r>
              <w:rPr/>
              <w:t> </w:t>
            </w:r>
          </w:p>
        </w:tc>
        <w:tc>
          <w:tcPr>
            <w:tcW w:w="937" w:type="dxa"/>
            <w:tcBorders/>
            <w:shd w:fill="CCEEFF" w:val="clear"/>
          </w:tcPr>
          <w:p>
            <w:pPr>
              <w:pStyle w:val="TableContents"/>
              <w:spacing w:before="0" w:after="283"/>
              <w:jc w:val="right"/>
              <w:rPr/>
            </w:pPr>
            <w:r>
              <w:rPr/>
              <w:t>11,408</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tcPr>
          <w:p>
            <w:pPr>
              <w:pStyle w:val="TableContents"/>
              <w:spacing w:before="0" w:after="283"/>
              <w:rPr/>
            </w:pPr>
            <w:r>
              <w:rPr/>
              <w:t> </w:t>
            </w:r>
          </w:p>
        </w:tc>
        <w:tc>
          <w:tcPr>
            <w:tcW w:w="1040" w:type="dxa"/>
            <w:tcBorders/>
            <w:shd w:fill="CCEEFF" w:val="clear"/>
          </w:tcPr>
          <w:p>
            <w:pPr>
              <w:pStyle w:val="TableContents"/>
              <w:spacing w:before="0" w:after="283"/>
              <w:jc w:val="right"/>
              <w:rPr/>
            </w:pPr>
            <w:r>
              <w:rPr/>
              <w:t>11,460</w:t>
            </w:r>
          </w:p>
        </w:tc>
        <w:tc>
          <w:tcPr>
            <w:tcW w:w="12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tcPr>
          <w:p>
            <w:pPr>
              <w:pStyle w:val="TableContents"/>
              <w:spacing w:before="0" w:after="283"/>
              <w:rPr/>
            </w:pPr>
            <w:r>
              <w:rPr/>
              <w:t> </w:t>
            </w:r>
          </w:p>
        </w:tc>
        <w:tc>
          <w:tcPr>
            <w:tcW w:w="1166" w:type="dxa"/>
            <w:tcBorders/>
            <w:shd w:fill="CCEEFF" w:val="clear"/>
          </w:tcPr>
          <w:p>
            <w:pPr>
              <w:pStyle w:val="TableContents"/>
              <w:spacing w:before="0" w:after="283"/>
              <w:jc w:val="right"/>
              <w:rPr/>
            </w:pPr>
            <w:r>
              <w:rPr/>
              <w:t>0.9</w:t>
            </w:r>
          </w:p>
        </w:tc>
        <w:tc>
          <w:tcPr>
            <w:tcW w:w="275" w:type="dxa"/>
            <w:tcBorders/>
            <w:shd w:fill="CCEEFF" w:val="clear"/>
          </w:tcPr>
          <w:p>
            <w:pPr>
              <w:pStyle w:val="TableContents"/>
              <w:spacing w:before="0" w:after="283"/>
              <w:rPr/>
            </w:pPr>
            <w:r>
              <w:rPr/>
              <w:t>% </w:t>
            </w:r>
          </w:p>
        </w:tc>
      </w:tr>
      <w:tr>
        <w:trPr/>
        <w:tc>
          <w:tcPr>
            <w:tcW w:w="2270" w:type="dxa"/>
            <w:tcBorders/>
            <w:shd w:fill="auto" w:val="clear"/>
          </w:tcPr>
          <w:p>
            <w:pPr>
              <w:pStyle w:val="TableContents"/>
              <w:spacing w:before="0" w:after="0"/>
              <w:rPr>
                <w:rFonts w:ascii="Times New Roman" w:hAnsi="Times New Roman"/>
                <w:sz w:val="16"/>
              </w:rPr>
            </w:pPr>
            <w:r>
              <w:rPr>
                <w:rFonts w:ascii="Times New Roman" w:hAnsi="Times New Roman"/>
                <w:sz w:val="16"/>
              </w:rPr>
              <w:t>Bear OpCo, LLC(3)(5)</w:t>
            </w:r>
          </w:p>
        </w:tc>
        <w:tc>
          <w:tcPr>
            <w:tcW w:w="60" w:type="dxa"/>
            <w:tcBorders/>
            <w:shd w:fill="auto" w:val="clear"/>
            <w:vAlign w:val="bottom"/>
          </w:tcPr>
          <w:p>
            <w:pPr>
              <w:pStyle w:val="TableContents"/>
              <w:spacing w:before="0" w:after="283"/>
              <w:rPr/>
            </w:pPr>
            <w:r>
              <w:rPr/>
              <w:t> </w:t>
            </w:r>
          </w:p>
        </w:tc>
        <w:tc>
          <w:tcPr>
            <w:tcW w:w="4955" w:type="dxa"/>
            <w:tcBorders/>
            <w:shd w:fill="auto" w:val="clear"/>
          </w:tcPr>
          <w:p>
            <w:pPr>
              <w:pStyle w:val="TableContents"/>
              <w:spacing w:before="0" w:after="283"/>
              <w:rPr/>
            </w:pPr>
            <w:r>
              <w:rPr/>
              <w:t>First-lien loan ($19,874 par, due 10/2024)</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115" w:type="dxa"/>
            <w:tcBorders/>
            <w:shd w:fill="auto" w:val="clear"/>
          </w:tcPr>
          <w:p>
            <w:pPr>
              <w:pStyle w:val="TableContents"/>
              <w:spacing w:before="0" w:after="283"/>
              <w:jc w:val="right"/>
              <w:rPr/>
            </w:pPr>
            <w:r>
              <w:rPr/>
              <w:t>10/10/2019</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310" w:type="dxa"/>
            <w:tcBorders/>
            <w:shd w:fill="auto" w:val="clear"/>
          </w:tcPr>
          <w:p>
            <w:pPr>
              <w:pStyle w:val="TableContents"/>
              <w:spacing w:before="0" w:after="283"/>
              <w:jc w:val="right"/>
              <w:rPr/>
            </w:pPr>
            <w:r>
              <w:rPr/>
              <w:t>SOFR + 7.65</w:t>
            </w:r>
          </w:p>
        </w:tc>
        <w:tc>
          <w:tcPr>
            <w:tcW w:w="27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5" w:type="dxa"/>
            <w:tcBorders/>
            <w:shd w:fill="auto" w:val="clear"/>
          </w:tcPr>
          <w:p>
            <w:pPr>
              <w:pStyle w:val="TableContents"/>
              <w:spacing w:before="0" w:after="283"/>
              <w:jc w:val="right"/>
              <w:rPr/>
            </w:pPr>
            <w:r>
              <w:rPr/>
              <w:t>10.68%</w:t>
            </w:r>
          </w:p>
        </w:tc>
        <w:tc>
          <w:tcPr>
            <w:tcW w:w="60" w:type="dxa"/>
            <w:tcBorders/>
            <w:shd w:fill="auto" w:val="clear"/>
            <w:vAlign w:val="bottom"/>
          </w:tcPr>
          <w:p>
            <w:pPr>
              <w:pStyle w:val="TableContents"/>
              <w:spacing w:before="0" w:after="283"/>
              <w:rPr/>
            </w:pPr>
            <w:r>
              <w:rPr/>
              <w:t> </w:t>
            </w:r>
          </w:p>
        </w:tc>
        <w:tc>
          <w:tcPr>
            <w:tcW w:w="163" w:type="dxa"/>
            <w:tcBorders/>
            <w:shd w:fill="auto" w:val="clear"/>
          </w:tcPr>
          <w:p>
            <w:pPr>
              <w:pStyle w:val="TableContents"/>
              <w:spacing w:before="0" w:after="283"/>
              <w:rPr/>
            </w:pPr>
            <w:r>
              <w:rPr/>
              <w:t> </w:t>
            </w:r>
          </w:p>
        </w:tc>
        <w:tc>
          <w:tcPr>
            <w:tcW w:w="937" w:type="dxa"/>
            <w:tcBorders/>
            <w:shd w:fill="auto" w:val="clear"/>
          </w:tcPr>
          <w:p>
            <w:pPr>
              <w:pStyle w:val="TableContents"/>
              <w:spacing w:before="0" w:after="283"/>
              <w:jc w:val="right"/>
              <w:rPr/>
            </w:pPr>
            <w:r>
              <w:rPr/>
              <w:t>19,629</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tcPr>
          <w:p>
            <w:pPr>
              <w:pStyle w:val="TableContents"/>
              <w:spacing w:before="0" w:after="283"/>
              <w:rPr/>
            </w:pPr>
            <w:r>
              <w:rPr/>
              <w:t> </w:t>
            </w:r>
          </w:p>
        </w:tc>
        <w:tc>
          <w:tcPr>
            <w:tcW w:w="1040" w:type="dxa"/>
            <w:tcBorders/>
            <w:shd w:fill="auto" w:val="clear"/>
          </w:tcPr>
          <w:p>
            <w:pPr>
              <w:pStyle w:val="TableContents"/>
              <w:spacing w:before="0" w:after="283"/>
              <w:jc w:val="right"/>
              <w:rPr/>
            </w:pPr>
            <w:r>
              <w:rPr/>
              <w:t>19,874</w:t>
            </w:r>
          </w:p>
        </w:tc>
        <w:tc>
          <w:tcPr>
            <w:tcW w:w="12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tcPr>
          <w:p>
            <w:pPr>
              <w:pStyle w:val="TableContents"/>
              <w:spacing w:before="0" w:after="283"/>
              <w:rPr/>
            </w:pPr>
            <w:r>
              <w:rPr/>
              <w:t> </w:t>
            </w:r>
          </w:p>
        </w:tc>
        <w:tc>
          <w:tcPr>
            <w:tcW w:w="1166" w:type="dxa"/>
            <w:tcBorders/>
            <w:shd w:fill="auto" w:val="clear"/>
          </w:tcPr>
          <w:p>
            <w:pPr>
              <w:pStyle w:val="TableContents"/>
              <w:spacing w:before="0" w:after="283"/>
              <w:jc w:val="right"/>
              <w:rPr/>
            </w:pPr>
            <w:r>
              <w:rPr/>
              <w:t>1.5</w:t>
            </w:r>
          </w:p>
        </w:tc>
        <w:tc>
          <w:tcPr>
            <w:tcW w:w="275" w:type="dxa"/>
            <w:tcBorders/>
            <w:shd w:fill="auto" w:val="clear"/>
          </w:tcPr>
          <w:p>
            <w:pPr>
              <w:pStyle w:val="TableContents"/>
              <w:spacing w:before="0" w:after="283"/>
              <w:rPr/>
            </w:pPr>
            <w:r>
              <w:rPr/>
              <w:t>% </w:t>
            </w:r>
          </w:p>
        </w:tc>
      </w:tr>
      <w:tr>
        <w:trPr/>
        <w:tc>
          <w:tcPr>
            <w:tcW w:w="2270" w:type="dxa"/>
            <w:tcBorders/>
            <w:shd w:fill="CCEEFF" w:val="clear"/>
          </w:tcPr>
          <w:p>
            <w:pPr>
              <w:pStyle w:val="TableContents"/>
              <w:spacing w:before="0" w:after="0"/>
              <w:rPr>
                <w:rFonts w:ascii="Times New Roman" w:hAnsi="Times New Roman"/>
                <w:sz w:val="16"/>
              </w:rPr>
            </w:pPr>
            <w:r>
              <w:rPr>
                <w:rFonts w:ascii="Times New Roman" w:hAnsi="Times New Roman"/>
                <w:sz w:val="16"/>
              </w:rPr>
              <w:t>BlueSnap, Inc.(3)(5)</w:t>
            </w:r>
          </w:p>
        </w:tc>
        <w:tc>
          <w:tcPr>
            <w:tcW w:w="60" w:type="dxa"/>
            <w:tcBorders/>
            <w:shd w:fill="CCEEFF" w:val="clear"/>
            <w:vAlign w:val="bottom"/>
          </w:tcPr>
          <w:p>
            <w:pPr>
              <w:pStyle w:val="TableContents"/>
              <w:spacing w:before="0" w:after="283"/>
              <w:rPr/>
            </w:pPr>
            <w:r>
              <w:rPr/>
              <w:t> </w:t>
            </w:r>
          </w:p>
        </w:tc>
        <w:tc>
          <w:tcPr>
            <w:tcW w:w="4955" w:type="dxa"/>
            <w:tcBorders/>
            <w:shd w:fill="CCEEFF" w:val="clear"/>
          </w:tcPr>
          <w:p>
            <w:pPr>
              <w:pStyle w:val="TableContents"/>
              <w:spacing w:before="0" w:after="283"/>
              <w:rPr/>
            </w:pPr>
            <w:r>
              <w:rPr/>
              <w:t>First-lien loan ($42,000 par, due 10/2024)</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115" w:type="dxa"/>
            <w:tcBorders/>
            <w:shd w:fill="CCEEFF" w:val="clear"/>
          </w:tcPr>
          <w:p>
            <w:pPr>
              <w:pStyle w:val="TableContents"/>
              <w:spacing w:before="0" w:after="283"/>
              <w:jc w:val="right"/>
              <w:rPr/>
            </w:pPr>
            <w:r>
              <w:rPr/>
              <w:t>10/25/2019</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310" w:type="dxa"/>
            <w:tcBorders/>
            <w:shd w:fill="CCEEFF" w:val="clear"/>
          </w:tcPr>
          <w:p>
            <w:pPr>
              <w:pStyle w:val="TableContents"/>
              <w:spacing w:before="0" w:after="283"/>
              <w:jc w:val="right"/>
              <w:rPr/>
            </w:pPr>
            <w:r>
              <w:rPr/>
              <w:t>L + 6.75</w:t>
            </w:r>
          </w:p>
        </w:tc>
        <w:tc>
          <w:tcPr>
            <w:tcW w:w="27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15" w:type="dxa"/>
            <w:tcBorders/>
            <w:shd w:fill="CCEEFF" w:val="clear"/>
          </w:tcPr>
          <w:p>
            <w:pPr>
              <w:pStyle w:val="TableContents"/>
              <w:spacing w:before="0" w:after="283"/>
              <w:jc w:val="right"/>
              <w:rPr/>
            </w:pPr>
            <w:r>
              <w:rPr/>
              <w:t>10.42%</w:t>
            </w:r>
          </w:p>
        </w:tc>
        <w:tc>
          <w:tcPr>
            <w:tcW w:w="60" w:type="dxa"/>
            <w:tcBorders/>
            <w:shd w:fill="CCEEFF" w:val="clear"/>
            <w:vAlign w:val="bottom"/>
          </w:tcPr>
          <w:p>
            <w:pPr>
              <w:pStyle w:val="TableContents"/>
              <w:spacing w:before="0" w:after="283"/>
              <w:rPr/>
            </w:pPr>
            <w:r>
              <w:rPr/>
              <w:t> </w:t>
            </w:r>
          </w:p>
        </w:tc>
        <w:tc>
          <w:tcPr>
            <w:tcW w:w="163" w:type="dxa"/>
            <w:tcBorders/>
            <w:shd w:fill="CCEEFF" w:val="clear"/>
          </w:tcPr>
          <w:p>
            <w:pPr>
              <w:pStyle w:val="TableContents"/>
              <w:spacing w:before="0" w:after="283"/>
              <w:rPr/>
            </w:pPr>
            <w:r>
              <w:rPr/>
              <w:t> </w:t>
            </w:r>
          </w:p>
        </w:tc>
        <w:tc>
          <w:tcPr>
            <w:tcW w:w="937" w:type="dxa"/>
            <w:tcBorders/>
            <w:shd w:fill="CCEEFF" w:val="clear"/>
          </w:tcPr>
          <w:p>
            <w:pPr>
              <w:pStyle w:val="TableContents"/>
              <w:spacing w:before="0" w:after="283"/>
              <w:jc w:val="right"/>
              <w:rPr/>
            </w:pPr>
            <w:r>
              <w:rPr/>
              <w:t>41,598</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tcPr>
          <w:p>
            <w:pPr>
              <w:pStyle w:val="TableContents"/>
              <w:spacing w:before="0" w:after="283"/>
              <w:rPr/>
            </w:pPr>
            <w:r>
              <w:rPr/>
              <w:t> </w:t>
            </w:r>
          </w:p>
        </w:tc>
        <w:tc>
          <w:tcPr>
            <w:tcW w:w="1040" w:type="dxa"/>
            <w:tcBorders/>
            <w:shd w:fill="CCEEFF" w:val="clear"/>
          </w:tcPr>
          <w:p>
            <w:pPr>
              <w:pStyle w:val="TableContents"/>
              <w:spacing w:before="0" w:after="283"/>
              <w:jc w:val="right"/>
              <w:rPr/>
            </w:pPr>
            <w:r>
              <w:rPr/>
              <w:t>41,881</w:t>
            </w:r>
          </w:p>
        </w:tc>
        <w:tc>
          <w:tcPr>
            <w:tcW w:w="12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tcPr>
          <w:p>
            <w:pPr>
              <w:pStyle w:val="TableContents"/>
              <w:spacing w:before="0" w:after="283"/>
              <w:rPr/>
            </w:pPr>
            <w:r>
              <w:rPr/>
              <w:t> </w:t>
            </w:r>
          </w:p>
        </w:tc>
        <w:tc>
          <w:tcPr>
            <w:tcW w:w="1166" w:type="dxa"/>
            <w:tcBorders/>
            <w:shd w:fill="CCEEFF" w:val="clear"/>
          </w:tcPr>
          <w:p>
            <w:pPr>
              <w:pStyle w:val="TableContents"/>
              <w:spacing w:before="0" w:after="283"/>
              <w:jc w:val="right"/>
              <w:rPr/>
            </w:pPr>
            <w:r>
              <w:rPr/>
              <w:t>3.2</w:t>
            </w:r>
          </w:p>
        </w:tc>
        <w:tc>
          <w:tcPr>
            <w:tcW w:w="275" w:type="dxa"/>
            <w:tcBorders/>
            <w:shd w:fill="CCEEFF" w:val="clear"/>
          </w:tcPr>
          <w:p>
            <w:pPr>
              <w:pStyle w:val="TableContents"/>
              <w:spacing w:before="0" w:after="283"/>
              <w:rPr/>
            </w:pPr>
            <w:r>
              <w:rPr/>
              <w:t>% </w:t>
            </w:r>
          </w:p>
        </w:tc>
      </w:tr>
      <w:tr>
        <w:trPr/>
        <w:tc>
          <w:tcPr>
            <w:tcW w:w="2270" w:type="dxa"/>
            <w:tcBorders/>
            <w:shd w:fill="auto" w:val="clear"/>
          </w:tcPr>
          <w:p>
            <w:pPr>
              <w:pStyle w:val="TableContents"/>
              <w:spacing w:before="0" w:after="0"/>
              <w:rPr>
                <w:rFonts w:ascii="Times New Roman" w:hAnsi="Times New Roman"/>
                <w:sz w:val="16"/>
              </w:rPr>
            </w:pPr>
            <w:r>
              <w:rPr>
                <w:rFonts w:ascii="Times New Roman" w:hAnsi="Times New Roman"/>
                <w:sz w:val="16"/>
              </w:rPr>
              <w:t>G Treasury SS, LLC(3)(5)</w:t>
            </w:r>
          </w:p>
        </w:tc>
        <w:tc>
          <w:tcPr>
            <w:tcW w:w="60" w:type="dxa"/>
            <w:tcBorders/>
            <w:shd w:fill="auto" w:val="clear"/>
            <w:vAlign w:val="bottom"/>
          </w:tcPr>
          <w:p>
            <w:pPr>
              <w:pStyle w:val="TableContents"/>
              <w:spacing w:before="0" w:after="283"/>
              <w:rPr/>
            </w:pPr>
            <w:r>
              <w:rPr/>
              <w:t> </w:t>
            </w:r>
          </w:p>
        </w:tc>
        <w:tc>
          <w:tcPr>
            <w:tcW w:w="4955" w:type="dxa"/>
            <w:tcBorders/>
            <w:shd w:fill="auto" w:val="clear"/>
          </w:tcPr>
          <w:p>
            <w:pPr>
              <w:pStyle w:val="TableContents"/>
              <w:spacing w:before="0" w:after="283"/>
              <w:rPr/>
            </w:pPr>
            <w:r>
              <w:rPr/>
              <w:t>First-lien loan ($64,271 par, due 4/2023)</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115" w:type="dxa"/>
            <w:tcBorders/>
            <w:shd w:fill="auto" w:val="clear"/>
          </w:tcPr>
          <w:p>
            <w:pPr>
              <w:pStyle w:val="TableContents"/>
              <w:spacing w:before="0" w:after="283"/>
              <w:jc w:val="right"/>
              <w:rPr/>
            </w:pPr>
            <w:r>
              <w:rPr/>
              <w:t>4/9/2018</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310" w:type="dxa"/>
            <w:tcBorders/>
            <w:shd w:fill="auto" w:val="clear"/>
          </w:tcPr>
          <w:p>
            <w:pPr>
              <w:pStyle w:val="TableContents"/>
              <w:spacing w:before="0" w:after="283"/>
              <w:jc w:val="right"/>
              <w:rPr/>
            </w:pPr>
            <w:r>
              <w:rPr/>
              <w:t>L + 8.25</w:t>
            </w:r>
          </w:p>
        </w:tc>
        <w:tc>
          <w:tcPr>
            <w:tcW w:w="27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5" w:type="dxa"/>
            <w:tcBorders/>
            <w:shd w:fill="auto" w:val="clear"/>
          </w:tcPr>
          <w:p>
            <w:pPr>
              <w:pStyle w:val="TableContents"/>
              <w:spacing w:before="0" w:after="283"/>
              <w:jc w:val="right"/>
              <w:rPr/>
            </w:pPr>
            <w:r>
              <w:rPr/>
              <w:t>11.92%</w:t>
            </w:r>
          </w:p>
        </w:tc>
        <w:tc>
          <w:tcPr>
            <w:tcW w:w="60" w:type="dxa"/>
            <w:tcBorders/>
            <w:shd w:fill="auto" w:val="clear"/>
            <w:vAlign w:val="bottom"/>
          </w:tcPr>
          <w:p>
            <w:pPr>
              <w:pStyle w:val="TableContents"/>
              <w:spacing w:before="0" w:after="283"/>
              <w:rPr/>
            </w:pPr>
            <w:r>
              <w:rPr/>
              <w:t> </w:t>
            </w:r>
          </w:p>
        </w:tc>
        <w:tc>
          <w:tcPr>
            <w:tcW w:w="163" w:type="dxa"/>
            <w:tcBorders/>
            <w:shd w:fill="auto" w:val="clear"/>
          </w:tcPr>
          <w:p>
            <w:pPr>
              <w:pStyle w:val="TableContents"/>
              <w:spacing w:before="0" w:after="283"/>
              <w:rPr/>
            </w:pPr>
            <w:r>
              <w:rPr/>
              <w:t> </w:t>
            </w:r>
          </w:p>
        </w:tc>
        <w:tc>
          <w:tcPr>
            <w:tcW w:w="937" w:type="dxa"/>
            <w:tcBorders/>
            <w:shd w:fill="auto" w:val="clear"/>
          </w:tcPr>
          <w:p>
            <w:pPr>
              <w:pStyle w:val="TableContents"/>
              <w:spacing w:before="0" w:after="283"/>
              <w:jc w:val="right"/>
              <w:rPr/>
            </w:pPr>
            <w:r>
              <w:rPr/>
              <w:t>63,957</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tcPr>
          <w:p>
            <w:pPr>
              <w:pStyle w:val="TableContents"/>
              <w:spacing w:before="0" w:after="283"/>
              <w:rPr/>
            </w:pPr>
            <w:r>
              <w:rPr/>
              <w:t> </w:t>
            </w:r>
          </w:p>
        </w:tc>
        <w:tc>
          <w:tcPr>
            <w:tcW w:w="1040" w:type="dxa"/>
            <w:tcBorders/>
            <w:shd w:fill="auto" w:val="clear"/>
          </w:tcPr>
          <w:p>
            <w:pPr>
              <w:pStyle w:val="TableContents"/>
              <w:spacing w:before="0" w:after="283"/>
              <w:jc w:val="right"/>
              <w:rPr/>
            </w:pPr>
            <w:r>
              <w:rPr/>
              <w:t>64,603</w:t>
            </w:r>
          </w:p>
        </w:tc>
        <w:tc>
          <w:tcPr>
            <w:tcW w:w="12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tcPr>
          <w:p>
            <w:pPr>
              <w:pStyle w:val="TableContents"/>
              <w:spacing w:before="0" w:after="283"/>
              <w:rPr/>
            </w:pPr>
            <w:r>
              <w:rPr/>
              <w:t> </w:t>
            </w:r>
          </w:p>
        </w:tc>
        <w:tc>
          <w:tcPr>
            <w:tcW w:w="1166" w:type="dxa"/>
            <w:tcBorders/>
            <w:shd w:fill="auto" w:val="clear"/>
          </w:tcPr>
          <w:p>
            <w:pPr>
              <w:pStyle w:val="TableContents"/>
              <w:spacing w:before="0" w:after="283"/>
              <w:jc w:val="right"/>
              <w:rPr/>
            </w:pPr>
            <w:r>
              <w:rPr/>
              <w:t>4.9</w:t>
            </w:r>
          </w:p>
        </w:tc>
        <w:tc>
          <w:tcPr>
            <w:tcW w:w="275" w:type="dxa"/>
            <w:tcBorders/>
            <w:shd w:fill="auto" w:val="clear"/>
          </w:tcPr>
          <w:p>
            <w:pPr>
              <w:pStyle w:val="TableContents"/>
              <w:spacing w:before="0" w:after="283"/>
              <w:rPr/>
            </w:pPr>
            <w:r>
              <w:rPr/>
              <w:t>% </w:t>
            </w:r>
          </w:p>
        </w:tc>
      </w:tr>
      <w:tr>
        <w:trPr/>
        <w:tc>
          <w:tcPr>
            <w:tcW w:w="2270" w:type="dxa"/>
            <w:tcBorders/>
            <w:shd w:fill="CCEEFF" w:val="clear"/>
          </w:tcPr>
          <w:p>
            <w:pPr>
              <w:pStyle w:val="TableContents"/>
              <w:spacing w:before="0" w:after="0"/>
              <w:rPr>
                <w:rFonts w:ascii="Times New Roman" w:hAnsi="Times New Roman"/>
                <w:sz w:val="16"/>
              </w:rPr>
            </w:pPr>
            <w:r>
              <w:rPr>
                <w:rFonts w:ascii="Times New Roman" w:hAnsi="Times New Roman"/>
                <w:sz w:val="16"/>
              </w:rPr>
              <w:t>Ibis Intermediate Co.(3)(5)</w:t>
            </w:r>
          </w:p>
        </w:tc>
        <w:tc>
          <w:tcPr>
            <w:tcW w:w="60" w:type="dxa"/>
            <w:tcBorders/>
            <w:shd w:fill="CCEEFF" w:val="clear"/>
            <w:vAlign w:val="bottom"/>
          </w:tcPr>
          <w:p>
            <w:pPr>
              <w:pStyle w:val="TableContents"/>
              <w:spacing w:before="0" w:after="283"/>
              <w:rPr/>
            </w:pPr>
            <w:r>
              <w:rPr/>
              <w:t> </w:t>
            </w:r>
          </w:p>
        </w:tc>
        <w:tc>
          <w:tcPr>
            <w:tcW w:w="4955" w:type="dxa"/>
            <w:tcBorders/>
            <w:shd w:fill="CCEEFF" w:val="clear"/>
          </w:tcPr>
          <w:p>
            <w:pPr>
              <w:pStyle w:val="TableContents"/>
              <w:spacing w:before="0" w:after="283"/>
              <w:rPr/>
            </w:pPr>
            <w:r>
              <w:rPr/>
              <w:t>First-lien loan ($1,530 par, due 5/2027)</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115" w:type="dxa"/>
            <w:tcBorders/>
            <w:shd w:fill="CCEEFF" w:val="clear"/>
          </w:tcPr>
          <w:p>
            <w:pPr>
              <w:pStyle w:val="TableContents"/>
              <w:spacing w:before="0" w:after="283"/>
              <w:jc w:val="right"/>
              <w:rPr/>
            </w:pPr>
            <w:r>
              <w:rPr/>
              <w:t>5/28/2021</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310" w:type="dxa"/>
            <w:tcBorders/>
            <w:shd w:fill="CCEEFF" w:val="clear"/>
          </w:tcPr>
          <w:p>
            <w:pPr>
              <w:pStyle w:val="TableContents"/>
              <w:spacing w:before="0" w:after="283"/>
              <w:jc w:val="right"/>
              <w:rPr/>
            </w:pPr>
            <w:r>
              <w:rPr/>
              <w:t>L + 5.00</w:t>
            </w:r>
          </w:p>
        </w:tc>
        <w:tc>
          <w:tcPr>
            <w:tcW w:w="27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15" w:type="dxa"/>
            <w:tcBorders/>
            <w:shd w:fill="CCEEFF" w:val="clear"/>
          </w:tcPr>
          <w:p>
            <w:pPr>
              <w:pStyle w:val="TableContents"/>
              <w:spacing w:before="0" w:after="283"/>
              <w:jc w:val="right"/>
              <w:rPr/>
            </w:pPr>
            <w:r>
              <w:rPr/>
              <w:t>8.07%</w:t>
            </w:r>
          </w:p>
        </w:tc>
        <w:tc>
          <w:tcPr>
            <w:tcW w:w="60" w:type="dxa"/>
            <w:tcBorders/>
            <w:shd w:fill="CCEEFF" w:val="clear"/>
            <w:vAlign w:val="bottom"/>
          </w:tcPr>
          <w:p>
            <w:pPr>
              <w:pStyle w:val="TableContents"/>
              <w:spacing w:before="0" w:after="283"/>
              <w:rPr/>
            </w:pPr>
            <w:r>
              <w:rPr/>
              <w:t> </w:t>
            </w:r>
          </w:p>
        </w:tc>
        <w:tc>
          <w:tcPr>
            <w:tcW w:w="163" w:type="dxa"/>
            <w:tcBorders/>
            <w:shd w:fill="CCEEFF" w:val="clear"/>
          </w:tcPr>
          <w:p>
            <w:pPr>
              <w:pStyle w:val="TableContents"/>
              <w:spacing w:before="0" w:after="283"/>
              <w:rPr/>
            </w:pPr>
            <w:r>
              <w:rPr/>
              <w:t> </w:t>
            </w:r>
          </w:p>
        </w:tc>
        <w:tc>
          <w:tcPr>
            <w:tcW w:w="937" w:type="dxa"/>
            <w:tcBorders/>
            <w:shd w:fill="CCEEFF" w:val="clear"/>
          </w:tcPr>
          <w:p>
            <w:pPr>
              <w:pStyle w:val="TableContents"/>
              <w:spacing w:before="0" w:after="283"/>
              <w:jc w:val="right"/>
              <w:rPr/>
            </w:pPr>
            <w:r>
              <w:rPr/>
              <w:t>1,414</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tcPr>
          <w:p>
            <w:pPr>
              <w:pStyle w:val="TableContents"/>
              <w:spacing w:before="0" w:after="283"/>
              <w:rPr/>
            </w:pPr>
            <w:r>
              <w:rPr/>
              <w:t> </w:t>
            </w:r>
          </w:p>
        </w:tc>
        <w:tc>
          <w:tcPr>
            <w:tcW w:w="1040" w:type="dxa"/>
            <w:tcBorders/>
            <w:shd w:fill="CCEEFF" w:val="clear"/>
          </w:tcPr>
          <w:p>
            <w:pPr>
              <w:pStyle w:val="TableContents"/>
              <w:spacing w:before="0" w:after="283"/>
              <w:jc w:val="right"/>
              <w:rPr/>
            </w:pPr>
            <w:r>
              <w:rPr/>
              <w:t>1,530</w:t>
            </w:r>
          </w:p>
        </w:tc>
        <w:tc>
          <w:tcPr>
            <w:tcW w:w="12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tcPr>
          <w:p>
            <w:pPr>
              <w:pStyle w:val="TableContents"/>
              <w:spacing w:before="0" w:after="283"/>
              <w:rPr/>
            </w:pPr>
            <w:r>
              <w:rPr/>
              <w:t> </w:t>
            </w:r>
          </w:p>
        </w:tc>
        <w:tc>
          <w:tcPr>
            <w:tcW w:w="1166" w:type="dxa"/>
            <w:tcBorders/>
            <w:shd w:fill="CCEEFF" w:val="clear"/>
          </w:tcPr>
          <w:p>
            <w:pPr>
              <w:pStyle w:val="TableContents"/>
              <w:spacing w:before="0" w:after="283"/>
              <w:jc w:val="right"/>
              <w:rPr/>
            </w:pPr>
            <w:r>
              <w:rPr/>
              <w:t>0.1</w:t>
            </w:r>
          </w:p>
        </w:tc>
        <w:tc>
          <w:tcPr>
            <w:tcW w:w="275" w:type="dxa"/>
            <w:tcBorders/>
            <w:shd w:fill="CCEEFF" w:val="clear"/>
          </w:tcPr>
          <w:p>
            <w:pPr>
              <w:pStyle w:val="TableContents"/>
              <w:spacing w:before="0" w:after="283"/>
              <w:rPr/>
            </w:pPr>
            <w:r>
              <w:rPr/>
              <w:t>% </w:t>
            </w:r>
          </w:p>
        </w:tc>
      </w:tr>
      <w:tr>
        <w:trPr/>
        <w:tc>
          <w:tcPr>
            <w:tcW w:w="2270" w:type="dxa"/>
            <w:tcBorders/>
            <w:shd w:fill="auto" w:val="clear"/>
          </w:tcPr>
          <w:p>
            <w:pPr>
              <w:pStyle w:val="TableContents"/>
              <w:spacing w:before="0" w:after="0"/>
              <w:rPr>
                <w:rFonts w:ascii="Times New Roman" w:hAnsi="Times New Roman"/>
                <w:sz w:val="16"/>
              </w:rPr>
            </w:pPr>
            <w:r>
              <w:rPr>
                <w:rFonts w:ascii="Times New Roman" w:hAnsi="Times New Roman"/>
                <w:sz w:val="16"/>
              </w:rPr>
              <w:t>Ibis US Blocker Co.(3)</w:t>
            </w:r>
          </w:p>
        </w:tc>
        <w:tc>
          <w:tcPr>
            <w:tcW w:w="60" w:type="dxa"/>
            <w:tcBorders/>
            <w:shd w:fill="auto" w:val="clear"/>
            <w:vAlign w:val="bottom"/>
          </w:tcPr>
          <w:p>
            <w:pPr>
              <w:pStyle w:val="TableContents"/>
              <w:spacing w:before="0" w:after="283"/>
              <w:rPr/>
            </w:pPr>
            <w:r>
              <w:rPr/>
              <w:t> </w:t>
            </w:r>
          </w:p>
        </w:tc>
        <w:tc>
          <w:tcPr>
            <w:tcW w:w="4955" w:type="dxa"/>
            <w:tcBorders/>
            <w:shd w:fill="auto" w:val="clear"/>
          </w:tcPr>
          <w:p>
            <w:pPr>
              <w:pStyle w:val="TableContents"/>
              <w:spacing w:before="0" w:after="283"/>
              <w:rPr/>
            </w:pPr>
            <w:r>
              <w:rPr/>
              <w:t>First-lien loan ($13,569 par, due 5/2028)</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115" w:type="dxa"/>
            <w:tcBorders/>
            <w:shd w:fill="auto" w:val="clear"/>
          </w:tcPr>
          <w:p>
            <w:pPr>
              <w:pStyle w:val="TableContents"/>
              <w:spacing w:before="0" w:after="283"/>
              <w:jc w:val="right"/>
              <w:rPr/>
            </w:pPr>
            <w:r>
              <w:rPr/>
              <w:t>5/28/2021</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310" w:type="dxa"/>
            <w:tcBorders/>
            <w:shd w:fill="auto" w:val="clear"/>
          </w:tcPr>
          <w:p>
            <w:pPr>
              <w:pStyle w:val="TableContents"/>
              <w:spacing w:before="0" w:after="283"/>
              <w:jc w:val="right"/>
              <w:rPr/>
            </w:pPr>
            <w:r>
              <w:rPr/>
              <w:t>L + 8.25</w:t>
            </w:r>
          </w:p>
        </w:tc>
        <w:tc>
          <w:tcPr>
            <w:tcW w:w="27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5" w:type="dxa"/>
            <w:tcBorders/>
            <w:shd w:fill="auto" w:val="clear"/>
          </w:tcPr>
          <w:p>
            <w:pPr>
              <w:pStyle w:val="TableContents"/>
              <w:spacing w:before="0" w:after="283"/>
              <w:jc w:val="right"/>
              <w:rPr/>
            </w:pPr>
            <w:r>
              <w:rPr/>
              <w:t>11.32% PIK</w:t>
            </w:r>
          </w:p>
        </w:tc>
        <w:tc>
          <w:tcPr>
            <w:tcW w:w="60" w:type="dxa"/>
            <w:tcBorders/>
            <w:shd w:fill="auto" w:val="clear"/>
            <w:vAlign w:val="bottom"/>
          </w:tcPr>
          <w:p>
            <w:pPr>
              <w:pStyle w:val="TableContents"/>
              <w:spacing w:before="0" w:after="283"/>
              <w:rPr/>
            </w:pPr>
            <w:r>
              <w:rPr/>
              <w:t> </w:t>
            </w:r>
          </w:p>
        </w:tc>
        <w:tc>
          <w:tcPr>
            <w:tcW w:w="163" w:type="dxa"/>
            <w:tcBorders/>
            <w:shd w:fill="auto" w:val="clear"/>
          </w:tcPr>
          <w:p>
            <w:pPr>
              <w:pStyle w:val="TableContents"/>
              <w:spacing w:before="0" w:after="283"/>
              <w:rPr/>
            </w:pPr>
            <w:r>
              <w:rPr/>
              <w:t> </w:t>
            </w:r>
          </w:p>
        </w:tc>
        <w:tc>
          <w:tcPr>
            <w:tcW w:w="937" w:type="dxa"/>
            <w:tcBorders/>
            <w:shd w:fill="auto" w:val="clear"/>
          </w:tcPr>
          <w:p>
            <w:pPr>
              <w:pStyle w:val="TableContents"/>
              <w:spacing w:before="0" w:after="283"/>
              <w:jc w:val="right"/>
              <w:rPr/>
            </w:pPr>
            <w:r>
              <w:rPr/>
              <w:t>13,317</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tcPr>
          <w:p>
            <w:pPr>
              <w:pStyle w:val="TableContents"/>
              <w:spacing w:before="0" w:after="283"/>
              <w:rPr/>
            </w:pPr>
            <w:r>
              <w:rPr/>
              <w:t> </w:t>
            </w:r>
          </w:p>
        </w:tc>
        <w:tc>
          <w:tcPr>
            <w:tcW w:w="1040" w:type="dxa"/>
            <w:tcBorders/>
            <w:shd w:fill="auto" w:val="clear"/>
          </w:tcPr>
          <w:p>
            <w:pPr>
              <w:pStyle w:val="TableContents"/>
              <w:spacing w:before="0" w:after="283"/>
              <w:jc w:val="right"/>
              <w:rPr/>
            </w:pPr>
            <w:r>
              <w:rPr/>
              <w:t>13,162</w:t>
            </w:r>
          </w:p>
        </w:tc>
        <w:tc>
          <w:tcPr>
            <w:tcW w:w="12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tcPr>
          <w:p>
            <w:pPr>
              <w:pStyle w:val="TableContents"/>
              <w:spacing w:before="0" w:after="283"/>
              <w:rPr/>
            </w:pPr>
            <w:r>
              <w:rPr/>
              <w:t> </w:t>
            </w:r>
          </w:p>
        </w:tc>
        <w:tc>
          <w:tcPr>
            <w:tcW w:w="1166" w:type="dxa"/>
            <w:tcBorders/>
            <w:shd w:fill="auto" w:val="clear"/>
          </w:tcPr>
          <w:p>
            <w:pPr>
              <w:pStyle w:val="TableContents"/>
              <w:spacing w:before="0" w:after="283"/>
              <w:jc w:val="right"/>
              <w:rPr/>
            </w:pPr>
            <w:r>
              <w:rPr/>
              <w:t>1.0</w:t>
            </w:r>
          </w:p>
        </w:tc>
        <w:tc>
          <w:tcPr>
            <w:tcW w:w="275" w:type="dxa"/>
            <w:tcBorders/>
            <w:shd w:fill="auto" w:val="clear"/>
          </w:tcPr>
          <w:p>
            <w:pPr>
              <w:pStyle w:val="TableContents"/>
              <w:spacing w:before="0" w:after="283"/>
              <w:rPr/>
            </w:pPr>
            <w:r>
              <w:rPr/>
              <w:t>% </w:t>
            </w:r>
          </w:p>
        </w:tc>
      </w:tr>
      <w:tr>
        <w:trPr/>
        <w:tc>
          <w:tcPr>
            <w:tcW w:w="2270" w:type="dxa"/>
            <w:tcBorders/>
            <w:shd w:fill="CCEEFF" w:val="clear"/>
          </w:tcPr>
          <w:p>
            <w:pPr>
              <w:pStyle w:val="TableContents"/>
              <w:spacing w:before="0" w:after="0"/>
              <w:rPr>
                <w:rFonts w:ascii="Times New Roman" w:hAnsi="Times New Roman"/>
                <w:sz w:val="16"/>
              </w:rPr>
            </w:pPr>
            <w:r>
              <w:rPr>
                <w:rFonts w:ascii="Times New Roman" w:hAnsi="Times New Roman"/>
                <w:sz w:val="16"/>
              </w:rPr>
              <w:t xml:space="preserve">Jonas Collections and </w:t>
              <w:br/>
              <w:t>Recovery, Inc.(3)(5)</w:t>
            </w:r>
          </w:p>
        </w:tc>
        <w:tc>
          <w:tcPr>
            <w:tcW w:w="60" w:type="dxa"/>
            <w:tcBorders/>
            <w:shd w:fill="CCEEFF" w:val="clear"/>
            <w:vAlign w:val="bottom"/>
          </w:tcPr>
          <w:p>
            <w:pPr>
              <w:pStyle w:val="TableContents"/>
              <w:spacing w:before="0" w:after="283"/>
              <w:rPr/>
            </w:pPr>
            <w:r>
              <w:rPr/>
              <w:t> </w:t>
            </w:r>
          </w:p>
        </w:tc>
        <w:tc>
          <w:tcPr>
            <w:tcW w:w="4955" w:type="dxa"/>
            <w:tcBorders/>
            <w:shd w:fill="CCEEFF" w:val="clear"/>
            <w:vAlign w:val="bottom"/>
          </w:tcPr>
          <w:p>
            <w:pPr>
              <w:pStyle w:val="TableContents"/>
              <w:spacing w:before="0" w:after="283"/>
              <w:rPr/>
            </w:pPr>
            <w:r>
              <w:rPr/>
              <w:t>First-lien loan ($27,188 par, due 6/2026)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pPr>
            <w:r>
              <w:rPr/>
              <w:t>6/21/2021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10" w:type="dxa"/>
            <w:tcBorders/>
            <w:shd w:fill="CCEEFF" w:val="clear"/>
            <w:vAlign w:val="bottom"/>
          </w:tcPr>
          <w:p>
            <w:pPr>
              <w:pStyle w:val="TableContents"/>
              <w:spacing w:before="0" w:after="283"/>
              <w:jc w:val="right"/>
              <w:rPr/>
            </w:pPr>
            <w:r>
              <w:rPr/>
              <w:t>L + 5.50</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15" w:type="dxa"/>
            <w:tcBorders/>
            <w:shd w:fill="CCEEFF" w:val="clear"/>
            <w:vAlign w:val="bottom"/>
          </w:tcPr>
          <w:p>
            <w:pPr>
              <w:pStyle w:val="TableContents"/>
              <w:spacing w:before="0" w:after="283"/>
              <w:jc w:val="right"/>
              <w:rPr/>
            </w:pPr>
            <w:r>
              <w:rPr/>
              <w:t>8.38%</w:t>
            </w:r>
          </w:p>
        </w:tc>
        <w:tc>
          <w:tcPr>
            <w:tcW w:w="60" w:type="dxa"/>
            <w:tcBorders/>
            <w:shd w:fill="CCEEFF" w:val="clear"/>
            <w:vAlign w:val="bottom"/>
          </w:tcPr>
          <w:p>
            <w:pPr>
              <w:pStyle w:val="TableContents"/>
              <w:spacing w:before="0" w:after="283"/>
              <w:rPr/>
            </w:pPr>
            <w:r>
              <w:rPr/>
              <w:t> </w:t>
            </w:r>
          </w:p>
        </w:tc>
        <w:tc>
          <w:tcPr>
            <w:tcW w:w="163" w:type="dxa"/>
            <w:tcBorders/>
            <w:shd w:fill="CCEEFF" w:val="clear"/>
            <w:vAlign w:val="bottom"/>
          </w:tcPr>
          <w:p>
            <w:pPr>
              <w:pStyle w:val="TableContents"/>
              <w:spacing w:before="0" w:after="283"/>
              <w:rPr/>
            </w:pPr>
            <w:r>
              <w:rPr/>
              <w:t> </w:t>
            </w:r>
          </w:p>
        </w:tc>
        <w:tc>
          <w:tcPr>
            <w:tcW w:w="937" w:type="dxa"/>
            <w:tcBorders/>
            <w:shd w:fill="CCEEFF" w:val="clear"/>
            <w:vAlign w:val="bottom"/>
          </w:tcPr>
          <w:p>
            <w:pPr>
              <w:pStyle w:val="TableContents"/>
              <w:spacing w:before="0" w:after="283"/>
              <w:jc w:val="right"/>
              <w:rPr/>
            </w:pPr>
            <w:r>
              <w:rPr/>
              <w:t>26,746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vAlign w:val="bottom"/>
          </w:tcPr>
          <w:p>
            <w:pPr>
              <w:pStyle w:val="TableContents"/>
              <w:spacing w:before="0" w:after="283"/>
              <w:rPr/>
            </w:pPr>
            <w:r>
              <w:rPr/>
              <w:t> </w:t>
            </w:r>
          </w:p>
        </w:tc>
        <w:tc>
          <w:tcPr>
            <w:tcW w:w="1040" w:type="dxa"/>
            <w:tcBorders/>
            <w:shd w:fill="CCEEFF" w:val="clear"/>
            <w:vAlign w:val="bottom"/>
          </w:tcPr>
          <w:p>
            <w:pPr>
              <w:pStyle w:val="TableContents"/>
              <w:spacing w:before="0" w:after="283"/>
              <w:jc w:val="right"/>
              <w:rPr/>
            </w:pPr>
            <w:r>
              <w:rPr/>
              <w:t>26,576</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166" w:type="dxa"/>
            <w:tcBorders/>
            <w:shd w:fill="CCEEFF" w:val="clear"/>
            <w:vAlign w:val="bottom"/>
          </w:tcPr>
          <w:p>
            <w:pPr>
              <w:pStyle w:val="TableContents"/>
              <w:spacing w:before="0" w:after="283"/>
              <w:jc w:val="right"/>
              <w:rPr/>
            </w:pPr>
            <w:r>
              <w:rPr/>
              <w:t>2.0</w:t>
            </w:r>
          </w:p>
        </w:tc>
        <w:tc>
          <w:tcPr>
            <w:tcW w:w="275" w:type="dxa"/>
            <w:tcBorders/>
            <w:shd w:fill="CCEEFF" w:val="clear"/>
            <w:vAlign w:val="bottom"/>
          </w:tcPr>
          <w:p>
            <w:pPr>
              <w:pStyle w:val="TableContents"/>
              <w:spacing w:before="0" w:after="283"/>
              <w:rPr/>
            </w:pPr>
            <w:r>
              <w:rPr/>
              <w:t>% </w:t>
            </w:r>
          </w:p>
        </w:tc>
      </w:tr>
      <w:tr>
        <w:trPr/>
        <w:tc>
          <w:tcPr>
            <w:tcW w:w="2270" w:type="dxa"/>
            <w:tcBorders/>
            <w:shd w:fill="auto" w:val="clear"/>
          </w:tcPr>
          <w:p>
            <w:pPr>
              <w:pStyle w:val="TableContents"/>
              <w:spacing w:before="0" w:after="0"/>
              <w:rPr>
                <w:rFonts w:ascii="Times New Roman" w:hAnsi="Times New Roman"/>
                <w:sz w:val="16"/>
              </w:rPr>
            </w:pPr>
            <w:r>
              <w:rPr>
                <w:rFonts w:ascii="Times New Roman" w:hAnsi="Times New Roman"/>
                <w:sz w:val="16"/>
              </w:rPr>
              <w:t>Kyriba Corp.(3)</w:t>
            </w:r>
          </w:p>
        </w:tc>
        <w:tc>
          <w:tcPr>
            <w:tcW w:w="60" w:type="dxa"/>
            <w:tcBorders/>
            <w:shd w:fill="auto" w:val="clear"/>
            <w:vAlign w:val="bottom"/>
          </w:tcPr>
          <w:p>
            <w:pPr>
              <w:pStyle w:val="TableContents"/>
              <w:spacing w:before="0" w:after="283"/>
              <w:rPr/>
            </w:pPr>
            <w:r>
              <w:rPr/>
              <w:t> </w:t>
            </w:r>
          </w:p>
        </w:tc>
        <w:tc>
          <w:tcPr>
            <w:tcW w:w="4955" w:type="dxa"/>
            <w:tcBorders/>
            <w:shd w:fill="auto" w:val="clear"/>
          </w:tcPr>
          <w:p>
            <w:pPr>
              <w:pStyle w:val="TableContents"/>
              <w:spacing w:before="0" w:after="283"/>
              <w:rPr/>
            </w:pPr>
            <w:r>
              <w:rPr/>
              <w:t>First-lien loan ($18,628 par, due 4/2025)</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115" w:type="dxa"/>
            <w:tcBorders/>
            <w:shd w:fill="auto" w:val="clear"/>
          </w:tcPr>
          <w:p>
            <w:pPr>
              <w:pStyle w:val="TableContents"/>
              <w:spacing w:before="0" w:after="283"/>
              <w:jc w:val="right"/>
              <w:rPr/>
            </w:pPr>
            <w:r>
              <w:rPr/>
              <w:t>4/9/2019</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310" w:type="dxa"/>
            <w:tcBorders/>
            <w:shd w:fill="auto" w:val="clear"/>
          </w:tcPr>
          <w:p>
            <w:pPr>
              <w:pStyle w:val="TableContents"/>
              <w:spacing w:before="0" w:after="283"/>
              <w:jc w:val="right"/>
              <w:rPr/>
            </w:pPr>
            <w:r>
              <w:rPr/>
              <w:t>L + 9.00</w:t>
            </w:r>
          </w:p>
        </w:tc>
        <w:tc>
          <w:tcPr>
            <w:tcW w:w="27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5" w:type="dxa"/>
            <w:tcBorders/>
            <w:shd w:fill="auto" w:val="clear"/>
          </w:tcPr>
          <w:p>
            <w:pPr>
              <w:pStyle w:val="TableContents"/>
              <w:spacing w:before="0" w:after="283"/>
              <w:jc w:val="right"/>
              <w:rPr/>
            </w:pPr>
            <w:r>
              <w:rPr/>
              <w:t>12.67% (incl. 9.00% PIK)</w:t>
            </w:r>
          </w:p>
        </w:tc>
        <w:tc>
          <w:tcPr>
            <w:tcW w:w="60" w:type="dxa"/>
            <w:tcBorders/>
            <w:shd w:fill="auto" w:val="clear"/>
            <w:vAlign w:val="bottom"/>
          </w:tcPr>
          <w:p>
            <w:pPr>
              <w:pStyle w:val="TableContents"/>
              <w:spacing w:before="0" w:after="283"/>
              <w:rPr/>
            </w:pPr>
            <w:r>
              <w:rPr/>
              <w:t> </w:t>
            </w:r>
          </w:p>
        </w:tc>
        <w:tc>
          <w:tcPr>
            <w:tcW w:w="163" w:type="dxa"/>
            <w:tcBorders/>
            <w:shd w:fill="auto" w:val="clear"/>
          </w:tcPr>
          <w:p>
            <w:pPr>
              <w:pStyle w:val="TableContents"/>
              <w:spacing w:before="0" w:after="283"/>
              <w:rPr/>
            </w:pPr>
            <w:r>
              <w:rPr/>
              <w:t> </w:t>
            </w:r>
          </w:p>
        </w:tc>
        <w:tc>
          <w:tcPr>
            <w:tcW w:w="937" w:type="dxa"/>
            <w:tcBorders/>
            <w:shd w:fill="auto" w:val="clear"/>
          </w:tcPr>
          <w:p>
            <w:pPr>
              <w:pStyle w:val="TableContents"/>
              <w:spacing w:before="0" w:after="283"/>
              <w:jc w:val="right"/>
              <w:rPr/>
            </w:pPr>
            <w:r>
              <w:rPr/>
              <w:t>18,429</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tcPr>
          <w:p>
            <w:pPr>
              <w:pStyle w:val="TableContents"/>
              <w:spacing w:before="0" w:after="283"/>
              <w:rPr/>
            </w:pPr>
            <w:r>
              <w:rPr/>
              <w:t> </w:t>
            </w:r>
          </w:p>
        </w:tc>
        <w:tc>
          <w:tcPr>
            <w:tcW w:w="1040" w:type="dxa"/>
            <w:tcBorders/>
            <w:shd w:fill="auto" w:val="clear"/>
          </w:tcPr>
          <w:p>
            <w:pPr>
              <w:pStyle w:val="TableContents"/>
              <w:spacing w:before="0" w:after="283"/>
              <w:jc w:val="right"/>
              <w:rPr/>
            </w:pPr>
            <w:r>
              <w:rPr/>
              <w:t>18,721</w:t>
            </w:r>
          </w:p>
        </w:tc>
        <w:tc>
          <w:tcPr>
            <w:tcW w:w="12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tcPr>
          <w:p>
            <w:pPr>
              <w:pStyle w:val="TableContents"/>
              <w:spacing w:before="0" w:after="283"/>
              <w:rPr/>
            </w:pPr>
            <w:r>
              <w:rPr/>
              <w:t> </w:t>
            </w:r>
          </w:p>
        </w:tc>
        <w:tc>
          <w:tcPr>
            <w:tcW w:w="1166" w:type="dxa"/>
            <w:tcBorders/>
            <w:shd w:fill="auto" w:val="clear"/>
          </w:tcPr>
          <w:p>
            <w:pPr>
              <w:pStyle w:val="TableContents"/>
              <w:spacing w:before="0" w:after="283"/>
              <w:jc w:val="right"/>
              <w:rPr/>
            </w:pPr>
            <w:r>
              <w:rPr/>
              <w:t>1.4</w:t>
            </w:r>
          </w:p>
        </w:tc>
        <w:tc>
          <w:tcPr>
            <w:tcW w:w="275" w:type="dxa"/>
            <w:tcBorders/>
            <w:shd w:fill="auto" w:val="clear"/>
          </w:tcPr>
          <w:p>
            <w:pPr>
              <w:pStyle w:val="TableContents"/>
              <w:spacing w:before="0" w:after="283"/>
              <w:rPr/>
            </w:pPr>
            <w:r>
              <w:rPr/>
              <w:t>% </w:t>
            </w:r>
          </w:p>
        </w:tc>
      </w:tr>
      <w:tr>
        <w:trPr/>
        <w:tc>
          <w:tcPr>
            <w:tcW w:w="227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4955" w:type="dxa"/>
            <w:tcBorders/>
            <w:shd w:fill="CCEEFF" w:val="clear"/>
          </w:tcPr>
          <w:p>
            <w:pPr>
              <w:pStyle w:val="TableContents"/>
              <w:spacing w:before="0" w:after="283"/>
              <w:rPr/>
            </w:pPr>
            <w:r>
              <w:rPr/>
              <w:t>First-lien loan (EUR 9,704 par, due 4/2025)</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115" w:type="dxa"/>
            <w:tcBorders/>
            <w:shd w:fill="CCEEFF" w:val="clear"/>
          </w:tcPr>
          <w:p>
            <w:pPr>
              <w:pStyle w:val="TableContents"/>
              <w:spacing w:before="0" w:after="283"/>
              <w:jc w:val="right"/>
              <w:rPr/>
            </w:pPr>
            <w:r>
              <w:rPr/>
              <w:t>4/9/2019</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310" w:type="dxa"/>
            <w:tcBorders/>
            <w:shd w:fill="CCEEFF" w:val="clear"/>
          </w:tcPr>
          <w:p>
            <w:pPr>
              <w:pStyle w:val="TableContents"/>
              <w:spacing w:before="0" w:after="283"/>
              <w:jc w:val="right"/>
              <w:rPr/>
            </w:pPr>
            <w:r>
              <w:rPr/>
              <w:t>E + 9.00</w:t>
            </w:r>
          </w:p>
        </w:tc>
        <w:tc>
          <w:tcPr>
            <w:tcW w:w="27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15" w:type="dxa"/>
            <w:tcBorders/>
            <w:shd w:fill="CCEEFF" w:val="clear"/>
          </w:tcPr>
          <w:p>
            <w:pPr>
              <w:pStyle w:val="TableContents"/>
              <w:spacing w:before="0" w:after="283"/>
              <w:jc w:val="right"/>
              <w:rPr/>
            </w:pPr>
            <w:r>
              <w:rPr/>
              <w:t>10.19% (incl 9.00% PIK)</w:t>
            </w:r>
          </w:p>
        </w:tc>
        <w:tc>
          <w:tcPr>
            <w:tcW w:w="60" w:type="dxa"/>
            <w:tcBorders/>
            <w:shd w:fill="CCEEFF" w:val="clear"/>
            <w:vAlign w:val="bottom"/>
          </w:tcPr>
          <w:p>
            <w:pPr>
              <w:pStyle w:val="TableContents"/>
              <w:spacing w:before="0" w:after="283"/>
              <w:rPr/>
            </w:pPr>
            <w:r>
              <w:rPr/>
              <w:t> </w:t>
            </w:r>
          </w:p>
        </w:tc>
        <w:tc>
          <w:tcPr>
            <w:tcW w:w="163" w:type="dxa"/>
            <w:tcBorders/>
            <w:shd w:fill="CCEEFF" w:val="clear"/>
          </w:tcPr>
          <w:p>
            <w:pPr>
              <w:pStyle w:val="TableContents"/>
              <w:spacing w:before="0" w:after="283"/>
              <w:rPr/>
            </w:pPr>
            <w:r>
              <w:rPr/>
              <w:t> </w:t>
            </w:r>
          </w:p>
        </w:tc>
        <w:tc>
          <w:tcPr>
            <w:tcW w:w="937" w:type="dxa"/>
            <w:tcBorders/>
            <w:shd w:fill="CCEEFF" w:val="clear"/>
          </w:tcPr>
          <w:p>
            <w:pPr>
              <w:pStyle w:val="TableContents"/>
              <w:spacing w:before="0" w:after="283"/>
              <w:jc w:val="right"/>
              <w:rPr/>
            </w:pPr>
            <w:r>
              <w:rPr/>
              <w:t>10,759</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tcPr>
          <w:p>
            <w:pPr>
              <w:pStyle w:val="TableContents"/>
              <w:spacing w:before="0" w:after="283"/>
              <w:rPr/>
            </w:pPr>
            <w:r>
              <w:rPr/>
              <w:t> </w:t>
            </w:r>
          </w:p>
        </w:tc>
        <w:tc>
          <w:tcPr>
            <w:tcW w:w="1040" w:type="dxa"/>
            <w:tcBorders/>
            <w:shd w:fill="CCEEFF" w:val="clear"/>
          </w:tcPr>
          <w:p>
            <w:pPr>
              <w:pStyle w:val="TableContents"/>
              <w:jc w:val="right"/>
              <w:rPr/>
            </w:pPr>
            <w:r>
              <w:rPr/>
              <w:t>9,554</w:t>
            </w:r>
          </w:p>
          <w:p>
            <w:pPr>
              <w:pStyle w:val="TableContents"/>
              <w:spacing w:before="0" w:after="20"/>
              <w:jc w:val="right"/>
              <w:rPr>
                <w:rFonts w:ascii="Times New Roman" w:hAnsi="Times New Roman"/>
                <w:sz w:val="16"/>
              </w:rPr>
            </w:pPr>
            <w:r>
              <w:rPr>
                <w:rFonts w:ascii="Times New Roman" w:hAnsi="Times New Roman"/>
                <w:sz w:val="16"/>
              </w:rPr>
              <w:t>(EUR 9,752</w:t>
            </w:r>
          </w:p>
        </w:tc>
        <w:tc>
          <w:tcPr>
            <w:tcW w:w="125" w:type="dxa"/>
            <w:tcBorders/>
            <w:shd w:fill="CCEEFF" w:val="clear"/>
          </w:tcPr>
          <w:p>
            <w:pPr>
              <w:pStyle w:val="TableContents"/>
              <w:rPr/>
            </w:pPr>
            <w:r>
              <w:rPr/>
              <w:t> </w:t>
            </w:r>
          </w:p>
          <w:p>
            <w:pPr>
              <w:pStyle w:val="TableContents"/>
              <w:spacing w:before="0" w:after="20"/>
              <w:rPr>
                <w:rFonts w:ascii="Times New Roman" w:hAnsi="Times New Roman"/>
                <w:sz w:val="16"/>
              </w:rPr>
            </w:pPr>
            <w:r>
              <w:rPr>
                <w:rFonts w:ascii="Times New Roman" w:hAnsi="Times New Roman"/>
                <w:sz w:val="16"/>
              </w:rPr>
              <w:t>) </w:t>
            </w:r>
          </w:p>
        </w:tc>
        <w:tc>
          <w:tcPr>
            <w:tcW w:w="60" w:type="dxa"/>
            <w:tcBorders/>
            <w:shd w:fill="CCEEFF" w:val="clear"/>
            <w:vAlign w:val="bottom"/>
          </w:tcPr>
          <w:p>
            <w:pPr>
              <w:pStyle w:val="TableContents"/>
              <w:spacing w:before="0" w:after="283"/>
              <w:rPr/>
            </w:pPr>
            <w:r>
              <w:rPr/>
              <w:t> </w:t>
            </w:r>
          </w:p>
        </w:tc>
        <w:tc>
          <w:tcPr>
            <w:tcW w:w="159" w:type="dxa"/>
            <w:tcBorders/>
            <w:shd w:fill="CCEEFF" w:val="clear"/>
          </w:tcPr>
          <w:p>
            <w:pPr>
              <w:pStyle w:val="TableContents"/>
              <w:spacing w:before="0" w:after="283"/>
              <w:rPr/>
            </w:pPr>
            <w:r>
              <w:rPr/>
              <w:t> </w:t>
            </w:r>
          </w:p>
        </w:tc>
        <w:tc>
          <w:tcPr>
            <w:tcW w:w="1166" w:type="dxa"/>
            <w:tcBorders/>
            <w:shd w:fill="CCEEFF" w:val="clear"/>
          </w:tcPr>
          <w:p>
            <w:pPr>
              <w:pStyle w:val="TableContents"/>
              <w:spacing w:before="0" w:after="283"/>
              <w:jc w:val="right"/>
              <w:rPr/>
            </w:pPr>
            <w:r>
              <w:rPr/>
              <w:t>0.7</w:t>
            </w:r>
          </w:p>
        </w:tc>
        <w:tc>
          <w:tcPr>
            <w:tcW w:w="275" w:type="dxa"/>
            <w:tcBorders/>
            <w:shd w:fill="CCEEFF" w:val="clear"/>
          </w:tcPr>
          <w:p>
            <w:pPr>
              <w:pStyle w:val="TableContents"/>
              <w:spacing w:before="0" w:after="283"/>
              <w:rPr/>
            </w:pPr>
            <w:r>
              <w:rPr/>
              <w:t>% </w:t>
            </w:r>
          </w:p>
        </w:tc>
      </w:tr>
      <w:tr>
        <w:trPr/>
        <w:tc>
          <w:tcPr>
            <w:tcW w:w="227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955" w:type="dxa"/>
            <w:tcBorders/>
            <w:shd w:fill="auto" w:val="clear"/>
          </w:tcPr>
          <w:p>
            <w:pPr>
              <w:pStyle w:val="TableContents"/>
              <w:spacing w:before="0" w:after="283"/>
              <w:rPr/>
            </w:pPr>
            <w:r>
              <w:rPr/>
              <w:t>First-lien revolving loan ($1,411 par, due 4/2025)</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115" w:type="dxa"/>
            <w:tcBorders/>
            <w:shd w:fill="auto" w:val="clear"/>
          </w:tcPr>
          <w:p>
            <w:pPr>
              <w:pStyle w:val="TableContents"/>
              <w:spacing w:before="0" w:after="283"/>
              <w:jc w:val="right"/>
              <w:rPr/>
            </w:pPr>
            <w:r>
              <w:rPr/>
              <w:t>4/9/2019</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310" w:type="dxa"/>
            <w:tcBorders/>
            <w:shd w:fill="auto" w:val="clear"/>
          </w:tcPr>
          <w:p>
            <w:pPr>
              <w:pStyle w:val="TableContents"/>
              <w:spacing w:before="0" w:after="283"/>
              <w:jc w:val="right"/>
              <w:rPr/>
            </w:pPr>
            <w:r>
              <w:rPr/>
              <w:t>L + 7.25</w:t>
            </w:r>
          </w:p>
        </w:tc>
        <w:tc>
          <w:tcPr>
            <w:tcW w:w="27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5" w:type="dxa"/>
            <w:tcBorders/>
            <w:shd w:fill="auto" w:val="clear"/>
          </w:tcPr>
          <w:p>
            <w:pPr>
              <w:pStyle w:val="TableContents"/>
              <w:spacing w:before="0" w:after="283"/>
              <w:jc w:val="right"/>
              <w:rPr/>
            </w:pPr>
            <w:r>
              <w:rPr/>
              <w:t>10.92%</w:t>
            </w:r>
          </w:p>
        </w:tc>
        <w:tc>
          <w:tcPr>
            <w:tcW w:w="60" w:type="dxa"/>
            <w:tcBorders/>
            <w:shd w:fill="auto" w:val="clear"/>
            <w:vAlign w:val="bottom"/>
          </w:tcPr>
          <w:p>
            <w:pPr>
              <w:pStyle w:val="TableContents"/>
              <w:spacing w:before="0" w:after="283"/>
              <w:rPr/>
            </w:pPr>
            <w:r>
              <w:rPr/>
              <w:t> </w:t>
            </w:r>
          </w:p>
        </w:tc>
        <w:tc>
          <w:tcPr>
            <w:tcW w:w="163" w:type="dxa"/>
            <w:tcBorders/>
            <w:shd w:fill="auto" w:val="clear"/>
          </w:tcPr>
          <w:p>
            <w:pPr>
              <w:pStyle w:val="TableContents"/>
              <w:spacing w:before="0" w:after="283"/>
              <w:rPr/>
            </w:pPr>
            <w:r>
              <w:rPr/>
              <w:t> </w:t>
            </w:r>
          </w:p>
        </w:tc>
        <w:tc>
          <w:tcPr>
            <w:tcW w:w="937" w:type="dxa"/>
            <w:tcBorders/>
            <w:shd w:fill="auto" w:val="clear"/>
          </w:tcPr>
          <w:p>
            <w:pPr>
              <w:pStyle w:val="TableContents"/>
              <w:spacing w:before="0" w:after="283"/>
              <w:jc w:val="right"/>
              <w:rPr/>
            </w:pPr>
            <w:r>
              <w:rPr/>
              <w:t>1,392</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tcPr>
          <w:p>
            <w:pPr>
              <w:pStyle w:val="TableContents"/>
              <w:spacing w:before="0" w:after="283"/>
              <w:rPr/>
            </w:pPr>
            <w:r>
              <w:rPr/>
              <w:t> </w:t>
            </w:r>
          </w:p>
        </w:tc>
        <w:tc>
          <w:tcPr>
            <w:tcW w:w="1040" w:type="dxa"/>
            <w:tcBorders/>
            <w:shd w:fill="auto" w:val="clear"/>
          </w:tcPr>
          <w:p>
            <w:pPr>
              <w:pStyle w:val="TableContents"/>
              <w:spacing w:before="0" w:after="283"/>
              <w:jc w:val="right"/>
              <w:rPr/>
            </w:pPr>
            <w:r>
              <w:rPr/>
              <w:t>1,418</w:t>
            </w:r>
          </w:p>
        </w:tc>
        <w:tc>
          <w:tcPr>
            <w:tcW w:w="12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tcPr>
          <w:p>
            <w:pPr>
              <w:pStyle w:val="TableContents"/>
              <w:spacing w:before="0" w:after="283"/>
              <w:rPr/>
            </w:pPr>
            <w:r>
              <w:rPr/>
              <w:t> </w:t>
            </w:r>
          </w:p>
        </w:tc>
        <w:tc>
          <w:tcPr>
            <w:tcW w:w="1166" w:type="dxa"/>
            <w:tcBorders/>
            <w:shd w:fill="auto" w:val="clear"/>
          </w:tcPr>
          <w:p>
            <w:pPr>
              <w:pStyle w:val="TableContents"/>
              <w:spacing w:before="0" w:after="283"/>
              <w:jc w:val="right"/>
              <w:rPr/>
            </w:pPr>
            <w:r>
              <w:rPr/>
              <w:t>0.1</w:t>
            </w:r>
          </w:p>
        </w:tc>
        <w:tc>
          <w:tcPr>
            <w:tcW w:w="275" w:type="dxa"/>
            <w:tcBorders/>
            <w:shd w:fill="auto" w:val="clear"/>
          </w:tcPr>
          <w:p>
            <w:pPr>
              <w:pStyle w:val="TableContents"/>
              <w:spacing w:before="0" w:after="283"/>
              <w:rPr/>
            </w:pPr>
            <w:r>
              <w:rPr/>
              <w:t>% </w:t>
            </w:r>
          </w:p>
        </w:tc>
      </w:tr>
      <w:tr>
        <w:trPr/>
        <w:tc>
          <w:tcPr>
            <w:tcW w:w="227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4955" w:type="dxa"/>
            <w:tcBorders/>
            <w:shd w:fill="CCEEFF" w:val="clear"/>
          </w:tcPr>
          <w:p>
            <w:pPr>
              <w:pStyle w:val="TableContents"/>
              <w:spacing w:before="0" w:after="283"/>
              <w:rPr/>
            </w:pPr>
            <w:r>
              <w:rPr/>
              <w:t>First-lien revolving loan (EUR 336 par, due 4/2025)</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115" w:type="dxa"/>
            <w:tcBorders/>
            <w:shd w:fill="CCEEFF" w:val="clear"/>
          </w:tcPr>
          <w:p>
            <w:pPr>
              <w:pStyle w:val="TableContents"/>
              <w:spacing w:before="0" w:after="283"/>
              <w:jc w:val="right"/>
              <w:rPr/>
            </w:pPr>
            <w:r>
              <w:rPr/>
              <w:t>4/9/2019</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310" w:type="dxa"/>
            <w:tcBorders/>
            <w:shd w:fill="CCEEFF" w:val="clear"/>
          </w:tcPr>
          <w:p>
            <w:pPr>
              <w:pStyle w:val="TableContents"/>
              <w:spacing w:before="0" w:after="283"/>
              <w:jc w:val="right"/>
              <w:rPr/>
            </w:pPr>
            <w:r>
              <w:rPr/>
              <w:t>E + 7.25</w:t>
            </w:r>
          </w:p>
        </w:tc>
        <w:tc>
          <w:tcPr>
            <w:tcW w:w="27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15" w:type="dxa"/>
            <w:tcBorders/>
            <w:shd w:fill="CCEEFF" w:val="clear"/>
          </w:tcPr>
          <w:p>
            <w:pPr>
              <w:pStyle w:val="TableContents"/>
              <w:spacing w:before="0" w:after="283"/>
              <w:jc w:val="right"/>
              <w:rPr/>
            </w:pPr>
            <w:r>
              <w:rPr/>
              <w:t>8.44%</w:t>
            </w:r>
          </w:p>
        </w:tc>
        <w:tc>
          <w:tcPr>
            <w:tcW w:w="60" w:type="dxa"/>
            <w:tcBorders/>
            <w:shd w:fill="CCEEFF" w:val="clear"/>
            <w:vAlign w:val="bottom"/>
          </w:tcPr>
          <w:p>
            <w:pPr>
              <w:pStyle w:val="TableContents"/>
              <w:spacing w:before="0" w:after="283"/>
              <w:rPr/>
            </w:pPr>
            <w:r>
              <w:rPr/>
              <w:t> </w:t>
            </w:r>
          </w:p>
        </w:tc>
        <w:tc>
          <w:tcPr>
            <w:tcW w:w="163" w:type="dxa"/>
            <w:tcBorders/>
            <w:shd w:fill="CCEEFF" w:val="clear"/>
          </w:tcPr>
          <w:p>
            <w:pPr>
              <w:pStyle w:val="TableContents"/>
              <w:spacing w:before="0" w:after="283"/>
              <w:rPr/>
            </w:pPr>
            <w:r>
              <w:rPr/>
              <w:t> </w:t>
            </w:r>
          </w:p>
        </w:tc>
        <w:tc>
          <w:tcPr>
            <w:tcW w:w="937" w:type="dxa"/>
            <w:tcBorders/>
            <w:shd w:fill="CCEEFF" w:val="clear"/>
          </w:tcPr>
          <w:p>
            <w:pPr>
              <w:pStyle w:val="TableContents"/>
              <w:spacing w:before="0" w:after="283"/>
              <w:jc w:val="right"/>
              <w:rPr/>
            </w:pPr>
            <w:r>
              <w:rPr/>
              <w:t>372</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tcPr>
          <w:p>
            <w:pPr>
              <w:pStyle w:val="TableContents"/>
              <w:spacing w:before="0" w:after="283"/>
              <w:rPr/>
            </w:pPr>
            <w:r>
              <w:rPr/>
              <w:t> </w:t>
            </w:r>
          </w:p>
        </w:tc>
        <w:tc>
          <w:tcPr>
            <w:tcW w:w="1040" w:type="dxa"/>
            <w:tcBorders/>
            <w:shd w:fill="CCEEFF" w:val="clear"/>
          </w:tcPr>
          <w:p>
            <w:pPr>
              <w:pStyle w:val="TableContents"/>
              <w:jc w:val="right"/>
              <w:rPr/>
            </w:pPr>
            <w:r>
              <w:rPr/>
              <w:t>329</w:t>
            </w:r>
          </w:p>
          <w:p>
            <w:pPr>
              <w:pStyle w:val="TableContents"/>
              <w:spacing w:before="0" w:after="20"/>
              <w:jc w:val="right"/>
              <w:rPr>
                <w:rFonts w:ascii="Times New Roman" w:hAnsi="Times New Roman"/>
                <w:sz w:val="16"/>
              </w:rPr>
            </w:pPr>
            <w:r>
              <w:rPr>
                <w:rFonts w:ascii="Times New Roman" w:hAnsi="Times New Roman"/>
                <w:sz w:val="16"/>
              </w:rPr>
              <w:t>(EUR 336</w:t>
            </w:r>
          </w:p>
        </w:tc>
        <w:tc>
          <w:tcPr>
            <w:tcW w:w="125" w:type="dxa"/>
            <w:tcBorders/>
            <w:shd w:fill="CCEEFF" w:val="clear"/>
          </w:tcPr>
          <w:p>
            <w:pPr>
              <w:pStyle w:val="TableContents"/>
              <w:rPr/>
            </w:pPr>
            <w:r>
              <w:rPr/>
              <w:t> </w:t>
            </w:r>
          </w:p>
          <w:p>
            <w:pPr>
              <w:pStyle w:val="TableContents"/>
              <w:spacing w:before="0" w:after="20"/>
              <w:rPr>
                <w:rFonts w:ascii="Times New Roman" w:hAnsi="Times New Roman"/>
                <w:sz w:val="16"/>
              </w:rPr>
            </w:pPr>
            <w:r>
              <w:rPr>
                <w:rFonts w:ascii="Times New Roman" w:hAnsi="Times New Roman"/>
                <w:sz w:val="16"/>
              </w:rPr>
              <w:t>) </w:t>
            </w:r>
          </w:p>
        </w:tc>
        <w:tc>
          <w:tcPr>
            <w:tcW w:w="60" w:type="dxa"/>
            <w:tcBorders/>
            <w:shd w:fill="CCEEFF" w:val="clear"/>
            <w:vAlign w:val="bottom"/>
          </w:tcPr>
          <w:p>
            <w:pPr>
              <w:pStyle w:val="TableContents"/>
              <w:spacing w:before="0" w:after="283"/>
              <w:rPr/>
            </w:pPr>
            <w:r>
              <w:rPr/>
              <w:t> </w:t>
            </w:r>
          </w:p>
        </w:tc>
        <w:tc>
          <w:tcPr>
            <w:tcW w:w="159" w:type="dxa"/>
            <w:tcBorders/>
            <w:shd w:fill="CCEEFF" w:val="clear"/>
          </w:tcPr>
          <w:p>
            <w:pPr>
              <w:pStyle w:val="TableContents"/>
              <w:spacing w:before="0" w:after="283"/>
              <w:rPr/>
            </w:pPr>
            <w:r>
              <w:rPr/>
              <w:t> </w:t>
            </w:r>
          </w:p>
        </w:tc>
        <w:tc>
          <w:tcPr>
            <w:tcW w:w="1166" w:type="dxa"/>
            <w:tcBorders/>
            <w:shd w:fill="CCEEFF" w:val="clear"/>
          </w:tcPr>
          <w:p>
            <w:pPr>
              <w:pStyle w:val="TableContents"/>
              <w:spacing w:before="0" w:after="283"/>
              <w:jc w:val="right"/>
              <w:rPr/>
            </w:pPr>
            <w:r>
              <w:rPr/>
              <w:t>0.0</w:t>
            </w:r>
          </w:p>
        </w:tc>
        <w:tc>
          <w:tcPr>
            <w:tcW w:w="275" w:type="dxa"/>
            <w:tcBorders/>
            <w:shd w:fill="CCEEFF" w:val="clear"/>
          </w:tcPr>
          <w:p>
            <w:pPr>
              <w:pStyle w:val="TableContents"/>
              <w:spacing w:before="0" w:after="283"/>
              <w:rPr/>
            </w:pPr>
            <w:r>
              <w:rPr/>
              <w:t>% </w:t>
            </w:r>
          </w:p>
        </w:tc>
      </w:tr>
      <w:tr>
        <w:trPr/>
        <w:tc>
          <w:tcPr>
            <w:tcW w:w="2270" w:type="dxa"/>
            <w:tcBorders/>
            <w:shd w:fill="auto" w:val="clear"/>
          </w:tcPr>
          <w:p>
            <w:pPr>
              <w:pStyle w:val="TableContents"/>
              <w:spacing w:before="0" w:after="0"/>
              <w:rPr>
                <w:rFonts w:ascii="Times New Roman" w:hAnsi="Times New Roman"/>
                <w:sz w:val="16"/>
              </w:rPr>
            </w:pPr>
            <w:r>
              <w:rPr>
                <w:rFonts w:ascii="Times New Roman" w:hAnsi="Times New Roman"/>
                <w:sz w:val="16"/>
              </w:rPr>
              <w:t>Passport Labs, Inc.(3)</w:t>
            </w:r>
          </w:p>
        </w:tc>
        <w:tc>
          <w:tcPr>
            <w:tcW w:w="60" w:type="dxa"/>
            <w:tcBorders/>
            <w:shd w:fill="auto" w:val="clear"/>
            <w:vAlign w:val="bottom"/>
          </w:tcPr>
          <w:p>
            <w:pPr>
              <w:pStyle w:val="TableContents"/>
              <w:spacing w:before="0" w:after="283"/>
              <w:rPr/>
            </w:pPr>
            <w:r>
              <w:rPr/>
              <w:t> </w:t>
            </w:r>
          </w:p>
        </w:tc>
        <w:tc>
          <w:tcPr>
            <w:tcW w:w="4955" w:type="dxa"/>
            <w:tcBorders/>
            <w:shd w:fill="auto" w:val="clear"/>
          </w:tcPr>
          <w:p>
            <w:pPr>
              <w:pStyle w:val="TableContents"/>
              <w:spacing w:before="0" w:after="283"/>
              <w:rPr/>
            </w:pPr>
            <w:r>
              <w:rPr/>
              <w:t>First-lien loan ($23,142 par, due 4/2026)</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115" w:type="dxa"/>
            <w:tcBorders/>
            <w:shd w:fill="auto" w:val="clear"/>
          </w:tcPr>
          <w:p>
            <w:pPr>
              <w:pStyle w:val="TableContents"/>
              <w:spacing w:before="0" w:after="283"/>
              <w:jc w:val="right"/>
              <w:rPr/>
            </w:pPr>
            <w:r>
              <w:rPr/>
              <w:t>4/28/2021</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310" w:type="dxa"/>
            <w:tcBorders/>
            <w:shd w:fill="auto" w:val="clear"/>
          </w:tcPr>
          <w:p>
            <w:pPr>
              <w:pStyle w:val="TableContents"/>
              <w:spacing w:before="0" w:after="283"/>
              <w:jc w:val="right"/>
              <w:rPr/>
            </w:pPr>
            <w:r>
              <w:rPr/>
              <w:t>L + 8.25</w:t>
            </w:r>
          </w:p>
        </w:tc>
        <w:tc>
          <w:tcPr>
            <w:tcW w:w="27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5" w:type="dxa"/>
            <w:tcBorders/>
            <w:shd w:fill="auto" w:val="clear"/>
          </w:tcPr>
          <w:p>
            <w:pPr>
              <w:pStyle w:val="TableContents"/>
              <w:spacing w:before="0" w:after="283"/>
              <w:jc w:val="right"/>
              <w:rPr/>
            </w:pPr>
            <w:r>
              <w:rPr/>
              <w:t>11.11% (incl. 4.125% PIK)</w:t>
            </w:r>
          </w:p>
        </w:tc>
        <w:tc>
          <w:tcPr>
            <w:tcW w:w="60" w:type="dxa"/>
            <w:tcBorders/>
            <w:shd w:fill="auto" w:val="clear"/>
            <w:vAlign w:val="bottom"/>
          </w:tcPr>
          <w:p>
            <w:pPr>
              <w:pStyle w:val="TableContents"/>
              <w:spacing w:before="0" w:after="283"/>
              <w:rPr/>
            </w:pPr>
            <w:r>
              <w:rPr/>
              <w:t> </w:t>
            </w:r>
          </w:p>
        </w:tc>
        <w:tc>
          <w:tcPr>
            <w:tcW w:w="163" w:type="dxa"/>
            <w:tcBorders/>
            <w:shd w:fill="auto" w:val="clear"/>
          </w:tcPr>
          <w:p>
            <w:pPr>
              <w:pStyle w:val="TableContents"/>
              <w:spacing w:before="0" w:after="283"/>
              <w:rPr/>
            </w:pPr>
            <w:r>
              <w:rPr/>
              <w:t> </w:t>
            </w:r>
          </w:p>
        </w:tc>
        <w:tc>
          <w:tcPr>
            <w:tcW w:w="937" w:type="dxa"/>
            <w:tcBorders/>
            <w:shd w:fill="auto" w:val="clear"/>
          </w:tcPr>
          <w:p>
            <w:pPr>
              <w:pStyle w:val="TableContents"/>
              <w:spacing w:before="0" w:after="283"/>
              <w:jc w:val="right"/>
              <w:rPr/>
            </w:pPr>
            <w:r>
              <w:rPr/>
              <w:t>22,906</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tcPr>
          <w:p>
            <w:pPr>
              <w:pStyle w:val="TableContents"/>
              <w:spacing w:before="0" w:after="283"/>
              <w:rPr/>
            </w:pPr>
            <w:r>
              <w:rPr/>
              <w:t> </w:t>
            </w:r>
          </w:p>
        </w:tc>
        <w:tc>
          <w:tcPr>
            <w:tcW w:w="1040" w:type="dxa"/>
            <w:tcBorders/>
            <w:shd w:fill="auto" w:val="clear"/>
          </w:tcPr>
          <w:p>
            <w:pPr>
              <w:pStyle w:val="TableContents"/>
              <w:spacing w:before="0" w:after="283"/>
              <w:jc w:val="right"/>
              <w:rPr/>
            </w:pPr>
            <w:r>
              <w:rPr/>
              <w:t>22,541</w:t>
            </w:r>
          </w:p>
        </w:tc>
        <w:tc>
          <w:tcPr>
            <w:tcW w:w="12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tcPr>
          <w:p>
            <w:pPr>
              <w:pStyle w:val="TableContents"/>
              <w:spacing w:before="0" w:after="283"/>
              <w:rPr/>
            </w:pPr>
            <w:r>
              <w:rPr/>
              <w:t> </w:t>
            </w:r>
          </w:p>
        </w:tc>
        <w:tc>
          <w:tcPr>
            <w:tcW w:w="1166" w:type="dxa"/>
            <w:tcBorders/>
            <w:shd w:fill="auto" w:val="clear"/>
          </w:tcPr>
          <w:p>
            <w:pPr>
              <w:pStyle w:val="TableContents"/>
              <w:spacing w:before="0" w:after="283"/>
              <w:jc w:val="right"/>
              <w:rPr/>
            </w:pPr>
            <w:r>
              <w:rPr/>
              <w:t>1.7</w:t>
            </w:r>
          </w:p>
        </w:tc>
        <w:tc>
          <w:tcPr>
            <w:tcW w:w="275" w:type="dxa"/>
            <w:tcBorders/>
            <w:shd w:fill="auto" w:val="clear"/>
          </w:tcPr>
          <w:p>
            <w:pPr>
              <w:pStyle w:val="TableContents"/>
              <w:spacing w:before="0" w:after="283"/>
              <w:rPr/>
            </w:pPr>
            <w:r>
              <w:rPr/>
              <w:t>% </w:t>
            </w:r>
          </w:p>
        </w:tc>
      </w:tr>
      <w:tr>
        <w:trPr/>
        <w:tc>
          <w:tcPr>
            <w:tcW w:w="2270" w:type="dxa"/>
            <w:tcBorders/>
            <w:shd w:fill="CCEEFF" w:val="clear"/>
          </w:tcPr>
          <w:p>
            <w:pPr>
              <w:pStyle w:val="TableContents"/>
              <w:spacing w:before="0" w:after="0"/>
              <w:rPr>
                <w:rFonts w:ascii="Times New Roman" w:hAnsi="Times New Roman"/>
                <w:sz w:val="16"/>
              </w:rPr>
            </w:pPr>
            <w:r>
              <w:rPr>
                <w:rFonts w:ascii="Times New Roman" w:hAnsi="Times New Roman"/>
                <w:sz w:val="16"/>
              </w:rPr>
              <w:t>PrimeRevenue, Inc.(3)</w:t>
            </w:r>
          </w:p>
        </w:tc>
        <w:tc>
          <w:tcPr>
            <w:tcW w:w="60" w:type="dxa"/>
            <w:tcBorders/>
            <w:shd w:fill="CCEEFF" w:val="clear"/>
            <w:vAlign w:val="bottom"/>
          </w:tcPr>
          <w:p>
            <w:pPr>
              <w:pStyle w:val="TableContents"/>
              <w:spacing w:before="0" w:after="283"/>
              <w:rPr/>
            </w:pPr>
            <w:r>
              <w:rPr/>
              <w:t> </w:t>
            </w:r>
          </w:p>
        </w:tc>
        <w:tc>
          <w:tcPr>
            <w:tcW w:w="4955" w:type="dxa"/>
            <w:tcBorders/>
            <w:shd w:fill="CCEEFF" w:val="clear"/>
          </w:tcPr>
          <w:p>
            <w:pPr>
              <w:pStyle w:val="TableContents"/>
              <w:spacing w:before="0" w:after="283"/>
              <w:rPr/>
            </w:pPr>
            <w:r>
              <w:rPr/>
              <w:t>First-lien loan ($22,507 par, due 12/2023)</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115" w:type="dxa"/>
            <w:tcBorders/>
            <w:shd w:fill="CCEEFF" w:val="clear"/>
          </w:tcPr>
          <w:p>
            <w:pPr>
              <w:pStyle w:val="TableContents"/>
              <w:spacing w:before="0" w:after="283"/>
              <w:jc w:val="right"/>
              <w:rPr/>
            </w:pPr>
            <w:r>
              <w:rPr/>
              <w:t>12/31/2018</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310" w:type="dxa"/>
            <w:tcBorders/>
            <w:shd w:fill="CCEEFF" w:val="clear"/>
          </w:tcPr>
          <w:p>
            <w:pPr>
              <w:pStyle w:val="TableContents"/>
              <w:spacing w:before="0" w:after="283"/>
              <w:jc w:val="right"/>
              <w:rPr/>
            </w:pPr>
            <w:r>
              <w:rPr/>
              <w:t>L + 7.00</w:t>
            </w:r>
          </w:p>
        </w:tc>
        <w:tc>
          <w:tcPr>
            <w:tcW w:w="27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615" w:type="dxa"/>
            <w:tcBorders/>
            <w:shd w:fill="CCEEFF" w:val="clear"/>
          </w:tcPr>
          <w:p>
            <w:pPr>
              <w:pStyle w:val="TableContents"/>
              <w:spacing w:before="0" w:after="283"/>
              <w:jc w:val="right"/>
              <w:rPr/>
            </w:pPr>
            <w:r>
              <w:rPr/>
              <w:t>10.12%</w:t>
            </w:r>
          </w:p>
        </w:tc>
        <w:tc>
          <w:tcPr>
            <w:tcW w:w="60" w:type="dxa"/>
            <w:tcBorders/>
            <w:shd w:fill="CCEEFF" w:val="clear"/>
            <w:vAlign w:val="bottom"/>
          </w:tcPr>
          <w:p>
            <w:pPr>
              <w:pStyle w:val="TableContents"/>
              <w:spacing w:before="0" w:after="283"/>
              <w:rPr/>
            </w:pPr>
            <w:r>
              <w:rPr/>
              <w:t> </w:t>
            </w:r>
          </w:p>
        </w:tc>
        <w:tc>
          <w:tcPr>
            <w:tcW w:w="163" w:type="dxa"/>
            <w:tcBorders/>
            <w:shd w:fill="CCEEFF" w:val="clear"/>
          </w:tcPr>
          <w:p>
            <w:pPr>
              <w:pStyle w:val="TableContents"/>
              <w:spacing w:before="0" w:after="283"/>
              <w:rPr/>
            </w:pPr>
            <w:r>
              <w:rPr/>
              <w:t> </w:t>
            </w:r>
          </w:p>
        </w:tc>
        <w:tc>
          <w:tcPr>
            <w:tcW w:w="937" w:type="dxa"/>
            <w:tcBorders/>
            <w:shd w:fill="CCEEFF" w:val="clear"/>
          </w:tcPr>
          <w:p>
            <w:pPr>
              <w:pStyle w:val="TableContents"/>
              <w:spacing w:before="0" w:after="283"/>
              <w:jc w:val="right"/>
              <w:rPr/>
            </w:pPr>
            <w:r>
              <w:rPr/>
              <w:t>22,416</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tcPr>
          <w:p>
            <w:pPr>
              <w:pStyle w:val="TableContents"/>
              <w:spacing w:before="0" w:after="283"/>
              <w:rPr/>
            </w:pPr>
            <w:r>
              <w:rPr/>
              <w:t> </w:t>
            </w:r>
          </w:p>
        </w:tc>
        <w:tc>
          <w:tcPr>
            <w:tcW w:w="1040" w:type="dxa"/>
            <w:tcBorders/>
            <w:shd w:fill="CCEEFF" w:val="clear"/>
          </w:tcPr>
          <w:p>
            <w:pPr>
              <w:pStyle w:val="TableContents"/>
              <w:spacing w:before="0" w:after="283"/>
              <w:jc w:val="right"/>
              <w:rPr/>
            </w:pPr>
            <w:r>
              <w:rPr/>
              <w:t>22,579</w:t>
            </w:r>
          </w:p>
        </w:tc>
        <w:tc>
          <w:tcPr>
            <w:tcW w:w="12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tcPr>
          <w:p>
            <w:pPr>
              <w:pStyle w:val="TableContents"/>
              <w:spacing w:before="0" w:after="283"/>
              <w:rPr/>
            </w:pPr>
            <w:r>
              <w:rPr/>
              <w:t> </w:t>
            </w:r>
          </w:p>
        </w:tc>
        <w:tc>
          <w:tcPr>
            <w:tcW w:w="1166" w:type="dxa"/>
            <w:tcBorders/>
            <w:shd w:fill="CCEEFF" w:val="clear"/>
          </w:tcPr>
          <w:p>
            <w:pPr>
              <w:pStyle w:val="TableContents"/>
              <w:spacing w:before="0" w:after="283"/>
              <w:jc w:val="right"/>
              <w:rPr/>
            </w:pPr>
            <w:r>
              <w:rPr/>
              <w:t>1.7</w:t>
            </w:r>
          </w:p>
        </w:tc>
        <w:tc>
          <w:tcPr>
            <w:tcW w:w="275" w:type="dxa"/>
            <w:tcBorders/>
            <w:shd w:fill="CCEEFF" w:val="clear"/>
          </w:tcPr>
          <w:p>
            <w:pPr>
              <w:pStyle w:val="TableContents"/>
              <w:spacing w:before="0" w:after="283"/>
              <w:rPr/>
            </w:pPr>
            <w:r>
              <w:rPr/>
              <w:t>% </w:t>
            </w:r>
          </w:p>
        </w:tc>
      </w:tr>
      <w:tr>
        <w:trPr/>
        <w:tc>
          <w:tcPr>
            <w:tcW w:w="2270" w:type="dxa"/>
            <w:tcBorders/>
            <w:shd w:fill="auto" w:val="clear"/>
          </w:tcPr>
          <w:p>
            <w:pPr>
              <w:pStyle w:val="TableContents"/>
              <w:spacing w:before="0" w:after="0"/>
              <w:rPr>
                <w:rFonts w:ascii="Times New Roman" w:hAnsi="Times New Roman"/>
                <w:sz w:val="16"/>
              </w:rPr>
            </w:pPr>
            <w:r>
              <w:rPr>
                <w:rFonts w:ascii="Times New Roman" w:hAnsi="Times New Roman"/>
                <w:sz w:val="16"/>
              </w:rPr>
              <w:t>TradingScreen, Inc.(3)(5)</w:t>
            </w:r>
          </w:p>
        </w:tc>
        <w:tc>
          <w:tcPr>
            <w:tcW w:w="60" w:type="dxa"/>
            <w:tcBorders/>
            <w:shd w:fill="auto" w:val="clear"/>
            <w:vAlign w:val="bottom"/>
          </w:tcPr>
          <w:p>
            <w:pPr>
              <w:pStyle w:val="TableContents"/>
              <w:spacing w:before="0" w:after="283"/>
              <w:rPr/>
            </w:pPr>
            <w:r>
              <w:rPr/>
              <w:t> </w:t>
            </w:r>
          </w:p>
        </w:tc>
        <w:tc>
          <w:tcPr>
            <w:tcW w:w="4955" w:type="dxa"/>
            <w:tcBorders/>
            <w:shd w:fill="auto" w:val="clear"/>
          </w:tcPr>
          <w:p>
            <w:pPr>
              <w:pStyle w:val="TableContents"/>
              <w:spacing w:before="0" w:after="283"/>
              <w:rPr/>
            </w:pPr>
            <w:r>
              <w:rPr/>
              <w:t>First-lien loan ($44,775 par, due 4/2027)</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115" w:type="dxa"/>
            <w:tcBorders/>
            <w:shd w:fill="auto" w:val="clear"/>
          </w:tcPr>
          <w:p>
            <w:pPr>
              <w:pStyle w:val="TableContents"/>
              <w:spacing w:before="0" w:after="283"/>
              <w:jc w:val="right"/>
              <w:rPr/>
            </w:pPr>
            <w:r>
              <w:rPr/>
              <w:t>4/30/2021</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310" w:type="dxa"/>
            <w:tcBorders/>
            <w:shd w:fill="auto" w:val="clear"/>
          </w:tcPr>
          <w:p>
            <w:pPr>
              <w:pStyle w:val="TableContents"/>
              <w:spacing w:before="0" w:after="283"/>
              <w:jc w:val="right"/>
              <w:rPr/>
            </w:pPr>
            <w:r>
              <w:rPr/>
              <w:t>L + 6.25</w:t>
            </w:r>
          </w:p>
        </w:tc>
        <w:tc>
          <w:tcPr>
            <w:tcW w:w="27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615" w:type="dxa"/>
            <w:tcBorders/>
            <w:shd w:fill="auto" w:val="clear"/>
          </w:tcPr>
          <w:p>
            <w:pPr>
              <w:pStyle w:val="TableContents"/>
              <w:spacing w:before="0" w:after="283"/>
              <w:jc w:val="right"/>
              <w:rPr/>
            </w:pPr>
            <w:r>
              <w:rPr/>
              <w:t>9.06%</w:t>
            </w:r>
          </w:p>
        </w:tc>
        <w:tc>
          <w:tcPr>
            <w:tcW w:w="60" w:type="dxa"/>
            <w:tcBorders/>
            <w:shd w:fill="auto" w:val="clear"/>
            <w:vAlign w:val="bottom"/>
          </w:tcPr>
          <w:p>
            <w:pPr>
              <w:pStyle w:val="TableContents"/>
              <w:spacing w:before="0" w:after="283"/>
              <w:rPr/>
            </w:pPr>
            <w:r>
              <w:rPr/>
              <w:t> </w:t>
            </w:r>
          </w:p>
        </w:tc>
        <w:tc>
          <w:tcPr>
            <w:tcW w:w="163" w:type="dxa"/>
            <w:tcBorders/>
            <w:shd w:fill="auto" w:val="clear"/>
          </w:tcPr>
          <w:p>
            <w:pPr>
              <w:pStyle w:val="TableContents"/>
              <w:spacing w:before="0" w:after="283"/>
              <w:rPr/>
            </w:pPr>
            <w:r>
              <w:rPr/>
              <w:t> </w:t>
            </w:r>
          </w:p>
        </w:tc>
        <w:tc>
          <w:tcPr>
            <w:tcW w:w="937" w:type="dxa"/>
            <w:tcBorders/>
            <w:shd w:fill="auto" w:val="clear"/>
          </w:tcPr>
          <w:p>
            <w:pPr>
              <w:pStyle w:val="TableContents"/>
              <w:spacing w:before="0" w:after="283"/>
              <w:jc w:val="right"/>
              <w:rPr/>
            </w:pPr>
            <w:r>
              <w:rPr/>
              <w:t>43,706</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tcPr>
          <w:p>
            <w:pPr>
              <w:pStyle w:val="TableContents"/>
              <w:spacing w:before="0" w:after="283"/>
              <w:rPr/>
            </w:pPr>
            <w:r>
              <w:rPr/>
              <w:t> </w:t>
            </w:r>
          </w:p>
        </w:tc>
        <w:tc>
          <w:tcPr>
            <w:tcW w:w="1040" w:type="dxa"/>
            <w:tcBorders/>
            <w:shd w:fill="auto" w:val="clear"/>
          </w:tcPr>
          <w:p>
            <w:pPr>
              <w:pStyle w:val="TableContents"/>
              <w:spacing w:before="0" w:after="283"/>
              <w:jc w:val="right"/>
              <w:rPr/>
            </w:pPr>
            <w:r>
              <w:rPr/>
              <w:t>43,768</w:t>
            </w:r>
          </w:p>
        </w:tc>
        <w:tc>
          <w:tcPr>
            <w:tcW w:w="12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tcPr>
          <w:p>
            <w:pPr>
              <w:pStyle w:val="TableContents"/>
              <w:spacing w:before="0" w:after="283"/>
              <w:rPr/>
            </w:pPr>
            <w:r>
              <w:rPr/>
              <w:t> </w:t>
            </w:r>
          </w:p>
        </w:tc>
        <w:tc>
          <w:tcPr>
            <w:tcW w:w="1166" w:type="dxa"/>
            <w:tcBorders/>
            <w:shd w:fill="auto" w:val="clear"/>
          </w:tcPr>
          <w:p>
            <w:pPr>
              <w:pStyle w:val="TableContents"/>
              <w:spacing w:before="0" w:after="283"/>
              <w:jc w:val="right"/>
              <w:rPr/>
            </w:pPr>
            <w:r>
              <w:rPr/>
              <w:t>3.3</w:t>
            </w:r>
          </w:p>
        </w:tc>
        <w:tc>
          <w:tcPr>
            <w:tcW w:w="275" w:type="dxa"/>
            <w:tcBorders/>
            <w:shd w:fill="auto" w:val="clear"/>
          </w:tcPr>
          <w:p>
            <w:pPr>
              <w:pStyle w:val="TableContents"/>
              <w:spacing w:before="0" w:after="283"/>
              <w:rPr/>
            </w:pPr>
            <w:r>
              <w:rPr/>
              <w:t>% </w:t>
            </w:r>
          </w:p>
        </w:tc>
      </w:tr>
      <w:tr>
        <w:trPr/>
        <w:tc>
          <w:tcPr>
            <w:tcW w:w="227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9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1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31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6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pBdr>
                <w:top w:val="single" w:sz="2" w:space="1" w:color="000000"/>
              </w:pBdr>
              <w:spacing w:before="0" w:after="0"/>
              <w:rPr/>
            </w:pPr>
            <w:r>
              <w:rPr/>
              <w:t> </w:t>
            </w:r>
          </w:p>
        </w:tc>
        <w:tc>
          <w:tcPr>
            <w:tcW w:w="93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pBdr>
                <w:top w:val="single" w:sz="2" w:space="1" w:color="000000"/>
              </w:pBdr>
              <w:spacing w:before="0" w:after="0"/>
              <w:rPr/>
            </w:pPr>
            <w:r>
              <w:rPr/>
              <w:t> </w:t>
            </w:r>
          </w:p>
        </w:tc>
        <w:tc>
          <w:tcPr>
            <w:tcW w:w="1040" w:type="dxa"/>
            <w:tcBorders/>
            <w:shd w:fill="auto" w:val="clear"/>
            <w:vAlign w:val="bottom"/>
          </w:tcPr>
          <w:p>
            <w:pPr>
              <w:pStyle w:val="TableContents"/>
              <w:pBdr>
                <w:top w:val="single" w:sz="2" w:space="1" w:color="000000"/>
              </w:pBdr>
              <w:spacing w:before="0" w:after="0"/>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single" w:sz="2" w:space="1" w:color="000000"/>
              </w:pBdr>
              <w:spacing w:before="0" w:after="0"/>
              <w:rPr/>
            </w:pPr>
            <w:r>
              <w:rPr/>
              <w:t> </w:t>
            </w:r>
          </w:p>
        </w:tc>
        <w:tc>
          <w:tcPr>
            <w:tcW w:w="1166" w:type="dxa"/>
            <w:tcBorders/>
            <w:shd w:fill="auto" w:val="clear"/>
            <w:vAlign w:val="bottom"/>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r>
      <w:tr>
        <w:trPr/>
        <w:tc>
          <w:tcPr>
            <w:tcW w:w="227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495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sz w:val="4"/>
                <w:szCs w:val="4"/>
              </w:rPr>
            </w:pPr>
            <w:r>
              <w:rPr>
                <w:sz w:val="4"/>
                <w:szCs w:val="4"/>
              </w:rPr>
            </w:r>
          </w:p>
        </w:tc>
        <w:tc>
          <w:tcPr>
            <w:tcW w:w="1115" w:type="dxa"/>
            <w:tcBorders/>
            <w:shd w:fill="CCEEFF" w:val="clear"/>
          </w:tcPr>
          <w:p>
            <w:pPr>
              <w:pStyle w:val="TableContents"/>
              <w:spacing w:before="0" w:after="283"/>
              <w:rPr>
                <w:sz w:val="4"/>
                <w:szCs w:val="4"/>
              </w:rPr>
            </w:pPr>
            <w:r>
              <w:rPr>
                <w:sz w:val="4"/>
                <w:szCs w:val="4"/>
              </w:rPr>
            </w:r>
          </w:p>
        </w:tc>
        <w:tc>
          <w:tcPr>
            <w:tcW w:w="6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sz w:val="4"/>
                <w:szCs w:val="4"/>
              </w:rPr>
            </w:pPr>
            <w:r>
              <w:rPr>
                <w:sz w:val="4"/>
                <w:szCs w:val="4"/>
              </w:rPr>
            </w:r>
          </w:p>
        </w:tc>
        <w:tc>
          <w:tcPr>
            <w:tcW w:w="1310" w:type="dxa"/>
            <w:tcBorders/>
            <w:shd w:fill="CCEEFF" w:val="clear"/>
          </w:tcPr>
          <w:p>
            <w:pPr>
              <w:pStyle w:val="TableContents"/>
              <w:spacing w:before="0" w:after="283"/>
              <w:rPr>
                <w:sz w:val="4"/>
                <w:szCs w:val="4"/>
              </w:rPr>
            </w:pPr>
            <w:r>
              <w:rPr>
                <w:sz w:val="4"/>
                <w:szCs w:val="4"/>
              </w:rPr>
            </w:r>
          </w:p>
        </w:tc>
        <w:tc>
          <w:tcPr>
            <w:tcW w:w="27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61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63" w:type="dxa"/>
            <w:tcBorders/>
            <w:shd w:fill="CCEEFF" w:val="clear"/>
          </w:tcPr>
          <w:p>
            <w:pPr>
              <w:pStyle w:val="TableContents"/>
              <w:spacing w:before="0" w:after="283"/>
              <w:rPr/>
            </w:pPr>
            <w:r>
              <w:rPr/>
              <w:t> </w:t>
            </w:r>
          </w:p>
        </w:tc>
        <w:tc>
          <w:tcPr>
            <w:tcW w:w="937" w:type="dxa"/>
            <w:tcBorders/>
            <w:shd w:fill="CCEEFF" w:val="clear"/>
          </w:tcPr>
          <w:p>
            <w:pPr>
              <w:pStyle w:val="TableContents"/>
              <w:spacing w:before="0" w:after="283"/>
              <w:jc w:val="right"/>
              <w:rPr/>
            </w:pPr>
            <w:r>
              <w:rPr/>
              <w:t>298,049</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0" w:type="dxa"/>
            <w:tcBorders/>
            <w:shd w:fill="CCEEFF" w:val="clear"/>
          </w:tcPr>
          <w:p>
            <w:pPr>
              <w:pStyle w:val="TableContents"/>
              <w:spacing w:before="0" w:after="283"/>
              <w:rPr/>
            </w:pPr>
            <w:r>
              <w:rPr/>
              <w:t> </w:t>
            </w:r>
          </w:p>
        </w:tc>
        <w:tc>
          <w:tcPr>
            <w:tcW w:w="1040" w:type="dxa"/>
            <w:tcBorders/>
            <w:shd w:fill="CCEEFF" w:val="clear"/>
          </w:tcPr>
          <w:p>
            <w:pPr>
              <w:pStyle w:val="TableContents"/>
              <w:spacing w:before="0" w:after="283"/>
              <w:jc w:val="right"/>
              <w:rPr/>
            </w:pPr>
            <w:r>
              <w:rPr/>
              <w:t>297,996</w:t>
            </w:r>
          </w:p>
        </w:tc>
        <w:tc>
          <w:tcPr>
            <w:tcW w:w="12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tcPr>
          <w:p>
            <w:pPr>
              <w:pStyle w:val="TableContents"/>
              <w:spacing w:before="0" w:after="283"/>
              <w:rPr/>
            </w:pPr>
            <w:r>
              <w:rPr/>
              <w:t> </w:t>
            </w:r>
          </w:p>
        </w:tc>
        <w:tc>
          <w:tcPr>
            <w:tcW w:w="1166" w:type="dxa"/>
            <w:tcBorders/>
            <w:shd w:fill="CCEEFF" w:val="clear"/>
          </w:tcPr>
          <w:p>
            <w:pPr>
              <w:pStyle w:val="TableContents"/>
              <w:spacing w:before="0" w:after="283"/>
              <w:jc w:val="right"/>
              <w:rPr/>
            </w:pPr>
            <w:r>
              <w:rPr/>
              <w:t>22.5</w:t>
            </w:r>
          </w:p>
        </w:tc>
        <w:tc>
          <w:tcPr>
            <w:tcW w:w="275" w:type="dxa"/>
            <w:tcBorders/>
            <w:shd w:fill="CCEEFF" w:val="clear"/>
          </w:tcPr>
          <w:p>
            <w:pPr>
              <w:pStyle w:val="TableContents"/>
              <w:spacing w:before="0" w:after="283"/>
              <w:rPr/>
            </w:pPr>
            <w:r>
              <w:rPr/>
              <w:t>% </w:t>
            </w:r>
          </w:p>
        </w:tc>
      </w:tr>
      <w:tr>
        <w:trPr/>
        <w:tc>
          <w:tcPr>
            <w:tcW w:w="227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9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1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31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6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3" w:type="dxa"/>
            <w:tcBorders/>
            <w:shd w:fill="auto" w:val="clear"/>
            <w:vAlign w:val="bottom"/>
          </w:tcPr>
          <w:p>
            <w:pPr>
              <w:pStyle w:val="TableContents"/>
              <w:pBdr>
                <w:top w:val="single" w:sz="2" w:space="1" w:color="000000"/>
              </w:pBdr>
              <w:spacing w:before="0" w:after="0"/>
              <w:rPr/>
            </w:pPr>
            <w:r>
              <w:rPr/>
              <w:t> </w:t>
            </w:r>
          </w:p>
        </w:tc>
        <w:tc>
          <w:tcPr>
            <w:tcW w:w="93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0" w:type="dxa"/>
            <w:tcBorders/>
            <w:shd w:fill="auto" w:val="clear"/>
            <w:vAlign w:val="bottom"/>
          </w:tcPr>
          <w:p>
            <w:pPr>
              <w:pStyle w:val="TableContents"/>
              <w:pBdr>
                <w:top w:val="single" w:sz="2" w:space="1" w:color="000000"/>
              </w:pBdr>
              <w:spacing w:before="0" w:after="0"/>
              <w:rPr/>
            </w:pPr>
            <w:r>
              <w:rPr/>
              <w:t> </w:t>
            </w:r>
          </w:p>
        </w:tc>
        <w:tc>
          <w:tcPr>
            <w:tcW w:w="1040" w:type="dxa"/>
            <w:tcBorders/>
            <w:shd w:fill="auto" w:val="clear"/>
            <w:vAlign w:val="bottom"/>
          </w:tcPr>
          <w:p>
            <w:pPr>
              <w:pStyle w:val="TableContents"/>
              <w:pBdr>
                <w:top w:val="single" w:sz="2" w:space="1" w:color="000000"/>
              </w:pBdr>
              <w:spacing w:before="0" w:after="0"/>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single" w:sz="2" w:space="1" w:color="000000"/>
              </w:pBdr>
              <w:spacing w:before="0" w:after="0"/>
              <w:rPr/>
            </w:pPr>
            <w:r>
              <w:rPr/>
              <w:t> </w:t>
            </w:r>
          </w:p>
        </w:tc>
        <w:tc>
          <w:tcPr>
            <w:tcW w:w="1166" w:type="dxa"/>
            <w:tcBorders/>
            <w:shd w:fill="auto" w:val="clear"/>
            <w:vAlign w:val="bottom"/>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r>
      <w:tr>
        <w:trPr/>
        <w:tc>
          <w:tcPr>
            <w:tcW w:w="2270" w:type="dxa"/>
            <w:tcBorders/>
            <w:shd w:fill="auto" w:val="clear"/>
          </w:tcPr>
          <w:p>
            <w:pPr>
              <w:pStyle w:val="TableContents"/>
              <w:spacing w:before="0" w:after="0"/>
              <w:rPr>
                <w:rFonts w:ascii="Times New Roman" w:hAnsi="Times New Roman"/>
                <w:b/>
                <w:sz w:val="16"/>
              </w:rPr>
            </w:pPr>
            <w:r>
              <w:rPr>
                <w:rFonts w:ascii="Times New Roman" w:hAnsi="Times New Roman"/>
                <w:b/>
                <w:sz w:val="16"/>
              </w:rPr>
              <w:t>Healthcare</w:t>
            </w:r>
          </w:p>
        </w:tc>
        <w:tc>
          <w:tcPr>
            <w:tcW w:w="60" w:type="dxa"/>
            <w:tcBorders/>
            <w:shd w:fill="auto" w:val="clear"/>
            <w:vAlign w:val="bottom"/>
          </w:tcPr>
          <w:p>
            <w:pPr>
              <w:pStyle w:val="TableContents"/>
              <w:spacing w:before="0" w:after="283"/>
              <w:rPr/>
            </w:pPr>
            <w:r>
              <w:rPr/>
              <w:t> </w:t>
            </w:r>
          </w:p>
        </w:tc>
        <w:tc>
          <w:tcPr>
            <w:tcW w:w="495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1115"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1310" w:type="dxa"/>
            <w:tcBorders/>
            <w:shd w:fill="auto" w:val="clear"/>
          </w:tcPr>
          <w:p>
            <w:pPr>
              <w:pStyle w:val="TableContents"/>
              <w:spacing w:before="0" w:after="283"/>
              <w:rPr>
                <w:sz w:val="4"/>
                <w:szCs w:val="4"/>
              </w:rPr>
            </w:pPr>
            <w:r>
              <w:rPr>
                <w:sz w:val="4"/>
                <w:szCs w:val="4"/>
              </w:rPr>
            </w:r>
          </w:p>
        </w:tc>
        <w:tc>
          <w:tcPr>
            <w:tcW w:w="27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61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3" w:type="dxa"/>
            <w:tcBorders/>
            <w:shd w:fill="auto" w:val="clear"/>
          </w:tcPr>
          <w:p>
            <w:pPr>
              <w:pStyle w:val="TableContents"/>
              <w:spacing w:before="0" w:after="283"/>
              <w:rPr>
                <w:sz w:val="4"/>
                <w:szCs w:val="4"/>
              </w:rPr>
            </w:pPr>
            <w:r>
              <w:rPr>
                <w:sz w:val="4"/>
                <w:szCs w:val="4"/>
              </w:rPr>
            </w:r>
          </w:p>
        </w:tc>
        <w:tc>
          <w:tcPr>
            <w:tcW w:w="937"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50" w:type="dxa"/>
            <w:tcBorders/>
            <w:shd w:fill="auto" w:val="clear"/>
          </w:tcPr>
          <w:p>
            <w:pPr>
              <w:pStyle w:val="TableContents"/>
              <w:spacing w:before="0" w:after="283"/>
              <w:rPr>
                <w:sz w:val="4"/>
                <w:szCs w:val="4"/>
              </w:rPr>
            </w:pPr>
            <w:r>
              <w:rPr>
                <w:sz w:val="4"/>
                <w:szCs w:val="4"/>
              </w:rPr>
            </w:r>
          </w:p>
        </w:tc>
        <w:tc>
          <w:tcPr>
            <w:tcW w:w="1040" w:type="dxa"/>
            <w:tcBorders/>
            <w:shd w:fill="auto" w:val="clear"/>
          </w:tcPr>
          <w:p>
            <w:pPr>
              <w:pStyle w:val="TableContents"/>
              <w:spacing w:before="0" w:after="283"/>
              <w:rPr>
                <w:sz w:val="4"/>
                <w:szCs w:val="4"/>
              </w:rPr>
            </w:pPr>
            <w:r>
              <w:rPr>
                <w:sz w:val="4"/>
                <w:szCs w:val="4"/>
              </w:rPr>
            </w:r>
          </w:p>
        </w:tc>
        <w:tc>
          <w:tcPr>
            <w:tcW w:w="12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59" w:type="dxa"/>
            <w:tcBorders/>
            <w:shd w:fill="auto" w:val="clear"/>
          </w:tcPr>
          <w:p>
            <w:pPr>
              <w:pStyle w:val="TableContents"/>
              <w:spacing w:before="0" w:after="283"/>
              <w:rPr>
                <w:sz w:val="4"/>
                <w:szCs w:val="4"/>
              </w:rPr>
            </w:pPr>
            <w:r>
              <w:rPr>
                <w:sz w:val="4"/>
                <w:szCs w:val="4"/>
              </w:rPr>
            </w:r>
          </w:p>
        </w:tc>
        <w:tc>
          <w:tcPr>
            <w:tcW w:w="1166" w:type="dxa"/>
            <w:tcBorders/>
            <w:shd w:fill="auto" w:val="clear"/>
          </w:tcPr>
          <w:p>
            <w:pPr>
              <w:pStyle w:val="TableContents"/>
              <w:spacing w:before="0" w:after="283"/>
              <w:rPr>
                <w:sz w:val="4"/>
                <w:szCs w:val="4"/>
              </w:rPr>
            </w:pPr>
            <w:r>
              <w:rPr>
                <w:sz w:val="4"/>
                <w:szCs w:val="4"/>
              </w:rPr>
            </w:r>
          </w:p>
        </w:tc>
        <w:tc>
          <w:tcPr>
            <w:tcW w:w="275" w:type="dxa"/>
            <w:tcBorders/>
            <w:shd w:fill="auto" w:val="clear"/>
          </w:tcPr>
          <w:p>
            <w:pPr>
              <w:pStyle w:val="TableContents"/>
              <w:spacing w:before="0" w:after="283"/>
              <w:rPr>
                <w:sz w:val="4"/>
                <w:szCs w:val="4"/>
              </w:rPr>
            </w:pPr>
            <w:r>
              <w:rPr>
                <w:sz w:val="4"/>
                <w:szCs w:val="4"/>
              </w:rPr>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16960" w:type="dxa"/>
        <w:jc w:val="center"/>
        <w:tblInd w:w="0" w:type="dxa"/>
        <w:tblCellMar>
          <w:top w:w="0" w:type="dxa"/>
          <w:left w:w="0" w:type="dxa"/>
          <w:bottom w:w="0" w:type="dxa"/>
          <w:right w:w="0" w:type="dxa"/>
        </w:tblCellMar>
      </w:tblPr>
      <w:tblGrid>
        <w:gridCol w:w="2270"/>
        <w:gridCol w:w="60"/>
        <w:gridCol w:w="4820"/>
        <w:gridCol w:w="60"/>
        <w:gridCol w:w="60"/>
        <w:gridCol w:w="1115"/>
        <w:gridCol w:w="60"/>
        <w:gridCol w:w="60"/>
        <w:gridCol w:w="60"/>
        <w:gridCol w:w="1310"/>
        <w:gridCol w:w="275"/>
        <w:gridCol w:w="60"/>
        <w:gridCol w:w="2495"/>
        <w:gridCol w:w="60"/>
        <w:gridCol w:w="76"/>
        <w:gridCol w:w="1024"/>
        <w:gridCol w:w="60"/>
        <w:gridCol w:w="60"/>
        <w:gridCol w:w="68"/>
        <w:gridCol w:w="1122"/>
        <w:gridCol w:w="125"/>
        <w:gridCol w:w="60"/>
        <w:gridCol w:w="159"/>
        <w:gridCol w:w="1166"/>
        <w:gridCol w:w="275"/>
      </w:tblGrid>
      <w:tr>
        <w:trPr/>
        <w:tc>
          <w:tcPr>
            <w:tcW w:w="22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8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1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31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4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112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166"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2270" w:type="dxa"/>
            <w:tcBorders/>
            <w:shd w:fill="auto" w:val="clear"/>
            <w:vAlign w:val="bottom"/>
          </w:tcPr>
          <w:p>
            <w:pPr>
              <w:pStyle w:val="TableContents"/>
              <w:pBdr>
                <w:bottom w:val="single" w:sz="8" w:space="1" w:color="000000"/>
              </w:pBdr>
              <w:spacing w:before="0" w:after="0"/>
              <w:rPr>
                <w:rFonts w:ascii="Times New Roman" w:hAnsi="Times New Roman"/>
                <w:b/>
                <w:sz w:val="14"/>
              </w:rPr>
            </w:pPr>
            <w:r>
              <w:rPr>
                <w:rFonts w:ascii="Times New Roman" w:hAnsi="Times New Roman"/>
                <w:b/>
                <w:sz w:val="14"/>
              </w:rPr>
              <w:t>Company(1)(6)</w:t>
            </w:r>
          </w:p>
        </w:tc>
        <w:tc>
          <w:tcPr>
            <w:tcW w:w="60" w:type="dxa"/>
            <w:tcBorders/>
            <w:shd w:fill="auto" w:val="clear"/>
            <w:vAlign w:val="bottom"/>
          </w:tcPr>
          <w:p>
            <w:pPr>
              <w:pStyle w:val="TableContents"/>
              <w:spacing w:before="0" w:after="283"/>
              <w:rPr/>
            </w:pPr>
            <w:r>
              <w:rPr/>
              <w:t> </w:t>
            </w:r>
          </w:p>
        </w:tc>
        <w:tc>
          <w:tcPr>
            <w:tcW w:w="4820"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4"/>
              </w:rPr>
            </w:pPr>
            <w:r>
              <w:rPr>
                <w:rFonts w:ascii="Times New Roman" w:hAnsi="Times New Roman"/>
                <w:b/>
                <w:sz w:val="14"/>
              </w:rPr>
              <w:t>Investment</w:t>
            </w:r>
          </w:p>
        </w:tc>
        <w:tc>
          <w:tcPr>
            <w:tcW w:w="60" w:type="dxa"/>
            <w:tcBorders/>
            <w:shd w:fill="auto" w:val="clear"/>
            <w:vAlign w:val="bottom"/>
          </w:tcPr>
          <w:p>
            <w:pPr>
              <w:pStyle w:val="TableContents"/>
              <w:spacing w:before="0" w:after="283"/>
              <w:rPr/>
            </w:pPr>
            <w:r>
              <w:rPr/>
              <w:t> </w:t>
            </w:r>
          </w:p>
        </w:tc>
        <w:tc>
          <w:tcPr>
            <w:tcW w:w="11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Initial</w:t>
              <w:br/>
              <w:t>Acquisition</w:t>
              <w:br/>
              <w:t>Date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7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Reference</w:t>
              <w:br/>
              <w:t>Rate and</w:t>
              <w:br/>
              <w:t>Spread</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95"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4"/>
              </w:rPr>
            </w:pPr>
            <w:r>
              <w:rPr>
                <w:rFonts w:ascii="Times New Roman" w:hAnsi="Times New Roman"/>
                <w:b/>
                <w:sz w:val="14"/>
              </w:rPr>
              <w:t>Interest Rate</w:t>
            </w:r>
          </w:p>
        </w:tc>
        <w:tc>
          <w:tcPr>
            <w:tcW w:w="60" w:type="dxa"/>
            <w:tcBorders/>
            <w:shd w:fill="auto" w:val="clear"/>
            <w:vAlign w:val="bottom"/>
          </w:tcPr>
          <w:p>
            <w:pPr>
              <w:pStyle w:val="TableContents"/>
              <w:spacing w:before="0" w:after="283"/>
              <w:rPr/>
            </w:pPr>
            <w:r>
              <w:rPr/>
              <w:t> </w:t>
            </w:r>
          </w:p>
        </w:tc>
        <w:tc>
          <w:tcPr>
            <w:tcW w:w="11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Amortized</w:t>
              <w:br/>
              <w:t>Cost(2)(8)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Fair Value(9)</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2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Percentage</w:t>
              <w:br/>
              <w:t>of Net Assets</w:t>
            </w:r>
          </w:p>
        </w:tc>
        <w:tc>
          <w:tcPr>
            <w:tcW w:w="275" w:type="dxa"/>
            <w:tcBorders/>
            <w:shd w:fill="auto" w:val="clear"/>
            <w:vAlign w:val="bottom"/>
          </w:tcPr>
          <w:p>
            <w:pPr>
              <w:pStyle w:val="TableContents"/>
              <w:spacing w:before="0" w:after="283"/>
              <w:rPr/>
            </w:pPr>
            <w:r>
              <w:rPr/>
              <w:t> </w:t>
            </w:r>
          </w:p>
        </w:tc>
      </w:tr>
      <w:tr>
        <w:trPr/>
        <w:tc>
          <w:tcPr>
            <w:tcW w:w="2270" w:type="dxa"/>
            <w:tcBorders/>
            <w:shd w:fill="CCEEFF" w:val="clear"/>
          </w:tcPr>
          <w:p>
            <w:pPr>
              <w:pStyle w:val="TableContents"/>
              <w:spacing w:before="0" w:after="0"/>
              <w:rPr>
                <w:rFonts w:ascii="Times New Roman" w:hAnsi="Times New Roman"/>
                <w:sz w:val="16"/>
              </w:rPr>
            </w:pPr>
            <w:r>
              <w:rPr>
                <w:rFonts w:ascii="Times New Roman" w:hAnsi="Times New Roman"/>
                <w:sz w:val="16"/>
              </w:rPr>
              <w:t>BCTO Ace Purchaser, Inc.(3)(5)</w:t>
            </w:r>
          </w:p>
        </w:tc>
        <w:tc>
          <w:tcPr>
            <w:tcW w:w="60" w:type="dxa"/>
            <w:tcBorders/>
            <w:shd w:fill="CCEEFF" w:val="clear"/>
            <w:vAlign w:val="bottom"/>
          </w:tcPr>
          <w:p>
            <w:pPr>
              <w:pStyle w:val="TableContents"/>
              <w:spacing w:before="0" w:after="283"/>
              <w:rPr/>
            </w:pPr>
            <w:r>
              <w:rPr/>
              <w:t> </w:t>
            </w:r>
          </w:p>
        </w:tc>
        <w:tc>
          <w:tcPr>
            <w:tcW w:w="4820" w:type="dxa"/>
            <w:tcBorders/>
            <w:shd w:fill="CCEEFF" w:val="clear"/>
          </w:tcPr>
          <w:p>
            <w:pPr>
              <w:pStyle w:val="TableContents"/>
              <w:spacing w:before="0" w:after="283"/>
              <w:rPr/>
            </w:pPr>
            <w:r>
              <w:rPr/>
              <w:t>First-lien loan ($61,585 par, due 11/2026)</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115" w:type="dxa"/>
            <w:tcBorders/>
            <w:shd w:fill="CCEEFF" w:val="clear"/>
          </w:tcPr>
          <w:p>
            <w:pPr>
              <w:pStyle w:val="TableContents"/>
              <w:spacing w:before="0" w:after="283"/>
              <w:jc w:val="right"/>
              <w:rPr/>
            </w:pPr>
            <w:r>
              <w:rPr/>
              <w:t>11/23/2020</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310" w:type="dxa"/>
            <w:tcBorders/>
            <w:shd w:fill="CCEEFF" w:val="clear"/>
          </w:tcPr>
          <w:p>
            <w:pPr>
              <w:pStyle w:val="TableContents"/>
              <w:spacing w:before="0" w:after="283"/>
              <w:jc w:val="right"/>
              <w:rPr/>
            </w:pPr>
            <w:r>
              <w:rPr/>
              <w:t>SOFR + 7.50</w:t>
            </w:r>
          </w:p>
        </w:tc>
        <w:tc>
          <w:tcPr>
            <w:tcW w:w="27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95" w:type="dxa"/>
            <w:tcBorders/>
            <w:shd w:fill="CCEEFF" w:val="clear"/>
          </w:tcPr>
          <w:p>
            <w:pPr>
              <w:pStyle w:val="TableContents"/>
              <w:spacing w:before="0" w:after="283"/>
              <w:jc w:val="right"/>
              <w:rPr/>
            </w:pPr>
            <w:r>
              <w:rPr/>
              <w:t>10.60%</w:t>
            </w:r>
          </w:p>
        </w:tc>
        <w:tc>
          <w:tcPr>
            <w:tcW w:w="60" w:type="dxa"/>
            <w:tcBorders/>
            <w:shd w:fill="CCEEFF" w:val="clear"/>
            <w:vAlign w:val="bottom"/>
          </w:tcPr>
          <w:p>
            <w:pPr>
              <w:pStyle w:val="TableContents"/>
              <w:spacing w:before="0" w:after="283"/>
              <w:rPr/>
            </w:pPr>
            <w:r>
              <w:rPr/>
              <w:t> </w:t>
            </w:r>
          </w:p>
        </w:tc>
        <w:tc>
          <w:tcPr>
            <w:tcW w:w="76" w:type="dxa"/>
            <w:tcBorders/>
            <w:shd w:fill="CCEEFF" w:val="clear"/>
          </w:tcPr>
          <w:p>
            <w:pPr>
              <w:pStyle w:val="TableContents"/>
              <w:spacing w:before="0" w:after="283"/>
              <w:rPr/>
            </w:pPr>
            <w:r>
              <w:rPr/>
              <w:t> </w:t>
            </w:r>
          </w:p>
        </w:tc>
        <w:tc>
          <w:tcPr>
            <w:tcW w:w="1024" w:type="dxa"/>
            <w:tcBorders/>
            <w:shd w:fill="CCEEFF" w:val="clear"/>
          </w:tcPr>
          <w:p>
            <w:pPr>
              <w:pStyle w:val="TableContents"/>
              <w:spacing w:before="0" w:after="283"/>
              <w:jc w:val="right"/>
              <w:rPr/>
            </w:pPr>
            <w:r>
              <w:rPr/>
              <w:t>60,398</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 w:type="dxa"/>
            <w:tcBorders/>
            <w:shd w:fill="CCEEFF" w:val="clear"/>
          </w:tcPr>
          <w:p>
            <w:pPr>
              <w:pStyle w:val="TableContents"/>
              <w:spacing w:before="0" w:after="283"/>
              <w:rPr/>
            </w:pPr>
            <w:r>
              <w:rPr/>
              <w:t> </w:t>
            </w:r>
          </w:p>
        </w:tc>
        <w:tc>
          <w:tcPr>
            <w:tcW w:w="1122" w:type="dxa"/>
            <w:tcBorders/>
            <w:shd w:fill="CCEEFF" w:val="clear"/>
          </w:tcPr>
          <w:p>
            <w:pPr>
              <w:pStyle w:val="TableContents"/>
              <w:spacing w:before="0" w:after="283"/>
              <w:jc w:val="right"/>
              <w:rPr/>
            </w:pPr>
            <w:r>
              <w:rPr/>
              <w:t>60,507</w:t>
            </w:r>
          </w:p>
        </w:tc>
        <w:tc>
          <w:tcPr>
            <w:tcW w:w="12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tcPr>
          <w:p>
            <w:pPr>
              <w:pStyle w:val="TableContents"/>
              <w:spacing w:before="0" w:after="283"/>
              <w:rPr/>
            </w:pPr>
            <w:r>
              <w:rPr/>
              <w:t> </w:t>
            </w:r>
          </w:p>
        </w:tc>
        <w:tc>
          <w:tcPr>
            <w:tcW w:w="1166" w:type="dxa"/>
            <w:tcBorders/>
            <w:shd w:fill="CCEEFF" w:val="clear"/>
          </w:tcPr>
          <w:p>
            <w:pPr>
              <w:pStyle w:val="TableContents"/>
              <w:spacing w:before="0" w:after="283"/>
              <w:jc w:val="right"/>
              <w:rPr/>
            </w:pPr>
            <w:r>
              <w:rPr/>
              <w:t>4.6</w:t>
            </w:r>
          </w:p>
        </w:tc>
        <w:tc>
          <w:tcPr>
            <w:tcW w:w="275" w:type="dxa"/>
            <w:tcBorders/>
            <w:shd w:fill="CCEEFF" w:val="clear"/>
          </w:tcPr>
          <w:p>
            <w:pPr>
              <w:pStyle w:val="TableContents"/>
              <w:spacing w:before="0" w:after="283"/>
              <w:rPr/>
            </w:pPr>
            <w:r>
              <w:rPr/>
              <w:t>% </w:t>
            </w:r>
          </w:p>
        </w:tc>
      </w:tr>
      <w:tr>
        <w:trPr/>
        <w:tc>
          <w:tcPr>
            <w:tcW w:w="2270" w:type="dxa"/>
            <w:tcBorders/>
            <w:shd w:fill="auto" w:val="clear"/>
          </w:tcPr>
          <w:p>
            <w:pPr>
              <w:pStyle w:val="TableContents"/>
              <w:spacing w:before="0" w:after="0"/>
              <w:rPr>
                <w:rFonts w:ascii="Times New Roman" w:hAnsi="Times New Roman"/>
                <w:sz w:val="16"/>
              </w:rPr>
            </w:pPr>
            <w:r>
              <w:rPr>
                <w:rFonts w:ascii="Times New Roman" w:hAnsi="Times New Roman"/>
                <w:sz w:val="16"/>
              </w:rPr>
              <w:t>Caris Life Sciences, Inc.</w:t>
            </w:r>
          </w:p>
        </w:tc>
        <w:tc>
          <w:tcPr>
            <w:tcW w:w="60" w:type="dxa"/>
            <w:tcBorders/>
            <w:shd w:fill="auto" w:val="clear"/>
            <w:vAlign w:val="bottom"/>
          </w:tcPr>
          <w:p>
            <w:pPr>
              <w:pStyle w:val="TableContents"/>
              <w:spacing w:before="0" w:after="283"/>
              <w:rPr/>
            </w:pPr>
            <w:r>
              <w:rPr/>
              <w:t> </w:t>
            </w:r>
          </w:p>
        </w:tc>
        <w:tc>
          <w:tcPr>
            <w:tcW w:w="4820" w:type="dxa"/>
            <w:tcBorders/>
            <w:shd w:fill="auto" w:val="clear"/>
          </w:tcPr>
          <w:p>
            <w:pPr>
              <w:pStyle w:val="TableContents"/>
              <w:spacing w:before="0" w:after="283"/>
              <w:rPr/>
            </w:pPr>
            <w:r>
              <w:rPr/>
              <w:t>First-lien loan ($5,000 par, due 9/2023)</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115" w:type="dxa"/>
            <w:tcBorders/>
            <w:shd w:fill="auto" w:val="clear"/>
          </w:tcPr>
          <w:p>
            <w:pPr>
              <w:pStyle w:val="TableContents"/>
              <w:spacing w:before="0" w:after="283"/>
              <w:jc w:val="right"/>
              <w:rPr/>
            </w:pPr>
            <w:r>
              <w:rPr/>
              <w:t>9/21/2018</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310" w:type="dxa"/>
            <w:tcBorders/>
            <w:shd w:fill="auto" w:val="clear"/>
          </w:tcPr>
          <w:p>
            <w:pPr>
              <w:pStyle w:val="TableContents"/>
              <w:spacing w:before="0" w:after="283"/>
              <w:jc w:val="right"/>
              <w:rPr/>
            </w:pPr>
            <w:r>
              <w:rPr/>
              <w:t>11.30</w:t>
            </w:r>
          </w:p>
        </w:tc>
        <w:tc>
          <w:tcPr>
            <w:tcW w:w="27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95" w:type="dxa"/>
            <w:tcBorders/>
            <w:shd w:fill="auto" w:val="clear"/>
          </w:tcPr>
          <w:p>
            <w:pPr>
              <w:pStyle w:val="TableContents"/>
              <w:spacing w:before="0" w:after="283"/>
              <w:jc w:val="right"/>
              <w:rPr/>
            </w:pPr>
            <w:r>
              <w:rPr/>
              <w:t>11.30%</w:t>
            </w:r>
          </w:p>
        </w:tc>
        <w:tc>
          <w:tcPr>
            <w:tcW w:w="60" w:type="dxa"/>
            <w:tcBorders/>
            <w:shd w:fill="auto" w:val="clear"/>
            <w:vAlign w:val="bottom"/>
          </w:tcPr>
          <w:p>
            <w:pPr>
              <w:pStyle w:val="TableContents"/>
              <w:spacing w:before="0" w:after="283"/>
              <w:rPr/>
            </w:pPr>
            <w:r>
              <w:rPr/>
              <w:t> </w:t>
            </w:r>
          </w:p>
        </w:tc>
        <w:tc>
          <w:tcPr>
            <w:tcW w:w="76" w:type="dxa"/>
            <w:tcBorders/>
            <w:shd w:fill="auto" w:val="clear"/>
          </w:tcPr>
          <w:p>
            <w:pPr>
              <w:pStyle w:val="TableContents"/>
              <w:spacing w:before="0" w:after="283"/>
              <w:rPr/>
            </w:pPr>
            <w:r>
              <w:rPr/>
              <w:t> </w:t>
            </w:r>
          </w:p>
        </w:tc>
        <w:tc>
          <w:tcPr>
            <w:tcW w:w="1024" w:type="dxa"/>
            <w:tcBorders/>
            <w:shd w:fill="auto" w:val="clear"/>
          </w:tcPr>
          <w:p>
            <w:pPr>
              <w:pStyle w:val="TableContents"/>
              <w:spacing w:before="0" w:after="283"/>
              <w:jc w:val="right"/>
              <w:rPr/>
            </w:pPr>
            <w:r>
              <w:rPr/>
              <w:t>4,956</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122" w:type="dxa"/>
            <w:tcBorders/>
            <w:shd w:fill="auto" w:val="clear"/>
          </w:tcPr>
          <w:p>
            <w:pPr>
              <w:pStyle w:val="TableContents"/>
              <w:spacing w:before="0" w:after="283"/>
              <w:jc w:val="right"/>
              <w:rPr/>
            </w:pPr>
            <w:r>
              <w:rPr/>
              <w:t>4,975</w:t>
            </w:r>
          </w:p>
        </w:tc>
        <w:tc>
          <w:tcPr>
            <w:tcW w:w="12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tcPr>
          <w:p>
            <w:pPr>
              <w:pStyle w:val="TableContents"/>
              <w:spacing w:before="0" w:after="283"/>
              <w:rPr/>
            </w:pPr>
            <w:r>
              <w:rPr/>
              <w:t> </w:t>
            </w:r>
          </w:p>
        </w:tc>
        <w:tc>
          <w:tcPr>
            <w:tcW w:w="1166" w:type="dxa"/>
            <w:tcBorders/>
            <w:shd w:fill="auto" w:val="clear"/>
          </w:tcPr>
          <w:p>
            <w:pPr>
              <w:pStyle w:val="TableContents"/>
              <w:spacing w:before="0" w:after="283"/>
              <w:jc w:val="right"/>
              <w:rPr/>
            </w:pPr>
            <w:r>
              <w:rPr/>
              <w:t>0.4</w:t>
            </w:r>
          </w:p>
        </w:tc>
        <w:tc>
          <w:tcPr>
            <w:tcW w:w="275" w:type="dxa"/>
            <w:tcBorders/>
            <w:shd w:fill="auto" w:val="clear"/>
          </w:tcPr>
          <w:p>
            <w:pPr>
              <w:pStyle w:val="TableContents"/>
              <w:spacing w:before="0" w:after="283"/>
              <w:rPr/>
            </w:pPr>
            <w:r>
              <w:rPr/>
              <w:t>% </w:t>
            </w:r>
          </w:p>
        </w:tc>
      </w:tr>
      <w:tr>
        <w:trPr/>
        <w:tc>
          <w:tcPr>
            <w:tcW w:w="227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4820" w:type="dxa"/>
            <w:tcBorders/>
            <w:shd w:fill="CCEEFF" w:val="clear"/>
          </w:tcPr>
          <w:p>
            <w:pPr>
              <w:pStyle w:val="TableContents"/>
              <w:spacing w:before="0" w:after="283"/>
              <w:rPr/>
            </w:pPr>
            <w:r>
              <w:rPr/>
              <w:t>First-lien loan ($3,750 par, due 4/2025)</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115" w:type="dxa"/>
            <w:tcBorders/>
            <w:shd w:fill="CCEEFF" w:val="clear"/>
          </w:tcPr>
          <w:p>
            <w:pPr>
              <w:pStyle w:val="TableContents"/>
              <w:spacing w:before="0" w:after="283"/>
              <w:jc w:val="right"/>
              <w:rPr/>
            </w:pPr>
            <w:r>
              <w:rPr/>
              <w:t>4/2/2020</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310" w:type="dxa"/>
            <w:tcBorders/>
            <w:shd w:fill="CCEEFF" w:val="clear"/>
          </w:tcPr>
          <w:p>
            <w:pPr>
              <w:pStyle w:val="TableContents"/>
              <w:spacing w:before="0" w:after="283"/>
              <w:jc w:val="right"/>
              <w:rPr/>
            </w:pPr>
            <w:r>
              <w:rPr/>
              <w:t>11.30</w:t>
            </w:r>
          </w:p>
        </w:tc>
        <w:tc>
          <w:tcPr>
            <w:tcW w:w="27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95" w:type="dxa"/>
            <w:tcBorders/>
            <w:shd w:fill="CCEEFF" w:val="clear"/>
          </w:tcPr>
          <w:p>
            <w:pPr>
              <w:pStyle w:val="TableContents"/>
              <w:spacing w:before="0" w:after="283"/>
              <w:jc w:val="right"/>
              <w:rPr/>
            </w:pPr>
            <w:r>
              <w:rPr/>
              <w:t>11.30%</w:t>
            </w:r>
          </w:p>
        </w:tc>
        <w:tc>
          <w:tcPr>
            <w:tcW w:w="60" w:type="dxa"/>
            <w:tcBorders/>
            <w:shd w:fill="CCEEFF" w:val="clear"/>
            <w:vAlign w:val="bottom"/>
          </w:tcPr>
          <w:p>
            <w:pPr>
              <w:pStyle w:val="TableContents"/>
              <w:spacing w:before="0" w:after="283"/>
              <w:rPr/>
            </w:pPr>
            <w:r>
              <w:rPr/>
              <w:t> </w:t>
            </w:r>
          </w:p>
        </w:tc>
        <w:tc>
          <w:tcPr>
            <w:tcW w:w="76" w:type="dxa"/>
            <w:tcBorders/>
            <w:shd w:fill="CCEEFF" w:val="clear"/>
          </w:tcPr>
          <w:p>
            <w:pPr>
              <w:pStyle w:val="TableContents"/>
              <w:spacing w:before="0" w:after="283"/>
              <w:rPr/>
            </w:pPr>
            <w:r>
              <w:rPr/>
              <w:t> </w:t>
            </w:r>
          </w:p>
        </w:tc>
        <w:tc>
          <w:tcPr>
            <w:tcW w:w="1024" w:type="dxa"/>
            <w:tcBorders/>
            <w:shd w:fill="CCEEFF" w:val="clear"/>
          </w:tcPr>
          <w:p>
            <w:pPr>
              <w:pStyle w:val="TableContents"/>
              <w:spacing w:before="0" w:after="283"/>
              <w:jc w:val="right"/>
              <w:rPr/>
            </w:pPr>
            <w:r>
              <w:rPr/>
              <w:t>3,586</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 w:type="dxa"/>
            <w:tcBorders/>
            <w:shd w:fill="CCEEFF" w:val="clear"/>
          </w:tcPr>
          <w:p>
            <w:pPr>
              <w:pStyle w:val="TableContents"/>
              <w:spacing w:before="0" w:after="283"/>
              <w:rPr/>
            </w:pPr>
            <w:r>
              <w:rPr/>
              <w:t> </w:t>
            </w:r>
          </w:p>
        </w:tc>
        <w:tc>
          <w:tcPr>
            <w:tcW w:w="1122" w:type="dxa"/>
            <w:tcBorders/>
            <w:shd w:fill="CCEEFF" w:val="clear"/>
          </w:tcPr>
          <w:p>
            <w:pPr>
              <w:pStyle w:val="TableContents"/>
              <w:spacing w:before="0" w:after="283"/>
              <w:jc w:val="right"/>
              <w:rPr/>
            </w:pPr>
            <w:r>
              <w:rPr/>
              <w:t>3,741</w:t>
            </w:r>
          </w:p>
        </w:tc>
        <w:tc>
          <w:tcPr>
            <w:tcW w:w="12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tcPr>
          <w:p>
            <w:pPr>
              <w:pStyle w:val="TableContents"/>
              <w:spacing w:before="0" w:after="283"/>
              <w:rPr/>
            </w:pPr>
            <w:r>
              <w:rPr/>
              <w:t> </w:t>
            </w:r>
          </w:p>
        </w:tc>
        <w:tc>
          <w:tcPr>
            <w:tcW w:w="1166" w:type="dxa"/>
            <w:tcBorders/>
            <w:shd w:fill="CCEEFF" w:val="clear"/>
          </w:tcPr>
          <w:p>
            <w:pPr>
              <w:pStyle w:val="TableContents"/>
              <w:spacing w:before="0" w:after="283"/>
              <w:jc w:val="right"/>
              <w:rPr/>
            </w:pPr>
            <w:r>
              <w:rPr/>
              <w:t>0.3</w:t>
            </w:r>
          </w:p>
        </w:tc>
        <w:tc>
          <w:tcPr>
            <w:tcW w:w="275" w:type="dxa"/>
            <w:tcBorders/>
            <w:shd w:fill="CCEEFF" w:val="clear"/>
          </w:tcPr>
          <w:p>
            <w:pPr>
              <w:pStyle w:val="TableContents"/>
              <w:spacing w:before="0" w:after="283"/>
              <w:rPr/>
            </w:pPr>
            <w:r>
              <w:rPr/>
              <w:t>% </w:t>
            </w:r>
          </w:p>
        </w:tc>
      </w:tr>
      <w:tr>
        <w:trPr/>
        <w:tc>
          <w:tcPr>
            <w:tcW w:w="227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820" w:type="dxa"/>
            <w:tcBorders/>
            <w:shd w:fill="auto" w:val="clear"/>
          </w:tcPr>
          <w:p>
            <w:pPr>
              <w:pStyle w:val="TableContents"/>
              <w:spacing w:before="0" w:after="283"/>
              <w:rPr/>
            </w:pPr>
            <w:r>
              <w:rPr/>
              <w:t>Convertible note ($2,602 par, due 9/2023)</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115" w:type="dxa"/>
            <w:tcBorders/>
            <w:shd w:fill="auto" w:val="clear"/>
          </w:tcPr>
          <w:p>
            <w:pPr>
              <w:pStyle w:val="TableContents"/>
              <w:spacing w:before="0" w:after="283"/>
              <w:jc w:val="right"/>
              <w:rPr/>
            </w:pPr>
            <w:r>
              <w:rPr/>
              <w:t>9/21/2018</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310" w:type="dxa"/>
            <w:tcBorders/>
            <w:shd w:fill="auto" w:val="clear"/>
          </w:tcPr>
          <w:p>
            <w:pPr>
              <w:pStyle w:val="TableContents"/>
              <w:spacing w:before="0" w:after="283"/>
              <w:jc w:val="right"/>
              <w:rPr/>
            </w:pPr>
            <w:r>
              <w:rPr/>
              <w:t>8.00</w:t>
            </w:r>
          </w:p>
        </w:tc>
        <w:tc>
          <w:tcPr>
            <w:tcW w:w="27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95" w:type="dxa"/>
            <w:tcBorders/>
            <w:shd w:fill="auto" w:val="clear"/>
          </w:tcPr>
          <w:p>
            <w:pPr>
              <w:pStyle w:val="TableContents"/>
              <w:spacing w:before="0" w:after="283"/>
              <w:jc w:val="right"/>
              <w:rPr/>
            </w:pPr>
            <w:r>
              <w:rPr/>
              <w:t>8.00%</w:t>
            </w:r>
          </w:p>
        </w:tc>
        <w:tc>
          <w:tcPr>
            <w:tcW w:w="60" w:type="dxa"/>
            <w:tcBorders/>
            <w:shd w:fill="auto" w:val="clear"/>
            <w:vAlign w:val="bottom"/>
          </w:tcPr>
          <w:p>
            <w:pPr>
              <w:pStyle w:val="TableContents"/>
              <w:spacing w:before="0" w:after="283"/>
              <w:rPr/>
            </w:pPr>
            <w:r>
              <w:rPr/>
              <w:t> </w:t>
            </w:r>
          </w:p>
        </w:tc>
        <w:tc>
          <w:tcPr>
            <w:tcW w:w="76" w:type="dxa"/>
            <w:tcBorders/>
            <w:shd w:fill="auto" w:val="clear"/>
          </w:tcPr>
          <w:p>
            <w:pPr>
              <w:pStyle w:val="TableContents"/>
              <w:spacing w:before="0" w:after="283"/>
              <w:rPr/>
            </w:pPr>
            <w:r>
              <w:rPr/>
              <w:t> </w:t>
            </w:r>
          </w:p>
        </w:tc>
        <w:tc>
          <w:tcPr>
            <w:tcW w:w="1024" w:type="dxa"/>
            <w:tcBorders/>
            <w:shd w:fill="auto" w:val="clear"/>
          </w:tcPr>
          <w:p>
            <w:pPr>
              <w:pStyle w:val="TableContents"/>
              <w:spacing w:before="0" w:after="283"/>
              <w:jc w:val="right"/>
              <w:rPr/>
            </w:pPr>
            <w:r>
              <w:rPr/>
              <w:t>2,602</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122" w:type="dxa"/>
            <w:tcBorders/>
            <w:shd w:fill="auto" w:val="clear"/>
          </w:tcPr>
          <w:p>
            <w:pPr>
              <w:pStyle w:val="TableContents"/>
              <w:spacing w:before="0" w:after="283"/>
              <w:jc w:val="right"/>
              <w:rPr/>
            </w:pPr>
            <w:r>
              <w:rPr/>
              <w:t>5,660</w:t>
            </w:r>
          </w:p>
        </w:tc>
        <w:tc>
          <w:tcPr>
            <w:tcW w:w="12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tcPr>
          <w:p>
            <w:pPr>
              <w:pStyle w:val="TableContents"/>
              <w:spacing w:before="0" w:after="283"/>
              <w:rPr/>
            </w:pPr>
            <w:r>
              <w:rPr/>
              <w:t> </w:t>
            </w:r>
          </w:p>
        </w:tc>
        <w:tc>
          <w:tcPr>
            <w:tcW w:w="1166" w:type="dxa"/>
            <w:tcBorders/>
            <w:shd w:fill="auto" w:val="clear"/>
          </w:tcPr>
          <w:p>
            <w:pPr>
              <w:pStyle w:val="TableContents"/>
              <w:spacing w:before="0" w:after="283"/>
              <w:jc w:val="right"/>
              <w:rPr/>
            </w:pPr>
            <w:r>
              <w:rPr/>
              <w:t>0.4</w:t>
            </w:r>
          </w:p>
        </w:tc>
        <w:tc>
          <w:tcPr>
            <w:tcW w:w="275" w:type="dxa"/>
            <w:tcBorders/>
            <w:shd w:fill="auto" w:val="clear"/>
          </w:tcPr>
          <w:p>
            <w:pPr>
              <w:pStyle w:val="TableContents"/>
              <w:spacing w:before="0" w:after="283"/>
              <w:rPr/>
            </w:pPr>
            <w:r>
              <w:rPr/>
              <w:t>% </w:t>
            </w:r>
          </w:p>
        </w:tc>
      </w:tr>
      <w:tr>
        <w:trPr/>
        <w:tc>
          <w:tcPr>
            <w:tcW w:w="2270" w:type="dxa"/>
            <w:tcBorders/>
            <w:shd w:fill="CCEEFF" w:val="clear"/>
          </w:tcPr>
          <w:p>
            <w:pPr>
              <w:pStyle w:val="TableContents"/>
              <w:spacing w:before="0" w:after="0"/>
              <w:rPr>
                <w:rFonts w:ascii="Times New Roman" w:hAnsi="Times New Roman"/>
                <w:sz w:val="16"/>
              </w:rPr>
            </w:pPr>
            <w:r>
              <w:rPr>
                <w:rFonts w:ascii="Times New Roman" w:hAnsi="Times New Roman"/>
                <w:sz w:val="16"/>
              </w:rPr>
              <w:t xml:space="preserve">Homecare Software Solutions, </w:t>
              <w:br/>
              <w:t>LLC(3)(5)</w:t>
            </w:r>
          </w:p>
        </w:tc>
        <w:tc>
          <w:tcPr>
            <w:tcW w:w="60" w:type="dxa"/>
            <w:tcBorders/>
            <w:shd w:fill="CCEEFF" w:val="clear"/>
            <w:vAlign w:val="bottom"/>
          </w:tcPr>
          <w:p>
            <w:pPr>
              <w:pStyle w:val="TableContents"/>
              <w:spacing w:before="0" w:after="283"/>
              <w:rPr/>
            </w:pPr>
            <w:r>
              <w:rPr/>
              <w:t> </w:t>
            </w:r>
          </w:p>
        </w:tc>
        <w:tc>
          <w:tcPr>
            <w:tcW w:w="4820" w:type="dxa"/>
            <w:tcBorders/>
            <w:shd w:fill="CCEEFF" w:val="clear"/>
            <w:vAlign w:val="bottom"/>
          </w:tcPr>
          <w:p>
            <w:pPr>
              <w:pStyle w:val="TableContents"/>
              <w:spacing w:before="0" w:after="283"/>
              <w:rPr/>
            </w:pPr>
            <w:r>
              <w:rPr/>
              <w:t>First-lien loan ($65,000 par, due 10/2026)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pPr>
            <w:r>
              <w:rPr/>
              <w:t>10/6/2021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10" w:type="dxa"/>
            <w:tcBorders/>
            <w:shd w:fill="CCEEFF" w:val="clear"/>
            <w:vAlign w:val="bottom"/>
          </w:tcPr>
          <w:p>
            <w:pPr>
              <w:pStyle w:val="TableContents"/>
              <w:spacing w:before="0" w:after="283"/>
              <w:jc w:val="right"/>
              <w:rPr/>
            </w:pPr>
            <w:r>
              <w:rPr/>
              <w:t>SOFR + 5.70</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95" w:type="dxa"/>
            <w:tcBorders/>
            <w:shd w:fill="CCEEFF" w:val="clear"/>
            <w:vAlign w:val="bottom"/>
          </w:tcPr>
          <w:p>
            <w:pPr>
              <w:pStyle w:val="TableContents"/>
              <w:spacing w:before="0" w:after="283"/>
              <w:jc w:val="right"/>
              <w:rPr/>
            </w:pPr>
            <w:r>
              <w:rPr/>
              <w:t>8.72%</w:t>
            </w:r>
          </w:p>
        </w:tc>
        <w:tc>
          <w:tcPr>
            <w:tcW w:w="60"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jc w:val="right"/>
              <w:rPr/>
            </w:pPr>
            <w:r>
              <w:rPr/>
              <w:t>63,664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1122" w:type="dxa"/>
            <w:tcBorders/>
            <w:shd w:fill="CCEEFF" w:val="clear"/>
            <w:vAlign w:val="bottom"/>
          </w:tcPr>
          <w:p>
            <w:pPr>
              <w:pStyle w:val="TableContents"/>
              <w:spacing w:before="0" w:after="283"/>
              <w:jc w:val="right"/>
              <w:rPr/>
            </w:pPr>
            <w:r>
              <w:rPr/>
              <w:t>62,888</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166" w:type="dxa"/>
            <w:tcBorders/>
            <w:shd w:fill="CCEEFF" w:val="clear"/>
            <w:vAlign w:val="bottom"/>
          </w:tcPr>
          <w:p>
            <w:pPr>
              <w:pStyle w:val="TableContents"/>
              <w:spacing w:before="0" w:after="283"/>
              <w:jc w:val="right"/>
              <w:rPr/>
            </w:pPr>
            <w:r>
              <w:rPr/>
              <w:t>4.7</w:t>
            </w:r>
          </w:p>
        </w:tc>
        <w:tc>
          <w:tcPr>
            <w:tcW w:w="275" w:type="dxa"/>
            <w:tcBorders/>
            <w:shd w:fill="CCEEFF" w:val="clear"/>
            <w:vAlign w:val="bottom"/>
          </w:tcPr>
          <w:p>
            <w:pPr>
              <w:pStyle w:val="TableContents"/>
              <w:spacing w:before="0" w:after="283"/>
              <w:rPr/>
            </w:pPr>
            <w:r>
              <w:rPr/>
              <w:t>% </w:t>
            </w:r>
          </w:p>
        </w:tc>
      </w:tr>
      <w:tr>
        <w:trPr/>
        <w:tc>
          <w:tcPr>
            <w:tcW w:w="2270" w:type="dxa"/>
            <w:tcBorders/>
            <w:shd w:fill="auto" w:val="clear"/>
          </w:tcPr>
          <w:p>
            <w:pPr>
              <w:pStyle w:val="TableContents"/>
              <w:spacing w:before="0" w:after="0"/>
              <w:rPr>
                <w:rFonts w:ascii="Times New Roman" w:hAnsi="Times New Roman"/>
                <w:sz w:val="16"/>
              </w:rPr>
            </w:pPr>
            <w:r>
              <w:rPr>
                <w:rFonts w:ascii="Times New Roman" w:hAnsi="Times New Roman"/>
                <w:sz w:val="16"/>
              </w:rPr>
              <w:t xml:space="preserve">Integrated Practice </w:t>
              <w:br/>
              <w:t>Solutions, Inc.(3)(5)</w:t>
            </w:r>
          </w:p>
        </w:tc>
        <w:tc>
          <w:tcPr>
            <w:tcW w:w="60" w:type="dxa"/>
            <w:tcBorders/>
            <w:shd w:fill="auto" w:val="clear"/>
            <w:vAlign w:val="bottom"/>
          </w:tcPr>
          <w:p>
            <w:pPr>
              <w:pStyle w:val="TableContents"/>
              <w:spacing w:before="0" w:after="283"/>
              <w:rPr/>
            </w:pPr>
            <w:r>
              <w:rPr/>
              <w:t> </w:t>
            </w:r>
          </w:p>
        </w:tc>
        <w:tc>
          <w:tcPr>
            <w:tcW w:w="4820" w:type="dxa"/>
            <w:tcBorders/>
            <w:shd w:fill="auto" w:val="clear"/>
            <w:vAlign w:val="bottom"/>
          </w:tcPr>
          <w:p>
            <w:pPr>
              <w:pStyle w:val="TableContents"/>
              <w:spacing w:before="0" w:after="283"/>
              <w:rPr/>
            </w:pPr>
            <w:r>
              <w:rPr/>
              <w:t>First-lien loan ($46,624 par, due 10/2024)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right"/>
              <w:rPr/>
            </w:pPr>
            <w:r>
              <w:rPr/>
              <w:t>6/30/2017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0" w:type="dxa"/>
            <w:tcBorders/>
            <w:shd w:fill="auto" w:val="clear"/>
            <w:vAlign w:val="bottom"/>
          </w:tcPr>
          <w:p>
            <w:pPr>
              <w:pStyle w:val="TableContents"/>
              <w:spacing w:before="0" w:after="283"/>
              <w:jc w:val="right"/>
              <w:rPr/>
            </w:pPr>
            <w:r>
              <w:rPr/>
              <w:t>L + 7.50</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95" w:type="dxa"/>
            <w:tcBorders/>
            <w:shd w:fill="auto" w:val="clear"/>
            <w:vAlign w:val="bottom"/>
          </w:tcPr>
          <w:p>
            <w:pPr>
              <w:pStyle w:val="TableContents"/>
              <w:spacing w:before="0" w:after="283"/>
              <w:jc w:val="right"/>
              <w:rPr/>
            </w:pPr>
            <w:r>
              <w:rPr/>
              <w:t>10.62%</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45,805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1122" w:type="dxa"/>
            <w:tcBorders/>
            <w:shd w:fill="auto" w:val="clear"/>
            <w:vAlign w:val="bottom"/>
          </w:tcPr>
          <w:p>
            <w:pPr>
              <w:pStyle w:val="TableContents"/>
              <w:spacing w:before="0" w:after="283"/>
              <w:jc w:val="right"/>
              <w:rPr/>
            </w:pPr>
            <w:r>
              <w:rPr/>
              <w:t>46,624</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166" w:type="dxa"/>
            <w:tcBorders/>
            <w:shd w:fill="auto" w:val="clear"/>
            <w:vAlign w:val="bottom"/>
          </w:tcPr>
          <w:p>
            <w:pPr>
              <w:pStyle w:val="TableContents"/>
              <w:spacing w:before="0" w:after="283"/>
              <w:jc w:val="right"/>
              <w:rPr/>
            </w:pPr>
            <w:r>
              <w:rPr/>
              <w:t>3.5</w:t>
            </w:r>
          </w:p>
        </w:tc>
        <w:tc>
          <w:tcPr>
            <w:tcW w:w="275" w:type="dxa"/>
            <w:tcBorders/>
            <w:shd w:fill="auto" w:val="clear"/>
            <w:vAlign w:val="bottom"/>
          </w:tcPr>
          <w:p>
            <w:pPr>
              <w:pStyle w:val="TableContents"/>
              <w:spacing w:before="0" w:after="283"/>
              <w:rPr/>
            </w:pPr>
            <w:r>
              <w:rPr/>
              <w:t>% </w:t>
            </w:r>
          </w:p>
        </w:tc>
      </w:tr>
      <w:tr>
        <w:trPr/>
        <w:tc>
          <w:tcPr>
            <w:tcW w:w="2270" w:type="dxa"/>
            <w:tcBorders/>
            <w:shd w:fill="CCEEFF" w:val="clear"/>
          </w:tcPr>
          <w:p>
            <w:pPr>
              <w:pStyle w:val="TableContents"/>
              <w:spacing w:before="0" w:after="0"/>
              <w:rPr>
                <w:rFonts w:ascii="Times New Roman" w:hAnsi="Times New Roman"/>
                <w:sz w:val="16"/>
              </w:rPr>
            </w:pPr>
            <w:r>
              <w:rPr>
                <w:rFonts w:ascii="Times New Roman" w:hAnsi="Times New Roman"/>
                <w:sz w:val="16"/>
              </w:rPr>
              <w:t>Merative L.P.(3)(5)</w:t>
            </w:r>
          </w:p>
        </w:tc>
        <w:tc>
          <w:tcPr>
            <w:tcW w:w="60" w:type="dxa"/>
            <w:tcBorders/>
            <w:shd w:fill="CCEEFF" w:val="clear"/>
            <w:vAlign w:val="bottom"/>
          </w:tcPr>
          <w:p>
            <w:pPr>
              <w:pStyle w:val="TableContents"/>
              <w:spacing w:before="0" w:after="283"/>
              <w:rPr/>
            </w:pPr>
            <w:r>
              <w:rPr/>
              <w:t> </w:t>
            </w:r>
          </w:p>
        </w:tc>
        <w:tc>
          <w:tcPr>
            <w:tcW w:w="4820" w:type="dxa"/>
            <w:tcBorders/>
            <w:shd w:fill="CCEEFF" w:val="clear"/>
          </w:tcPr>
          <w:p>
            <w:pPr>
              <w:pStyle w:val="TableContents"/>
              <w:spacing w:before="0" w:after="283"/>
              <w:rPr/>
            </w:pPr>
            <w:r>
              <w:rPr/>
              <w:t>First-lien loan ($70,103 par, due 6/2028)</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115" w:type="dxa"/>
            <w:tcBorders/>
            <w:shd w:fill="CCEEFF" w:val="clear"/>
          </w:tcPr>
          <w:p>
            <w:pPr>
              <w:pStyle w:val="TableContents"/>
              <w:spacing w:before="0" w:after="283"/>
              <w:jc w:val="right"/>
              <w:rPr/>
            </w:pPr>
            <w:r>
              <w:rPr/>
              <w:t>6/30/2022</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310" w:type="dxa"/>
            <w:tcBorders/>
            <w:shd w:fill="CCEEFF" w:val="clear"/>
          </w:tcPr>
          <w:p>
            <w:pPr>
              <w:pStyle w:val="TableContents"/>
              <w:spacing w:before="0" w:after="283"/>
              <w:jc w:val="right"/>
              <w:rPr/>
            </w:pPr>
            <w:r>
              <w:rPr/>
              <w:t>SOFR + 7.25</w:t>
            </w:r>
          </w:p>
        </w:tc>
        <w:tc>
          <w:tcPr>
            <w:tcW w:w="27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95" w:type="dxa"/>
            <w:tcBorders/>
            <w:shd w:fill="CCEEFF" w:val="clear"/>
          </w:tcPr>
          <w:p>
            <w:pPr>
              <w:pStyle w:val="TableContents"/>
              <w:spacing w:before="0" w:after="283"/>
              <w:jc w:val="right"/>
              <w:rPr/>
            </w:pPr>
            <w:r>
              <w:rPr/>
              <w:t>10.81%</w:t>
            </w:r>
          </w:p>
        </w:tc>
        <w:tc>
          <w:tcPr>
            <w:tcW w:w="60" w:type="dxa"/>
            <w:tcBorders/>
            <w:shd w:fill="CCEEFF" w:val="clear"/>
            <w:vAlign w:val="bottom"/>
          </w:tcPr>
          <w:p>
            <w:pPr>
              <w:pStyle w:val="TableContents"/>
              <w:spacing w:before="0" w:after="283"/>
              <w:rPr/>
            </w:pPr>
            <w:r>
              <w:rPr/>
              <w:t> </w:t>
            </w:r>
          </w:p>
        </w:tc>
        <w:tc>
          <w:tcPr>
            <w:tcW w:w="76" w:type="dxa"/>
            <w:tcBorders/>
            <w:shd w:fill="CCEEFF" w:val="clear"/>
          </w:tcPr>
          <w:p>
            <w:pPr>
              <w:pStyle w:val="TableContents"/>
              <w:spacing w:before="0" w:after="283"/>
              <w:rPr/>
            </w:pPr>
            <w:r>
              <w:rPr/>
              <w:t> </w:t>
            </w:r>
          </w:p>
        </w:tc>
        <w:tc>
          <w:tcPr>
            <w:tcW w:w="1024" w:type="dxa"/>
            <w:tcBorders/>
            <w:shd w:fill="CCEEFF" w:val="clear"/>
          </w:tcPr>
          <w:p>
            <w:pPr>
              <w:pStyle w:val="TableContents"/>
              <w:spacing w:before="0" w:after="283"/>
              <w:jc w:val="right"/>
              <w:rPr/>
            </w:pPr>
            <w:r>
              <w:rPr/>
              <w:t>67,833</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 w:type="dxa"/>
            <w:tcBorders/>
            <w:shd w:fill="CCEEFF" w:val="clear"/>
          </w:tcPr>
          <w:p>
            <w:pPr>
              <w:pStyle w:val="TableContents"/>
              <w:spacing w:before="0" w:after="283"/>
              <w:rPr/>
            </w:pPr>
            <w:r>
              <w:rPr/>
              <w:t> </w:t>
            </w:r>
          </w:p>
        </w:tc>
        <w:tc>
          <w:tcPr>
            <w:tcW w:w="1122" w:type="dxa"/>
            <w:tcBorders/>
            <w:shd w:fill="CCEEFF" w:val="clear"/>
          </w:tcPr>
          <w:p>
            <w:pPr>
              <w:pStyle w:val="TableContents"/>
              <w:spacing w:before="0" w:after="283"/>
              <w:jc w:val="right"/>
              <w:rPr/>
            </w:pPr>
            <w:r>
              <w:rPr/>
              <w:t>66,773</w:t>
            </w:r>
          </w:p>
        </w:tc>
        <w:tc>
          <w:tcPr>
            <w:tcW w:w="12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tcPr>
          <w:p>
            <w:pPr>
              <w:pStyle w:val="TableContents"/>
              <w:spacing w:before="0" w:after="283"/>
              <w:rPr/>
            </w:pPr>
            <w:r>
              <w:rPr/>
              <w:t> </w:t>
            </w:r>
          </w:p>
        </w:tc>
        <w:tc>
          <w:tcPr>
            <w:tcW w:w="1166" w:type="dxa"/>
            <w:tcBorders/>
            <w:shd w:fill="CCEEFF" w:val="clear"/>
          </w:tcPr>
          <w:p>
            <w:pPr>
              <w:pStyle w:val="TableContents"/>
              <w:spacing w:before="0" w:after="283"/>
              <w:jc w:val="right"/>
              <w:rPr/>
            </w:pPr>
            <w:r>
              <w:rPr/>
              <w:t>5.0</w:t>
            </w:r>
          </w:p>
        </w:tc>
        <w:tc>
          <w:tcPr>
            <w:tcW w:w="275" w:type="dxa"/>
            <w:tcBorders/>
            <w:shd w:fill="CCEEFF" w:val="clear"/>
          </w:tcPr>
          <w:p>
            <w:pPr>
              <w:pStyle w:val="TableContents"/>
              <w:spacing w:before="0" w:after="283"/>
              <w:rPr/>
            </w:pPr>
            <w:r>
              <w:rPr/>
              <w:t>% </w:t>
            </w:r>
          </w:p>
        </w:tc>
      </w:tr>
      <w:tr>
        <w:trPr/>
        <w:tc>
          <w:tcPr>
            <w:tcW w:w="227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8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1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31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9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02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pBdr>
                <w:top w:val="single" w:sz="2" w:space="1" w:color="000000"/>
              </w:pBdr>
              <w:spacing w:before="0" w:after="0"/>
              <w:rPr/>
            </w:pPr>
            <w:r>
              <w:rPr/>
              <w:t> </w:t>
            </w:r>
          </w:p>
        </w:tc>
        <w:tc>
          <w:tcPr>
            <w:tcW w:w="1122" w:type="dxa"/>
            <w:tcBorders/>
            <w:shd w:fill="auto" w:val="clear"/>
            <w:vAlign w:val="bottom"/>
          </w:tcPr>
          <w:p>
            <w:pPr>
              <w:pStyle w:val="TableContents"/>
              <w:pBdr>
                <w:top w:val="single" w:sz="2" w:space="1" w:color="000000"/>
              </w:pBdr>
              <w:spacing w:before="0" w:after="0"/>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single" w:sz="2" w:space="1" w:color="000000"/>
              </w:pBdr>
              <w:spacing w:before="0" w:after="0"/>
              <w:rPr/>
            </w:pPr>
            <w:r>
              <w:rPr/>
              <w:t> </w:t>
            </w:r>
          </w:p>
        </w:tc>
        <w:tc>
          <w:tcPr>
            <w:tcW w:w="1166" w:type="dxa"/>
            <w:tcBorders/>
            <w:shd w:fill="auto" w:val="clear"/>
            <w:vAlign w:val="bottom"/>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r>
      <w:tr>
        <w:trPr/>
        <w:tc>
          <w:tcPr>
            <w:tcW w:w="227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82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1115"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1310" w:type="dxa"/>
            <w:tcBorders/>
            <w:shd w:fill="auto" w:val="clear"/>
          </w:tcPr>
          <w:p>
            <w:pPr>
              <w:pStyle w:val="TableContents"/>
              <w:spacing w:before="0" w:after="283"/>
              <w:rPr>
                <w:sz w:val="4"/>
                <w:szCs w:val="4"/>
              </w:rPr>
            </w:pPr>
            <w:r>
              <w:rPr>
                <w:sz w:val="4"/>
                <w:szCs w:val="4"/>
              </w:rPr>
            </w:r>
          </w:p>
        </w:tc>
        <w:tc>
          <w:tcPr>
            <w:tcW w:w="27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9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6" w:type="dxa"/>
            <w:tcBorders/>
            <w:shd w:fill="auto" w:val="clear"/>
          </w:tcPr>
          <w:p>
            <w:pPr>
              <w:pStyle w:val="TableContents"/>
              <w:spacing w:before="0" w:after="283"/>
              <w:rPr/>
            </w:pPr>
            <w:r>
              <w:rPr/>
              <w:t> </w:t>
            </w:r>
          </w:p>
        </w:tc>
        <w:tc>
          <w:tcPr>
            <w:tcW w:w="1024" w:type="dxa"/>
            <w:tcBorders/>
            <w:shd w:fill="auto" w:val="clear"/>
          </w:tcPr>
          <w:p>
            <w:pPr>
              <w:pStyle w:val="TableContents"/>
              <w:spacing w:before="0" w:after="283"/>
              <w:jc w:val="right"/>
              <w:rPr/>
            </w:pPr>
            <w:r>
              <w:rPr/>
              <w:t>248,844</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122" w:type="dxa"/>
            <w:tcBorders/>
            <w:shd w:fill="auto" w:val="clear"/>
          </w:tcPr>
          <w:p>
            <w:pPr>
              <w:pStyle w:val="TableContents"/>
              <w:spacing w:before="0" w:after="283"/>
              <w:jc w:val="right"/>
              <w:rPr/>
            </w:pPr>
            <w:r>
              <w:rPr/>
              <w:t>251,168</w:t>
            </w:r>
          </w:p>
        </w:tc>
        <w:tc>
          <w:tcPr>
            <w:tcW w:w="12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tcPr>
          <w:p>
            <w:pPr>
              <w:pStyle w:val="TableContents"/>
              <w:spacing w:before="0" w:after="283"/>
              <w:rPr/>
            </w:pPr>
            <w:r>
              <w:rPr/>
              <w:t> </w:t>
            </w:r>
          </w:p>
        </w:tc>
        <w:tc>
          <w:tcPr>
            <w:tcW w:w="1166" w:type="dxa"/>
            <w:tcBorders/>
            <w:shd w:fill="auto" w:val="clear"/>
          </w:tcPr>
          <w:p>
            <w:pPr>
              <w:pStyle w:val="TableContents"/>
              <w:spacing w:before="0" w:after="283"/>
              <w:jc w:val="right"/>
              <w:rPr/>
            </w:pPr>
            <w:r>
              <w:rPr/>
              <w:t>18.9</w:t>
            </w:r>
          </w:p>
        </w:tc>
        <w:tc>
          <w:tcPr>
            <w:tcW w:w="275" w:type="dxa"/>
            <w:tcBorders/>
            <w:shd w:fill="auto" w:val="clear"/>
          </w:tcPr>
          <w:p>
            <w:pPr>
              <w:pStyle w:val="TableContents"/>
              <w:spacing w:before="0" w:after="283"/>
              <w:rPr/>
            </w:pPr>
            <w:r>
              <w:rPr/>
              <w:t>% </w:t>
            </w:r>
          </w:p>
        </w:tc>
      </w:tr>
      <w:tr>
        <w:trPr/>
        <w:tc>
          <w:tcPr>
            <w:tcW w:w="227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8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1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31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9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02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pBdr>
                <w:top w:val="single" w:sz="2" w:space="1" w:color="000000"/>
              </w:pBdr>
              <w:spacing w:before="0" w:after="0"/>
              <w:rPr/>
            </w:pPr>
            <w:r>
              <w:rPr/>
              <w:t> </w:t>
            </w:r>
          </w:p>
        </w:tc>
        <w:tc>
          <w:tcPr>
            <w:tcW w:w="1122" w:type="dxa"/>
            <w:tcBorders/>
            <w:shd w:fill="auto" w:val="clear"/>
            <w:vAlign w:val="bottom"/>
          </w:tcPr>
          <w:p>
            <w:pPr>
              <w:pStyle w:val="TableContents"/>
              <w:pBdr>
                <w:top w:val="single" w:sz="2" w:space="1" w:color="000000"/>
              </w:pBdr>
              <w:spacing w:before="0" w:after="0"/>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single" w:sz="2" w:space="1" w:color="000000"/>
              </w:pBdr>
              <w:spacing w:before="0" w:after="0"/>
              <w:rPr/>
            </w:pPr>
            <w:r>
              <w:rPr/>
              <w:t> </w:t>
            </w:r>
          </w:p>
        </w:tc>
        <w:tc>
          <w:tcPr>
            <w:tcW w:w="1166" w:type="dxa"/>
            <w:tcBorders/>
            <w:shd w:fill="auto" w:val="clear"/>
            <w:vAlign w:val="bottom"/>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r>
      <w:tr>
        <w:trPr/>
        <w:tc>
          <w:tcPr>
            <w:tcW w:w="2270" w:type="dxa"/>
            <w:tcBorders/>
            <w:shd w:fill="CCEEFF" w:val="clear"/>
          </w:tcPr>
          <w:p>
            <w:pPr>
              <w:pStyle w:val="TableContents"/>
              <w:spacing w:before="0" w:after="0"/>
              <w:rPr>
                <w:rFonts w:ascii="Times New Roman" w:hAnsi="Times New Roman"/>
                <w:b/>
                <w:sz w:val="16"/>
              </w:rPr>
            </w:pPr>
            <w:r>
              <w:rPr>
                <w:rFonts w:ascii="Times New Roman" w:hAnsi="Times New Roman"/>
                <w:b/>
                <w:sz w:val="16"/>
              </w:rPr>
              <w:t>Hotel, Gaming and Leisure</w:t>
            </w:r>
          </w:p>
        </w:tc>
        <w:tc>
          <w:tcPr>
            <w:tcW w:w="60" w:type="dxa"/>
            <w:tcBorders/>
            <w:shd w:fill="CCEEFF" w:val="clear"/>
            <w:vAlign w:val="bottom"/>
          </w:tcPr>
          <w:p>
            <w:pPr>
              <w:pStyle w:val="TableContents"/>
              <w:spacing w:before="0" w:after="283"/>
              <w:rPr/>
            </w:pPr>
            <w:r>
              <w:rPr/>
              <w:t> </w:t>
            </w:r>
          </w:p>
        </w:tc>
        <w:tc>
          <w:tcPr>
            <w:tcW w:w="482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sz w:val="4"/>
                <w:szCs w:val="4"/>
              </w:rPr>
            </w:pPr>
            <w:r>
              <w:rPr>
                <w:sz w:val="4"/>
                <w:szCs w:val="4"/>
              </w:rPr>
            </w:r>
          </w:p>
        </w:tc>
        <w:tc>
          <w:tcPr>
            <w:tcW w:w="1115" w:type="dxa"/>
            <w:tcBorders/>
            <w:shd w:fill="CCEEFF" w:val="clear"/>
          </w:tcPr>
          <w:p>
            <w:pPr>
              <w:pStyle w:val="TableContents"/>
              <w:spacing w:before="0" w:after="283"/>
              <w:rPr>
                <w:sz w:val="4"/>
                <w:szCs w:val="4"/>
              </w:rPr>
            </w:pPr>
            <w:r>
              <w:rPr>
                <w:sz w:val="4"/>
                <w:szCs w:val="4"/>
              </w:rPr>
            </w:r>
          </w:p>
        </w:tc>
        <w:tc>
          <w:tcPr>
            <w:tcW w:w="6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sz w:val="4"/>
                <w:szCs w:val="4"/>
              </w:rPr>
            </w:pPr>
            <w:r>
              <w:rPr>
                <w:sz w:val="4"/>
                <w:szCs w:val="4"/>
              </w:rPr>
            </w:r>
          </w:p>
        </w:tc>
        <w:tc>
          <w:tcPr>
            <w:tcW w:w="1310" w:type="dxa"/>
            <w:tcBorders/>
            <w:shd w:fill="CCEEFF" w:val="clear"/>
          </w:tcPr>
          <w:p>
            <w:pPr>
              <w:pStyle w:val="TableContents"/>
              <w:spacing w:before="0" w:after="283"/>
              <w:rPr>
                <w:sz w:val="4"/>
                <w:szCs w:val="4"/>
              </w:rPr>
            </w:pPr>
            <w:r>
              <w:rPr>
                <w:sz w:val="4"/>
                <w:szCs w:val="4"/>
              </w:rPr>
            </w:r>
          </w:p>
        </w:tc>
        <w:tc>
          <w:tcPr>
            <w:tcW w:w="27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9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6" w:type="dxa"/>
            <w:tcBorders/>
            <w:shd w:fill="CCEEFF" w:val="clear"/>
          </w:tcPr>
          <w:p>
            <w:pPr>
              <w:pStyle w:val="TableContents"/>
              <w:spacing w:before="0" w:after="283"/>
              <w:rPr>
                <w:sz w:val="4"/>
                <w:szCs w:val="4"/>
              </w:rPr>
            </w:pPr>
            <w:r>
              <w:rPr>
                <w:sz w:val="4"/>
                <w:szCs w:val="4"/>
              </w:rPr>
            </w:r>
          </w:p>
        </w:tc>
        <w:tc>
          <w:tcPr>
            <w:tcW w:w="1024" w:type="dxa"/>
            <w:tcBorders/>
            <w:shd w:fill="CCEEFF" w:val="clear"/>
          </w:tcPr>
          <w:p>
            <w:pPr>
              <w:pStyle w:val="TableContents"/>
              <w:spacing w:before="0" w:after="283"/>
              <w:rPr>
                <w:sz w:val="4"/>
                <w:szCs w:val="4"/>
              </w:rPr>
            </w:pPr>
            <w:r>
              <w:rPr>
                <w:sz w:val="4"/>
                <w:szCs w:val="4"/>
              </w:rPr>
            </w:r>
          </w:p>
        </w:tc>
        <w:tc>
          <w:tcPr>
            <w:tcW w:w="6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8" w:type="dxa"/>
            <w:tcBorders/>
            <w:shd w:fill="CCEEFF" w:val="clear"/>
          </w:tcPr>
          <w:p>
            <w:pPr>
              <w:pStyle w:val="TableContents"/>
              <w:spacing w:before="0" w:after="283"/>
              <w:rPr>
                <w:sz w:val="4"/>
                <w:szCs w:val="4"/>
              </w:rPr>
            </w:pPr>
            <w:r>
              <w:rPr>
                <w:sz w:val="4"/>
                <w:szCs w:val="4"/>
              </w:rPr>
            </w:r>
          </w:p>
        </w:tc>
        <w:tc>
          <w:tcPr>
            <w:tcW w:w="1122" w:type="dxa"/>
            <w:tcBorders/>
            <w:shd w:fill="CCEEFF" w:val="clear"/>
          </w:tcPr>
          <w:p>
            <w:pPr>
              <w:pStyle w:val="TableContents"/>
              <w:spacing w:before="0" w:after="283"/>
              <w:rPr>
                <w:sz w:val="4"/>
                <w:szCs w:val="4"/>
              </w:rPr>
            </w:pPr>
            <w:r>
              <w:rPr>
                <w:sz w:val="4"/>
                <w:szCs w:val="4"/>
              </w:rPr>
            </w:r>
          </w:p>
        </w:tc>
        <w:tc>
          <w:tcPr>
            <w:tcW w:w="12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59" w:type="dxa"/>
            <w:tcBorders/>
            <w:shd w:fill="CCEEFF" w:val="clear"/>
          </w:tcPr>
          <w:p>
            <w:pPr>
              <w:pStyle w:val="TableContents"/>
              <w:spacing w:before="0" w:after="283"/>
              <w:rPr>
                <w:sz w:val="4"/>
                <w:szCs w:val="4"/>
              </w:rPr>
            </w:pPr>
            <w:r>
              <w:rPr>
                <w:sz w:val="4"/>
                <w:szCs w:val="4"/>
              </w:rPr>
            </w:r>
          </w:p>
        </w:tc>
        <w:tc>
          <w:tcPr>
            <w:tcW w:w="1166" w:type="dxa"/>
            <w:tcBorders/>
            <w:shd w:fill="CCEEFF" w:val="clear"/>
          </w:tcPr>
          <w:p>
            <w:pPr>
              <w:pStyle w:val="TableContents"/>
              <w:spacing w:before="0" w:after="283"/>
              <w:rPr>
                <w:sz w:val="4"/>
                <w:szCs w:val="4"/>
              </w:rPr>
            </w:pPr>
            <w:r>
              <w:rPr>
                <w:sz w:val="4"/>
                <w:szCs w:val="4"/>
              </w:rPr>
            </w:r>
          </w:p>
        </w:tc>
        <w:tc>
          <w:tcPr>
            <w:tcW w:w="275" w:type="dxa"/>
            <w:tcBorders/>
            <w:shd w:fill="CCEEFF" w:val="clear"/>
          </w:tcPr>
          <w:p>
            <w:pPr>
              <w:pStyle w:val="TableContents"/>
              <w:spacing w:before="0" w:after="283"/>
              <w:rPr>
                <w:sz w:val="4"/>
                <w:szCs w:val="4"/>
              </w:rPr>
            </w:pPr>
            <w:r>
              <w:rPr>
                <w:sz w:val="4"/>
                <w:szCs w:val="4"/>
              </w:rPr>
            </w:r>
          </w:p>
        </w:tc>
      </w:tr>
      <w:tr>
        <w:trPr/>
        <w:tc>
          <w:tcPr>
            <w:tcW w:w="2270" w:type="dxa"/>
            <w:tcBorders/>
            <w:shd w:fill="auto" w:val="clear"/>
          </w:tcPr>
          <w:p>
            <w:pPr>
              <w:pStyle w:val="TableContents"/>
              <w:spacing w:before="0" w:after="0"/>
              <w:rPr>
                <w:rFonts w:ascii="Times New Roman" w:hAnsi="Times New Roman"/>
                <w:sz w:val="16"/>
              </w:rPr>
            </w:pPr>
            <w:r>
              <w:rPr>
                <w:rFonts w:ascii="Times New Roman" w:hAnsi="Times New Roman"/>
                <w:sz w:val="16"/>
              </w:rPr>
              <w:t>ASG II, LLC(3)(5)</w:t>
            </w:r>
          </w:p>
        </w:tc>
        <w:tc>
          <w:tcPr>
            <w:tcW w:w="60" w:type="dxa"/>
            <w:tcBorders/>
            <w:shd w:fill="auto" w:val="clear"/>
            <w:vAlign w:val="bottom"/>
          </w:tcPr>
          <w:p>
            <w:pPr>
              <w:pStyle w:val="TableContents"/>
              <w:spacing w:before="0" w:after="283"/>
              <w:rPr/>
            </w:pPr>
            <w:r>
              <w:rPr/>
              <w:t> </w:t>
            </w:r>
          </w:p>
        </w:tc>
        <w:tc>
          <w:tcPr>
            <w:tcW w:w="4820" w:type="dxa"/>
            <w:tcBorders/>
            <w:shd w:fill="auto" w:val="clear"/>
          </w:tcPr>
          <w:p>
            <w:pPr>
              <w:pStyle w:val="TableContents"/>
              <w:spacing w:before="0" w:after="283"/>
              <w:rPr/>
            </w:pPr>
            <w:r>
              <w:rPr/>
              <w:t>First-lien loan ($56,522 par, due 5/2028)</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115" w:type="dxa"/>
            <w:tcBorders/>
            <w:shd w:fill="auto" w:val="clear"/>
          </w:tcPr>
          <w:p>
            <w:pPr>
              <w:pStyle w:val="TableContents"/>
              <w:spacing w:before="0" w:after="283"/>
              <w:jc w:val="right"/>
              <w:rPr/>
            </w:pPr>
            <w:r>
              <w:rPr/>
              <w:t>5/25/2022</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310" w:type="dxa"/>
            <w:tcBorders/>
            <w:shd w:fill="auto" w:val="clear"/>
          </w:tcPr>
          <w:p>
            <w:pPr>
              <w:pStyle w:val="TableContents"/>
              <w:spacing w:before="0" w:after="283"/>
              <w:jc w:val="right"/>
              <w:rPr/>
            </w:pPr>
            <w:r>
              <w:rPr/>
              <w:t>SOFR + 6.65</w:t>
            </w:r>
          </w:p>
        </w:tc>
        <w:tc>
          <w:tcPr>
            <w:tcW w:w="27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95" w:type="dxa"/>
            <w:tcBorders/>
            <w:shd w:fill="auto" w:val="clear"/>
          </w:tcPr>
          <w:p>
            <w:pPr>
              <w:pStyle w:val="TableContents"/>
              <w:spacing w:before="0" w:after="283"/>
              <w:jc w:val="right"/>
              <w:rPr/>
            </w:pPr>
            <w:r>
              <w:rPr/>
              <w:t>9.37%</w:t>
            </w:r>
          </w:p>
        </w:tc>
        <w:tc>
          <w:tcPr>
            <w:tcW w:w="60" w:type="dxa"/>
            <w:tcBorders/>
            <w:shd w:fill="auto" w:val="clear"/>
            <w:vAlign w:val="bottom"/>
          </w:tcPr>
          <w:p>
            <w:pPr>
              <w:pStyle w:val="TableContents"/>
              <w:spacing w:before="0" w:after="283"/>
              <w:rPr/>
            </w:pPr>
            <w:r>
              <w:rPr/>
              <w:t> </w:t>
            </w:r>
          </w:p>
        </w:tc>
        <w:tc>
          <w:tcPr>
            <w:tcW w:w="76" w:type="dxa"/>
            <w:tcBorders/>
            <w:shd w:fill="auto" w:val="clear"/>
          </w:tcPr>
          <w:p>
            <w:pPr>
              <w:pStyle w:val="TableContents"/>
              <w:spacing w:before="0" w:after="283"/>
              <w:rPr/>
            </w:pPr>
            <w:r>
              <w:rPr/>
              <w:t> </w:t>
            </w:r>
          </w:p>
        </w:tc>
        <w:tc>
          <w:tcPr>
            <w:tcW w:w="1024" w:type="dxa"/>
            <w:tcBorders/>
            <w:shd w:fill="auto" w:val="clear"/>
          </w:tcPr>
          <w:p>
            <w:pPr>
              <w:pStyle w:val="TableContents"/>
              <w:spacing w:before="0" w:after="283"/>
              <w:jc w:val="right"/>
              <w:rPr/>
            </w:pPr>
            <w:r>
              <w:rPr/>
              <w:t>55,033</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122" w:type="dxa"/>
            <w:tcBorders/>
            <w:shd w:fill="auto" w:val="clear"/>
          </w:tcPr>
          <w:p>
            <w:pPr>
              <w:pStyle w:val="TableContents"/>
              <w:spacing w:before="0" w:after="283"/>
              <w:jc w:val="right"/>
              <w:rPr/>
            </w:pPr>
            <w:r>
              <w:rPr/>
              <w:t>54,409</w:t>
            </w:r>
          </w:p>
        </w:tc>
        <w:tc>
          <w:tcPr>
            <w:tcW w:w="12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tcPr>
          <w:p>
            <w:pPr>
              <w:pStyle w:val="TableContents"/>
              <w:spacing w:before="0" w:after="283"/>
              <w:rPr/>
            </w:pPr>
            <w:r>
              <w:rPr/>
              <w:t> </w:t>
            </w:r>
          </w:p>
        </w:tc>
        <w:tc>
          <w:tcPr>
            <w:tcW w:w="1166" w:type="dxa"/>
            <w:tcBorders/>
            <w:shd w:fill="auto" w:val="clear"/>
          </w:tcPr>
          <w:p>
            <w:pPr>
              <w:pStyle w:val="TableContents"/>
              <w:spacing w:before="0" w:after="283"/>
              <w:jc w:val="right"/>
              <w:rPr/>
            </w:pPr>
            <w:r>
              <w:rPr/>
              <w:t>4.1</w:t>
            </w:r>
          </w:p>
        </w:tc>
        <w:tc>
          <w:tcPr>
            <w:tcW w:w="275" w:type="dxa"/>
            <w:tcBorders/>
            <w:shd w:fill="auto" w:val="clear"/>
          </w:tcPr>
          <w:p>
            <w:pPr>
              <w:pStyle w:val="TableContents"/>
              <w:spacing w:before="0" w:after="283"/>
              <w:rPr/>
            </w:pPr>
            <w:r>
              <w:rPr/>
              <w:t>% </w:t>
            </w:r>
          </w:p>
        </w:tc>
      </w:tr>
      <w:tr>
        <w:trPr/>
        <w:tc>
          <w:tcPr>
            <w:tcW w:w="2270" w:type="dxa"/>
            <w:tcBorders/>
            <w:shd w:fill="CCEEFF" w:val="clear"/>
          </w:tcPr>
          <w:p>
            <w:pPr>
              <w:pStyle w:val="TableContents"/>
              <w:spacing w:before="0" w:after="0"/>
              <w:rPr>
                <w:rFonts w:ascii="Times New Roman" w:hAnsi="Times New Roman"/>
                <w:sz w:val="16"/>
              </w:rPr>
            </w:pPr>
            <w:r>
              <w:rPr>
                <w:rFonts w:ascii="Times New Roman" w:hAnsi="Times New Roman"/>
                <w:sz w:val="16"/>
              </w:rPr>
              <w:t>IRGSE Holding Corp.(3)(7)</w:t>
            </w:r>
          </w:p>
        </w:tc>
        <w:tc>
          <w:tcPr>
            <w:tcW w:w="60" w:type="dxa"/>
            <w:tcBorders/>
            <w:shd w:fill="CCEEFF" w:val="clear"/>
            <w:vAlign w:val="bottom"/>
          </w:tcPr>
          <w:p>
            <w:pPr>
              <w:pStyle w:val="TableContents"/>
              <w:spacing w:before="0" w:after="283"/>
              <w:rPr/>
            </w:pPr>
            <w:r>
              <w:rPr/>
              <w:t> </w:t>
            </w:r>
          </w:p>
        </w:tc>
        <w:tc>
          <w:tcPr>
            <w:tcW w:w="4820" w:type="dxa"/>
            <w:tcBorders/>
            <w:shd w:fill="CCEEFF" w:val="clear"/>
          </w:tcPr>
          <w:p>
            <w:pPr>
              <w:pStyle w:val="TableContents"/>
              <w:spacing w:before="0" w:after="283"/>
              <w:rPr/>
            </w:pPr>
            <w:r>
              <w:rPr/>
              <w:t>First-lien loan ($30,261 par, due 6/2023)</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115" w:type="dxa"/>
            <w:tcBorders/>
            <w:shd w:fill="CCEEFF" w:val="clear"/>
          </w:tcPr>
          <w:p>
            <w:pPr>
              <w:pStyle w:val="TableContents"/>
              <w:spacing w:before="0" w:after="283"/>
              <w:jc w:val="right"/>
              <w:rPr/>
            </w:pPr>
            <w:r>
              <w:rPr/>
              <w:t>9/29/2015</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310" w:type="dxa"/>
            <w:tcBorders/>
            <w:shd w:fill="CCEEFF" w:val="clear"/>
          </w:tcPr>
          <w:p>
            <w:pPr>
              <w:pStyle w:val="TableContents"/>
              <w:spacing w:before="0" w:after="283"/>
              <w:jc w:val="right"/>
              <w:rPr/>
            </w:pPr>
            <w:r>
              <w:rPr/>
              <w:t>L + 9.50</w:t>
            </w:r>
          </w:p>
        </w:tc>
        <w:tc>
          <w:tcPr>
            <w:tcW w:w="27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95" w:type="dxa"/>
            <w:tcBorders/>
            <w:shd w:fill="CCEEFF" w:val="clear"/>
          </w:tcPr>
          <w:p>
            <w:pPr>
              <w:pStyle w:val="TableContents"/>
              <w:spacing w:before="0" w:after="283"/>
              <w:jc w:val="right"/>
              <w:rPr/>
            </w:pPr>
            <w:r>
              <w:rPr/>
              <w:t>13.17%</w:t>
            </w:r>
          </w:p>
        </w:tc>
        <w:tc>
          <w:tcPr>
            <w:tcW w:w="60" w:type="dxa"/>
            <w:tcBorders/>
            <w:shd w:fill="CCEEFF" w:val="clear"/>
            <w:vAlign w:val="bottom"/>
          </w:tcPr>
          <w:p>
            <w:pPr>
              <w:pStyle w:val="TableContents"/>
              <w:spacing w:before="0" w:after="283"/>
              <w:rPr/>
            </w:pPr>
            <w:r>
              <w:rPr/>
              <w:t> </w:t>
            </w:r>
          </w:p>
        </w:tc>
        <w:tc>
          <w:tcPr>
            <w:tcW w:w="76" w:type="dxa"/>
            <w:tcBorders/>
            <w:shd w:fill="CCEEFF" w:val="clear"/>
          </w:tcPr>
          <w:p>
            <w:pPr>
              <w:pStyle w:val="TableContents"/>
              <w:spacing w:before="0" w:after="283"/>
              <w:rPr/>
            </w:pPr>
            <w:r>
              <w:rPr/>
              <w:t> </w:t>
            </w:r>
          </w:p>
        </w:tc>
        <w:tc>
          <w:tcPr>
            <w:tcW w:w="1024" w:type="dxa"/>
            <w:tcBorders/>
            <w:shd w:fill="CCEEFF" w:val="clear"/>
          </w:tcPr>
          <w:p>
            <w:pPr>
              <w:pStyle w:val="TableContents"/>
              <w:spacing w:before="0" w:after="283"/>
              <w:jc w:val="right"/>
              <w:rPr/>
            </w:pPr>
            <w:r>
              <w:rPr/>
              <w:t>28,594</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 w:type="dxa"/>
            <w:tcBorders/>
            <w:shd w:fill="CCEEFF" w:val="clear"/>
          </w:tcPr>
          <w:p>
            <w:pPr>
              <w:pStyle w:val="TableContents"/>
              <w:spacing w:before="0" w:after="283"/>
              <w:rPr/>
            </w:pPr>
            <w:r>
              <w:rPr/>
              <w:t> </w:t>
            </w:r>
          </w:p>
        </w:tc>
        <w:tc>
          <w:tcPr>
            <w:tcW w:w="1122" w:type="dxa"/>
            <w:tcBorders/>
            <w:shd w:fill="CCEEFF" w:val="clear"/>
          </w:tcPr>
          <w:p>
            <w:pPr>
              <w:pStyle w:val="TableContents"/>
              <w:spacing w:before="0" w:after="283"/>
              <w:jc w:val="right"/>
              <w:rPr/>
            </w:pPr>
            <w:r>
              <w:rPr/>
              <w:t>29,958</w:t>
            </w:r>
          </w:p>
        </w:tc>
        <w:tc>
          <w:tcPr>
            <w:tcW w:w="12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tcPr>
          <w:p>
            <w:pPr>
              <w:pStyle w:val="TableContents"/>
              <w:spacing w:before="0" w:after="283"/>
              <w:rPr/>
            </w:pPr>
            <w:r>
              <w:rPr/>
              <w:t> </w:t>
            </w:r>
          </w:p>
        </w:tc>
        <w:tc>
          <w:tcPr>
            <w:tcW w:w="1166" w:type="dxa"/>
            <w:tcBorders/>
            <w:shd w:fill="CCEEFF" w:val="clear"/>
          </w:tcPr>
          <w:p>
            <w:pPr>
              <w:pStyle w:val="TableContents"/>
              <w:spacing w:before="0" w:after="283"/>
              <w:jc w:val="right"/>
              <w:rPr/>
            </w:pPr>
            <w:r>
              <w:rPr/>
              <w:t>2.3</w:t>
            </w:r>
          </w:p>
        </w:tc>
        <w:tc>
          <w:tcPr>
            <w:tcW w:w="275" w:type="dxa"/>
            <w:tcBorders/>
            <w:shd w:fill="CCEEFF" w:val="clear"/>
          </w:tcPr>
          <w:p>
            <w:pPr>
              <w:pStyle w:val="TableContents"/>
              <w:spacing w:before="0" w:after="283"/>
              <w:rPr/>
            </w:pPr>
            <w:r>
              <w:rPr/>
              <w:t>% </w:t>
            </w:r>
          </w:p>
        </w:tc>
      </w:tr>
      <w:tr>
        <w:trPr/>
        <w:tc>
          <w:tcPr>
            <w:tcW w:w="227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820" w:type="dxa"/>
            <w:tcBorders/>
            <w:shd w:fill="auto" w:val="clear"/>
          </w:tcPr>
          <w:p>
            <w:pPr>
              <w:pStyle w:val="TableContents"/>
              <w:spacing w:before="0" w:after="283"/>
              <w:rPr/>
            </w:pPr>
            <w:r>
              <w:rPr/>
              <w:t>First-lien revolving loan ($14,827 par, due 6/2023)</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115" w:type="dxa"/>
            <w:tcBorders/>
            <w:shd w:fill="auto" w:val="clear"/>
          </w:tcPr>
          <w:p>
            <w:pPr>
              <w:pStyle w:val="TableContents"/>
              <w:spacing w:before="0" w:after="283"/>
              <w:jc w:val="right"/>
              <w:rPr/>
            </w:pPr>
            <w:r>
              <w:rPr/>
              <w:t>9/29/2015</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310" w:type="dxa"/>
            <w:tcBorders/>
            <w:shd w:fill="auto" w:val="clear"/>
          </w:tcPr>
          <w:p>
            <w:pPr>
              <w:pStyle w:val="TableContents"/>
              <w:spacing w:before="0" w:after="283"/>
              <w:jc w:val="right"/>
              <w:rPr/>
            </w:pPr>
            <w:r>
              <w:rPr/>
              <w:t>L + 9.50</w:t>
            </w:r>
          </w:p>
        </w:tc>
        <w:tc>
          <w:tcPr>
            <w:tcW w:w="27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95" w:type="dxa"/>
            <w:tcBorders/>
            <w:shd w:fill="auto" w:val="clear"/>
          </w:tcPr>
          <w:p>
            <w:pPr>
              <w:pStyle w:val="TableContents"/>
              <w:spacing w:before="0" w:after="283"/>
              <w:jc w:val="right"/>
              <w:rPr/>
            </w:pPr>
            <w:r>
              <w:rPr/>
              <w:t>13.14%</w:t>
            </w:r>
          </w:p>
        </w:tc>
        <w:tc>
          <w:tcPr>
            <w:tcW w:w="60" w:type="dxa"/>
            <w:tcBorders/>
            <w:shd w:fill="auto" w:val="clear"/>
            <w:vAlign w:val="bottom"/>
          </w:tcPr>
          <w:p>
            <w:pPr>
              <w:pStyle w:val="TableContents"/>
              <w:spacing w:before="0" w:after="283"/>
              <w:rPr/>
            </w:pPr>
            <w:r>
              <w:rPr/>
              <w:t> </w:t>
            </w:r>
          </w:p>
        </w:tc>
        <w:tc>
          <w:tcPr>
            <w:tcW w:w="76" w:type="dxa"/>
            <w:tcBorders/>
            <w:shd w:fill="auto" w:val="clear"/>
          </w:tcPr>
          <w:p>
            <w:pPr>
              <w:pStyle w:val="TableContents"/>
              <w:spacing w:before="0" w:after="283"/>
              <w:rPr/>
            </w:pPr>
            <w:r>
              <w:rPr/>
              <w:t> </w:t>
            </w:r>
          </w:p>
        </w:tc>
        <w:tc>
          <w:tcPr>
            <w:tcW w:w="1024" w:type="dxa"/>
            <w:tcBorders/>
            <w:shd w:fill="auto" w:val="clear"/>
          </w:tcPr>
          <w:p>
            <w:pPr>
              <w:pStyle w:val="TableContents"/>
              <w:spacing w:before="0" w:after="283"/>
              <w:jc w:val="right"/>
              <w:rPr/>
            </w:pPr>
            <w:r>
              <w:rPr/>
              <w:t>14,828</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122" w:type="dxa"/>
            <w:tcBorders/>
            <w:shd w:fill="auto" w:val="clear"/>
          </w:tcPr>
          <w:p>
            <w:pPr>
              <w:pStyle w:val="TableContents"/>
              <w:spacing w:before="0" w:after="283"/>
              <w:jc w:val="right"/>
              <w:rPr/>
            </w:pPr>
            <w:r>
              <w:rPr/>
              <w:t>14,672</w:t>
            </w:r>
          </w:p>
        </w:tc>
        <w:tc>
          <w:tcPr>
            <w:tcW w:w="12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tcPr>
          <w:p>
            <w:pPr>
              <w:pStyle w:val="TableContents"/>
              <w:spacing w:before="0" w:after="283"/>
              <w:rPr/>
            </w:pPr>
            <w:r>
              <w:rPr/>
              <w:t> </w:t>
            </w:r>
          </w:p>
        </w:tc>
        <w:tc>
          <w:tcPr>
            <w:tcW w:w="1166" w:type="dxa"/>
            <w:tcBorders/>
            <w:shd w:fill="auto" w:val="clear"/>
          </w:tcPr>
          <w:p>
            <w:pPr>
              <w:pStyle w:val="TableContents"/>
              <w:spacing w:before="0" w:after="283"/>
              <w:jc w:val="right"/>
              <w:rPr/>
            </w:pPr>
            <w:r>
              <w:rPr/>
              <w:t>1.1</w:t>
            </w:r>
          </w:p>
        </w:tc>
        <w:tc>
          <w:tcPr>
            <w:tcW w:w="275" w:type="dxa"/>
            <w:tcBorders/>
            <w:shd w:fill="auto" w:val="clear"/>
          </w:tcPr>
          <w:p>
            <w:pPr>
              <w:pStyle w:val="TableContents"/>
              <w:spacing w:before="0" w:after="283"/>
              <w:rPr/>
            </w:pPr>
            <w:r>
              <w:rPr/>
              <w:t>% </w:t>
            </w:r>
          </w:p>
        </w:tc>
      </w:tr>
      <w:tr>
        <w:trPr/>
        <w:tc>
          <w:tcPr>
            <w:tcW w:w="227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8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1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31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9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02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pBdr>
                <w:top w:val="single" w:sz="2" w:space="1" w:color="000000"/>
              </w:pBdr>
              <w:spacing w:before="0" w:after="0"/>
              <w:rPr/>
            </w:pPr>
            <w:r>
              <w:rPr/>
              <w:t> </w:t>
            </w:r>
          </w:p>
        </w:tc>
        <w:tc>
          <w:tcPr>
            <w:tcW w:w="1122" w:type="dxa"/>
            <w:tcBorders/>
            <w:shd w:fill="auto" w:val="clear"/>
            <w:vAlign w:val="bottom"/>
          </w:tcPr>
          <w:p>
            <w:pPr>
              <w:pStyle w:val="TableContents"/>
              <w:pBdr>
                <w:top w:val="single" w:sz="2" w:space="1" w:color="000000"/>
              </w:pBdr>
              <w:spacing w:before="0" w:after="0"/>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single" w:sz="2" w:space="1" w:color="000000"/>
              </w:pBdr>
              <w:spacing w:before="0" w:after="0"/>
              <w:rPr/>
            </w:pPr>
            <w:r>
              <w:rPr/>
              <w:t> </w:t>
            </w:r>
          </w:p>
        </w:tc>
        <w:tc>
          <w:tcPr>
            <w:tcW w:w="1166" w:type="dxa"/>
            <w:tcBorders/>
            <w:shd w:fill="auto" w:val="clear"/>
            <w:vAlign w:val="bottom"/>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r>
      <w:tr>
        <w:trPr/>
        <w:tc>
          <w:tcPr>
            <w:tcW w:w="227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482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sz w:val="4"/>
                <w:szCs w:val="4"/>
              </w:rPr>
            </w:pPr>
            <w:r>
              <w:rPr>
                <w:sz w:val="4"/>
                <w:szCs w:val="4"/>
              </w:rPr>
            </w:r>
          </w:p>
        </w:tc>
        <w:tc>
          <w:tcPr>
            <w:tcW w:w="1115" w:type="dxa"/>
            <w:tcBorders/>
            <w:shd w:fill="CCEEFF" w:val="clear"/>
          </w:tcPr>
          <w:p>
            <w:pPr>
              <w:pStyle w:val="TableContents"/>
              <w:spacing w:before="0" w:after="283"/>
              <w:rPr>
                <w:sz w:val="4"/>
                <w:szCs w:val="4"/>
              </w:rPr>
            </w:pPr>
            <w:r>
              <w:rPr>
                <w:sz w:val="4"/>
                <w:szCs w:val="4"/>
              </w:rPr>
            </w:r>
          </w:p>
        </w:tc>
        <w:tc>
          <w:tcPr>
            <w:tcW w:w="6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sz w:val="4"/>
                <w:szCs w:val="4"/>
              </w:rPr>
            </w:pPr>
            <w:r>
              <w:rPr>
                <w:sz w:val="4"/>
                <w:szCs w:val="4"/>
              </w:rPr>
            </w:r>
          </w:p>
        </w:tc>
        <w:tc>
          <w:tcPr>
            <w:tcW w:w="1310" w:type="dxa"/>
            <w:tcBorders/>
            <w:shd w:fill="CCEEFF" w:val="clear"/>
          </w:tcPr>
          <w:p>
            <w:pPr>
              <w:pStyle w:val="TableContents"/>
              <w:spacing w:before="0" w:after="283"/>
              <w:rPr>
                <w:sz w:val="4"/>
                <w:szCs w:val="4"/>
              </w:rPr>
            </w:pPr>
            <w:r>
              <w:rPr>
                <w:sz w:val="4"/>
                <w:szCs w:val="4"/>
              </w:rPr>
            </w:r>
          </w:p>
        </w:tc>
        <w:tc>
          <w:tcPr>
            <w:tcW w:w="27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9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6" w:type="dxa"/>
            <w:tcBorders/>
            <w:shd w:fill="CCEEFF" w:val="clear"/>
          </w:tcPr>
          <w:p>
            <w:pPr>
              <w:pStyle w:val="TableContents"/>
              <w:spacing w:before="0" w:after="283"/>
              <w:rPr/>
            </w:pPr>
            <w:r>
              <w:rPr/>
              <w:t> </w:t>
            </w:r>
          </w:p>
        </w:tc>
        <w:tc>
          <w:tcPr>
            <w:tcW w:w="1024" w:type="dxa"/>
            <w:tcBorders/>
            <w:shd w:fill="CCEEFF" w:val="clear"/>
          </w:tcPr>
          <w:p>
            <w:pPr>
              <w:pStyle w:val="TableContents"/>
              <w:spacing w:before="0" w:after="283"/>
              <w:jc w:val="right"/>
              <w:rPr/>
            </w:pPr>
            <w:r>
              <w:rPr/>
              <w:t>98,455</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 w:type="dxa"/>
            <w:tcBorders/>
            <w:shd w:fill="CCEEFF" w:val="clear"/>
          </w:tcPr>
          <w:p>
            <w:pPr>
              <w:pStyle w:val="TableContents"/>
              <w:spacing w:before="0" w:after="283"/>
              <w:rPr/>
            </w:pPr>
            <w:r>
              <w:rPr/>
              <w:t> </w:t>
            </w:r>
          </w:p>
        </w:tc>
        <w:tc>
          <w:tcPr>
            <w:tcW w:w="1122" w:type="dxa"/>
            <w:tcBorders/>
            <w:shd w:fill="CCEEFF" w:val="clear"/>
          </w:tcPr>
          <w:p>
            <w:pPr>
              <w:pStyle w:val="TableContents"/>
              <w:spacing w:before="0" w:after="283"/>
              <w:jc w:val="right"/>
              <w:rPr/>
            </w:pPr>
            <w:r>
              <w:rPr/>
              <w:t>99,039</w:t>
            </w:r>
          </w:p>
        </w:tc>
        <w:tc>
          <w:tcPr>
            <w:tcW w:w="12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tcPr>
          <w:p>
            <w:pPr>
              <w:pStyle w:val="TableContents"/>
              <w:spacing w:before="0" w:after="283"/>
              <w:rPr/>
            </w:pPr>
            <w:r>
              <w:rPr/>
              <w:t> </w:t>
            </w:r>
          </w:p>
        </w:tc>
        <w:tc>
          <w:tcPr>
            <w:tcW w:w="1166" w:type="dxa"/>
            <w:tcBorders/>
            <w:shd w:fill="CCEEFF" w:val="clear"/>
          </w:tcPr>
          <w:p>
            <w:pPr>
              <w:pStyle w:val="TableContents"/>
              <w:spacing w:before="0" w:after="283"/>
              <w:jc w:val="right"/>
              <w:rPr/>
            </w:pPr>
            <w:r>
              <w:rPr/>
              <w:t>7.5</w:t>
            </w:r>
          </w:p>
        </w:tc>
        <w:tc>
          <w:tcPr>
            <w:tcW w:w="275" w:type="dxa"/>
            <w:tcBorders/>
            <w:shd w:fill="CCEEFF" w:val="clear"/>
          </w:tcPr>
          <w:p>
            <w:pPr>
              <w:pStyle w:val="TableContents"/>
              <w:spacing w:before="0" w:after="283"/>
              <w:rPr/>
            </w:pPr>
            <w:r>
              <w:rPr/>
              <w:t>% </w:t>
            </w:r>
          </w:p>
        </w:tc>
      </w:tr>
      <w:tr>
        <w:trPr/>
        <w:tc>
          <w:tcPr>
            <w:tcW w:w="227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8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1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31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9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02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pBdr>
                <w:top w:val="single" w:sz="2" w:space="1" w:color="000000"/>
              </w:pBdr>
              <w:spacing w:before="0" w:after="0"/>
              <w:rPr/>
            </w:pPr>
            <w:r>
              <w:rPr/>
              <w:t> </w:t>
            </w:r>
          </w:p>
        </w:tc>
        <w:tc>
          <w:tcPr>
            <w:tcW w:w="1122" w:type="dxa"/>
            <w:tcBorders/>
            <w:shd w:fill="auto" w:val="clear"/>
            <w:vAlign w:val="bottom"/>
          </w:tcPr>
          <w:p>
            <w:pPr>
              <w:pStyle w:val="TableContents"/>
              <w:pBdr>
                <w:top w:val="single" w:sz="2" w:space="1" w:color="000000"/>
              </w:pBdr>
              <w:spacing w:before="0" w:after="0"/>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single" w:sz="2" w:space="1" w:color="000000"/>
              </w:pBdr>
              <w:spacing w:before="0" w:after="0"/>
              <w:rPr/>
            </w:pPr>
            <w:r>
              <w:rPr/>
              <w:t> </w:t>
            </w:r>
          </w:p>
        </w:tc>
        <w:tc>
          <w:tcPr>
            <w:tcW w:w="1166" w:type="dxa"/>
            <w:tcBorders/>
            <w:shd w:fill="auto" w:val="clear"/>
            <w:vAlign w:val="bottom"/>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r>
      <w:tr>
        <w:trPr/>
        <w:tc>
          <w:tcPr>
            <w:tcW w:w="2270" w:type="dxa"/>
            <w:tcBorders/>
            <w:shd w:fill="auto" w:val="clear"/>
          </w:tcPr>
          <w:p>
            <w:pPr>
              <w:pStyle w:val="TableContents"/>
              <w:spacing w:before="0" w:after="0"/>
              <w:rPr>
                <w:rFonts w:ascii="Times New Roman" w:hAnsi="Times New Roman"/>
                <w:b/>
                <w:sz w:val="16"/>
              </w:rPr>
            </w:pPr>
            <w:r>
              <w:rPr>
                <w:rFonts w:ascii="Times New Roman" w:hAnsi="Times New Roman"/>
                <w:b/>
                <w:sz w:val="16"/>
              </w:rPr>
              <w:t>Human Resource Support Services</w:t>
            </w:r>
          </w:p>
        </w:tc>
        <w:tc>
          <w:tcPr>
            <w:tcW w:w="60" w:type="dxa"/>
            <w:tcBorders/>
            <w:shd w:fill="auto" w:val="clear"/>
            <w:vAlign w:val="bottom"/>
          </w:tcPr>
          <w:p>
            <w:pPr>
              <w:pStyle w:val="TableContents"/>
              <w:spacing w:before="0" w:after="283"/>
              <w:rPr/>
            </w:pPr>
            <w:r>
              <w:rPr/>
              <w:t> </w:t>
            </w:r>
          </w:p>
        </w:tc>
        <w:tc>
          <w:tcPr>
            <w:tcW w:w="482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1115"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1310" w:type="dxa"/>
            <w:tcBorders/>
            <w:shd w:fill="auto" w:val="clear"/>
          </w:tcPr>
          <w:p>
            <w:pPr>
              <w:pStyle w:val="TableContents"/>
              <w:spacing w:before="0" w:after="283"/>
              <w:rPr>
                <w:sz w:val="4"/>
                <w:szCs w:val="4"/>
              </w:rPr>
            </w:pPr>
            <w:r>
              <w:rPr>
                <w:sz w:val="4"/>
                <w:szCs w:val="4"/>
              </w:rPr>
            </w:r>
          </w:p>
        </w:tc>
        <w:tc>
          <w:tcPr>
            <w:tcW w:w="27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9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c>
          <w:tcPr>
            <w:tcW w:w="1024"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8" w:type="dxa"/>
            <w:tcBorders/>
            <w:shd w:fill="auto" w:val="clear"/>
          </w:tcPr>
          <w:p>
            <w:pPr>
              <w:pStyle w:val="TableContents"/>
              <w:spacing w:before="0" w:after="283"/>
              <w:rPr>
                <w:sz w:val="4"/>
                <w:szCs w:val="4"/>
              </w:rPr>
            </w:pPr>
            <w:r>
              <w:rPr>
                <w:sz w:val="4"/>
                <w:szCs w:val="4"/>
              </w:rPr>
            </w:r>
          </w:p>
        </w:tc>
        <w:tc>
          <w:tcPr>
            <w:tcW w:w="1122" w:type="dxa"/>
            <w:tcBorders/>
            <w:shd w:fill="auto" w:val="clear"/>
          </w:tcPr>
          <w:p>
            <w:pPr>
              <w:pStyle w:val="TableContents"/>
              <w:spacing w:before="0" w:after="283"/>
              <w:rPr>
                <w:sz w:val="4"/>
                <w:szCs w:val="4"/>
              </w:rPr>
            </w:pPr>
            <w:r>
              <w:rPr>
                <w:sz w:val="4"/>
                <w:szCs w:val="4"/>
              </w:rPr>
            </w:r>
          </w:p>
        </w:tc>
        <w:tc>
          <w:tcPr>
            <w:tcW w:w="12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59" w:type="dxa"/>
            <w:tcBorders/>
            <w:shd w:fill="auto" w:val="clear"/>
          </w:tcPr>
          <w:p>
            <w:pPr>
              <w:pStyle w:val="TableContents"/>
              <w:spacing w:before="0" w:after="283"/>
              <w:rPr>
                <w:sz w:val="4"/>
                <w:szCs w:val="4"/>
              </w:rPr>
            </w:pPr>
            <w:r>
              <w:rPr>
                <w:sz w:val="4"/>
                <w:szCs w:val="4"/>
              </w:rPr>
            </w:r>
          </w:p>
        </w:tc>
        <w:tc>
          <w:tcPr>
            <w:tcW w:w="1166" w:type="dxa"/>
            <w:tcBorders/>
            <w:shd w:fill="auto" w:val="clear"/>
          </w:tcPr>
          <w:p>
            <w:pPr>
              <w:pStyle w:val="TableContents"/>
              <w:spacing w:before="0" w:after="283"/>
              <w:rPr>
                <w:sz w:val="4"/>
                <w:szCs w:val="4"/>
              </w:rPr>
            </w:pPr>
            <w:r>
              <w:rPr>
                <w:sz w:val="4"/>
                <w:szCs w:val="4"/>
              </w:rPr>
            </w:r>
          </w:p>
        </w:tc>
        <w:tc>
          <w:tcPr>
            <w:tcW w:w="275" w:type="dxa"/>
            <w:tcBorders/>
            <w:shd w:fill="auto" w:val="clear"/>
          </w:tcPr>
          <w:p>
            <w:pPr>
              <w:pStyle w:val="TableContents"/>
              <w:spacing w:before="0" w:after="283"/>
              <w:rPr>
                <w:sz w:val="4"/>
                <w:szCs w:val="4"/>
              </w:rPr>
            </w:pPr>
            <w:r>
              <w:rPr>
                <w:sz w:val="4"/>
                <w:szCs w:val="4"/>
              </w:rPr>
            </w:r>
          </w:p>
        </w:tc>
      </w:tr>
      <w:tr>
        <w:trPr/>
        <w:tc>
          <w:tcPr>
            <w:tcW w:w="2270" w:type="dxa"/>
            <w:tcBorders/>
            <w:shd w:fill="CCEEFF" w:val="clear"/>
          </w:tcPr>
          <w:p>
            <w:pPr>
              <w:pStyle w:val="TableContents"/>
              <w:spacing w:before="0" w:after="0"/>
              <w:rPr>
                <w:rFonts w:ascii="Times New Roman" w:hAnsi="Times New Roman"/>
                <w:sz w:val="16"/>
              </w:rPr>
            </w:pPr>
            <w:r>
              <w:rPr>
                <w:rFonts w:ascii="Times New Roman" w:hAnsi="Times New Roman"/>
                <w:sz w:val="16"/>
              </w:rPr>
              <w:t>Axonify, Inc.(3)(4)(5)</w:t>
            </w:r>
          </w:p>
        </w:tc>
        <w:tc>
          <w:tcPr>
            <w:tcW w:w="60" w:type="dxa"/>
            <w:tcBorders/>
            <w:shd w:fill="CCEEFF" w:val="clear"/>
            <w:vAlign w:val="bottom"/>
          </w:tcPr>
          <w:p>
            <w:pPr>
              <w:pStyle w:val="TableContents"/>
              <w:spacing w:before="0" w:after="283"/>
              <w:rPr/>
            </w:pPr>
            <w:r>
              <w:rPr/>
              <w:t> </w:t>
            </w:r>
          </w:p>
        </w:tc>
        <w:tc>
          <w:tcPr>
            <w:tcW w:w="4820" w:type="dxa"/>
            <w:tcBorders/>
            <w:shd w:fill="CCEEFF" w:val="clear"/>
          </w:tcPr>
          <w:p>
            <w:pPr>
              <w:pStyle w:val="TableContents"/>
              <w:spacing w:before="0" w:after="283"/>
              <w:rPr/>
            </w:pPr>
            <w:r>
              <w:rPr/>
              <w:t>First-lien loan ($46,088 par, due 5/2026)</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115" w:type="dxa"/>
            <w:tcBorders/>
            <w:shd w:fill="CCEEFF" w:val="clear"/>
          </w:tcPr>
          <w:p>
            <w:pPr>
              <w:pStyle w:val="TableContents"/>
              <w:spacing w:before="0" w:after="283"/>
              <w:jc w:val="right"/>
              <w:rPr/>
            </w:pPr>
            <w:r>
              <w:rPr/>
              <w:t>5/5/2021</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310" w:type="dxa"/>
            <w:tcBorders/>
            <w:shd w:fill="CCEEFF" w:val="clear"/>
          </w:tcPr>
          <w:p>
            <w:pPr>
              <w:pStyle w:val="TableContents"/>
              <w:spacing w:before="0" w:after="283"/>
              <w:jc w:val="right"/>
              <w:rPr/>
            </w:pPr>
            <w:r>
              <w:rPr/>
              <w:t>L + 7.50</w:t>
            </w:r>
          </w:p>
        </w:tc>
        <w:tc>
          <w:tcPr>
            <w:tcW w:w="27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95" w:type="dxa"/>
            <w:tcBorders/>
            <w:shd w:fill="CCEEFF" w:val="clear"/>
          </w:tcPr>
          <w:p>
            <w:pPr>
              <w:pStyle w:val="TableContents"/>
              <w:spacing w:before="0" w:after="283"/>
              <w:jc w:val="right"/>
              <w:rPr/>
            </w:pPr>
            <w:r>
              <w:rPr/>
              <w:t>10.24%</w:t>
            </w:r>
          </w:p>
        </w:tc>
        <w:tc>
          <w:tcPr>
            <w:tcW w:w="60" w:type="dxa"/>
            <w:tcBorders/>
            <w:shd w:fill="CCEEFF" w:val="clear"/>
            <w:vAlign w:val="bottom"/>
          </w:tcPr>
          <w:p>
            <w:pPr>
              <w:pStyle w:val="TableContents"/>
              <w:spacing w:before="0" w:after="283"/>
              <w:rPr/>
            </w:pPr>
            <w:r>
              <w:rPr/>
              <w:t> </w:t>
            </w:r>
          </w:p>
        </w:tc>
        <w:tc>
          <w:tcPr>
            <w:tcW w:w="76" w:type="dxa"/>
            <w:tcBorders/>
            <w:shd w:fill="CCEEFF" w:val="clear"/>
          </w:tcPr>
          <w:p>
            <w:pPr>
              <w:pStyle w:val="TableContents"/>
              <w:spacing w:before="0" w:after="283"/>
              <w:rPr/>
            </w:pPr>
            <w:r>
              <w:rPr/>
              <w:t> </w:t>
            </w:r>
          </w:p>
        </w:tc>
        <w:tc>
          <w:tcPr>
            <w:tcW w:w="1024" w:type="dxa"/>
            <w:tcBorders/>
            <w:shd w:fill="CCEEFF" w:val="clear"/>
          </w:tcPr>
          <w:p>
            <w:pPr>
              <w:pStyle w:val="TableContents"/>
              <w:spacing w:before="0" w:after="283"/>
              <w:jc w:val="right"/>
              <w:rPr/>
            </w:pPr>
            <w:r>
              <w:rPr/>
              <w:t>45,113</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 w:type="dxa"/>
            <w:tcBorders/>
            <w:shd w:fill="CCEEFF" w:val="clear"/>
          </w:tcPr>
          <w:p>
            <w:pPr>
              <w:pStyle w:val="TableContents"/>
              <w:spacing w:before="0" w:after="283"/>
              <w:rPr/>
            </w:pPr>
            <w:r>
              <w:rPr/>
              <w:t> </w:t>
            </w:r>
          </w:p>
        </w:tc>
        <w:tc>
          <w:tcPr>
            <w:tcW w:w="1122" w:type="dxa"/>
            <w:tcBorders/>
            <w:shd w:fill="CCEEFF" w:val="clear"/>
          </w:tcPr>
          <w:p>
            <w:pPr>
              <w:pStyle w:val="TableContents"/>
              <w:spacing w:before="0" w:after="283"/>
              <w:jc w:val="right"/>
              <w:rPr/>
            </w:pPr>
            <w:r>
              <w:rPr/>
              <w:t>45,024</w:t>
            </w:r>
          </w:p>
        </w:tc>
        <w:tc>
          <w:tcPr>
            <w:tcW w:w="12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tcPr>
          <w:p>
            <w:pPr>
              <w:pStyle w:val="TableContents"/>
              <w:spacing w:before="0" w:after="283"/>
              <w:rPr/>
            </w:pPr>
            <w:r>
              <w:rPr/>
              <w:t> </w:t>
            </w:r>
          </w:p>
        </w:tc>
        <w:tc>
          <w:tcPr>
            <w:tcW w:w="1166" w:type="dxa"/>
            <w:tcBorders/>
            <w:shd w:fill="CCEEFF" w:val="clear"/>
          </w:tcPr>
          <w:p>
            <w:pPr>
              <w:pStyle w:val="TableContents"/>
              <w:spacing w:before="0" w:after="283"/>
              <w:jc w:val="right"/>
              <w:rPr/>
            </w:pPr>
            <w:r>
              <w:rPr/>
              <w:t>3.4</w:t>
            </w:r>
          </w:p>
        </w:tc>
        <w:tc>
          <w:tcPr>
            <w:tcW w:w="275" w:type="dxa"/>
            <w:tcBorders/>
            <w:shd w:fill="CCEEFF" w:val="clear"/>
          </w:tcPr>
          <w:p>
            <w:pPr>
              <w:pStyle w:val="TableContents"/>
              <w:spacing w:before="0" w:after="283"/>
              <w:rPr/>
            </w:pPr>
            <w:r>
              <w:rPr/>
              <w:t>% </w:t>
            </w:r>
          </w:p>
        </w:tc>
      </w:tr>
      <w:tr>
        <w:trPr/>
        <w:tc>
          <w:tcPr>
            <w:tcW w:w="2270" w:type="dxa"/>
            <w:tcBorders/>
            <w:shd w:fill="auto" w:val="clear"/>
          </w:tcPr>
          <w:p>
            <w:pPr>
              <w:pStyle w:val="TableContents"/>
              <w:spacing w:before="0" w:after="0"/>
              <w:rPr>
                <w:rFonts w:ascii="Times New Roman" w:hAnsi="Times New Roman"/>
                <w:sz w:val="16"/>
              </w:rPr>
            </w:pPr>
            <w:r>
              <w:rPr>
                <w:rFonts w:ascii="Times New Roman" w:hAnsi="Times New Roman"/>
                <w:sz w:val="16"/>
              </w:rPr>
              <w:t>Elysian Finco Ltd.(3)(4)(5)</w:t>
            </w:r>
          </w:p>
        </w:tc>
        <w:tc>
          <w:tcPr>
            <w:tcW w:w="60" w:type="dxa"/>
            <w:tcBorders/>
            <w:shd w:fill="auto" w:val="clear"/>
            <w:vAlign w:val="bottom"/>
          </w:tcPr>
          <w:p>
            <w:pPr>
              <w:pStyle w:val="TableContents"/>
              <w:spacing w:before="0" w:after="283"/>
              <w:rPr/>
            </w:pPr>
            <w:r>
              <w:rPr/>
              <w:t> </w:t>
            </w:r>
          </w:p>
        </w:tc>
        <w:tc>
          <w:tcPr>
            <w:tcW w:w="4820" w:type="dxa"/>
            <w:tcBorders/>
            <w:shd w:fill="auto" w:val="clear"/>
          </w:tcPr>
          <w:p>
            <w:pPr>
              <w:pStyle w:val="TableContents"/>
              <w:spacing w:before="0" w:after="283"/>
              <w:rPr/>
            </w:pPr>
            <w:r>
              <w:rPr/>
              <w:t>First-lien loan ($16,785 par, due 1/2028)</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115" w:type="dxa"/>
            <w:tcBorders/>
            <w:shd w:fill="auto" w:val="clear"/>
          </w:tcPr>
          <w:p>
            <w:pPr>
              <w:pStyle w:val="TableContents"/>
              <w:spacing w:before="0" w:after="283"/>
              <w:jc w:val="right"/>
              <w:rPr/>
            </w:pPr>
            <w:r>
              <w:rPr/>
              <w:t>1/31/2022</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310" w:type="dxa"/>
            <w:tcBorders/>
            <w:shd w:fill="auto" w:val="clear"/>
          </w:tcPr>
          <w:p>
            <w:pPr>
              <w:pStyle w:val="TableContents"/>
              <w:spacing w:before="0" w:after="283"/>
              <w:jc w:val="right"/>
              <w:rPr/>
            </w:pPr>
            <w:r>
              <w:rPr/>
              <w:t>SOFR + 6.65</w:t>
            </w:r>
          </w:p>
        </w:tc>
        <w:tc>
          <w:tcPr>
            <w:tcW w:w="27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95" w:type="dxa"/>
            <w:tcBorders/>
            <w:shd w:fill="auto" w:val="clear"/>
          </w:tcPr>
          <w:p>
            <w:pPr>
              <w:pStyle w:val="TableContents"/>
              <w:spacing w:before="0" w:after="283"/>
              <w:jc w:val="right"/>
              <w:rPr/>
            </w:pPr>
            <w:r>
              <w:rPr/>
              <w:t>9.64%</w:t>
            </w:r>
          </w:p>
        </w:tc>
        <w:tc>
          <w:tcPr>
            <w:tcW w:w="60" w:type="dxa"/>
            <w:tcBorders/>
            <w:shd w:fill="auto" w:val="clear"/>
            <w:vAlign w:val="bottom"/>
          </w:tcPr>
          <w:p>
            <w:pPr>
              <w:pStyle w:val="TableContents"/>
              <w:spacing w:before="0" w:after="283"/>
              <w:rPr/>
            </w:pPr>
            <w:r>
              <w:rPr/>
              <w:t> </w:t>
            </w:r>
          </w:p>
        </w:tc>
        <w:tc>
          <w:tcPr>
            <w:tcW w:w="76" w:type="dxa"/>
            <w:tcBorders/>
            <w:shd w:fill="auto" w:val="clear"/>
          </w:tcPr>
          <w:p>
            <w:pPr>
              <w:pStyle w:val="TableContents"/>
              <w:spacing w:before="0" w:after="283"/>
              <w:rPr/>
            </w:pPr>
            <w:r>
              <w:rPr/>
              <w:t> </w:t>
            </w:r>
          </w:p>
        </w:tc>
        <w:tc>
          <w:tcPr>
            <w:tcW w:w="1024" w:type="dxa"/>
            <w:tcBorders/>
            <w:shd w:fill="auto" w:val="clear"/>
          </w:tcPr>
          <w:p>
            <w:pPr>
              <w:pStyle w:val="TableContents"/>
              <w:spacing w:before="0" w:after="283"/>
              <w:jc w:val="right"/>
              <w:rPr/>
            </w:pPr>
            <w:r>
              <w:rPr/>
              <w:t>16,282</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122" w:type="dxa"/>
            <w:tcBorders/>
            <w:shd w:fill="auto" w:val="clear"/>
          </w:tcPr>
          <w:p>
            <w:pPr>
              <w:pStyle w:val="TableContents"/>
              <w:spacing w:before="0" w:after="283"/>
              <w:jc w:val="right"/>
              <w:rPr/>
            </w:pPr>
            <w:r>
              <w:rPr/>
              <w:t>16,489</w:t>
            </w:r>
          </w:p>
        </w:tc>
        <w:tc>
          <w:tcPr>
            <w:tcW w:w="12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tcPr>
          <w:p>
            <w:pPr>
              <w:pStyle w:val="TableContents"/>
              <w:spacing w:before="0" w:after="283"/>
              <w:rPr/>
            </w:pPr>
            <w:r>
              <w:rPr/>
              <w:t> </w:t>
            </w:r>
          </w:p>
        </w:tc>
        <w:tc>
          <w:tcPr>
            <w:tcW w:w="1166" w:type="dxa"/>
            <w:tcBorders/>
            <w:shd w:fill="auto" w:val="clear"/>
          </w:tcPr>
          <w:p>
            <w:pPr>
              <w:pStyle w:val="TableContents"/>
              <w:spacing w:before="0" w:after="283"/>
              <w:jc w:val="right"/>
              <w:rPr/>
            </w:pPr>
            <w:r>
              <w:rPr/>
              <w:t>1.2</w:t>
            </w:r>
          </w:p>
        </w:tc>
        <w:tc>
          <w:tcPr>
            <w:tcW w:w="275" w:type="dxa"/>
            <w:tcBorders/>
            <w:shd w:fill="auto" w:val="clear"/>
          </w:tcPr>
          <w:p>
            <w:pPr>
              <w:pStyle w:val="TableContents"/>
              <w:spacing w:before="0" w:after="283"/>
              <w:rPr/>
            </w:pPr>
            <w:r>
              <w:rPr/>
              <w:t>% </w:t>
            </w:r>
          </w:p>
        </w:tc>
      </w:tr>
      <w:tr>
        <w:trPr/>
        <w:tc>
          <w:tcPr>
            <w:tcW w:w="2270" w:type="dxa"/>
            <w:tcBorders/>
            <w:shd w:fill="CCEEFF" w:val="clear"/>
          </w:tcPr>
          <w:p>
            <w:pPr>
              <w:pStyle w:val="TableContents"/>
              <w:spacing w:before="0" w:after="0"/>
              <w:rPr>
                <w:rFonts w:ascii="Times New Roman" w:hAnsi="Times New Roman"/>
                <w:sz w:val="16"/>
              </w:rPr>
            </w:pPr>
            <w:r>
              <w:rPr>
                <w:rFonts w:ascii="Times New Roman" w:hAnsi="Times New Roman"/>
                <w:sz w:val="16"/>
              </w:rPr>
              <w:t>Employment Hero Holdings Pty Ltd.(3)(4)</w:t>
            </w:r>
          </w:p>
        </w:tc>
        <w:tc>
          <w:tcPr>
            <w:tcW w:w="60" w:type="dxa"/>
            <w:tcBorders/>
            <w:shd w:fill="CCEEFF" w:val="clear"/>
            <w:vAlign w:val="bottom"/>
          </w:tcPr>
          <w:p>
            <w:pPr>
              <w:pStyle w:val="TableContents"/>
              <w:spacing w:before="0" w:after="283"/>
              <w:rPr/>
            </w:pPr>
            <w:r>
              <w:rPr/>
              <w:t> </w:t>
            </w:r>
          </w:p>
        </w:tc>
        <w:tc>
          <w:tcPr>
            <w:tcW w:w="4820" w:type="dxa"/>
            <w:tcBorders/>
            <w:shd w:fill="CCEEFF" w:val="clear"/>
          </w:tcPr>
          <w:p>
            <w:pPr>
              <w:pStyle w:val="TableContents"/>
              <w:spacing w:before="0" w:after="283"/>
              <w:rPr/>
            </w:pPr>
            <w:r>
              <w:rPr/>
              <w:t>First-lien loan (AUD 40,000 par, due 12/2026)</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115" w:type="dxa"/>
            <w:tcBorders/>
            <w:shd w:fill="CCEEFF" w:val="clear"/>
          </w:tcPr>
          <w:p>
            <w:pPr>
              <w:pStyle w:val="TableContents"/>
              <w:spacing w:before="0" w:after="283"/>
              <w:jc w:val="right"/>
              <w:rPr/>
            </w:pPr>
            <w:r>
              <w:rPr/>
              <w:t>12/6/2021</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310" w:type="dxa"/>
            <w:tcBorders/>
            <w:shd w:fill="CCEEFF" w:val="clear"/>
          </w:tcPr>
          <w:p>
            <w:pPr>
              <w:pStyle w:val="TableContents"/>
              <w:spacing w:before="0" w:after="283"/>
              <w:jc w:val="right"/>
              <w:rPr/>
            </w:pPr>
            <w:r>
              <w:rPr/>
              <w:t>B + 6.50</w:t>
            </w:r>
          </w:p>
        </w:tc>
        <w:tc>
          <w:tcPr>
            <w:tcW w:w="27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95" w:type="dxa"/>
            <w:tcBorders/>
            <w:shd w:fill="CCEEFF" w:val="clear"/>
          </w:tcPr>
          <w:p>
            <w:pPr>
              <w:pStyle w:val="TableContents"/>
              <w:spacing w:before="0" w:after="283"/>
              <w:jc w:val="right"/>
              <w:rPr/>
            </w:pPr>
            <w:r>
              <w:rPr/>
              <w:t>9.56%</w:t>
            </w:r>
          </w:p>
        </w:tc>
        <w:tc>
          <w:tcPr>
            <w:tcW w:w="60" w:type="dxa"/>
            <w:tcBorders/>
            <w:shd w:fill="CCEEFF" w:val="clear"/>
            <w:vAlign w:val="bottom"/>
          </w:tcPr>
          <w:p>
            <w:pPr>
              <w:pStyle w:val="TableContents"/>
              <w:spacing w:before="0" w:after="283"/>
              <w:rPr/>
            </w:pPr>
            <w:r>
              <w:rPr/>
              <w:t> </w:t>
            </w:r>
          </w:p>
        </w:tc>
        <w:tc>
          <w:tcPr>
            <w:tcW w:w="76" w:type="dxa"/>
            <w:tcBorders/>
            <w:shd w:fill="CCEEFF" w:val="clear"/>
          </w:tcPr>
          <w:p>
            <w:pPr>
              <w:pStyle w:val="TableContents"/>
              <w:spacing w:before="0" w:after="283"/>
              <w:rPr/>
            </w:pPr>
            <w:r>
              <w:rPr/>
              <w:t> </w:t>
            </w:r>
          </w:p>
        </w:tc>
        <w:tc>
          <w:tcPr>
            <w:tcW w:w="1024" w:type="dxa"/>
            <w:tcBorders/>
            <w:shd w:fill="CCEEFF" w:val="clear"/>
          </w:tcPr>
          <w:p>
            <w:pPr>
              <w:pStyle w:val="TableContents"/>
              <w:spacing w:before="0" w:after="283"/>
              <w:jc w:val="right"/>
              <w:rPr/>
            </w:pPr>
            <w:r>
              <w:rPr/>
              <w:t>27,554</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 w:type="dxa"/>
            <w:tcBorders/>
            <w:shd w:fill="CCEEFF" w:val="clear"/>
          </w:tcPr>
          <w:p>
            <w:pPr>
              <w:pStyle w:val="TableContents"/>
              <w:spacing w:before="0" w:after="283"/>
              <w:rPr/>
            </w:pPr>
            <w:r>
              <w:rPr/>
              <w:t> </w:t>
            </w:r>
          </w:p>
        </w:tc>
        <w:tc>
          <w:tcPr>
            <w:tcW w:w="1122" w:type="dxa"/>
            <w:tcBorders/>
            <w:shd w:fill="CCEEFF" w:val="clear"/>
          </w:tcPr>
          <w:p>
            <w:pPr>
              <w:pStyle w:val="TableContents"/>
              <w:jc w:val="right"/>
              <w:rPr/>
            </w:pPr>
            <w:r>
              <w:rPr/>
              <w:t>24,503</w:t>
            </w:r>
          </w:p>
          <w:p>
            <w:pPr>
              <w:pStyle w:val="TableContents"/>
              <w:spacing w:before="0" w:after="20"/>
              <w:jc w:val="right"/>
              <w:rPr>
                <w:rFonts w:ascii="Times New Roman" w:hAnsi="Times New Roman"/>
                <w:sz w:val="16"/>
              </w:rPr>
            </w:pPr>
            <w:r>
              <w:rPr>
                <w:rFonts w:ascii="Times New Roman" w:hAnsi="Times New Roman"/>
                <w:sz w:val="16"/>
              </w:rPr>
              <w:t>(AUD 38,110</w:t>
            </w:r>
          </w:p>
        </w:tc>
        <w:tc>
          <w:tcPr>
            <w:tcW w:w="125" w:type="dxa"/>
            <w:tcBorders/>
            <w:shd w:fill="CCEEFF" w:val="clear"/>
          </w:tcPr>
          <w:p>
            <w:pPr>
              <w:pStyle w:val="TableContents"/>
              <w:rPr/>
            </w:pPr>
            <w:r>
              <w:rPr/>
              <w:t> </w:t>
            </w:r>
          </w:p>
          <w:p>
            <w:pPr>
              <w:pStyle w:val="TableContents"/>
              <w:spacing w:before="0" w:after="20"/>
              <w:rPr>
                <w:rFonts w:ascii="Times New Roman" w:hAnsi="Times New Roman"/>
                <w:sz w:val="16"/>
              </w:rPr>
            </w:pPr>
            <w:r>
              <w:rPr>
                <w:rFonts w:ascii="Times New Roman" w:hAnsi="Times New Roman"/>
                <w:sz w:val="16"/>
              </w:rPr>
              <w:t>) </w:t>
            </w:r>
          </w:p>
        </w:tc>
        <w:tc>
          <w:tcPr>
            <w:tcW w:w="60" w:type="dxa"/>
            <w:tcBorders/>
            <w:shd w:fill="CCEEFF" w:val="clear"/>
            <w:vAlign w:val="bottom"/>
          </w:tcPr>
          <w:p>
            <w:pPr>
              <w:pStyle w:val="TableContents"/>
              <w:spacing w:before="0" w:after="283"/>
              <w:rPr/>
            </w:pPr>
            <w:r>
              <w:rPr/>
              <w:t> </w:t>
            </w:r>
          </w:p>
        </w:tc>
        <w:tc>
          <w:tcPr>
            <w:tcW w:w="159" w:type="dxa"/>
            <w:tcBorders/>
            <w:shd w:fill="CCEEFF" w:val="clear"/>
          </w:tcPr>
          <w:p>
            <w:pPr>
              <w:pStyle w:val="TableContents"/>
              <w:spacing w:before="0" w:after="283"/>
              <w:rPr/>
            </w:pPr>
            <w:r>
              <w:rPr/>
              <w:t> </w:t>
            </w:r>
          </w:p>
        </w:tc>
        <w:tc>
          <w:tcPr>
            <w:tcW w:w="1166" w:type="dxa"/>
            <w:tcBorders/>
            <w:shd w:fill="CCEEFF" w:val="clear"/>
          </w:tcPr>
          <w:p>
            <w:pPr>
              <w:pStyle w:val="TableContents"/>
              <w:spacing w:before="0" w:after="283"/>
              <w:jc w:val="right"/>
              <w:rPr/>
            </w:pPr>
            <w:r>
              <w:rPr/>
              <w:t>1.8</w:t>
            </w:r>
          </w:p>
        </w:tc>
        <w:tc>
          <w:tcPr>
            <w:tcW w:w="275" w:type="dxa"/>
            <w:tcBorders/>
            <w:shd w:fill="CCEEFF" w:val="clear"/>
          </w:tcPr>
          <w:p>
            <w:pPr>
              <w:pStyle w:val="TableContents"/>
              <w:spacing w:before="0" w:after="283"/>
              <w:rPr/>
            </w:pPr>
            <w:r>
              <w:rPr/>
              <w:t>% </w:t>
            </w:r>
          </w:p>
        </w:tc>
      </w:tr>
      <w:tr>
        <w:trPr/>
        <w:tc>
          <w:tcPr>
            <w:tcW w:w="2270" w:type="dxa"/>
            <w:tcBorders/>
            <w:shd w:fill="auto" w:val="clear"/>
          </w:tcPr>
          <w:p>
            <w:pPr>
              <w:pStyle w:val="TableContents"/>
              <w:spacing w:before="0" w:after="0"/>
              <w:rPr>
                <w:rFonts w:ascii="Times New Roman" w:hAnsi="Times New Roman"/>
                <w:sz w:val="16"/>
              </w:rPr>
            </w:pPr>
            <w:r>
              <w:rPr>
                <w:rFonts w:ascii="Times New Roman" w:hAnsi="Times New Roman"/>
                <w:sz w:val="16"/>
              </w:rPr>
              <w:t>PageUp People, Ltd.(3)(4)(5)</w:t>
            </w:r>
          </w:p>
        </w:tc>
        <w:tc>
          <w:tcPr>
            <w:tcW w:w="60" w:type="dxa"/>
            <w:tcBorders/>
            <w:shd w:fill="auto" w:val="clear"/>
            <w:vAlign w:val="bottom"/>
          </w:tcPr>
          <w:p>
            <w:pPr>
              <w:pStyle w:val="TableContents"/>
              <w:spacing w:before="0" w:after="283"/>
              <w:rPr/>
            </w:pPr>
            <w:r>
              <w:rPr/>
              <w:t> </w:t>
            </w:r>
          </w:p>
        </w:tc>
        <w:tc>
          <w:tcPr>
            <w:tcW w:w="4820" w:type="dxa"/>
            <w:tcBorders/>
            <w:shd w:fill="auto" w:val="clear"/>
          </w:tcPr>
          <w:p>
            <w:pPr>
              <w:pStyle w:val="TableContents"/>
              <w:spacing w:before="0" w:after="283"/>
              <w:rPr/>
            </w:pPr>
            <w:r>
              <w:rPr/>
              <w:t>First-lien loan (AUD 15,982 par, due 12/2025)</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115" w:type="dxa"/>
            <w:tcBorders/>
            <w:shd w:fill="auto" w:val="clear"/>
          </w:tcPr>
          <w:p>
            <w:pPr>
              <w:pStyle w:val="TableContents"/>
              <w:spacing w:before="0" w:after="283"/>
              <w:jc w:val="right"/>
              <w:rPr/>
            </w:pPr>
            <w:r>
              <w:rPr/>
              <w:t>1/11/2018</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310" w:type="dxa"/>
            <w:tcBorders/>
            <w:shd w:fill="auto" w:val="clear"/>
          </w:tcPr>
          <w:p>
            <w:pPr>
              <w:pStyle w:val="TableContents"/>
              <w:spacing w:before="0" w:after="283"/>
              <w:jc w:val="right"/>
              <w:rPr/>
            </w:pPr>
            <w:r>
              <w:rPr/>
              <w:t>B + 5.50</w:t>
            </w:r>
          </w:p>
        </w:tc>
        <w:tc>
          <w:tcPr>
            <w:tcW w:w="27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95" w:type="dxa"/>
            <w:tcBorders/>
            <w:shd w:fill="auto" w:val="clear"/>
          </w:tcPr>
          <w:p>
            <w:pPr>
              <w:pStyle w:val="TableContents"/>
              <w:spacing w:before="0" w:after="283"/>
              <w:jc w:val="right"/>
              <w:rPr/>
            </w:pPr>
            <w:r>
              <w:rPr/>
              <w:t>8.56%</w:t>
            </w:r>
          </w:p>
        </w:tc>
        <w:tc>
          <w:tcPr>
            <w:tcW w:w="60" w:type="dxa"/>
            <w:tcBorders/>
            <w:shd w:fill="auto" w:val="clear"/>
            <w:vAlign w:val="bottom"/>
          </w:tcPr>
          <w:p>
            <w:pPr>
              <w:pStyle w:val="TableContents"/>
              <w:spacing w:before="0" w:after="283"/>
              <w:rPr/>
            </w:pPr>
            <w:r>
              <w:rPr/>
              <w:t> </w:t>
            </w:r>
          </w:p>
        </w:tc>
        <w:tc>
          <w:tcPr>
            <w:tcW w:w="76" w:type="dxa"/>
            <w:tcBorders/>
            <w:shd w:fill="auto" w:val="clear"/>
          </w:tcPr>
          <w:p>
            <w:pPr>
              <w:pStyle w:val="TableContents"/>
              <w:spacing w:before="0" w:after="283"/>
              <w:rPr/>
            </w:pPr>
            <w:r>
              <w:rPr/>
              <w:t> </w:t>
            </w:r>
          </w:p>
        </w:tc>
        <w:tc>
          <w:tcPr>
            <w:tcW w:w="1024" w:type="dxa"/>
            <w:tcBorders/>
            <w:shd w:fill="auto" w:val="clear"/>
          </w:tcPr>
          <w:p>
            <w:pPr>
              <w:pStyle w:val="TableContents"/>
              <w:spacing w:before="0" w:after="283"/>
              <w:jc w:val="right"/>
              <w:rPr/>
            </w:pPr>
            <w:r>
              <w:rPr/>
              <w:t>11,794</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122" w:type="dxa"/>
            <w:tcBorders/>
            <w:shd w:fill="auto" w:val="clear"/>
          </w:tcPr>
          <w:p>
            <w:pPr>
              <w:pStyle w:val="TableContents"/>
              <w:jc w:val="right"/>
              <w:rPr/>
            </w:pPr>
            <w:r>
              <w:rPr/>
              <w:t>9,259</w:t>
            </w:r>
          </w:p>
          <w:p>
            <w:pPr>
              <w:pStyle w:val="TableContents"/>
              <w:spacing w:before="0" w:after="20"/>
              <w:jc w:val="right"/>
              <w:rPr>
                <w:rFonts w:ascii="Times New Roman" w:hAnsi="Times New Roman"/>
                <w:sz w:val="16"/>
              </w:rPr>
            </w:pPr>
            <w:r>
              <w:rPr>
                <w:rFonts w:ascii="Times New Roman" w:hAnsi="Times New Roman"/>
                <w:sz w:val="16"/>
              </w:rPr>
              <w:t>(AUD 14,401</w:t>
            </w:r>
          </w:p>
        </w:tc>
        <w:tc>
          <w:tcPr>
            <w:tcW w:w="125" w:type="dxa"/>
            <w:tcBorders/>
            <w:shd w:fill="auto" w:val="clear"/>
          </w:tcPr>
          <w:p>
            <w:pPr>
              <w:pStyle w:val="TableContents"/>
              <w:rPr/>
            </w:pPr>
            <w:r>
              <w:rPr/>
              <w:t> </w:t>
            </w:r>
          </w:p>
          <w:p>
            <w:pPr>
              <w:pStyle w:val="TableContents"/>
              <w:spacing w:before="0" w:after="20"/>
              <w:rPr>
                <w:rFonts w:ascii="Times New Roman" w:hAnsi="Times New Roman"/>
                <w:sz w:val="16"/>
              </w:rPr>
            </w:pPr>
            <w:r>
              <w:rPr>
                <w:rFonts w:ascii="Times New Roman" w:hAnsi="Times New Roman"/>
                <w:sz w:val="16"/>
              </w:rPr>
              <w:t>) </w:t>
            </w:r>
          </w:p>
        </w:tc>
        <w:tc>
          <w:tcPr>
            <w:tcW w:w="60" w:type="dxa"/>
            <w:tcBorders/>
            <w:shd w:fill="auto" w:val="clear"/>
            <w:vAlign w:val="bottom"/>
          </w:tcPr>
          <w:p>
            <w:pPr>
              <w:pStyle w:val="TableContents"/>
              <w:spacing w:before="0" w:after="283"/>
              <w:rPr/>
            </w:pPr>
            <w:r>
              <w:rPr/>
              <w:t> </w:t>
            </w:r>
          </w:p>
        </w:tc>
        <w:tc>
          <w:tcPr>
            <w:tcW w:w="159" w:type="dxa"/>
            <w:tcBorders/>
            <w:shd w:fill="auto" w:val="clear"/>
          </w:tcPr>
          <w:p>
            <w:pPr>
              <w:pStyle w:val="TableContents"/>
              <w:spacing w:before="0" w:after="283"/>
              <w:rPr/>
            </w:pPr>
            <w:r>
              <w:rPr/>
              <w:t> </w:t>
            </w:r>
          </w:p>
        </w:tc>
        <w:tc>
          <w:tcPr>
            <w:tcW w:w="1166" w:type="dxa"/>
            <w:tcBorders/>
            <w:shd w:fill="auto" w:val="clear"/>
          </w:tcPr>
          <w:p>
            <w:pPr>
              <w:pStyle w:val="TableContents"/>
              <w:spacing w:before="0" w:after="283"/>
              <w:jc w:val="right"/>
              <w:rPr/>
            </w:pPr>
            <w:r>
              <w:rPr/>
              <w:t>0.7</w:t>
            </w:r>
          </w:p>
        </w:tc>
        <w:tc>
          <w:tcPr>
            <w:tcW w:w="275" w:type="dxa"/>
            <w:tcBorders/>
            <w:shd w:fill="auto" w:val="clear"/>
          </w:tcPr>
          <w:p>
            <w:pPr>
              <w:pStyle w:val="TableContents"/>
              <w:spacing w:before="0" w:after="283"/>
              <w:rPr/>
            </w:pPr>
            <w:r>
              <w:rPr/>
              <w:t>% </w:t>
            </w:r>
          </w:p>
        </w:tc>
      </w:tr>
      <w:tr>
        <w:trPr/>
        <w:tc>
          <w:tcPr>
            <w:tcW w:w="227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4820" w:type="dxa"/>
            <w:tcBorders/>
            <w:shd w:fill="CCEEFF" w:val="clear"/>
          </w:tcPr>
          <w:p>
            <w:pPr>
              <w:pStyle w:val="TableContents"/>
              <w:spacing w:before="0" w:after="283"/>
              <w:rPr/>
            </w:pPr>
            <w:r>
              <w:rPr/>
              <w:t>First-lien loan (GBP 4,723 par, due 12/2025)</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115" w:type="dxa"/>
            <w:tcBorders/>
            <w:shd w:fill="CCEEFF" w:val="clear"/>
          </w:tcPr>
          <w:p>
            <w:pPr>
              <w:pStyle w:val="TableContents"/>
              <w:spacing w:before="0" w:after="283"/>
              <w:jc w:val="right"/>
              <w:rPr/>
            </w:pPr>
            <w:r>
              <w:rPr/>
              <w:t>10/28/2021</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310" w:type="dxa"/>
            <w:tcBorders/>
            <w:shd w:fill="CCEEFF" w:val="clear"/>
          </w:tcPr>
          <w:p>
            <w:pPr>
              <w:pStyle w:val="TableContents"/>
              <w:spacing w:before="0" w:after="283"/>
              <w:jc w:val="right"/>
              <w:rPr/>
            </w:pPr>
            <w:r>
              <w:rPr/>
              <w:t>S + 5.50</w:t>
            </w:r>
          </w:p>
        </w:tc>
        <w:tc>
          <w:tcPr>
            <w:tcW w:w="27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95" w:type="dxa"/>
            <w:tcBorders/>
            <w:shd w:fill="CCEEFF" w:val="clear"/>
          </w:tcPr>
          <w:p>
            <w:pPr>
              <w:pStyle w:val="TableContents"/>
              <w:spacing w:before="0" w:after="283"/>
              <w:jc w:val="right"/>
              <w:rPr/>
            </w:pPr>
            <w:r>
              <w:rPr/>
              <w:t>7.32%</w:t>
            </w:r>
          </w:p>
        </w:tc>
        <w:tc>
          <w:tcPr>
            <w:tcW w:w="60" w:type="dxa"/>
            <w:tcBorders/>
            <w:shd w:fill="CCEEFF" w:val="clear"/>
            <w:vAlign w:val="bottom"/>
          </w:tcPr>
          <w:p>
            <w:pPr>
              <w:pStyle w:val="TableContents"/>
              <w:spacing w:before="0" w:after="283"/>
              <w:rPr/>
            </w:pPr>
            <w:r>
              <w:rPr/>
              <w:t> </w:t>
            </w:r>
          </w:p>
        </w:tc>
        <w:tc>
          <w:tcPr>
            <w:tcW w:w="76" w:type="dxa"/>
            <w:tcBorders/>
            <w:shd w:fill="CCEEFF" w:val="clear"/>
          </w:tcPr>
          <w:p>
            <w:pPr>
              <w:pStyle w:val="TableContents"/>
              <w:spacing w:before="0" w:after="283"/>
              <w:rPr/>
            </w:pPr>
            <w:r>
              <w:rPr/>
              <w:t> </w:t>
            </w:r>
          </w:p>
        </w:tc>
        <w:tc>
          <w:tcPr>
            <w:tcW w:w="1024" w:type="dxa"/>
            <w:tcBorders/>
            <w:shd w:fill="CCEEFF" w:val="clear"/>
          </w:tcPr>
          <w:p>
            <w:pPr>
              <w:pStyle w:val="TableContents"/>
              <w:spacing w:before="0" w:after="283"/>
              <w:jc w:val="right"/>
              <w:rPr/>
            </w:pPr>
            <w:r>
              <w:rPr/>
              <w:t>6,501</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 w:type="dxa"/>
            <w:tcBorders/>
            <w:shd w:fill="CCEEFF" w:val="clear"/>
          </w:tcPr>
          <w:p>
            <w:pPr>
              <w:pStyle w:val="TableContents"/>
              <w:spacing w:before="0" w:after="283"/>
              <w:rPr/>
            </w:pPr>
            <w:r>
              <w:rPr/>
              <w:t> </w:t>
            </w:r>
          </w:p>
        </w:tc>
        <w:tc>
          <w:tcPr>
            <w:tcW w:w="1122" w:type="dxa"/>
            <w:tcBorders/>
            <w:shd w:fill="CCEEFF" w:val="clear"/>
          </w:tcPr>
          <w:p>
            <w:pPr>
              <w:pStyle w:val="TableContents"/>
              <w:jc w:val="right"/>
              <w:rPr/>
            </w:pPr>
            <w:r>
              <w:rPr/>
              <w:t>5,128</w:t>
            </w:r>
          </w:p>
          <w:p>
            <w:pPr>
              <w:pStyle w:val="TableContents"/>
              <w:spacing w:before="0" w:after="20"/>
              <w:jc w:val="right"/>
              <w:rPr>
                <w:rFonts w:ascii="Times New Roman" w:hAnsi="Times New Roman"/>
                <w:sz w:val="16"/>
              </w:rPr>
            </w:pPr>
            <w:r>
              <w:rPr>
                <w:rFonts w:ascii="Times New Roman" w:hAnsi="Times New Roman"/>
                <w:sz w:val="16"/>
              </w:rPr>
              <w:t>(GBP 4,593</w:t>
            </w:r>
          </w:p>
        </w:tc>
        <w:tc>
          <w:tcPr>
            <w:tcW w:w="125" w:type="dxa"/>
            <w:tcBorders/>
            <w:shd w:fill="CCEEFF" w:val="clear"/>
          </w:tcPr>
          <w:p>
            <w:pPr>
              <w:pStyle w:val="TableContents"/>
              <w:rPr/>
            </w:pPr>
            <w:r>
              <w:rPr/>
              <w:t> </w:t>
            </w:r>
          </w:p>
          <w:p>
            <w:pPr>
              <w:pStyle w:val="TableContents"/>
              <w:spacing w:before="0" w:after="20"/>
              <w:rPr>
                <w:rFonts w:ascii="Times New Roman" w:hAnsi="Times New Roman"/>
                <w:sz w:val="16"/>
              </w:rPr>
            </w:pPr>
            <w:r>
              <w:rPr>
                <w:rFonts w:ascii="Times New Roman" w:hAnsi="Times New Roman"/>
                <w:sz w:val="16"/>
              </w:rPr>
              <w:t>) </w:t>
            </w:r>
          </w:p>
        </w:tc>
        <w:tc>
          <w:tcPr>
            <w:tcW w:w="60" w:type="dxa"/>
            <w:tcBorders/>
            <w:shd w:fill="CCEEFF" w:val="clear"/>
            <w:vAlign w:val="bottom"/>
          </w:tcPr>
          <w:p>
            <w:pPr>
              <w:pStyle w:val="TableContents"/>
              <w:spacing w:before="0" w:after="283"/>
              <w:rPr/>
            </w:pPr>
            <w:r>
              <w:rPr/>
              <w:t> </w:t>
            </w:r>
          </w:p>
        </w:tc>
        <w:tc>
          <w:tcPr>
            <w:tcW w:w="159" w:type="dxa"/>
            <w:tcBorders/>
            <w:shd w:fill="CCEEFF" w:val="clear"/>
          </w:tcPr>
          <w:p>
            <w:pPr>
              <w:pStyle w:val="TableContents"/>
              <w:spacing w:before="0" w:after="283"/>
              <w:rPr/>
            </w:pPr>
            <w:r>
              <w:rPr/>
              <w:t> </w:t>
            </w:r>
          </w:p>
        </w:tc>
        <w:tc>
          <w:tcPr>
            <w:tcW w:w="1166" w:type="dxa"/>
            <w:tcBorders/>
            <w:shd w:fill="CCEEFF" w:val="clear"/>
          </w:tcPr>
          <w:p>
            <w:pPr>
              <w:pStyle w:val="TableContents"/>
              <w:spacing w:before="0" w:after="283"/>
              <w:jc w:val="right"/>
              <w:rPr/>
            </w:pPr>
            <w:r>
              <w:rPr/>
              <w:t>0.4</w:t>
            </w:r>
          </w:p>
        </w:tc>
        <w:tc>
          <w:tcPr>
            <w:tcW w:w="275" w:type="dxa"/>
            <w:tcBorders/>
            <w:shd w:fill="CCEEFF" w:val="clear"/>
          </w:tcPr>
          <w:p>
            <w:pPr>
              <w:pStyle w:val="TableContents"/>
              <w:spacing w:before="0" w:after="283"/>
              <w:rPr/>
            </w:pPr>
            <w:r>
              <w:rPr/>
              <w:t>% </w:t>
            </w:r>
          </w:p>
        </w:tc>
      </w:tr>
      <w:tr>
        <w:trPr/>
        <w:tc>
          <w:tcPr>
            <w:tcW w:w="227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820" w:type="dxa"/>
            <w:tcBorders/>
            <w:shd w:fill="auto" w:val="clear"/>
          </w:tcPr>
          <w:p>
            <w:pPr>
              <w:pStyle w:val="TableContents"/>
              <w:spacing w:before="0" w:after="283"/>
              <w:rPr/>
            </w:pPr>
            <w:r>
              <w:rPr/>
              <w:t>First-lien loan ($12,989 par, due 12/2025)</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115" w:type="dxa"/>
            <w:tcBorders/>
            <w:shd w:fill="auto" w:val="clear"/>
          </w:tcPr>
          <w:p>
            <w:pPr>
              <w:pStyle w:val="TableContents"/>
              <w:spacing w:before="0" w:after="283"/>
              <w:jc w:val="right"/>
              <w:rPr/>
            </w:pPr>
            <w:r>
              <w:rPr/>
              <w:t>10/28/2021</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310" w:type="dxa"/>
            <w:tcBorders/>
            <w:shd w:fill="auto" w:val="clear"/>
          </w:tcPr>
          <w:p>
            <w:pPr>
              <w:pStyle w:val="TableContents"/>
              <w:spacing w:before="0" w:after="283"/>
              <w:jc w:val="right"/>
              <w:rPr/>
            </w:pPr>
            <w:r>
              <w:rPr/>
              <w:t>L + 5.50</w:t>
            </w:r>
          </w:p>
        </w:tc>
        <w:tc>
          <w:tcPr>
            <w:tcW w:w="27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95" w:type="dxa"/>
            <w:tcBorders/>
            <w:shd w:fill="auto" w:val="clear"/>
          </w:tcPr>
          <w:p>
            <w:pPr>
              <w:pStyle w:val="TableContents"/>
              <w:spacing w:before="0" w:after="283"/>
              <w:jc w:val="right"/>
              <w:rPr/>
            </w:pPr>
            <w:r>
              <w:rPr/>
              <w:t>9.17%</w:t>
            </w:r>
          </w:p>
        </w:tc>
        <w:tc>
          <w:tcPr>
            <w:tcW w:w="60" w:type="dxa"/>
            <w:tcBorders/>
            <w:shd w:fill="auto" w:val="clear"/>
            <w:vAlign w:val="bottom"/>
          </w:tcPr>
          <w:p>
            <w:pPr>
              <w:pStyle w:val="TableContents"/>
              <w:spacing w:before="0" w:after="283"/>
              <w:rPr/>
            </w:pPr>
            <w:r>
              <w:rPr/>
              <w:t> </w:t>
            </w:r>
          </w:p>
        </w:tc>
        <w:tc>
          <w:tcPr>
            <w:tcW w:w="76" w:type="dxa"/>
            <w:tcBorders/>
            <w:shd w:fill="auto" w:val="clear"/>
          </w:tcPr>
          <w:p>
            <w:pPr>
              <w:pStyle w:val="TableContents"/>
              <w:spacing w:before="0" w:after="283"/>
              <w:rPr/>
            </w:pPr>
            <w:r>
              <w:rPr/>
              <w:t> </w:t>
            </w:r>
          </w:p>
        </w:tc>
        <w:tc>
          <w:tcPr>
            <w:tcW w:w="1024" w:type="dxa"/>
            <w:tcBorders/>
            <w:shd w:fill="auto" w:val="clear"/>
          </w:tcPr>
          <w:p>
            <w:pPr>
              <w:pStyle w:val="TableContents"/>
              <w:spacing w:before="0" w:after="283"/>
              <w:jc w:val="right"/>
              <w:rPr/>
            </w:pPr>
            <w:r>
              <w:rPr/>
              <w:t>12,974</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122" w:type="dxa"/>
            <w:tcBorders/>
            <w:shd w:fill="auto" w:val="clear"/>
          </w:tcPr>
          <w:p>
            <w:pPr>
              <w:pStyle w:val="TableContents"/>
              <w:spacing w:before="0" w:after="283"/>
              <w:jc w:val="right"/>
              <w:rPr/>
            </w:pPr>
            <w:r>
              <w:rPr/>
              <w:t>12,632</w:t>
            </w:r>
          </w:p>
        </w:tc>
        <w:tc>
          <w:tcPr>
            <w:tcW w:w="12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tcPr>
          <w:p>
            <w:pPr>
              <w:pStyle w:val="TableContents"/>
              <w:spacing w:before="0" w:after="283"/>
              <w:rPr/>
            </w:pPr>
            <w:r>
              <w:rPr/>
              <w:t> </w:t>
            </w:r>
          </w:p>
        </w:tc>
        <w:tc>
          <w:tcPr>
            <w:tcW w:w="1166" w:type="dxa"/>
            <w:tcBorders/>
            <w:shd w:fill="auto" w:val="clear"/>
          </w:tcPr>
          <w:p>
            <w:pPr>
              <w:pStyle w:val="TableContents"/>
              <w:spacing w:before="0" w:after="283"/>
              <w:jc w:val="right"/>
              <w:rPr/>
            </w:pPr>
            <w:r>
              <w:rPr/>
              <w:t>1.0</w:t>
            </w:r>
          </w:p>
        </w:tc>
        <w:tc>
          <w:tcPr>
            <w:tcW w:w="275" w:type="dxa"/>
            <w:tcBorders/>
            <w:shd w:fill="auto" w:val="clear"/>
          </w:tcPr>
          <w:p>
            <w:pPr>
              <w:pStyle w:val="TableContents"/>
              <w:spacing w:before="0" w:after="283"/>
              <w:rPr/>
            </w:pPr>
            <w:r>
              <w:rPr/>
              <w:t>% </w:t>
            </w:r>
          </w:p>
        </w:tc>
      </w:tr>
      <w:tr>
        <w:trPr/>
        <w:tc>
          <w:tcPr>
            <w:tcW w:w="2270" w:type="dxa"/>
            <w:tcBorders/>
            <w:shd w:fill="CCEEFF" w:val="clear"/>
          </w:tcPr>
          <w:p>
            <w:pPr>
              <w:pStyle w:val="TableContents"/>
              <w:spacing w:before="0" w:after="0"/>
              <w:rPr>
                <w:rFonts w:ascii="Times New Roman" w:hAnsi="Times New Roman"/>
                <w:sz w:val="16"/>
              </w:rPr>
            </w:pPr>
            <w:r>
              <w:rPr>
                <w:rFonts w:ascii="Times New Roman" w:hAnsi="Times New Roman"/>
                <w:sz w:val="16"/>
              </w:rPr>
              <w:t>PayScale Holdings, Inc.(3)(5)</w:t>
            </w:r>
          </w:p>
        </w:tc>
        <w:tc>
          <w:tcPr>
            <w:tcW w:w="60" w:type="dxa"/>
            <w:tcBorders/>
            <w:shd w:fill="CCEEFF" w:val="clear"/>
            <w:vAlign w:val="bottom"/>
          </w:tcPr>
          <w:p>
            <w:pPr>
              <w:pStyle w:val="TableContents"/>
              <w:spacing w:before="0" w:after="283"/>
              <w:rPr/>
            </w:pPr>
            <w:r>
              <w:rPr/>
              <w:t> </w:t>
            </w:r>
          </w:p>
        </w:tc>
        <w:tc>
          <w:tcPr>
            <w:tcW w:w="4820" w:type="dxa"/>
            <w:tcBorders/>
            <w:shd w:fill="CCEEFF" w:val="clear"/>
          </w:tcPr>
          <w:p>
            <w:pPr>
              <w:pStyle w:val="TableContents"/>
              <w:spacing w:before="0" w:after="283"/>
              <w:rPr/>
            </w:pPr>
            <w:r>
              <w:rPr/>
              <w:t>First-lien loan ($68,950 par, due 5/2024)</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115" w:type="dxa"/>
            <w:tcBorders/>
            <w:shd w:fill="CCEEFF" w:val="clear"/>
          </w:tcPr>
          <w:p>
            <w:pPr>
              <w:pStyle w:val="TableContents"/>
              <w:spacing w:before="0" w:after="283"/>
              <w:jc w:val="right"/>
              <w:rPr/>
            </w:pPr>
            <w:r>
              <w:rPr/>
              <w:t>5/3/2019</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310" w:type="dxa"/>
            <w:tcBorders/>
            <w:shd w:fill="CCEEFF" w:val="clear"/>
          </w:tcPr>
          <w:p>
            <w:pPr>
              <w:pStyle w:val="TableContents"/>
              <w:spacing w:before="0" w:after="283"/>
              <w:jc w:val="right"/>
              <w:rPr/>
            </w:pPr>
            <w:r>
              <w:rPr/>
              <w:t>L + 5.50</w:t>
            </w:r>
          </w:p>
        </w:tc>
        <w:tc>
          <w:tcPr>
            <w:tcW w:w="27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95" w:type="dxa"/>
            <w:tcBorders/>
            <w:shd w:fill="CCEEFF" w:val="clear"/>
          </w:tcPr>
          <w:p>
            <w:pPr>
              <w:pStyle w:val="TableContents"/>
              <w:spacing w:before="0" w:after="283"/>
              <w:jc w:val="right"/>
              <w:rPr/>
            </w:pPr>
            <w:r>
              <w:rPr/>
              <w:t>9.17%</w:t>
            </w:r>
          </w:p>
        </w:tc>
        <w:tc>
          <w:tcPr>
            <w:tcW w:w="60" w:type="dxa"/>
            <w:tcBorders/>
            <w:shd w:fill="CCEEFF" w:val="clear"/>
            <w:vAlign w:val="bottom"/>
          </w:tcPr>
          <w:p>
            <w:pPr>
              <w:pStyle w:val="TableContents"/>
              <w:spacing w:before="0" w:after="283"/>
              <w:rPr/>
            </w:pPr>
            <w:r>
              <w:rPr/>
              <w:t> </w:t>
            </w:r>
          </w:p>
        </w:tc>
        <w:tc>
          <w:tcPr>
            <w:tcW w:w="76" w:type="dxa"/>
            <w:tcBorders/>
            <w:shd w:fill="CCEEFF" w:val="clear"/>
          </w:tcPr>
          <w:p>
            <w:pPr>
              <w:pStyle w:val="TableContents"/>
              <w:spacing w:before="0" w:after="283"/>
              <w:rPr/>
            </w:pPr>
            <w:r>
              <w:rPr/>
              <w:t> </w:t>
            </w:r>
          </w:p>
        </w:tc>
        <w:tc>
          <w:tcPr>
            <w:tcW w:w="1024" w:type="dxa"/>
            <w:tcBorders/>
            <w:shd w:fill="CCEEFF" w:val="clear"/>
          </w:tcPr>
          <w:p>
            <w:pPr>
              <w:pStyle w:val="TableContents"/>
              <w:spacing w:before="0" w:after="283"/>
              <w:jc w:val="right"/>
              <w:rPr/>
            </w:pPr>
            <w:r>
              <w:rPr/>
              <w:t>68,270</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 w:type="dxa"/>
            <w:tcBorders/>
            <w:shd w:fill="CCEEFF" w:val="clear"/>
          </w:tcPr>
          <w:p>
            <w:pPr>
              <w:pStyle w:val="TableContents"/>
              <w:spacing w:before="0" w:after="283"/>
              <w:rPr/>
            </w:pPr>
            <w:r>
              <w:rPr/>
              <w:t> </w:t>
            </w:r>
          </w:p>
        </w:tc>
        <w:tc>
          <w:tcPr>
            <w:tcW w:w="1122" w:type="dxa"/>
            <w:tcBorders/>
            <w:shd w:fill="CCEEFF" w:val="clear"/>
          </w:tcPr>
          <w:p>
            <w:pPr>
              <w:pStyle w:val="TableContents"/>
              <w:spacing w:before="0" w:after="283"/>
              <w:jc w:val="right"/>
              <w:rPr/>
            </w:pPr>
            <w:r>
              <w:rPr/>
              <w:t>67,743</w:t>
            </w:r>
          </w:p>
        </w:tc>
        <w:tc>
          <w:tcPr>
            <w:tcW w:w="12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tcPr>
          <w:p>
            <w:pPr>
              <w:pStyle w:val="TableContents"/>
              <w:spacing w:before="0" w:after="283"/>
              <w:rPr/>
            </w:pPr>
            <w:r>
              <w:rPr/>
              <w:t> </w:t>
            </w:r>
          </w:p>
        </w:tc>
        <w:tc>
          <w:tcPr>
            <w:tcW w:w="1166" w:type="dxa"/>
            <w:tcBorders/>
            <w:shd w:fill="CCEEFF" w:val="clear"/>
          </w:tcPr>
          <w:p>
            <w:pPr>
              <w:pStyle w:val="TableContents"/>
              <w:spacing w:before="0" w:after="283"/>
              <w:jc w:val="right"/>
              <w:rPr/>
            </w:pPr>
            <w:r>
              <w:rPr/>
              <w:t>5.1</w:t>
            </w:r>
          </w:p>
        </w:tc>
        <w:tc>
          <w:tcPr>
            <w:tcW w:w="275" w:type="dxa"/>
            <w:tcBorders/>
            <w:shd w:fill="CCEEFF" w:val="clear"/>
          </w:tcPr>
          <w:p>
            <w:pPr>
              <w:pStyle w:val="TableContents"/>
              <w:spacing w:before="0" w:after="283"/>
              <w:rPr/>
            </w:pPr>
            <w:r>
              <w:rPr/>
              <w:t>% </w:t>
            </w:r>
          </w:p>
        </w:tc>
      </w:tr>
      <w:tr>
        <w:trPr/>
        <w:tc>
          <w:tcPr>
            <w:tcW w:w="2270" w:type="dxa"/>
            <w:tcBorders/>
            <w:shd w:fill="auto" w:val="clear"/>
          </w:tcPr>
          <w:p>
            <w:pPr>
              <w:pStyle w:val="TableContents"/>
              <w:spacing w:before="0" w:after="0"/>
              <w:rPr>
                <w:rFonts w:ascii="Times New Roman" w:hAnsi="Times New Roman"/>
                <w:sz w:val="16"/>
              </w:rPr>
            </w:pPr>
            <w:r>
              <w:rPr>
                <w:rFonts w:ascii="Times New Roman" w:hAnsi="Times New Roman"/>
                <w:sz w:val="16"/>
              </w:rPr>
              <w:t xml:space="preserve">PrimePay Intermediate, </w:t>
              <w:br/>
              <w:t>LLC(3)(5)</w:t>
            </w:r>
          </w:p>
        </w:tc>
        <w:tc>
          <w:tcPr>
            <w:tcW w:w="60" w:type="dxa"/>
            <w:tcBorders/>
            <w:shd w:fill="auto" w:val="clear"/>
            <w:vAlign w:val="bottom"/>
          </w:tcPr>
          <w:p>
            <w:pPr>
              <w:pStyle w:val="TableContents"/>
              <w:spacing w:before="0" w:after="283"/>
              <w:rPr/>
            </w:pPr>
            <w:r>
              <w:rPr/>
              <w:t> </w:t>
            </w:r>
          </w:p>
        </w:tc>
        <w:tc>
          <w:tcPr>
            <w:tcW w:w="4820" w:type="dxa"/>
            <w:tcBorders/>
            <w:shd w:fill="auto" w:val="clear"/>
            <w:vAlign w:val="bottom"/>
          </w:tcPr>
          <w:p>
            <w:pPr>
              <w:pStyle w:val="TableContents"/>
              <w:spacing w:before="0" w:after="283"/>
              <w:rPr/>
            </w:pPr>
            <w:r>
              <w:rPr/>
              <w:t>First-lien loan ($29,500 par, due 12/2026)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right"/>
              <w:rPr/>
            </w:pPr>
            <w:r>
              <w:rPr/>
              <w:t>12/17/2021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0" w:type="dxa"/>
            <w:tcBorders/>
            <w:shd w:fill="auto" w:val="clear"/>
            <w:vAlign w:val="bottom"/>
          </w:tcPr>
          <w:p>
            <w:pPr>
              <w:pStyle w:val="TableContents"/>
              <w:spacing w:before="0" w:after="283"/>
              <w:jc w:val="right"/>
              <w:rPr/>
            </w:pPr>
            <w:r>
              <w:rPr/>
              <w:t>L + 7.00</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95" w:type="dxa"/>
            <w:tcBorders/>
            <w:shd w:fill="auto" w:val="clear"/>
            <w:vAlign w:val="bottom"/>
          </w:tcPr>
          <w:p>
            <w:pPr>
              <w:pStyle w:val="TableContents"/>
              <w:spacing w:before="0" w:after="283"/>
              <w:jc w:val="right"/>
              <w:rPr/>
            </w:pPr>
            <w:r>
              <w:rPr/>
              <w:t>9.88%</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28,496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1122" w:type="dxa"/>
            <w:tcBorders/>
            <w:shd w:fill="auto" w:val="clear"/>
            <w:vAlign w:val="bottom"/>
          </w:tcPr>
          <w:p>
            <w:pPr>
              <w:pStyle w:val="TableContents"/>
              <w:spacing w:before="0" w:after="283"/>
              <w:jc w:val="right"/>
              <w:rPr/>
            </w:pPr>
            <w:r>
              <w:rPr/>
              <w:t>28,394</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166" w:type="dxa"/>
            <w:tcBorders/>
            <w:shd w:fill="auto" w:val="clear"/>
            <w:vAlign w:val="bottom"/>
          </w:tcPr>
          <w:p>
            <w:pPr>
              <w:pStyle w:val="TableContents"/>
              <w:spacing w:before="0" w:after="283"/>
              <w:jc w:val="right"/>
              <w:rPr/>
            </w:pPr>
            <w:r>
              <w:rPr/>
              <w:t>2.1</w:t>
            </w:r>
          </w:p>
        </w:tc>
        <w:tc>
          <w:tcPr>
            <w:tcW w:w="275" w:type="dxa"/>
            <w:tcBorders/>
            <w:shd w:fill="auto" w:val="clear"/>
            <w:vAlign w:val="bottom"/>
          </w:tcPr>
          <w:p>
            <w:pPr>
              <w:pStyle w:val="TableContents"/>
              <w:spacing w:before="0" w:after="283"/>
              <w:rPr/>
            </w:pPr>
            <w:r>
              <w:rPr/>
              <w:t>% </w:t>
            </w:r>
          </w:p>
        </w:tc>
      </w:tr>
      <w:tr>
        <w:trPr/>
        <w:tc>
          <w:tcPr>
            <w:tcW w:w="2270" w:type="dxa"/>
            <w:tcBorders/>
            <w:shd w:fill="CCEEFF" w:val="clear"/>
          </w:tcPr>
          <w:p>
            <w:pPr>
              <w:pStyle w:val="TableContents"/>
              <w:spacing w:before="0" w:after="0"/>
              <w:rPr>
                <w:rFonts w:ascii="Times New Roman" w:hAnsi="Times New Roman"/>
                <w:sz w:val="16"/>
              </w:rPr>
            </w:pPr>
            <w:r>
              <w:rPr>
                <w:rFonts w:ascii="Times New Roman" w:hAnsi="Times New Roman"/>
                <w:sz w:val="16"/>
              </w:rPr>
              <w:t>Modern Hire, Inc.(3)(5)</w:t>
            </w:r>
          </w:p>
        </w:tc>
        <w:tc>
          <w:tcPr>
            <w:tcW w:w="60" w:type="dxa"/>
            <w:tcBorders/>
            <w:shd w:fill="CCEEFF" w:val="clear"/>
            <w:vAlign w:val="bottom"/>
          </w:tcPr>
          <w:p>
            <w:pPr>
              <w:pStyle w:val="TableContents"/>
              <w:spacing w:before="0" w:after="283"/>
              <w:rPr/>
            </w:pPr>
            <w:r>
              <w:rPr/>
              <w:t> </w:t>
            </w:r>
          </w:p>
        </w:tc>
        <w:tc>
          <w:tcPr>
            <w:tcW w:w="4820" w:type="dxa"/>
            <w:tcBorders/>
            <w:shd w:fill="CCEEFF" w:val="clear"/>
          </w:tcPr>
          <w:p>
            <w:pPr>
              <w:pStyle w:val="TableContents"/>
              <w:spacing w:before="0" w:after="283"/>
              <w:rPr/>
            </w:pPr>
            <w:r>
              <w:rPr/>
              <w:t>First-lien loan ($29,068 par, due 5/2024)</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115" w:type="dxa"/>
            <w:tcBorders/>
            <w:shd w:fill="CCEEFF" w:val="clear"/>
          </w:tcPr>
          <w:p>
            <w:pPr>
              <w:pStyle w:val="TableContents"/>
              <w:spacing w:before="0" w:after="283"/>
              <w:jc w:val="right"/>
              <w:rPr/>
            </w:pPr>
            <w:r>
              <w:rPr/>
              <w:t>5/15/2019</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310" w:type="dxa"/>
            <w:tcBorders/>
            <w:shd w:fill="CCEEFF" w:val="clear"/>
          </w:tcPr>
          <w:p>
            <w:pPr>
              <w:pStyle w:val="TableContents"/>
              <w:spacing w:before="0" w:after="283"/>
              <w:jc w:val="right"/>
              <w:rPr/>
            </w:pPr>
            <w:r>
              <w:rPr/>
              <w:t>L + 7.00</w:t>
            </w:r>
          </w:p>
        </w:tc>
        <w:tc>
          <w:tcPr>
            <w:tcW w:w="27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95" w:type="dxa"/>
            <w:tcBorders/>
            <w:shd w:fill="CCEEFF" w:val="clear"/>
          </w:tcPr>
          <w:p>
            <w:pPr>
              <w:pStyle w:val="TableContents"/>
              <w:spacing w:before="0" w:after="283"/>
              <w:jc w:val="right"/>
              <w:rPr/>
            </w:pPr>
            <w:r>
              <w:rPr/>
              <w:t>10.12%</w:t>
            </w:r>
          </w:p>
        </w:tc>
        <w:tc>
          <w:tcPr>
            <w:tcW w:w="60" w:type="dxa"/>
            <w:tcBorders/>
            <w:shd w:fill="CCEEFF" w:val="clear"/>
            <w:vAlign w:val="bottom"/>
          </w:tcPr>
          <w:p>
            <w:pPr>
              <w:pStyle w:val="TableContents"/>
              <w:spacing w:before="0" w:after="283"/>
              <w:rPr/>
            </w:pPr>
            <w:r>
              <w:rPr/>
              <w:t> </w:t>
            </w:r>
          </w:p>
        </w:tc>
        <w:tc>
          <w:tcPr>
            <w:tcW w:w="76" w:type="dxa"/>
            <w:tcBorders/>
            <w:shd w:fill="CCEEFF" w:val="clear"/>
          </w:tcPr>
          <w:p>
            <w:pPr>
              <w:pStyle w:val="TableContents"/>
              <w:spacing w:before="0" w:after="283"/>
              <w:rPr/>
            </w:pPr>
            <w:r>
              <w:rPr/>
              <w:t> </w:t>
            </w:r>
          </w:p>
        </w:tc>
        <w:tc>
          <w:tcPr>
            <w:tcW w:w="1024" w:type="dxa"/>
            <w:tcBorders/>
            <w:shd w:fill="CCEEFF" w:val="clear"/>
          </w:tcPr>
          <w:p>
            <w:pPr>
              <w:pStyle w:val="TableContents"/>
              <w:spacing w:before="0" w:after="283"/>
              <w:jc w:val="right"/>
              <w:rPr/>
            </w:pPr>
            <w:r>
              <w:rPr/>
              <w:t>28,769</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 w:type="dxa"/>
            <w:tcBorders/>
            <w:shd w:fill="CCEEFF" w:val="clear"/>
          </w:tcPr>
          <w:p>
            <w:pPr>
              <w:pStyle w:val="TableContents"/>
              <w:spacing w:before="0" w:after="283"/>
              <w:rPr/>
            </w:pPr>
            <w:r>
              <w:rPr/>
              <w:t> </w:t>
            </w:r>
          </w:p>
        </w:tc>
        <w:tc>
          <w:tcPr>
            <w:tcW w:w="1122" w:type="dxa"/>
            <w:tcBorders/>
            <w:shd w:fill="CCEEFF" w:val="clear"/>
          </w:tcPr>
          <w:p>
            <w:pPr>
              <w:pStyle w:val="TableContents"/>
              <w:spacing w:before="0" w:after="283"/>
              <w:jc w:val="right"/>
              <w:rPr/>
            </w:pPr>
            <w:r>
              <w:rPr/>
              <w:t>29,432</w:t>
            </w:r>
          </w:p>
        </w:tc>
        <w:tc>
          <w:tcPr>
            <w:tcW w:w="12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tcPr>
          <w:p>
            <w:pPr>
              <w:pStyle w:val="TableContents"/>
              <w:spacing w:before="0" w:after="283"/>
              <w:rPr/>
            </w:pPr>
            <w:r>
              <w:rPr/>
              <w:t> </w:t>
            </w:r>
          </w:p>
        </w:tc>
        <w:tc>
          <w:tcPr>
            <w:tcW w:w="1166" w:type="dxa"/>
            <w:tcBorders/>
            <w:shd w:fill="CCEEFF" w:val="clear"/>
          </w:tcPr>
          <w:p>
            <w:pPr>
              <w:pStyle w:val="TableContents"/>
              <w:spacing w:before="0" w:after="283"/>
              <w:jc w:val="right"/>
              <w:rPr/>
            </w:pPr>
            <w:r>
              <w:rPr/>
              <w:t>2.2</w:t>
            </w:r>
          </w:p>
        </w:tc>
        <w:tc>
          <w:tcPr>
            <w:tcW w:w="275" w:type="dxa"/>
            <w:tcBorders/>
            <w:shd w:fill="CCEEFF" w:val="clear"/>
          </w:tcPr>
          <w:p>
            <w:pPr>
              <w:pStyle w:val="TableContents"/>
              <w:spacing w:before="0" w:after="283"/>
              <w:rPr/>
            </w:pPr>
            <w:r>
              <w:rPr/>
              <w:t>% </w:t>
            </w:r>
          </w:p>
        </w:tc>
      </w:tr>
      <w:tr>
        <w:trPr/>
        <w:tc>
          <w:tcPr>
            <w:tcW w:w="2270" w:type="dxa"/>
            <w:tcBorders/>
            <w:shd w:fill="auto" w:val="clear"/>
          </w:tcPr>
          <w:p>
            <w:pPr>
              <w:pStyle w:val="TableContents"/>
              <w:spacing w:before="0" w:after="0"/>
              <w:rPr>
                <w:rFonts w:ascii="Times New Roman" w:hAnsi="Times New Roman"/>
                <w:sz w:val="16"/>
              </w:rPr>
            </w:pPr>
            <w:r>
              <w:rPr>
                <w:rFonts w:ascii="Times New Roman" w:hAnsi="Times New Roman"/>
                <w:sz w:val="16"/>
              </w:rPr>
              <w:t>Workwell Acquisition Co.(3)(5)</w:t>
            </w:r>
          </w:p>
        </w:tc>
        <w:tc>
          <w:tcPr>
            <w:tcW w:w="60" w:type="dxa"/>
            <w:tcBorders/>
            <w:shd w:fill="auto" w:val="clear"/>
            <w:vAlign w:val="bottom"/>
          </w:tcPr>
          <w:p>
            <w:pPr>
              <w:pStyle w:val="TableContents"/>
              <w:spacing w:before="0" w:after="283"/>
              <w:rPr/>
            </w:pPr>
            <w:r>
              <w:rPr/>
              <w:t> </w:t>
            </w:r>
          </w:p>
        </w:tc>
        <w:tc>
          <w:tcPr>
            <w:tcW w:w="4820" w:type="dxa"/>
            <w:tcBorders/>
            <w:shd w:fill="auto" w:val="clear"/>
          </w:tcPr>
          <w:p>
            <w:pPr>
              <w:pStyle w:val="TableContents"/>
              <w:spacing w:before="0" w:after="283"/>
              <w:rPr/>
            </w:pPr>
            <w:r>
              <w:rPr/>
              <w:t>First-lien loan ($23,951 par, due 10/2025)</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115" w:type="dxa"/>
            <w:tcBorders/>
            <w:shd w:fill="auto" w:val="clear"/>
          </w:tcPr>
          <w:p>
            <w:pPr>
              <w:pStyle w:val="TableContents"/>
              <w:spacing w:before="0" w:after="283"/>
              <w:jc w:val="right"/>
              <w:rPr/>
            </w:pPr>
            <w:r>
              <w:rPr/>
              <w:t>10/19/2020</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310" w:type="dxa"/>
            <w:tcBorders/>
            <w:shd w:fill="auto" w:val="clear"/>
          </w:tcPr>
          <w:p>
            <w:pPr>
              <w:pStyle w:val="TableContents"/>
              <w:spacing w:before="0" w:after="283"/>
              <w:jc w:val="right"/>
              <w:rPr/>
            </w:pPr>
            <w:r>
              <w:rPr/>
              <w:t>SOFR + 7.35</w:t>
            </w:r>
          </w:p>
        </w:tc>
        <w:tc>
          <w:tcPr>
            <w:tcW w:w="27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95" w:type="dxa"/>
            <w:tcBorders/>
            <w:shd w:fill="auto" w:val="clear"/>
          </w:tcPr>
          <w:p>
            <w:pPr>
              <w:pStyle w:val="TableContents"/>
              <w:spacing w:before="0" w:after="283"/>
              <w:jc w:val="right"/>
              <w:rPr/>
            </w:pPr>
            <w:r>
              <w:rPr/>
              <w:t>10.55%</w:t>
            </w:r>
          </w:p>
        </w:tc>
        <w:tc>
          <w:tcPr>
            <w:tcW w:w="60" w:type="dxa"/>
            <w:tcBorders/>
            <w:shd w:fill="auto" w:val="clear"/>
            <w:vAlign w:val="bottom"/>
          </w:tcPr>
          <w:p>
            <w:pPr>
              <w:pStyle w:val="TableContents"/>
              <w:spacing w:before="0" w:after="283"/>
              <w:rPr/>
            </w:pPr>
            <w:r>
              <w:rPr/>
              <w:t> </w:t>
            </w:r>
          </w:p>
        </w:tc>
        <w:tc>
          <w:tcPr>
            <w:tcW w:w="76" w:type="dxa"/>
            <w:tcBorders/>
            <w:shd w:fill="auto" w:val="clear"/>
          </w:tcPr>
          <w:p>
            <w:pPr>
              <w:pStyle w:val="TableContents"/>
              <w:spacing w:before="0" w:after="283"/>
              <w:rPr/>
            </w:pPr>
            <w:r>
              <w:rPr/>
              <w:t> </w:t>
            </w:r>
          </w:p>
        </w:tc>
        <w:tc>
          <w:tcPr>
            <w:tcW w:w="1024" w:type="dxa"/>
            <w:tcBorders/>
            <w:shd w:fill="auto" w:val="clear"/>
          </w:tcPr>
          <w:p>
            <w:pPr>
              <w:pStyle w:val="TableContents"/>
              <w:spacing w:before="0" w:after="283"/>
              <w:jc w:val="right"/>
              <w:rPr/>
            </w:pPr>
            <w:r>
              <w:rPr/>
              <w:t>23,550</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122" w:type="dxa"/>
            <w:tcBorders/>
            <w:shd w:fill="auto" w:val="clear"/>
          </w:tcPr>
          <w:p>
            <w:pPr>
              <w:pStyle w:val="TableContents"/>
              <w:spacing w:before="0" w:after="283"/>
              <w:jc w:val="right"/>
              <w:rPr/>
            </w:pPr>
            <w:r>
              <w:rPr/>
              <w:t>23,581</w:t>
            </w:r>
          </w:p>
        </w:tc>
        <w:tc>
          <w:tcPr>
            <w:tcW w:w="12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tcPr>
          <w:p>
            <w:pPr>
              <w:pStyle w:val="TableContents"/>
              <w:spacing w:before="0" w:after="283"/>
              <w:rPr/>
            </w:pPr>
            <w:r>
              <w:rPr/>
              <w:t> </w:t>
            </w:r>
          </w:p>
        </w:tc>
        <w:tc>
          <w:tcPr>
            <w:tcW w:w="1166" w:type="dxa"/>
            <w:tcBorders/>
            <w:shd w:fill="auto" w:val="clear"/>
          </w:tcPr>
          <w:p>
            <w:pPr>
              <w:pStyle w:val="TableContents"/>
              <w:spacing w:before="0" w:after="283"/>
              <w:jc w:val="right"/>
              <w:rPr/>
            </w:pPr>
            <w:r>
              <w:rPr/>
              <w:t>1.8</w:t>
            </w:r>
          </w:p>
        </w:tc>
        <w:tc>
          <w:tcPr>
            <w:tcW w:w="275" w:type="dxa"/>
            <w:tcBorders/>
            <w:shd w:fill="auto" w:val="clear"/>
          </w:tcPr>
          <w:p>
            <w:pPr>
              <w:pStyle w:val="TableContents"/>
              <w:spacing w:before="0" w:after="283"/>
              <w:rPr/>
            </w:pPr>
            <w:r>
              <w:rPr/>
              <w:t>% </w:t>
            </w:r>
          </w:p>
        </w:tc>
      </w:tr>
      <w:tr>
        <w:trPr/>
        <w:tc>
          <w:tcPr>
            <w:tcW w:w="227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8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1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31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9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02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pBdr>
                <w:top w:val="single" w:sz="2" w:space="1" w:color="000000"/>
              </w:pBdr>
              <w:spacing w:before="0" w:after="0"/>
              <w:rPr/>
            </w:pPr>
            <w:r>
              <w:rPr/>
              <w:t> </w:t>
            </w:r>
          </w:p>
        </w:tc>
        <w:tc>
          <w:tcPr>
            <w:tcW w:w="1122" w:type="dxa"/>
            <w:tcBorders/>
            <w:shd w:fill="auto" w:val="clear"/>
            <w:vAlign w:val="bottom"/>
          </w:tcPr>
          <w:p>
            <w:pPr>
              <w:pStyle w:val="TableContents"/>
              <w:pBdr>
                <w:top w:val="single" w:sz="2" w:space="1" w:color="000000"/>
              </w:pBdr>
              <w:spacing w:before="0" w:after="0"/>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single" w:sz="2" w:space="1" w:color="000000"/>
              </w:pBdr>
              <w:spacing w:before="0" w:after="0"/>
              <w:rPr/>
            </w:pPr>
            <w:r>
              <w:rPr/>
              <w:t> </w:t>
            </w:r>
          </w:p>
        </w:tc>
        <w:tc>
          <w:tcPr>
            <w:tcW w:w="1166" w:type="dxa"/>
            <w:tcBorders/>
            <w:shd w:fill="auto" w:val="clear"/>
            <w:vAlign w:val="bottom"/>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r>
      <w:tr>
        <w:trPr/>
        <w:tc>
          <w:tcPr>
            <w:tcW w:w="227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482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sz w:val="4"/>
                <w:szCs w:val="4"/>
              </w:rPr>
            </w:pPr>
            <w:r>
              <w:rPr>
                <w:sz w:val="4"/>
                <w:szCs w:val="4"/>
              </w:rPr>
            </w:r>
          </w:p>
        </w:tc>
        <w:tc>
          <w:tcPr>
            <w:tcW w:w="1115" w:type="dxa"/>
            <w:tcBorders/>
            <w:shd w:fill="CCEEFF" w:val="clear"/>
          </w:tcPr>
          <w:p>
            <w:pPr>
              <w:pStyle w:val="TableContents"/>
              <w:spacing w:before="0" w:after="283"/>
              <w:rPr>
                <w:sz w:val="4"/>
                <w:szCs w:val="4"/>
              </w:rPr>
            </w:pPr>
            <w:r>
              <w:rPr>
                <w:sz w:val="4"/>
                <w:szCs w:val="4"/>
              </w:rPr>
            </w:r>
          </w:p>
        </w:tc>
        <w:tc>
          <w:tcPr>
            <w:tcW w:w="6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sz w:val="4"/>
                <w:szCs w:val="4"/>
              </w:rPr>
            </w:pPr>
            <w:r>
              <w:rPr>
                <w:sz w:val="4"/>
                <w:szCs w:val="4"/>
              </w:rPr>
            </w:r>
          </w:p>
        </w:tc>
        <w:tc>
          <w:tcPr>
            <w:tcW w:w="1310" w:type="dxa"/>
            <w:tcBorders/>
            <w:shd w:fill="CCEEFF" w:val="clear"/>
          </w:tcPr>
          <w:p>
            <w:pPr>
              <w:pStyle w:val="TableContents"/>
              <w:spacing w:before="0" w:after="283"/>
              <w:rPr>
                <w:sz w:val="4"/>
                <w:szCs w:val="4"/>
              </w:rPr>
            </w:pPr>
            <w:r>
              <w:rPr>
                <w:sz w:val="4"/>
                <w:szCs w:val="4"/>
              </w:rPr>
            </w:r>
          </w:p>
        </w:tc>
        <w:tc>
          <w:tcPr>
            <w:tcW w:w="27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9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6" w:type="dxa"/>
            <w:tcBorders/>
            <w:shd w:fill="CCEEFF" w:val="clear"/>
          </w:tcPr>
          <w:p>
            <w:pPr>
              <w:pStyle w:val="TableContents"/>
              <w:spacing w:before="0" w:after="283"/>
              <w:rPr/>
            </w:pPr>
            <w:r>
              <w:rPr/>
              <w:t> </w:t>
            </w:r>
          </w:p>
        </w:tc>
        <w:tc>
          <w:tcPr>
            <w:tcW w:w="1024" w:type="dxa"/>
            <w:tcBorders/>
            <w:shd w:fill="CCEEFF" w:val="clear"/>
          </w:tcPr>
          <w:p>
            <w:pPr>
              <w:pStyle w:val="TableContents"/>
              <w:spacing w:before="0" w:after="283"/>
              <w:jc w:val="right"/>
              <w:rPr/>
            </w:pPr>
            <w:r>
              <w:rPr/>
              <w:t>269,303</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 w:type="dxa"/>
            <w:tcBorders/>
            <w:shd w:fill="CCEEFF" w:val="clear"/>
          </w:tcPr>
          <w:p>
            <w:pPr>
              <w:pStyle w:val="TableContents"/>
              <w:spacing w:before="0" w:after="283"/>
              <w:rPr/>
            </w:pPr>
            <w:r>
              <w:rPr/>
              <w:t> </w:t>
            </w:r>
          </w:p>
        </w:tc>
        <w:tc>
          <w:tcPr>
            <w:tcW w:w="1122" w:type="dxa"/>
            <w:tcBorders/>
            <w:shd w:fill="CCEEFF" w:val="clear"/>
          </w:tcPr>
          <w:p>
            <w:pPr>
              <w:pStyle w:val="TableContents"/>
              <w:spacing w:before="0" w:after="283"/>
              <w:jc w:val="right"/>
              <w:rPr/>
            </w:pPr>
            <w:r>
              <w:rPr/>
              <w:t>262,185</w:t>
            </w:r>
          </w:p>
        </w:tc>
        <w:tc>
          <w:tcPr>
            <w:tcW w:w="12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tcPr>
          <w:p>
            <w:pPr>
              <w:pStyle w:val="TableContents"/>
              <w:spacing w:before="0" w:after="283"/>
              <w:rPr/>
            </w:pPr>
            <w:r>
              <w:rPr/>
              <w:t> </w:t>
            </w:r>
          </w:p>
        </w:tc>
        <w:tc>
          <w:tcPr>
            <w:tcW w:w="1166" w:type="dxa"/>
            <w:tcBorders/>
            <w:shd w:fill="CCEEFF" w:val="clear"/>
          </w:tcPr>
          <w:p>
            <w:pPr>
              <w:pStyle w:val="TableContents"/>
              <w:spacing w:before="0" w:after="283"/>
              <w:jc w:val="right"/>
              <w:rPr/>
            </w:pPr>
            <w:r>
              <w:rPr/>
              <w:t>19.7</w:t>
            </w:r>
          </w:p>
        </w:tc>
        <w:tc>
          <w:tcPr>
            <w:tcW w:w="275" w:type="dxa"/>
            <w:tcBorders/>
            <w:shd w:fill="CCEEFF" w:val="clear"/>
          </w:tcPr>
          <w:p>
            <w:pPr>
              <w:pStyle w:val="TableContents"/>
              <w:spacing w:before="0" w:after="283"/>
              <w:rPr/>
            </w:pPr>
            <w:r>
              <w:rPr/>
              <w:t>% </w:t>
            </w:r>
          </w:p>
        </w:tc>
      </w:tr>
      <w:tr>
        <w:trPr/>
        <w:tc>
          <w:tcPr>
            <w:tcW w:w="227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8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1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31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9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02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pBdr>
                <w:top w:val="single" w:sz="2" w:space="1" w:color="000000"/>
              </w:pBdr>
              <w:spacing w:before="0" w:after="0"/>
              <w:rPr/>
            </w:pPr>
            <w:r>
              <w:rPr/>
              <w:t> </w:t>
            </w:r>
          </w:p>
        </w:tc>
        <w:tc>
          <w:tcPr>
            <w:tcW w:w="1122" w:type="dxa"/>
            <w:tcBorders/>
            <w:shd w:fill="auto" w:val="clear"/>
            <w:vAlign w:val="bottom"/>
          </w:tcPr>
          <w:p>
            <w:pPr>
              <w:pStyle w:val="TableContents"/>
              <w:pBdr>
                <w:top w:val="single" w:sz="2" w:space="1" w:color="000000"/>
              </w:pBdr>
              <w:spacing w:before="0" w:after="0"/>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single" w:sz="2" w:space="1" w:color="000000"/>
              </w:pBdr>
              <w:spacing w:before="0" w:after="0"/>
              <w:rPr/>
            </w:pPr>
            <w:r>
              <w:rPr/>
              <w:t> </w:t>
            </w:r>
          </w:p>
        </w:tc>
        <w:tc>
          <w:tcPr>
            <w:tcW w:w="1166" w:type="dxa"/>
            <w:tcBorders/>
            <w:shd w:fill="auto" w:val="clear"/>
            <w:vAlign w:val="bottom"/>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r>
      <w:tr>
        <w:trPr/>
        <w:tc>
          <w:tcPr>
            <w:tcW w:w="2270" w:type="dxa"/>
            <w:tcBorders/>
            <w:shd w:fill="auto" w:val="clear"/>
          </w:tcPr>
          <w:p>
            <w:pPr>
              <w:pStyle w:val="TableContents"/>
              <w:spacing w:before="0" w:after="0"/>
              <w:rPr>
                <w:rFonts w:ascii="Times New Roman" w:hAnsi="Times New Roman"/>
                <w:b/>
                <w:sz w:val="16"/>
              </w:rPr>
            </w:pPr>
            <w:r>
              <w:rPr>
                <w:rFonts w:ascii="Times New Roman" w:hAnsi="Times New Roman"/>
                <w:b/>
                <w:sz w:val="16"/>
              </w:rPr>
              <w:t>Internet Services</w:t>
            </w:r>
          </w:p>
        </w:tc>
        <w:tc>
          <w:tcPr>
            <w:tcW w:w="60" w:type="dxa"/>
            <w:tcBorders/>
            <w:shd w:fill="auto" w:val="clear"/>
            <w:vAlign w:val="bottom"/>
          </w:tcPr>
          <w:p>
            <w:pPr>
              <w:pStyle w:val="TableContents"/>
              <w:spacing w:before="0" w:after="283"/>
              <w:rPr/>
            </w:pPr>
            <w:r>
              <w:rPr/>
              <w:t> </w:t>
            </w:r>
          </w:p>
        </w:tc>
        <w:tc>
          <w:tcPr>
            <w:tcW w:w="482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1115"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1310" w:type="dxa"/>
            <w:tcBorders/>
            <w:shd w:fill="auto" w:val="clear"/>
          </w:tcPr>
          <w:p>
            <w:pPr>
              <w:pStyle w:val="TableContents"/>
              <w:spacing w:before="0" w:after="283"/>
              <w:rPr>
                <w:sz w:val="4"/>
                <w:szCs w:val="4"/>
              </w:rPr>
            </w:pPr>
            <w:r>
              <w:rPr>
                <w:sz w:val="4"/>
                <w:szCs w:val="4"/>
              </w:rPr>
            </w:r>
          </w:p>
        </w:tc>
        <w:tc>
          <w:tcPr>
            <w:tcW w:w="27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9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c>
          <w:tcPr>
            <w:tcW w:w="1024"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8" w:type="dxa"/>
            <w:tcBorders/>
            <w:shd w:fill="auto" w:val="clear"/>
          </w:tcPr>
          <w:p>
            <w:pPr>
              <w:pStyle w:val="TableContents"/>
              <w:spacing w:before="0" w:after="283"/>
              <w:rPr>
                <w:sz w:val="4"/>
                <w:szCs w:val="4"/>
              </w:rPr>
            </w:pPr>
            <w:r>
              <w:rPr>
                <w:sz w:val="4"/>
                <w:szCs w:val="4"/>
              </w:rPr>
            </w:r>
          </w:p>
        </w:tc>
        <w:tc>
          <w:tcPr>
            <w:tcW w:w="1122" w:type="dxa"/>
            <w:tcBorders/>
            <w:shd w:fill="auto" w:val="clear"/>
          </w:tcPr>
          <w:p>
            <w:pPr>
              <w:pStyle w:val="TableContents"/>
              <w:spacing w:before="0" w:after="283"/>
              <w:rPr>
                <w:sz w:val="4"/>
                <w:szCs w:val="4"/>
              </w:rPr>
            </w:pPr>
            <w:r>
              <w:rPr>
                <w:sz w:val="4"/>
                <w:szCs w:val="4"/>
              </w:rPr>
            </w:r>
          </w:p>
        </w:tc>
        <w:tc>
          <w:tcPr>
            <w:tcW w:w="12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59" w:type="dxa"/>
            <w:tcBorders/>
            <w:shd w:fill="auto" w:val="clear"/>
          </w:tcPr>
          <w:p>
            <w:pPr>
              <w:pStyle w:val="TableContents"/>
              <w:spacing w:before="0" w:after="283"/>
              <w:rPr>
                <w:sz w:val="4"/>
                <w:szCs w:val="4"/>
              </w:rPr>
            </w:pPr>
            <w:r>
              <w:rPr>
                <w:sz w:val="4"/>
                <w:szCs w:val="4"/>
              </w:rPr>
            </w:r>
          </w:p>
        </w:tc>
        <w:tc>
          <w:tcPr>
            <w:tcW w:w="1166" w:type="dxa"/>
            <w:tcBorders/>
            <w:shd w:fill="auto" w:val="clear"/>
          </w:tcPr>
          <w:p>
            <w:pPr>
              <w:pStyle w:val="TableContents"/>
              <w:spacing w:before="0" w:after="283"/>
              <w:rPr>
                <w:sz w:val="4"/>
                <w:szCs w:val="4"/>
              </w:rPr>
            </w:pPr>
            <w:r>
              <w:rPr>
                <w:sz w:val="4"/>
                <w:szCs w:val="4"/>
              </w:rPr>
            </w:r>
          </w:p>
        </w:tc>
        <w:tc>
          <w:tcPr>
            <w:tcW w:w="275" w:type="dxa"/>
            <w:tcBorders/>
            <w:shd w:fill="auto" w:val="clear"/>
          </w:tcPr>
          <w:p>
            <w:pPr>
              <w:pStyle w:val="TableContents"/>
              <w:spacing w:before="0" w:after="283"/>
              <w:rPr>
                <w:sz w:val="4"/>
                <w:szCs w:val="4"/>
              </w:rPr>
            </w:pPr>
            <w:r>
              <w:rPr>
                <w:sz w:val="4"/>
                <w:szCs w:val="4"/>
              </w:rPr>
            </w:r>
          </w:p>
        </w:tc>
      </w:tr>
      <w:tr>
        <w:trPr/>
        <w:tc>
          <w:tcPr>
            <w:tcW w:w="2270" w:type="dxa"/>
            <w:tcBorders/>
            <w:shd w:fill="CCEEFF" w:val="clear"/>
          </w:tcPr>
          <w:p>
            <w:pPr>
              <w:pStyle w:val="TableContents"/>
              <w:spacing w:before="0" w:after="0"/>
              <w:rPr>
                <w:rFonts w:ascii="Times New Roman" w:hAnsi="Times New Roman"/>
                <w:sz w:val="16"/>
              </w:rPr>
            </w:pPr>
            <w:r>
              <w:rPr>
                <w:rFonts w:ascii="Times New Roman" w:hAnsi="Times New Roman"/>
                <w:sz w:val="16"/>
              </w:rPr>
              <w:t xml:space="preserve">Bayshore Intermediate #2, </w:t>
              <w:br/>
              <w:t>L.P.(3)</w:t>
            </w:r>
          </w:p>
        </w:tc>
        <w:tc>
          <w:tcPr>
            <w:tcW w:w="60" w:type="dxa"/>
            <w:tcBorders/>
            <w:shd w:fill="CCEEFF" w:val="clear"/>
            <w:vAlign w:val="bottom"/>
          </w:tcPr>
          <w:p>
            <w:pPr>
              <w:pStyle w:val="TableContents"/>
              <w:spacing w:before="0" w:after="283"/>
              <w:rPr/>
            </w:pPr>
            <w:r>
              <w:rPr/>
              <w:t> </w:t>
            </w:r>
          </w:p>
        </w:tc>
        <w:tc>
          <w:tcPr>
            <w:tcW w:w="4820" w:type="dxa"/>
            <w:tcBorders/>
            <w:shd w:fill="CCEEFF" w:val="clear"/>
            <w:vAlign w:val="bottom"/>
          </w:tcPr>
          <w:p>
            <w:pPr>
              <w:pStyle w:val="TableContents"/>
              <w:spacing w:before="0" w:after="283"/>
              <w:rPr/>
            </w:pPr>
            <w:r>
              <w:rPr/>
              <w:t>First-lien loan ($31,256 par, due 10/2028)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pPr>
            <w:r>
              <w:rPr/>
              <w:t>10/1/2021</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10" w:type="dxa"/>
            <w:tcBorders/>
            <w:shd w:fill="CCEEFF" w:val="clear"/>
            <w:vAlign w:val="bottom"/>
          </w:tcPr>
          <w:p>
            <w:pPr>
              <w:pStyle w:val="TableContents"/>
              <w:spacing w:before="0" w:after="283"/>
              <w:jc w:val="right"/>
              <w:rPr/>
            </w:pPr>
            <w:r>
              <w:rPr/>
              <w:t>L + 7.75</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95" w:type="dxa"/>
            <w:tcBorders/>
            <w:shd w:fill="CCEEFF" w:val="clear"/>
            <w:vAlign w:val="bottom"/>
          </w:tcPr>
          <w:p>
            <w:pPr>
              <w:pStyle w:val="TableContents"/>
              <w:spacing w:before="0" w:after="283"/>
              <w:jc w:val="right"/>
              <w:rPr/>
            </w:pPr>
            <w:r>
              <w:rPr/>
              <w:t>10.43% PIK</w:t>
            </w:r>
          </w:p>
        </w:tc>
        <w:tc>
          <w:tcPr>
            <w:tcW w:w="60"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jc w:val="right"/>
              <w:rPr/>
            </w:pPr>
            <w:r>
              <w:rPr/>
              <w:t>30,633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1122" w:type="dxa"/>
            <w:tcBorders/>
            <w:shd w:fill="CCEEFF" w:val="clear"/>
            <w:vAlign w:val="bottom"/>
          </w:tcPr>
          <w:p>
            <w:pPr>
              <w:pStyle w:val="TableContents"/>
              <w:spacing w:before="0" w:after="283"/>
              <w:jc w:val="right"/>
              <w:rPr/>
            </w:pPr>
            <w:r>
              <w:rPr/>
              <w:t>30,078</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166" w:type="dxa"/>
            <w:tcBorders/>
            <w:shd w:fill="CCEEFF" w:val="clear"/>
            <w:vAlign w:val="bottom"/>
          </w:tcPr>
          <w:p>
            <w:pPr>
              <w:pStyle w:val="TableContents"/>
              <w:spacing w:before="0" w:after="283"/>
              <w:jc w:val="right"/>
              <w:rPr/>
            </w:pPr>
            <w:r>
              <w:rPr/>
              <w:t>2.3</w:t>
            </w:r>
          </w:p>
        </w:tc>
        <w:tc>
          <w:tcPr>
            <w:tcW w:w="275" w:type="dxa"/>
            <w:tcBorders/>
            <w:shd w:fill="CCEEFF" w:val="clear"/>
            <w:vAlign w:val="bottom"/>
          </w:tcPr>
          <w:p>
            <w:pPr>
              <w:pStyle w:val="TableContents"/>
              <w:spacing w:before="0" w:after="283"/>
              <w:rPr/>
            </w:pPr>
            <w:r>
              <w:rPr/>
              <w:t>% </w:t>
            </w:r>
          </w:p>
        </w:tc>
      </w:tr>
      <w:tr>
        <w:trPr/>
        <w:tc>
          <w:tcPr>
            <w:tcW w:w="2270" w:type="dxa"/>
            <w:tcBorders/>
            <w:shd w:fill="auto" w:val="clear"/>
          </w:tcPr>
          <w:p>
            <w:pPr>
              <w:pStyle w:val="TableContents"/>
              <w:spacing w:before="0" w:after="0"/>
              <w:rPr>
                <w:rFonts w:ascii="Times New Roman" w:hAnsi="Times New Roman"/>
                <w:sz w:val="16"/>
              </w:rPr>
            </w:pPr>
            <w:r>
              <w:rPr>
                <w:rFonts w:ascii="Times New Roman" w:hAnsi="Times New Roman"/>
                <w:sz w:val="16"/>
              </w:rPr>
              <w:t xml:space="preserve">CrunchTime Information, </w:t>
              <w:br/>
              <w:t>Systems, Inc.(3)(5)</w:t>
            </w:r>
          </w:p>
        </w:tc>
        <w:tc>
          <w:tcPr>
            <w:tcW w:w="60" w:type="dxa"/>
            <w:tcBorders/>
            <w:shd w:fill="auto" w:val="clear"/>
            <w:vAlign w:val="bottom"/>
          </w:tcPr>
          <w:p>
            <w:pPr>
              <w:pStyle w:val="TableContents"/>
              <w:spacing w:before="0" w:after="283"/>
              <w:rPr/>
            </w:pPr>
            <w:r>
              <w:rPr/>
              <w:t> </w:t>
            </w:r>
          </w:p>
        </w:tc>
        <w:tc>
          <w:tcPr>
            <w:tcW w:w="4820" w:type="dxa"/>
            <w:tcBorders/>
            <w:shd w:fill="auto" w:val="clear"/>
            <w:vAlign w:val="bottom"/>
          </w:tcPr>
          <w:p>
            <w:pPr>
              <w:pStyle w:val="TableContents"/>
              <w:spacing w:before="0" w:after="283"/>
              <w:rPr/>
            </w:pPr>
            <w:r>
              <w:rPr/>
              <w:t>First-lien loan ($53,255 par, due 6/2028)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right"/>
              <w:rPr/>
            </w:pPr>
            <w:r>
              <w:rPr/>
              <w:t>6/17/2022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0" w:type="dxa"/>
            <w:tcBorders/>
            <w:shd w:fill="auto" w:val="clear"/>
            <w:vAlign w:val="bottom"/>
          </w:tcPr>
          <w:p>
            <w:pPr>
              <w:pStyle w:val="TableContents"/>
              <w:spacing w:before="0" w:after="283"/>
              <w:jc w:val="right"/>
              <w:rPr/>
            </w:pPr>
            <w:r>
              <w:rPr/>
              <w:t>SOFR + 6.00</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95" w:type="dxa"/>
            <w:tcBorders/>
            <w:shd w:fill="auto" w:val="clear"/>
            <w:vAlign w:val="bottom"/>
          </w:tcPr>
          <w:p>
            <w:pPr>
              <w:pStyle w:val="TableContents"/>
              <w:spacing w:before="0" w:after="283"/>
              <w:jc w:val="right"/>
              <w:rPr/>
            </w:pPr>
            <w:r>
              <w:rPr/>
              <w:t>9.02%</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52,047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1122" w:type="dxa"/>
            <w:tcBorders/>
            <w:shd w:fill="auto" w:val="clear"/>
            <w:vAlign w:val="bottom"/>
          </w:tcPr>
          <w:p>
            <w:pPr>
              <w:pStyle w:val="TableContents"/>
              <w:spacing w:before="0" w:after="283"/>
              <w:jc w:val="right"/>
              <w:rPr/>
            </w:pPr>
            <w:r>
              <w:rPr/>
              <w:t>51,595</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166" w:type="dxa"/>
            <w:tcBorders/>
            <w:shd w:fill="auto" w:val="clear"/>
            <w:vAlign w:val="bottom"/>
          </w:tcPr>
          <w:p>
            <w:pPr>
              <w:pStyle w:val="TableContents"/>
              <w:spacing w:before="0" w:after="283"/>
              <w:jc w:val="right"/>
              <w:rPr/>
            </w:pPr>
            <w:r>
              <w:rPr/>
              <w:t>3.9</w:t>
            </w:r>
          </w:p>
        </w:tc>
        <w:tc>
          <w:tcPr>
            <w:tcW w:w="275" w:type="dxa"/>
            <w:tcBorders/>
            <w:shd w:fill="auto" w:val="clear"/>
            <w:vAlign w:val="bottom"/>
          </w:tcPr>
          <w:p>
            <w:pPr>
              <w:pStyle w:val="TableContents"/>
              <w:spacing w:before="0" w:after="283"/>
              <w:rPr/>
            </w:pPr>
            <w:r>
              <w:rPr/>
              <w:t>% </w:t>
            </w:r>
          </w:p>
        </w:tc>
      </w:tr>
      <w:tr>
        <w:trPr/>
        <w:tc>
          <w:tcPr>
            <w:tcW w:w="2270" w:type="dxa"/>
            <w:tcBorders/>
            <w:shd w:fill="CCEEFF" w:val="clear"/>
          </w:tcPr>
          <w:p>
            <w:pPr>
              <w:pStyle w:val="TableContents"/>
              <w:spacing w:before="0" w:after="0"/>
              <w:rPr>
                <w:rFonts w:ascii="Times New Roman" w:hAnsi="Times New Roman"/>
                <w:sz w:val="16"/>
              </w:rPr>
            </w:pPr>
            <w:r>
              <w:rPr>
                <w:rFonts w:ascii="Times New Roman" w:hAnsi="Times New Roman"/>
                <w:sz w:val="16"/>
              </w:rPr>
              <w:t>EDB Parent, LLC(3)(5)</w:t>
            </w:r>
          </w:p>
        </w:tc>
        <w:tc>
          <w:tcPr>
            <w:tcW w:w="60" w:type="dxa"/>
            <w:tcBorders/>
            <w:shd w:fill="CCEEFF" w:val="clear"/>
            <w:vAlign w:val="bottom"/>
          </w:tcPr>
          <w:p>
            <w:pPr>
              <w:pStyle w:val="TableContents"/>
              <w:spacing w:before="0" w:after="283"/>
              <w:rPr/>
            </w:pPr>
            <w:r>
              <w:rPr/>
              <w:t> </w:t>
            </w:r>
          </w:p>
        </w:tc>
        <w:tc>
          <w:tcPr>
            <w:tcW w:w="4820" w:type="dxa"/>
            <w:tcBorders/>
            <w:shd w:fill="CCEEFF" w:val="clear"/>
          </w:tcPr>
          <w:p>
            <w:pPr>
              <w:pStyle w:val="TableContents"/>
              <w:spacing w:before="0" w:after="283"/>
              <w:rPr/>
            </w:pPr>
            <w:r>
              <w:rPr/>
              <w:t>First-lien loan ($53,988 par, due 7/2028)</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115" w:type="dxa"/>
            <w:tcBorders/>
            <w:shd w:fill="CCEEFF" w:val="clear"/>
          </w:tcPr>
          <w:p>
            <w:pPr>
              <w:pStyle w:val="TableContents"/>
              <w:spacing w:before="0" w:after="283"/>
              <w:jc w:val="right"/>
              <w:rPr/>
            </w:pPr>
            <w:r>
              <w:rPr/>
              <w:t>7/7/2022</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310" w:type="dxa"/>
            <w:tcBorders/>
            <w:shd w:fill="CCEEFF" w:val="clear"/>
          </w:tcPr>
          <w:p>
            <w:pPr>
              <w:pStyle w:val="TableContents"/>
              <w:spacing w:before="0" w:after="283"/>
              <w:jc w:val="right"/>
              <w:rPr/>
            </w:pPr>
            <w:r>
              <w:rPr/>
              <w:t>SOFR + 6.00</w:t>
            </w:r>
          </w:p>
        </w:tc>
        <w:tc>
          <w:tcPr>
            <w:tcW w:w="27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95" w:type="dxa"/>
            <w:tcBorders/>
            <w:shd w:fill="CCEEFF" w:val="clear"/>
          </w:tcPr>
          <w:p>
            <w:pPr>
              <w:pStyle w:val="TableContents"/>
              <w:spacing w:before="0" w:after="283"/>
              <w:jc w:val="right"/>
              <w:rPr/>
            </w:pPr>
            <w:r>
              <w:rPr/>
              <w:t>9.11%</w:t>
            </w:r>
          </w:p>
        </w:tc>
        <w:tc>
          <w:tcPr>
            <w:tcW w:w="60" w:type="dxa"/>
            <w:tcBorders/>
            <w:shd w:fill="CCEEFF" w:val="clear"/>
            <w:vAlign w:val="bottom"/>
          </w:tcPr>
          <w:p>
            <w:pPr>
              <w:pStyle w:val="TableContents"/>
              <w:spacing w:before="0" w:after="283"/>
              <w:rPr/>
            </w:pPr>
            <w:r>
              <w:rPr/>
              <w:t> </w:t>
            </w:r>
          </w:p>
        </w:tc>
        <w:tc>
          <w:tcPr>
            <w:tcW w:w="76" w:type="dxa"/>
            <w:tcBorders/>
            <w:shd w:fill="CCEEFF" w:val="clear"/>
          </w:tcPr>
          <w:p>
            <w:pPr>
              <w:pStyle w:val="TableContents"/>
              <w:spacing w:before="0" w:after="283"/>
              <w:rPr/>
            </w:pPr>
            <w:r>
              <w:rPr/>
              <w:t> </w:t>
            </w:r>
          </w:p>
        </w:tc>
        <w:tc>
          <w:tcPr>
            <w:tcW w:w="1024" w:type="dxa"/>
            <w:tcBorders/>
            <w:shd w:fill="CCEEFF" w:val="clear"/>
          </w:tcPr>
          <w:p>
            <w:pPr>
              <w:pStyle w:val="TableContents"/>
              <w:spacing w:before="0" w:after="283"/>
              <w:jc w:val="right"/>
              <w:rPr/>
            </w:pPr>
            <w:r>
              <w:rPr/>
              <w:t>52,597</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 w:type="dxa"/>
            <w:tcBorders/>
            <w:shd w:fill="CCEEFF" w:val="clear"/>
          </w:tcPr>
          <w:p>
            <w:pPr>
              <w:pStyle w:val="TableContents"/>
              <w:spacing w:before="0" w:after="283"/>
              <w:rPr/>
            </w:pPr>
            <w:r>
              <w:rPr/>
              <w:t> </w:t>
            </w:r>
          </w:p>
        </w:tc>
        <w:tc>
          <w:tcPr>
            <w:tcW w:w="1122" w:type="dxa"/>
            <w:tcBorders/>
            <w:shd w:fill="CCEEFF" w:val="clear"/>
          </w:tcPr>
          <w:p>
            <w:pPr>
              <w:pStyle w:val="TableContents"/>
              <w:spacing w:before="0" w:after="283"/>
              <w:jc w:val="right"/>
              <w:rPr/>
            </w:pPr>
            <w:r>
              <w:rPr/>
              <w:t>52,504</w:t>
            </w:r>
          </w:p>
        </w:tc>
        <w:tc>
          <w:tcPr>
            <w:tcW w:w="12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tcPr>
          <w:p>
            <w:pPr>
              <w:pStyle w:val="TableContents"/>
              <w:spacing w:before="0" w:after="283"/>
              <w:rPr/>
            </w:pPr>
            <w:r>
              <w:rPr/>
              <w:t> </w:t>
            </w:r>
          </w:p>
        </w:tc>
        <w:tc>
          <w:tcPr>
            <w:tcW w:w="1166" w:type="dxa"/>
            <w:tcBorders/>
            <w:shd w:fill="CCEEFF" w:val="clear"/>
          </w:tcPr>
          <w:p>
            <w:pPr>
              <w:pStyle w:val="TableContents"/>
              <w:spacing w:before="0" w:after="283"/>
              <w:jc w:val="right"/>
              <w:rPr/>
            </w:pPr>
            <w:r>
              <w:rPr/>
              <w:t>4.0</w:t>
            </w:r>
          </w:p>
        </w:tc>
        <w:tc>
          <w:tcPr>
            <w:tcW w:w="275" w:type="dxa"/>
            <w:tcBorders/>
            <w:shd w:fill="CCEEFF" w:val="clear"/>
          </w:tcPr>
          <w:p>
            <w:pPr>
              <w:pStyle w:val="TableContents"/>
              <w:spacing w:before="0" w:after="283"/>
              <w:rPr/>
            </w:pPr>
            <w:r>
              <w:rPr/>
              <w:t>% </w:t>
            </w:r>
          </w:p>
        </w:tc>
      </w:tr>
      <w:tr>
        <w:trPr/>
        <w:tc>
          <w:tcPr>
            <w:tcW w:w="2270" w:type="dxa"/>
            <w:tcBorders/>
            <w:shd w:fill="auto" w:val="clear"/>
          </w:tcPr>
          <w:p>
            <w:pPr>
              <w:pStyle w:val="TableContents"/>
              <w:spacing w:before="0" w:after="0"/>
              <w:rPr>
                <w:rFonts w:ascii="Times New Roman" w:hAnsi="Times New Roman"/>
                <w:sz w:val="16"/>
              </w:rPr>
            </w:pPr>
            <w:r>
              <w:rPr>
                <w:rFonts w:ascii="Times New Roman" w:hAnsi="Times New Roman"/>
                <w:sz w:val="16"/>
              </w:rPr>
              <w:t>Higher Logic, LLC(3)(5)</w:t>
            </w:r>
          </w:p>
        </w:tc>
        <w:tc>
          <w:tcPr>
            <w:tcW w:w="60" w:type="dxa"/>
            <w:tcBorders/>
            <w:shd w:fill="auto" w:val="clear"/>
            <w:vAlign w:val="bottom"/>
          </w:tcPr>
          <w:p>
            <w:pPr>
              <w:pStyle w:val="TableContents"/>
              <w:spacing w:before="0" w:after="283"/>
              <w:rPr/>
            </w:pPr>
            <w:r>
              <w:rPr/>
              <w:t> </w:t>
            </w:r>
          </w:p>
        </w:tc>
        <w:tc>
          <w:tcPr>
            <w:tcW w:w="4820" w:type="dxa"/>
            <w:tcBorders/>
            <w:shd w:fill="auto" w:val="clear"/>
          </w:tcPr>
          <w:p>
            <w:pPr>
              <w:pStyle w:val="TableContents"/>
              <w:spacing w:before="0" w:after="283"/>
              <w:rPr/>
            </w:pPr>
            <w:r>
              <w:rPr/>
              <w:t>First-lien loan ($56,181 par, due 1/2024)</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115" w:type="dxa"/>
            <w:tcBorders/>
            <w:shd w:fill="auto" w:val="clear"/>
          </w:tcPr>
          <w:p>
            <w:pPr>
              <w:pStyle w:val="TableContents"/>
              <w:spacing w:before="0" w:after="283"/>
              <w:jc w:val="right"/>
              <w:rPr/>
            </w:pPr>
            <w:r>
              <w:rPr/>
              <w:t>6/18/2018</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310" w:type="dxa"/>
            <w:tcBorders/>
            <w:shd w:fill="auto" w:val="clear"/>
          </w:tcPr>
          <w:p>
            <w:pPr>
              <w:pStyle w:val="TableContents"/>
              <w:spacing w:before="0" w:after="283"/>
              <w:jc w:val="right"/>
              <w:rPr/>
            </w:pPr>
            <w:r>
              <w:rPr/>
              <w:t>L + 7.25</w:t>
            </w:r>
          </w:p>
        </w:tc>
        <w:tc>
          <w:tcPr>
            <w:tcW w:w="27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95" w:type="dxa"/>
            <w:tcBorders/>
            <w:shd w:fill="auto" w:val="clear"/>
          </w:tcPr>
          <w:p>
            <w:pPr>
              <w:pStyle w:val="TableContents"/>
              <w:spacing w:before="0" w:after="283"/>
              <w:jc w:val="right"/>
              <w:rPr/>
            </w:pPr>
            <w:r>
              <w:rPr/>
              <w:t>10.93%</w:t>
            </w:r>
          </w:p>
        </w:tc>
        <w:tc>
          <w:tcPr>
            <w:tcW w:w="60" w:type="dxa"/>
            <w:tcBorders/>
            <w:shd w:fill="auto" w:val="clear"/>
            <w:vAlign w:val="bottom"/>
          </w:tcPr>
          <w:p>
            <w:pPr>
              <w:pStyle w:val="TableContents"/>
              <w:spacing w:before="0" w:after="283"/>
              <w:rPr/>
            </w:pPr>
            <w:r>
              <w:rPr/>
              <w:t> </w:t>
            </w:r>
          </w:p>
        </w:tc>
        <w:tc>
          <w:tcPr>
            <w:tcW w:w="76" w:type="dxa"/>
            <w:tcBorders/>
            <w:shd w:fill="auto" w:val="clear"/>
          </w:tcPr>
          <w:p>
            <w:pPr>
              <w:pStyle w:val="TableContents"/>
              <w:spacing w:before="0" w:after="283"/>
              <w:rPr/>
            </w:pPr>
            <w:r>
              <w:rPr/>
              <w:t> </w:t>
            </w:r>
          </w:p>
        </w:tc>
        <w:tc>
          <w:tcPr>
            <w:tcW w:w="1024" w:type="dxa"/>
            <w:tcBorders/>
            <w:shd w:fill="auto" w:val="clear"/>
          </w:tcPr>
          <w:p>
            <w:pPr>
              <w:pStyle w:val="TableContents"/>
              <w:spacing w:before="0" w:after="283"/>
              <w:jc w:val="right"/>
              <w:rPr/>
            </w:pPr>
            <w:r>
              <w:rPr/>
              <w:t>55,852</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122" w:type="dxa"/>
            <w:tcBorders/>
            <w:shd w:fill="auto" w:val="clear"/>
          </w:tcPr>
          <w:p>
            <w:pPr>
              <w:pStyle w:val="TableContents"/>
              <w:spacing w:before="0" w:after="283"/>
              <w:jc w:val="right"/>
              <w:rPr/>
            </w:pPr>
            <w:r>
              <w:rPr/>
              <w:t>56,040</w:t>
            </w:r>
          </w:p>
        </w:tc>
        <w:tc>
          <w:tcPr>
            <w:tcW w:w="12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tcPr>
          <w:p>
            <w:pPr>
              <w:pStyle w:val="TableContents"/>
              <w:spacing w:before="0" w:after="283"/>
              <w:rPr/>
            </w:pPr>
            <w:r>
              <w:rPr/>
              <w:t> </w:t>
            </w:r>
          </w:p>
        </w:tc>
        <w:tc>
          <w:tcPr>
            <w:tcW w:w="1166" w:type="dxa"/>
            <w:tcBorders/>
            <w:shd w:fill="auto" w:val="clear"/>
          </w:tcPr>
          <w:p>
            <w:pPr>
              <w:pStyle w:val="TableContents"/>
              <w:spacing w:before="0" w:after="283"/>
              <w:jc w:val="right"/>
              <w:rPr/>
            </w:pPr>
            <w:r>
              <w:rPr/>
              <w:t>4.2</w:t>
            </w:r>
          </w:p>
        </w:tc>
        <w:tc>
          <w:tcPr>
            <w:tcW w:w="275" w:type="dxa"/>
            <w:tcBorders/>
            <w:shd w:fill="auto" w:val="clear"/>
          </w:tcPr>
          <w:p>
            <w:pPr>
              <w:pStyle w:val="TableContents"/>
              <w:spacing w:before="0" w:after="283"/>
              <w:rPr/>
            </w:pPr>
            <w:r>
              <w:rPr/>
              <w:t>% </w:t>
            </w:r>
          </w:p>
        </w:tc>
      </w:tr>
      <w:tr>
        <w:trPr/>
        <w:tc>
          <w:tcPr>
            <w:tcW w:w="2270" w:type="dxa"/>
            <w:tcBorders/>
            <w:shd w:fill="CCEEFF" w:val="clear"/>
          </w:tcPr>
          <w:p>
            <w:pPr>
              <w:pStyle w:val="TableContents"/>
              <w:spacing w:before="0" w:after="0"/>
              <w:rPr>
                <w:rFonts w:ascii="Times New Roman" w:hAnsi="Times New Roman"/>
                <w:sz w:val="16"/>
              </w:rPr>
            </w:pPr>
            <w:r>
              <w:rPr>
                <w:rFonts w:ascii="Times New Roman" w:hAnsi="Times New Roman"/>
                <w:sz w:val="16"/>
              </w:rPr>
              <w:t>LeanTaaS Holdings, Inc.(3)(5)</w:t>
            </w:r>
          </w:p>
        </w:tc>
        <w:tc>
          <w:tcPr>
            <w:tcW w:w="60" w:type="dxa"/>
            <w:tcBorders/>
            <w:shd w:fill="CCEEFF" w:val="clear"/>
            <w:vAlign w:val="bottom"/>
          </w:tcPr>
          <w:p>
            <w:pPr>
              <w:pStyle w:val="TableContents"/>
              <w:spacing w:before="0" w:after="283"/>
              <w:rPr/>
            </w:pPr>
            <w:r>
              <w:rPr/>
              <w:t> </w:t>
            </w:r>
          </w:p>
        </w:tc>
        <w:tc>
          <w:tcPr>
            <w:tcW w:w="4820" w:type="dxa"/>
            <w:tcBorders/>
            <w:shd w:fill="CCEEFF" w:val="clear"/>
          </w:tcPr>
          <w:p>
            <w:pPr>
              <w:pStyle w:val="TableContents"/>
              <w:spacing w:before="0" w:after="283"/>
              <w:rPr/>
            </w:pPr>
            <w:r>
              <w:rPr/>
              <w:t>First-lien loan ($26,690 par, due 7/2028)</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115" w:type="dxa"/>
            <w:tcBorders/>
            <w:shd w:fill="CCEEFF" w:val="clear"/>
          </w:tcPr>
          <w:p>
            <w:pPr>
              <w:pStyle w:val="TableContents"/>
              <w:spacing w:before="0" w:after="283"/>
              <w:jc w:val="right"/>
              <w:rPr/>
            </w:pPr>
            <w:r>
              <w:rPr/>
              <w:t>7/12/2022</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310" w:type="dxa"/>
            <w:tcBorders/>
            <w:shd w:fill="CCEEFF" w:val="clear"/>
          </w:tcPr>
          <w:p>
            <w:pPr>
              <w:pStyle w:val="TableContents"/>
              <w:spacing w:before="0" w:after="283"/>
              <w:jc w:val="right"/>
              <w:rPr/>
            </w:pPr>
            <w:r>
              <w:rPr/>
              <w:t>SOFR + 6.50</w:t>
            </w:r>
          </w:p>
        </w:tc>
        <w:tc>
          <w:tcPr>
            <w:tcW w:w="27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95" w:type="dxa"/>
            <w:tcBorders/>
            <w:shd w:fill="CCEEFF" w:val="clear"/>
          </w:tcPr>
          <w:p>
            <w:pPr>
              <w:pStyle w:val="TableContents"/>
              <w:spacing w:before="0" w:after="283"/>
              <w:jc w:val="right"/>
              <w:rPr/>
            </w:pPr>
            <w:r>
              <w:rPr/>
              <w:t>11.05%</w:t>
            </w:r>
          </w:p>
        </w:tc>
        <w:tc>
          <w:tcPr>
            <w:tcW w:w="60" w:type="dxa"/>
            <w:tcBorders/>
            <w:shd w:fill="CCEEFF" w:val="clear"/>
            <w:vAlign w:val="bottom"/>
          </w:tcPr>
          <w:p>
            <w:pPr>
              <w:pStyle w:val="TableContents"/>
              <w:spacing w:before="0" w:after="283"/>
              <w:rPr/>
            </w:pPr>
            <w:r>
              <w:rPr/>
              <w:t> </w:t>
            </w:r>
          </w:p>
        </w:tc>
        <w:tc>
          <w:tcPr>
            <w:tcW w:w="76" w:type="dxa"/>
            <w:tcBorders/>
            <w:shd w:fill="CCEEFF" w:val="clear"/>
          </w:tcPr>
          <w:p>
            <w:pPr>
              <w:pStyle w:val="TableContents"/>
              <w:spacing w:before="0" w:after="283"/>
              <w:rPr/>
            </w:pPr>
            <w:r>
              <w:rPr/>
              <w:t> </w:t>
            </w:r>
          </w:p>
        </w:tc>
        <w:tc>
          <w:tcPr>
            <w:tcW w:w="1024" w:type="dxa"/>
            <w:tcBorders/>
            <w:shd w:fill="CCEEFF" w:val="clear"/>
          </w:tcPr>
          <w:p>
            <w:pPr>
              <w:pStyle w:val="TableContents"/>
              <w:spacing w:before="0" w:after="283"/>
              <w:jc w:val="right"/>
              <w:rPr/>
            </w:pPr>
            <w:r>
              <w:rPr/>
              <w:t>25,783</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 w:type="dxa"/>
            <w:tcBorders/>
            <w:shd w:fill="CCEEFF" w:val="clear"/>
          </w:tcPr>
          <w:p>
            <w:pPr>
              <w:pStyle w:val="TableContents"/>
              <w:spacing w:before="0" w:after="283"/>
              <w:rPr/>
            </w:pPr>
            <w:r>
              <w:rPr/>
              <w:t> </w:t>
            </w:r>
          </w:p>
        </w:tc>
        <w:tc>
          <w:tcPr>
            <w:tcW w:w="1122" w:type="dxa"/>
            <w:tcBorders/>
            <w:shd w:fill="CCEEFF" w:val="clear"/>
          </w:tcPr>
          <w:p>
            <w:pPr>
              <w:pStyle w:val="TableContents"/>
              <w:spacing w:before="0" w:after="283"/>
              <w:jc w:val="right"/>
              <w:rPr/>
            </w:pPr>
            <w:r>
              <w:rPr/>
              <w:t>25,639</w:t>
            </w:r>
          </w:p>
        </w:tc>
        <w:tc>
          <w:tcPr>
            <w:tcW w:w="12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tcPr>
          <w:p>
            <w:pPr>
              <w:pStyle w:val="TableContents"/>
              <w:spacing w:before="0" w:after="283"/>
              <w:rPr/>
            </w:pPr>
            <w:r>
              <w:rPr/>
              <w:t> </w:t>
            </w:r>
          </w:p>
        </w:tc>
        <w:tc>
          <w:tcPr>
            <w:tcW w:w="1166" w:type="dxa"/>
            <w:tcBorders/>
            <w:shd w:fill="CCEEFF" w:val="clear"/>
          </w:tcPr>
          <w:p>
            <w:pPr>
              <w:pStyle w:val="TableContents"/>
              <w:spacing w:before="0" w:after="283"/>
              <w:jc w:val="right"/>
              <w:rPr/>
            </w:pPr>
            <w:r>
              <w:rPr/>
              <w:t>1.9</w:t>
            </w:r>
          </w:p>
        </w:tc>
        <w:tc>
          <w:tcPr>
            <w:tcW w:w="275" w:type="dxa"/>
            <w:tcBorders/>
            <w:shd w:fill="CCEEFF" w:val="clear"/>
          </w:tcPr>
          <w:p>
            <w:pPr>
              <w:pStyle w:val="TableContents"/>
              <w:spacing w:before="0" w:after="283"/>
              <w:rPr/>
            </w:pPr>
            <w:r>
              <w:rPr/>
              <w:t>% </w:t>
            </w:r>
          </w:p>
        </w:tc>
      </w:tr>
      <w:tr>
        <w:trPr/>
        <w:tc>
          <w:tcPr>
            <w:tcW w:w="2270" w:type="dxa"/>
            <w:tcBorders/>
            <w:shd w:fill="auto" w:val="clear"/>
          </w:tcPr>
          <w:p>
            <w:pPr>
              <w:pStyle w:val="TableContents"/>
              <w:spacing w:before="0" w:after="0"/>
              <w:rPr>
                <w:rFonts w:ascii="Times New Roman" w:hAnsi="Times New Roman"/>
                <w:sz w:val="16"/>
              </w:rPr>
            </w:pPr>
            <w:r>
              <w:rPr>
                <w:rFonts w:ascii="Times New Roman" w:hAnsi="Times New Roman"/>
                <w:sz w:val="16"/>
              </w:rPr>
              <w:t xml:space="preserve">Lithium Technologies, </w:t>
              <w:br/>
              <w:t>LLC(3)</w:t>
            </w:r>
          </w:p>
        </w:tc>
        <w:tc>
          <w:tcPr>
            <w:tcW w:w="60" w:type="dxa"/>
            <w:tcBorders/>
            <w:shd w:fill="auto" w:val="clear"/>
            <w:vAlign w:val="bottom"/>
          </w:tcPr>
          <w:p>
            <w:pPr>
              <w:pStyle w:val="TableContents"/>
              <w:spacing w:before="0" w:after="283"/>
              <w:rPr/>
            </w:pPr>
            <w:r>
              <w:rPr/>
              <w:t> </w:t>
            </w:r>
          </w:p>
        </w:tc>
        <w:tc>
          <w:tcPr>
            <w:tcW w:w="4820" w:type="dxa"/>
            <w:tcBorders/>
            <w:shd w:fill="auto" w:val="clear"/>
            <w:vAlign w:val="bottom"/>
          </w:tcPr>
          <w:p>
            <w:pPr>
              <w:pStyle w:val="TableContents"/>
              <w:spacing w:before="0" w:after="283"/>
              <w:rPr/>
            </w:pPr>
            <w:r>
              <w:rPr/>
              <w:t>First-lien loan ($54,700 par, due 1/2024)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right"/>
              <w:rPr/>
            </w:pPr>
            <w:r>
              <w:rPr/>
              <w:t>10/3/2017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0" w:type="dxa"/>
            <w:tcBorders/>
            <w:shd w:fill="auto" w:val="clear"/>
            <w:vAlign w:val="bottom"/>
          </w:tcPr>
          <w:p>
            <w:pPr>
              <w:pStyle w:val="TableContents"/>
              <w:spacing w:before="0" w:after="283"/>
              <w:jc w:val="right"/>
              <w:rPr/>
            </w:pPr>
            <w:r>
              <w:rPr/>
              <w:t>SOFR + 8.00</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95" w:type="dxa"/>
            <w:tcBorders/>
            <w:shd w:fill="auto" w:val="clear"/>
            <w:vAlign w:val="bottom"/>
          </w:tcPr>
          <w:p>
            <w:pPr>
              <w:pStyle w:val="TableContents"/>
              <w:spacing w:before="0" w:after="283"/>
              <w:jc w:val="right"/>
              <w:rPr/>
            </w:pPr>
            <w:r>
              <w:rPr/>
              <w:t>10.53%</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54,636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1122" w:type="dxa"/>
            <w:tcBorders/>
            <w:shd w:fill="auto" w:val="clear"/>
            <w:vAlign w:val="bottom"/>
          </w:tcPr>
          <w:p>
            <w:pPr>
              <w:pStyle w:val="TableContents"/>
              <w:spacing w:before="0" w:after="283"/>
              <w:jc w:val="right"/>
              <w:rPr/>
            </w:pPr>
            <w:r>
              <w:rPr/>
              <w:t>53,606</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166" w:type="dxa"/>
            <w:tcBorders/>
            <w:shd w:fill="auto" w:val="clear"/>
            <w:vAlign w:val="bottom"/>
          </w:tcPr>
          <w:p>
            <w:pPr>
              <w:pStyle w:val="TableContents"/>
              <w:spacing w:before="0" w:after="283"/>
              <w:jc w:val="right"/>
              <w:rPr/>
            </w:pPr>
            <w:r>
              <w:rPr/>
              <w:t>4.0</w:t>
            </w:r>
          </w:p>
        </w:tc>
        <w:tc>
          <w:tcPr>
            <w:tcW w:w="275" w:type="dxa"/>
            <w:tcBorders/>
            <w:shd w:fill="auto" w:val="clear"/>
            <w:vAlign w:val="bottom"/>
          </w:tcPr>
          <w:p>
            <w:pPr>
              <w:pStyle w:val="TableContents"/>
              <w:spacing w:before="0" w:after="283"/>
              <w:rPr/>
            </w:pPr>
            <w:r>
              <w:rPr/>
              <w:t>% </w:t>
            </w:r>
          </w:p>
        </w:tc>
      </w:tr>
      <w:tr>
        <w:trPr/>
        <w:tc>
          <w:tcPr>
            <w:tcW w:w="227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4820" w:type="dxa"/>
            <w:tcBorders/>
            <w:shd w:fill="CCEEFF" w:val="clear"/>
          </w:tcPr>
          <w:p>
            <w:pPr>
              <w:pStyle w:val="TableContents"/>
              <w:spacing w:before="0" w:after="283"/>
              <w:rPr/>
            </w:pPr>
            <w:r>
              <w:rPr/>
              <w:t>First-lien revolving loan ($1,320 par, due 10/2022)</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115" w:type="dxa"/>
            <w:tcBorders/>
            <w:shd w:fill="CCEEFF" w:val="clear"/>
          </w:tcPr>
          <w:p>
            <w:pPr>
              <w:pStyle w:val="TableContents"/>
              <w:spacing w:before="0" w:after="283"/>
              <w:jc w:val="right"/>
              <w:rPr/>
            </w:pPr>
            <w:r>
              <w:rPr/>
              <w:t>10/3/2017</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310" w:type="dxa"/>
            <w:tcBorders/>
            <w:shd w:fill="CCEEFF" w:val="clear"/>
          </w:tcPr>
          <w:p>
            <w:pPr>
              <w:pStyle w:val="TableContents"/>
              <w:spacing w:before="0" w:after="283"/>
              <w:jc w:val="right"/>
              <w:rPr/>
            </w:pPr>
            <w:r>
              <w:rPr/>
              <w:t>SOFR + 8.00</w:t>
            </w:r>
          </w:p>
        </w:tc>
        <w:tc>
          <w:tcPr>
            <w:tcW w:w="27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95" w:type="dxa"/>
            <w:tcBorders/>
            <w:shd w:fill="CCEEFF" w:val="clear"/>
          </w:tcPr>
          <w:p>
            <w:pPr>
              <w:pStyle w:val="TableContents"/>
              <w:spacing w:before="0" w:after="283"/>
              <w:jc w:val="right"/>
              <w:rPr/>
            </w:pPr>
            <w:r>
              <w:rPr/>
              <w:t>10.53%</w:t>
            </w:r>
          </w:p>
        </w:tc>
        <w:tc>
          <w:tcPr>
            <w:tcW w:w="60" w:type="dxa"/>
            <w:tcBorders/>
            <w:shd w:fill="CCEEFF" w:val="clear"/>
            <w:vAlign w:val="bottom"/>
          </w:tcPr>
          <w:p>
            <w:pPr>
              <w:pStyle w:val="TableContents"/>
              <w:spacing w:before="0" w:after="283"/>
              <w:rPr/>
            </w:pPr>
            <w:r>
              <w:rPr/>
              <w:t> </w:t>
            </w:r>
          </w:p>
        </w:tc>
        <w:tc>
          <w:tcPr>
            <w:tcW w:w="76" w:type="dxa"/>
            <w:tcBorders/>
            <w:shd w:fill="CCEEFF" w:val="clear"/>
          </w:tcPr>
          <w:p>
            <w:pPr>
              <w:pStyle w:val="TableContents"/>
              <w:spacing w:before="0" w:after="283"/>
              <w:rPr/>
            </w:pPr>
            <w:r>
              <w:rPr/>
              <w:t> </w:t>
            </w:r>
          </w:p>
        </w:tc>
        <w:tc>
          <w:tcPr>
            <w:tcW w:w="1024" w:type="dxa"/>
            <w:tcBorders/>
            <w:shd w:fill="CCEEFF" w:val="clear"/>
          </w:tcPr>
          <w:p>
            <w:pPr>
              <w:pStyle w:val="TableContents"/>
              <w:spacing w:before="0" w:after="283"/>
              <w:jc w:val="right"/>
              <w:rPr/>
            </w:pPr>
            <w:r>
              <w:rPr/>
              <w:t>1,319</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 w:type="dxa"/>
            <w:tcBorders/>
            <w:shd w:fill="CCEEFF" w:val="clear"/>
          </w:tcPr>
          <w:p>
            <w:pPr>
              <w:pStyle w:val="TableContents"/>
              <w:spacing w:before="0" w:after="283"/>
              <w:rPr/>
            </w:pPr>
            <w:r>
              <w:rPr/>
              <w:t> </w:t>
            </w:r>
          </w:p>
        </w:tc>
        <w:tc>
          <w:tcPr>
            <w:tcW w:w="1122" w:type="dxa"/>
            <w:tcBorders/>
            <w:shd w:fill="CCEEFF" w:val="clear"/>
          </w:tcPr>
          <w:p>
            <w:pPr>
              <w:pStyle w:val="TableContents"/>
              <w:spacing w:before="0" w:after="283"/>
              <w:jc w:val="right"/>
              <w:rPr/>
            </w:pPr>
            <w:r>
              <w:rPr/>
              <w:t>1,254</w:t>
            </w:r>
          </w:p>
        </w:tc>
        <w:tc>
          <w:tcPr>
            <w:tcW w:w="12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tcPr>
          <w:p>
            <w:pPr>
              <w:pStyle w:val="TableContents"/>
              <w:spacing w:before="0" w:after="283"/>
              <w:rPr/>
            </w:pPr>
            <w:r>
              <w:rPr/>
              <w:t> </w:t>
            </w:r>
          </w:p>
        </w:tc>
        <w:tc>
          <w:tcPr>
            <w:tcW w:w="1166" w:type="dxa"/>
            <w:tcBorders/>
            <w:shd w:fill="CCEEFF" w:val="clear"/>
          </w:tcPr>
          <w:p>
            <w:pPr>
              <w:pStyle w:val="TableContents"/>
              <w:spacing w:before="0" w:after="283"/>
              <w:jc w:val="right"/>
              <w:rPr/>
            </w:pPr>
            <w:r>
              <w:rPr/>
              <w:t>0.1</w:t>
            </w:r>
          </w:p>
        </w:tc>
        <w:tc>
          <w:tcPr>
            <w:tcW w:w="275" w:type="dxa"/>
            <w:tcBorders/>
            <w:shd w:fill="CCEEFF" w:val="clear"/>
          </w:tcPr>
          <w:p>
            <w:pPr>
              <w:pStyle w:val="TableContents"/>
              <w:spacing w:before="0" w:after="283"/>
              <w:rPr/>
            </w:pPr>
            <w:r>
              <w:rPr/>
              <w:t>% </w:t>
            </w:r>
          </w:p>
        </w:tc>
      </w:tr>
      <w:tr>
        <w:trPr/>
        <w:tc>
          <w:tcPr>
            <w:tcW w:w="2270" w:type="dxa"/>
            <w:tcBorders/>
            <w:shd w:fill="auto" w:val="clear"/>
          </w:tcPr>
          <w:p>
            <w:pPr>
              <w:pStyle w:val="TableContents"/>
              <w:spacing w:before="0" w:after="0"/>
              <w:rPr>
                <w:rFonts w:ascii="Times New Roman" w:hAnsi="Times New Roman"/>
                <w:sz w:val="16"/>
              </w:rPr>
            </w:pPr>
            <w:r>
              <w:rPr>
                <w:rFonts w:ascii="Times New Roman" w:hAnsi="Times New Roman"/>
                <w:sz w:val="16"/>
              </w:rPr>
              <w:t>Lucidworks, Inc.(3)(5)</w:t>
            </w:r>
          </w:p>
        </w:tc>
        <w:tc>
          <w:tcPr>
            <w:tcW w:w="60" w:type="dxa"/>
            <w:tcBorders/>
            <w:shd w:fill="auto" w:val="clear"/>
            <w:vAlign w:val="bottom"/>
          </w:tcPr>
          <w:p>
            <w:pPr>
              <w:pStyle w:val="TableContents"/>
              <w:spacing w:before="0" w:after="283"/>
              <w:rPr/>
            </w:pPr>
            <w:r>
              <w:rPr/>
              <w:t> </w:t>
            </w:r>
          </w:p>
        </w:tc>
        <w:tc>
          <w:tcPr>
            <w:tcW w:w="4820" w:type="dxa"/>
            <w:tcBorders/>
            <w:shd w:fill="auto" w:val="clear"/>
          </w:tcPr>
          <w:p>
            <w:pPr>
              <w:pStyle w:val="TableContents"/>
              <w:spacing w:before="0" w:after="283"/>
              <w:rPr/>
            </w:pPr>
            <w:r>
              <w:rPr/>
              <w:t>First-lien loan ($8,188 par, due 2/2027)</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115" w:type="dxa"/>
            <w:tcBorders/>
            <w:shd w:fill="auto" w:val="clear"/>
          </w:tcPr>
          <w:p>
            <w:pPr>
              <w:pStyle w:val="TableContents"/>
              <w:spacing w:before="0" w:after="283"/>
              <w:jc w:val="right"/>
              <w:rPr/>
            </w:pPr>
            <w:r>
              <w:rPr/>
              <w:t>2/11/2022</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310" w:type="dxa"/>
            <w:tcBorders/>
            <w:shd w:fill="auto" w:val="clear"/>
          </w:tcPr>
          <w:p>
            <w:pPr>
              <w:pStyle w:val="TableContents"/>
              <w:spacing w:before="0" w:after="283"/>
              <w:jc w:val="right"/>
              <w:rPr/>
            </w:pPr>
            <w:r>
              <w:rPr/>
              <w:t>SOFR + 7.50</w:t>
            </w:r>
          </w:p>
        </w:tc>
        <w:tc>
          <w:tcPr>
            <w:tcW w:w="27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95" w:type="dxa"/>
            <w:tcBorders/>
            <w:shd w:fill="auto" w:val="clear"/>
          </w:tcPr>
          <w:p>
            <w:pPr>
              <w:pStyle w:val="TableContents"/>
              <w:spacing w:before="0" w:after="283"/>
              <w:jc w:val="right"/>
              <w:rPr/>
            </w:pPr>
            <w:r>
              <w:rPr/>
              <w:t>10.53% (incl. 3.50% PIK)</w:t>
            </w:r>
          </w:p>
        </w:tc>
        <w:tc>
          <w:tcPr>
            <w:tcW w:w="60" w:type="dxa"/>
            <w:tcBorders/>
            <w:shd w:fill="auto" w:val="clear"/>
            <w:vAlign w:val="bottom"/>
          </w:tcPr>
          <w:p>
            <w:pPr>
              <w:pStyle w:val="TableContents"/>
              <w:spacing w:before="0" w:after="283"/>
              <w:rPr/>
            </w:pPr>
            <w:r>
              <w:rPr/>
              <w:t> </w:t>
            </w:r>
          </w:p>
        </w:tc>
        <w:tc>
          <w:tcPr>
            <w:tcW w:w="76" w:type="dxa"/>
            <w:tcBorders/>
            <w:shd w:fill="auto" w:val="clear"/>
          </w:tcPr>
          <w:p>
            <w:pPr>
              <w:pStyle w:val="TableContents"/>
              <w:spacing w:before="0" w:after="283"/>
              <w:rPr/>
            </w:pPr>
            <w:r>
              <w:rPr/>
              <w:t> </w:t>
            </w:r>
          </w:p>
        </w:tc>
        <w:tc>
          <w:tcPr>
            <w:tcW w:w="1024" w:type="dxa"/>
            <w:tcBorders/>
            <w:shd w:fill="auto" w:val="clear"/>
          </w:tcPr>
          <w:p>
            <w:pPr>
              <w:pStyle w:val="TableContents"/>
              <w:spacing w:before="0" w:after="283"/>
              <w:jc w:val="right"/>
              <w:rPr/>
            </w:pPr>
            <w:r>
              <w:rPr/>
              <w:t>8,188</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122" w:type="dxa"/>
            <w:tcBorders/>
            <w:shd w:fill="auto" w:val="clear"/>
          </w:tcPr>
          <w:p>
            <w:pPr>
              <w:pStyle w:val="TableContents"/>
              <w:spacing w:before="0" w:after="283"/>
              <w:jc w:val="right"/>
              <w:rPr/>
            </w:pPr>
            <w:r>
              <w:rPr/>
              <w:t>8,030</w:t>
            </w:r>
          </w:p>
        </w:tc>
        <w:tc>
          <w:tcPr>
            <w:tcW w:w="12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tcPr>
          <w:p>
            <w:pPr>
              <w:pStyle w:val="TableContents"/>
              <w:spacing w:before="0" w:after="283"/>
              <w:rPr/>
            </w:pPr>
            <w:r>
              <w:rPr/>
              <w:t> </w:t>
            </w:r>
          </w:p>
        </w:tc>
        <w:tc>
          <w:tcPr>
            <w:tcW w:w="1166" w:type="dxa"/>
            <w:tcBorders/>
            <w:shd w:fill="auto" w:val="clear"/>
          </w:tcPr>
          <w:p>
            <w:pPr>
              <w:pStyle w:val="TableContents"/>
              <w:spacing w:before="0" w:after="283"/>
              <w:jc w:val="right"/>
              <w:rPr/>
            </w:pPr>
            <w:r>
              <w:rPr/>
              <w:t>0.6</w:t>
            </w:r>
          </w:p>
        </w:tc>
        <w:tc>
          <w:tcPr>
            <w:tcW w:w="275" w:type="dxa"/>
            <w:tcBorders/>
            <w:shd w:fill="auto" w:val="clear"/>
          </w:tcPr>
          <w:p>
            <w:pPr>
              <w:pStyle w:val="TableContents"/>
              <w:spacing w:before="0" w:after="283"/>
              <w:rPr/>
            </w:pPr>
            <w:r>
              <w:rPr/>
              <w:t>% </w:t>
            </w:r>
          </w:p>
        </w:tc>
      </w:tr>
      <w:tr>
        <w:trPr/>
        <w:tc>
          <w:tcPr>
            <w:tcW w:w="2270" w:type="dxa"/>
            <w:tcBorders/>
            <w:shd w:fill="CCEEFF" w:val="clear"/>
          </w:tcPr>
          <w:p>
            <w:pPr>
              <w:pStyle w:val="TableContents"/>
              <w:spacing w:before="0" w:after="0"/>
              <w:rPr>
                <w:rFonts w:ascii="Times New Roman" w:hAnsi="Times New Roman"/>
                <w:sz w:val="16"/>
              </w:rPr>
            </w:pPr>
            <w:r>
              <w:rPr>
                <w:rFonts w:ascii="Times New Roman" w:hAnsi="Times New Roman"/>
                <w:sz w:val="16"/>
              </w:rPr>
              <w:t>Piano Software, Inc.(3)(5)</w:t>
            </w:r>
          </w:p>
        </w:tc>
        <w:tc>
          <w:tcPr>
            <w:tcW w:w="60" w:type="dxa"/>
            <w:tcBorders/>
            <w:shd w:fill="CCEEFF" w:val="clear"/>
            <w:vAlign w:val="bottom"/>
          </w:tcPr>
          <w:p>
            <w:pPr>
              <w:pStyle w:val="TableContents"/>
              <w:spacing w:before="0" w:after="283"/>
              <w:rPr/>
            </w:pPr>
            <w:r>
              <w:rPr/>
              <w:t> </w:t>
            </w:r>
          </w:p>
        </w:tc>
        <w:tc>
          <w:tcPr>
            <w:tcW w:w="4820" w:type="dxa"/>
            <w:tcBorders/>
            <w:shd w:fill="CCEEFF" w:val="clear"/>
          </w:tcPr>
          <w:p>
            <w:pPr>
              <w:pStyle w:val="TableContents"/>
              <w:spacing w:before="0" w:after="283"/>
              <w:rPr/>
            </w:pPr>
            <w:r>
              <w:rPr/>
              <w:t>First-lien loan ($51,442 par, due 2/2026)</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115" w:type="dxa"/>
            <w:tcBorders/>
            <w:shd w:fill="CCEEFF" w:val="clear"/>
          </w:tcPr>
          <w:p>
            <w:pPr>
              <w:pStyle w:val="TableContents"/>
              <w:spacing w:before="0" w:after="283"/>
              <w:jc w:val="right"/>
              <w:rPr/>
            </w:pPr>
            <w:r>
              <w:rPr/>
              <w:t>2/25/2021</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310" w:type="dxa"/>
            <w:tcBorders/>
            <w:shd w:fill="CCEEFF" w:val="clear"/>
          </w:tcPr>
          <w:p>
            <w:pPr>
              <w:pStyle w:val="TableContents"/>
              <w:spacing w:before="0" w:after="283"/>
              <w:jc w:val="right"/>
              <w:rPr/>
            </w:pPr>
            <w:r>
              <w:rPr/>
              <w:t>SOFR + 7.10</w:t>
            </w:r>
          </w:p>
        </w:tc>
        <w:tc>
          <w:tcPr>
            <w:tcW w:w="27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95" w:type="dxa"/>
            <w:tcBorders/>
            <w:shd w:fill="CCEEFF" w:val="clear"/>
          </w:tcPr>
          <w:p>
            <w:pPr>
              <w:pStyle w:val="TableContents"/>
              <w:spacing w:before="0" w:after="283"/>
              <w:jc w:val="right"/>
              <w:rPr/>
            </w:pPr>
            <w:r>
              <w:rPr/>
              <w:t>10.13%</w:t>
            </w:r>
          </w:p>
        </w:tc>
        <w:tc>
          <w:tcPr>
            <w:tcW w:w="60" w:type="dxa"/>
            <w:tcBorders/>
            <w:shd w:fill="CCEEFF" w:val="clear"/>
            <w:vAlign w:val="bottom"/>
          </w:tcPr>
          <w:p>
            <w:pPr>
              <w:pStyle w:val="TableContents"/>
              <w:spacing w:before="0" w:after="283"/>
              <w:rPr/>
            </w:pPr>
            <w:r>
              <w:rPr/>
              <w:t> </w:t>
            </w:r>
          </w:p>
        </w:tc>
        <w:tc>
          <w:tcPr>
            <w:tcW w:w="76" w:type="dxa"/>
            <w:tcBorders/>
            <w:shd w:fill="CCEEFF" w:val="clear"/>
          </w:tcPr>
          <w:p>
            <w:pPr>
              <w:pStyle w:val="TableContents"/>
              <w:spacing w:before="0" w:after="283"/>
              <w:rPr/>
            </w:pPr>
            <w:r>
              <w:rPr/>
              <w:t> </w:t>
            </w:r>
          </w:p>
        </w:tc>
        <w:tc>
          <w:tcPr>
            <w:tcW w:w="1024" w:type="dxa"/>
            <w:tcBorders/>
            <w:shd w:fill="CCEEFF" w:val="clear"/>
          </w:tcPr>
          <w:p>
            <w:pPr>
              <w:pStyle w:val="TableContents"/>
              <w:spacing w:before="0" w:after="283"/>
              <w:jc w:val="right"/>
              <w:rPr/>
            </w:pPr>
            <w:r>
              <w:rPr/>
              <w:t>50,526</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 w:type="dxa"/>
            <w:tcBorders/>
            <w:shd w:fill="CCEEFF" w:val="clear"/>
          </w:tcPr>
          <w:p>
            <w:pPr>
              <w:pStyle w:val="TableContents"/>
              <w:spacing w:before="0" w:after="283"/>
              <w:rPr/>
            </w:pPr>
            <w:r>
              <w:rPr/>
              <w:t> </w:t>
            </w:r>
          </w:p>
        </w:tc>
        <w:tc>
          <w:tcPr>
            <w:tcW w:w="1122" w:type="dxa"/>
            <w:tcBorders/>
            <w:shd w:fill="CCEEFF" w:val="clear"/>
          </w:tcPr>
          <w:p>
            <w:pPr>
              <w:pStyle w:val="TableContents"/>
              <w:spacing w:before="0" w:after="283"/>
              <w:jc w:val="right"/>
              <w:rPr/>
            </w:pPr>
            <w:r>
              <w:rPr/>
              <w:t>50,156</w:t>
            </w:r>
          </w:p>
        </w:tc>
        <w:tc>
          <w:tcPr>
            <w:tcW w:w="12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tcPr>
          <w:p>
            <w:pPr>
              <w:pStyle w:val="TableContents"/>
              <w:spacing w:before="0" w:after="283"/>
              <w:rPr/>
            </w:pPr>
            <w:r>
              <w:rPr/>
              <w:t> </w:t>
            </w:r>
          </w:p>
        </w:tc>
        <w:tc>
          <w:tcPr>
            <w:tcW w:w="1166" w:type="dxa"/>
            <w:tcBorders/>
            <w:shd w:fill="CCEEFF" w:val="clear"/>
          </w:tcPr>
          <w:p>
            <w:pPr>
              <w:pStyle w:val="TableContents"/>
              <w:spacing w:before="0" w:after="283"/>
              <w:jc w:val="right"/>
              <w:rPr/>
            </w:pPr>
            <w:r>
              <w:rPr/>
              <w:t>3.8</w:t>
            </w:r>
          </w:p>
        </w:tc>
        <w:tc>
          <w:tcPr>
            <w:tcW w:w="275" w:type="dxa"/>
            <w:tcBorders/>
            <w:shd w:fill="CCEEFF" w:val="clear"/>
          </w:tcPr>
          <w:p>
            <w:pPr>
              <w:pStyle w:val="TableContents"/>
              <w:spacing w:before="0" w:after="283"/>
              <w:rPr/>
            </w:pPr>
            <w:r>
              <w:rPr/>
              <w:t>% </w:t>
            </w:r>
          </w:p>
        </w:tc>
      </w:tr>
      <w:tr>
        <w:trPr/>
        <w:tc>
          <w:tcPr>
            <w:tcW w:w="227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8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1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31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9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02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pBdr>
                <w:top w:val="single" w:sz="2" w:space="1" w:color="000000"/>
              </w:pBdr>
              <w:spacing w:before="0" w:after="0"/>
              <w:rPr/>
            </w:pPr>
            <w:r>
              <w:rPr/>
              <w:t> </w:t>
            </w:r>
          </w:p>
        </w:tc>
        <w:tc>
          <w:tcPr>
            <w:tcW w:w="1122" w:type="dxa"/>
            <w:tcBorders/>
            <w:shd w:fill="auto" w:val="clear"/>
            <w:vAlign w:val="bottom"/>
          </w:tcPr>
          <w:p>
            <w:pPr>
              <w:pStyle w:val="TableContents"/>
              <w:pBdr>
                <w:top w:val="single" w:sz="2" w:space="1" w:color="000000"/>
              </w:pBdr>
              <w:spacing w:before="0" w:after="0"/>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single" w:sz="2" w:space="1" w:color="000000"/>
              </w:pBdr>
              <w:spacing w:before="0" w:after="0"/>
              <w:rPr/>
            </w:pPr>
            <w:r>
              <w:rPr/>
              <w:t> </w:t>
            </w:r>
          </w:p>
        </w:tc>
        <w:tc>
          <w:tcPr>
            <w:tcW w:w="1166" w:type="dxa"/>
            <w:tcBorders/>
            <w:shd w:fill="auto" w:val="clear"/>
            <w:vAlign w:val="bottom"/>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r>
      <w:tr>
        <w:trPr/>
        <w:tc>
          <w:tcPr>
            <w:tcW w:w="227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82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1115"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1310" w:type="dxa"/>
            <w:tcBorders/>
            <w:shd w:fill="auto" w:val="clear"/>
          </w:tcPr>
          <w:p>
            <w:pPr>
              <w:pStyle w:val="TableContents"/>
              <w:spacing w:before="0" w:after="283"/>
              <w:rPr>
                <w:sz w:val="4"/>
                <w:szCs w:val="4"/>
              </w:rPr>
            </w:pPr>
            <w:r>
              <w:rPr>
                <w:sz w:val="4"/>
                <w:szCs w:val="4"/>
              </w:rPr>
            </w:r>
          </w:p>
        </w:tc>
        <w:tc>
          <w:tcPr>
            <w:tcW w:w="27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9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6" w:type="dxa"/>
            <w:tcBorders/>
            <w:shd w:fill="auto" w:val="clear"/>
          </w:tcPr>
          <w:p>
            <w:pPr>
              <w:pStyle w:val="TableContents"/>
              <w:spacing w:before="0" w:after="283"/>
              <w:rPr/>
            </w:pPr>
            <w:r>
              <w:rPr/>
              <w:t> </w:t>
            </w:r>
          </w:p>
        </w:tc>
        <w:tc>
          <w:tcPr>
            <w:tcW w:w="1024" w:type="dxa"/>
            <w:tcBorders/>
            <w:shd w:fill="auto" w:val="clear"/>
          </w:tcPr>
          <w:p>
            <w:pPr>
              <w:pStyle w:val="TableContents"/>
              <w:spacing w:before="0" w:after="283"/>
              <w:jc w:val="right"/>
              <w:rPr/>
            </w:pPr>
            <w:r>
              <w:rPr/>
              <w:t>331,581</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122" w:type="dxa"/>
            <w:tcBorders/>
            <w:shd w:fill="auto" w:val="clear"/>
          </w:tcPr>
          <w:p>
            <w:pPr>
              <w:pStyle w:val="TableContents"/>
              <w:spacing w:before="0" w:after="283"/>
              <w:jc w:val="right"/>
              <w:rPr/>
            </w:pPr>
            <w:r>
              <w:rPr/>
              <w:t>328,902</w:t>
            </w:r>
          </w:p>
        </w:tc>
        <w:tc>
          <w:tcPr>
            <w:tcW w:w="12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tcPr>
          <w:p>
            <w:pPr>
              <w:pStyle w:val="TableContents"/>
              <w:spacing w:before="0" w:after="283"/>
              <w:rPr/>
            </w:pPr>
            <w:r>
              <w:rPr/>
              <w:t> </w:t>
            </w:r>
          </w:p>
        </w:tc>
        <w:tc>
          <w:tcPr>
            <w:tcW w:w="1166" w:type="dxa"/>
            <w:tcBorders/>
            <w:shd w:fill="auto" w:val="clear"/>
          </w:tcPr>
          <w:p>
            <w:pPr>
              <w:pStyle w:val="TableContents"/>
              <w:spacing w:before="0" w:after="283"/>
              <w:jc w:val="right"/>
              <w:rPr/>
            </w:pPr>
            <w:r>
              <w:rPr/>
              <w:t>24.8</w:t>
            </w:r>
          </w:p>
        </w:tc>
        <w:tc>
          <w:tcPr>
            <w:tcW w:w="275" w:type="dxa"/>
            <w:tcBorders/>
            <w:shd w:fill="auto" w:val="clear"/>
          </w:tcPr>
          <w:p>
            <w:pPr>
              <w:pStyle w:val="TableContents"/>
              <w:spacing w:before="0" w:after="283"/>
              <w:rPr/>
            </w:pPr>
            <w:r>
              <w:rPr/>
              <w:t>% </w:t>
            </w:r>
          </w:p>
        </w:tc>
      </w:tr>
      <w:tr>
        <w:trPr/>
        <w:tc>
          <w:tcPr>
            <w:tcW w:w="227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8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1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31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9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02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pBdr>
                <w:top w:val="single" w:sz="2" w:space="1" w:color="000000"/>
              </w:pBdr>
              <w:spacing w:before="0" w:after="0"/>
              <w:rPr/>
            </w:pPr>
            <w:r>
              <w:rPr/>
              <w:t> </w:t>
            </w:r>
          </w:p>
        </w:tc>
        <w:tc>
          <w:tcPr>
            <w:tcW w:w="1122" w:type="dxa"/>
            <w:tcBorders/>
            <w:shd w:fill="auto" w:val="clear"/>
            <w:vAlign w:val="bottom"/>
          </w:tcPr>
          <w:p>
            <w:pPr>
              <w:pStyle w:val="TableContents"/>
              <w:pBdr>
                <w:top w:val="single" w:sz="2" w:space="1" w:color="000000"/>
              </w:pBdr>
              <w:spacing w:before="0" w:after="0"/>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single" w:sz="2" w:space="1" w:color="000000"/>
              </w:pBdr>
              <w:spacing w:before="0" w:after="0"/>
              <w:rPr/>
            </w:pPr>
            <w:r>
              <w:rPr/>
              <w:t> </w:t>
            </w:r>
          </w:p>
        </w:tc>
        <w:tc>
          <w:tcPr>
            <w:tcW w:w="1166" w:type="dxa"/>
            <w:tcBorders/>
            <w:shd w:fill="auto" w:val="clear"/>
            <w:vAlign w:val="bottom"/>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r>
      <w:tr>
        <w:trPr/>
        <w:tc>
          <w:tcPr>
            <w:tcW w:w="2270" w:type="dxa"/>
            <w:tcBorders/>
            <w:shd w:fill="CCEEFF" w:val="clear"/>
          </w:tcPr>
          <w:p>
            <w:pPr>
              <w:pStyle w:val="TableContents"/>
              <w:spacing w:before="0" w:after="0"/>
              <w:rPr>
                <w:rFonts w:ascii="Times New Roman" w:hAnsi="Times New Roman"/>
                <w:b/>
                <w:sz w:val="16"/>
              </w:rPr>
            </w:pPr>
            <w:r>
              <w:rPr>
                <w:rFonts w:ascii="Times New Roman" w:hAnsi="Times New Roman"/>
                <w:b/>
                <w:sz w:val="16"/>
              </w:rPr>
              <w:t>Marketing Services</w:t>
            </w:r>
          </w:p>
        </w:tc>
        <w:tc>
          <w:tcPr>
            <w:tcW w:w="60" w:type="dxa"/>
            <w:tcBorders/>
            <w:shd w:fill="CCEEFF" w:val="clear"/>
            <w:vAlign w:val="bottom"/>
          </w:tcPr>
          <w:p>
            <w:pPr>
              <w:pStyle w:val="TableContents"/>
              <w:spacing w:before="0" w:after="283"/>
              <w:rPr/>
            </w:pPr>
            <w:r>
              <w:rPr/>
              <w:t> </w:t>
            </w:r>
          </w:p>
        </w:tc>
        <w:tc>
          <w:tcPr>
            <w:tcW w:w="482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sz w:val="4"/>
                <w:szCs w:val="4"/>
              </w:rPr>
            </w:pPr>
            <w:r>
              <w:rPr>
                <w:sz w:val="4"/>
                <w:szCs w:val="4"/>
              </w:rPr>
            </w:r>
          </w:p>
        </w:tc>
        <w:tc>
          <w:tcPr>
            <w:tcW w:w="1115" w:type="dxa"/>
            <w:tcBorders/>
            <w:shd w:fill="CCEEFF" w:val="clear"/>
          </w:tcPr>
          <w:p>
            <w:pPr>
              <w:pStyle w:val="TableContents"/>
              <w:spacing w:before="0" w:after="283"/>
              <w:rPr>
                <w:sz w:val="4"/>
                <w:szCs w:val="4"/>
              </w:rPr>
            </w:pPr>
            <w:r>
              <w:rPr>
                <w:sz w:val="4"/>
                <w:szCs w:val="4"/>
              </w:rPr>
            </w:r>
          </w:p>
        </w:tc>
        <w:tc>
          <w:tcPr>
            <w:tcW w:w="6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sz w:val="4"/>
                <w:szCs w:val="4"/>
              </w:rPr>
            </w:pPr>
            <w:r>
              <w:rPr>
                <w:sz w:val="4"/>
                <w:szCs w:val="4"/>
              </w:rPr>
            </w:r>
          </w:p>
        </w:tc>
        <w:tc>
          <w:tcPr>
            <w:tcW w:w="1310" w:type="dxa"/>
            <w:tcBorders/>
            <w:shd w:fill="CCEEFF" w:val="clear"/>
          </w:tcPr>
          <w:p>
            <w:pPr>
              <w:pStyle w:val="TableContents"/>
              <w:spacing w:before="0" w:after="283"/>
              <w:rPr>
                <w:sz w:val="4"/>
                <w:szCs w:val="4"/>
              </w:rPr>
            </w:pPr>
            <w:r>
              <w:rPr>
                <w:sz w:val="4"/>
                <w:szCs w:val="4"/>
              </w:rPr>
            </w:r>
          </w:p>
        </w:tc>
        <w:tc>
          <w:tcPr>
            <w:tcW w:w="27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9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6" w:type="dxa"/>
            <w:tcBorders/>
            <w:shd w:fill="CCEEFF" w:val="clear"/>
          </w:tcPr>
          <w:p>
            <w:pPr>
              <w:pStyle w:val="TableContents"/>
              <w:spacing w:before="0" w:after="283"/>
              <w:rPr>
                <w:sz w:val="4"/>
                <w:szCs w:val="4"/>
              </w:rPr>
            </w:pPr>
            <w:r>
              <w:rPr>
                <w:sz w:val="4"/>
                <w:szCs w:val="4"/>
              </w:rPr>
            </w:r>
          </w:p>
        </w:tc>
        <w:tc>
          <w:tcPr>
            <w:tcW w:w="1024" w:type="dxa"/>
            <w:tcBorders/>
            <w:shd w:fill="CCEEFF" w:val="clear"/>
          </w:tcPr>
          <w:p>
            <w:pPr>
              <w:pStyle w:val="TableContents"/>
              <w:spacing w:before="0" w:after="283"/>
              <w:rPr>
                <w:sz w:val="4"/>
                <w:szCs w:val="4"/>
              </w:rPr>
            </w:pPr>
            <w:r>
              <w:rPr>
                <w:sz w:val="4"/>
                <w:szCs w:val="4"/>
              </w:rPr>
            </w:r>
          </w:p>
        </w:tc>
        <w:tc>
          <w:tcPr>
            <w:tcW w:w="6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8" w:type="dxa"/>
            <w:tcBorders/>
            <w:shd w:fill="CCEEFF" w:val="clear"/>
          </w:tcPr>
          <w:p>
            <w:pPr>
              <w:pStyle w:val="TableContents"/>
              <w:spacing w:before="0" w:after="283"/>
              <w:rPr>
                <w:sz w:val="4"/>
                <w:szCs w:val="4"/>
              </w:rPr>
            </w:pPr>
            <w:r>
              <w:rPr>
                <w:sz w:val="4"/>
                <w:szCs w:val="4"/>
              </w:rPr>
            </w:r>
          </w:p>
        </w:tc>
        <w:tc>
          <w:tcPr>
            <w:tcW w:w="1122" w:type="dxa"/>
            <w:tcBorders/>
            <w:shd w:fill="CCEEFF" w:val="clear"/>
          </w:tcPr>
          <w:p>
            <w:pPr>
              <w:pStyle w:val="TableContents"/>
              <w:spacing w:before="0" w:after="283"/>
              <w:rPr>
                <w:sz w:val="4"/>
                <w:szCs w:val="4"/>
              </w:rPr>
            </w:pPr>
            <w:r>
              <w:rPr>
                <w:sz w:val="4"/>
                <w:szCs w:val="4"/>
              </w:rPr>
            </w:r>
          </w:p>
        </w:tc>
        <w:tc>
          <w:tcPr>
            <w:tcW w:w="12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59" w:type="dxa"/>
            <w:tcBorders/>
            <w:shd w:fill="CCEEFF" w:val="clear"/>
          </w:tcPr>
          <w:p>
            <w:pPr>
              <w:pStyle w:val="TableContents"/>
              <w:spacing w:before="0" w:after="283"/>
              <w:rPr>
                <w:sz w:val="4"/>
                <w:szCs w:val="4"/>
              </w:rPr>
            </w:pPr>
            <w:r>
              <w:rPr>
                <w:sz w:val="4"/>
                <w:szCs w:val="4"/>
              </w:rPr>
            </w:r>
          </w:p>
        </w:tc>
        <w:tc>
          <w:tcPr>
            <w:tcW w:w="1166" w:type="dxa"/>
            <w:tcBorders/>
            <w:shd w:fill="CCEEFF" w:val="clear"/>
          </w:tcPr>
          <w:p>
            <w:pPr>
              <w:pStyle w:val="TableContents"/>
              <w:spacing w:before="0" w:after="283"/>
              <w:rPr>
                <w:sz w:val="4"/>
                <w:szCs w:val="4"/>
              </w:rPr>
            </w:pPr>
            <w:r>
              <w:rPr>
                <w:sz w:val="4"/>
                <w:szCs w:val="4"/>
              </w:rPr>
            </w:r>
          </w:p>
        </w:tc>
        <w:tc>
          <w:tcPr>
            <w:tcW w:w="275" w:type="dxa"/>
            <w:tcBorders/>
            <w:shd w:fill="CCEEFF" w:val="clear"/>
          </w:tcPr>
          <w:p>
            <w:pPr>
              <w:pStyle w:val="TableContents"/>
              <w:spacing w:before="0" w:after="283"/>
              <w:rPr>
                <w:sz w:val="4"/>
                <w:szCs w:val="4"/>
              </w:rPr>
            </w:pPr>
            <w:r>
              <w:rPr>
                <w:sz w:val="4"/>
                <w:szCs w:val="4"/>
              </w:rPr>
            </w:r>
          </w:p>
        </w:tc>
      </w:tr>
      <w:tr>
        <w:trPr/>
        <w:tc>
          <w:tcPr>
            <w:tcW w:w="2270" w:type="dxa"/>
            <w:tcBorders/>
            <w:shd w:fill="auto" w:val="clear"/>
          </w:tcPr>
          <w:p>
            <w:pPr>
              <w:pStyle w:val="TableContents"/>
              <w:spacing w:before="0" w:after="0"/>
              <w:rPr>
                <w:rFonts w:ascii="Times New Roman" w:hAnsi="Times New Roman"/>
                <w:sz w:val="16"/>
              </w:rPr>
            </w:pPr>
            <w:r>
              <w:rPr>
                <w:rFonts w:ascii="Times New Roman" w:hAnsi="Times New Roman"/>
                <w:sz w:val="16"/>
              </w:rPr>
              <w:t>Acoustic, L.P.(3)</w:t>
            </w:r>
          </w:p>
        </w:tc>
        <w:tc>
          <w:tcPr>
            <w:tcW w:w="60" w:type="dxa"/>
            <w:tcBorders/>
            <w:shd w:fill="auto" w:val="clear"/>
            <w:vAlign w:val="bottom"/>
          </w:tcPr>
          <w:p>
            <w:pPr>
              <w:pStyle w:val="TableContents"/>
              <w:spacing w:before="0" w:after="283"/>
              <w:rPr/>
            </w:pPr>
            <w:r>
              <w:rPr/>
              <w:t> </w:t>
            </w:r>
          </w:p>
        </w:tc>
        <w:tc>
          <w:tcPr>
            <w:tcW w:w="4820" w:type="dxa"/>
            <w:tcBorders/>
            <w:shd w:fill="auto" w:val="clear"/>
          </w:tcPr>
          <w:p>
            <w:pPr>
              <w:pStyle w:val="TableContents"/>
              <w:spacing w:before="0" w:after="283"/>
              <w:rPr/>
            </w:pPr>
            <w:r>
              <w:rPr/>
              <w:t>First-lien note ($33,330 par, due 6/2024)</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115" w:type="dxa"/>
            <w:tcBorders/>
            <w:shd w:fill="auto" w:val="clear"/>
          </w:tcPr>
          <w:p>
            <w:pPr>
              <w:pStyle w:val="TableContents"/>
              <w:spacing w:before="0" w:after="283"/>
              <w:jc w:val="right"/>
              <w:rPr/>
            </w:pPr>
            <w:r>
              <w:rPr/>
              <w:t>12/17/2019</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310" w:type="dxa"/>
            <w:tcBorders/>
            <w:shd w:fill="auto" w:val="clear"/>
          </w:tcPr>
          <w:p>
            <w:pPr>
              <w:pStyle w:val="TableContents"/>
              <w:spacing w:before="0" w:after="283"/>
              <w:jc w:val="right"/>
              <w:rPr/>
            </w:pPr>
            <w:r>
              <w:rPr/>
              <w:t>L + 7.00</w:t>
            </w:r>
          </w:p>
        </w:tc>
        <w:tc>
          <w:tcPr>
            <w:tcW w:w="27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95" w:type="dxa"/>
            <w:tcBorders/>
            <w:shd w:fill="auto" w:val="clear"/>
          </w:tcPr>
          <w:p>
            <w:pPr>
              <w:pStyle w:val="TableContents"/>
              <w:spacing w:before="0" w:after="283"/>
              <w:jc w:val="right"/>
              <w:rPr/>
            </w:pPr>
            <w:r>
              <w:rPr/>
              <w:t>9.81%</w:t>
            </w:r>
          </w:p>
        </w:tc>
        <w:tc>
          <w:tcPr>
            <w:tcW w:w="60" w:type="dxa"/>
            <w:tcBorders/>
            <w:shd w:fill="auto" w:val="clear"/>
            <w:vAlign w:val="bottom"/>
          </w:tcPr>
          <w:p>
            <w:pPr>
              <w:pStyle w:val="TableContents"/>
              <w:spacing w:before="0" w:after="283"/>
              <w:rPr/>
            </w:pPr>
            <w:r>
              <w:rPr/>
              <w:t> </w:t>
            </w:r>
          </w:p>
        </w:tc>
        <w:tc>
          <w:tcPr>
            <w:tcW w:w="76" w:type="dxa"/>
            <w:tcBorders/>
            <w:shd w:fill="auto" w:val="clear"/>
          </w:tcPr>
          <w:p>
            <w:pPr>
              <w:pStyle w:val="TableContents"/>
              <w:spacing w:before="0" w:after="283"/>
              <w:rPr/>
            </w:pPr>
            <w:r>
              <w:rPr/>
              <w:t> </w:t>
            </w:r>
          </w:p>
        </w:tc>
        <w:tc>
          <w:tcPr>
            <w:tcW w:w="1024" w:type="dxa"/>
            <w:tcBorders/>
            <w:shd w:fill="auto" w:val="clear"/>
          </w:tcPr>
          <w:p>
            <w:pPr>
              <w:pStyle w:val="TableContents"/>
              <w:spacing w:before="0" w:after="283"/>
              <w:jc w:val="right"/>
              <w:rPr/>
            </w:pPr>
            <w:r>
              <w:rPr/>
              <w:t>32,681</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122" w:type="dxa"/>
            <w:tcBorders/>
            <w:shd w:fill="auto" w:val="clear"/>
          </w:tcPr>
          <w:p>
            <w:pPr>
              <w:pStyle w:val="TableContents"/>
              <w:spacing w:before="0" w:after="283"/>
              <w:jc w:val="right"/>
              <w:rPr/>
            </w:pPr>
            <w:r>
              <w:rPr/>
              <w:t>32,913</w:t>
            </w:r>
          </w:p>
        </w:tc>
        <w:tc>
          <w:tcPr>
            <w:tcW w:w="12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tcPr>
          <w:p>
            <w:pPr>
              <w:pStyle w:val="TableContents"/>
              <w:spacing w:before="0" w:after="283"/>
              <w:rPr/>
            </w:pPr>
            <w:r>
              <w:rPr/>
              <w:t> </w:t>
            </w:r>
          </w:p>
        </w:tc>
        <w:tc>
          <w:tcPr>
            <w:tcW w:w="1166" w:type="dxa"/>
            <w:tcBorders/>
            <w:shd w:fill="auto" w:val="clear"/>
          </w:tcPr>
          <w:p>
            <w:pPr>
              <w:pStyle w:val="TableContents"/>
              <w:spacing w:before="0" w:after="283"/>
              <w:jc w:val="right"/>
              <w:rPr/>
            </w:pPr>
            <w:r>
              <w:rPr/>
              <w:t>2.5</w:t>
            </w:r>
          </w:p>
        </w:tc>
        <w:tc>
          <w:tcPr>
            <w:tcW w:w="275" w:type="dxa"/>
            <w:tcBorders/>
            <w:shd w:fill="auto" w:val="clear"/>
          </w:tcPr>
          <w:p>
            <w:pPr>
              <w:pStyle w:val="TableContents"/>
              <w:spacing w:before="0" w:after="283"/>
              <w:rPr/>
            </w:pPr>
            <w:r>
              <w:rPr/>
              <w:t>% </w:t>
            </w:r>
          </w:p>
        </w:tc>
      </w:tr>
      <w:tr>
        <w:trPr/>
        <w:tc>
          <w:tcPr>
            <w:tcW w:w="2270" w:type="dxa"/>
            <w:tcBorders/>
            <w:shd w:fill="CCEEFF" w:val="clear"/>
          </w:tcPr>
          <w:p>
            <w:pPr>
              <w:pStyle w:val="TableContents"/>
              <w:spacing w:before="0" w:after="0"/>
              <w:rPr>
                <w:rFonts w:ascii="Times New Roman" w:hAnsi="Times New Roman"/>
                <w:b/>
                <w:sz w:val="16"/>
              </w:rPr>
            </w:pPr>
            <w:r>
              <w:rPr>
                <w:rFonts w:ascii="Times New Roman" w:hAnsi="Times New Roman"/>
                <w:b/>
                <w:sz w:val="16"/>
              </w:rPr>
              <w:t>Office Products</w:t>
            </w:r>
          </w:p>
        </w:tc>
        <w:tc>
          <w:tcPr>
            <w:tcW w:w="60" w:type="dxa"/>
            <w:tcBorders/>
            <w:shd w:fill="CCEEFF" w:val="clear"/>
            <w:vAlign w:val="bottom"/>
          </w:tcPr>
          <w:p>
            <w:pPr>
              <w:pStyle w:val="TableContents"/>
              <w:spacing w:before="0" w:after="283"/>
              <w:rPr/>
            </w:pPr>
            <w:r>
              <w:rPr/>
              <w:t> </w:t>
            </w:r>
          </w:p>
        </w:tc>
        <w:tc>
          <w:tcPr>
            <w:tcW w:w="482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sz w:val="4"/>
                <w:szCs w:val="4"/>
              </w:rPr>
            </w:pPr>
            <w:r>
              <w:rPr>
                <w:sz w:val="4"/>
                <w:szCs w:val="4"/>
              </w:rPr>
            </w:r>
          </w:p>
        </w:tc>
        <w:tc>
          <w:tcPr>
            <w:tcW w:w="1115" w:type="dxa"/>
            <w:tcBorders/>
            <w:shd w:fill="CCEEFF" w:val="clear"/>
          </w:tcPr>
          <w:p>
            <w:pPr>
              <w:pStyle w:val="TableContents"/>
              <w:spacing w:before="0" w:after="283"/>
              <w:rPr>
                <w:sz w:val="4"/>
                <w:szCs w:val="4"/>
              </w:rPr>
            </w:pPr>
            <w:r>
              <w:rPr>
                <w:sz w:val="4"/>
                <w:szCs w:val="4"/>
              </w:rPr>
            </w:r>
          </w:p>
        </w:tc>
        <w:tc>
          <w:tcPr>
            <w:tcW w:w="6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sz w:val="4"/>
                <w:szCs w:val="4"/>
              </w:rPr>
            </w:pPr>
            <w:r>
              <w:rPr>
                <w:sz w:val="4"/>
                <w:szCs w:val="4"/>
              </w:rPr>
            </w:r>
          </w:p>
        </w:tc>
        <w:tc>
          <w:tcPr>
            <w:tcW w:w="1310" w:type="dxa"/>
            <w:tcBorders/>
            <w:shd w:fill="CCEEFF" w:val="clear"/>
          </w:tcPr>
          <w:p>
            <w:pPr>
              <w:pStyle w:val="TableContents"/>
              <w:spacing w:before="0" w:after="283"/>
              <w:rPr>
                <w:sz w:val="4"/>
                <w:szCs w:val="4"/>
              </w:rPr>
            </w:pPr>
            <w:r>
              <w:rPr>
                <w:sz w:val="4"/>
                <w:szCs w:val="4"/>
              </w:rPr>
            </w:r>
          </w:p>
        </w:tc>
        <w:tc>
          <w:tcPr>
            <w:tcW w:w="27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9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6" w:type="dxa"/>
            <w:tcBorders/>
            <w:shd w:fill="CCEEFF" w:val="clear"/>
          </w:tcPr>
          <w:p>
            <w:pPr>
              <w:pStyle w:val="TableContents"/>
              <w:spacing w:before="0" w:after="283"/>
              <w:rPr>
                <w:sz w:val="4"/>
                <w:szCs w:val="4"/>
              </w:rPr>
            </w:pPr>
            <w:r>
              <w:rPr>
                <w:sz w:val="4"/>
                <w:szCs w:val="4"/>
              </w:rPr>
            </w:r>
          </w:p>
        </w:tc>
        <w:tc>
          <w:tcPr>
            <w:tcW w:w="1024" w:type="dxa"/>
            <w:tcBorders/>
            <w:shd w:fill="CCEEFF" w:val="clear"/>
          </w:tcPr>
          <w:p>
            <w:pPr>
              <w:pStyle w:val="TableContents"/>
              <w:spacing w:before="0" w:after="283"/>
              <w:rPr>
                <w:sz w:val="4"/>
                <w:szCs w:val="4"/>
              </w:rPr>
            </w:pPr>
            <w:r>
              <w:rPr>
                <w:sz w:val="4"/>
                <w:szCs w:val="4"/>
              </w:rPr>
            </w:r>
          </w:p>
        </w:tc>
        <w:tc>
          <w:tcPr>
            <w:tcW w:w="6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8" w:type="dxa"/>
            <w:tcBorders/>
            <w:shd w:fill="CCEEFF" w:val="clear"/>
          </w:tcPr>
          <w:p>
            <w:pPr>
              <w:pStyle w:val="TableContents"/>
              <w:spacing w:before="0" w:after="283"/>
              <w:rPr>
                <w:sz w:val="4"/>
                <w:szCs w:val="4"/>
              </w:rPr>
            </w:pPr>
            <w:r>
              <w:rPr>
                <w:sz w:val="4"/>
                <w:szCs w:val="4"/>
              </w:rPr>
            </w:r>
          </w:p>
        </w:tc>
        <w:tc>
          <w:tcPr>
            <w:tcW w:w="1122" w:type="dxa"/>
            <w:tcBorders/>
            <w:shd w:fill="CCEEFF" w:val="clear"/>
          </w:tcPr>
          <w:p>
            <w:pPr>
              <w:pStyle w:val="TableContents"/>
              <w:spacing w:before="0" w:after="283"/>
              <w:rPr>
                <w:sz w:val="4"/>
                <w:szCs w:val="4"/>
              </w:rPr>
            </w:pPr>
            <w:r>
              <w:rPr>
                <w:sz w:val="4"/>
                <w:szCs w:val="4"/>
              </w:rPr>
            </w:r>
          </w:p>
        </w:tc>
        <w:tc>
          <w:tcPr>
            <w:tcW w:w="12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59" w:type="dxa"/>
            <w:tcBorders/>
            <w:shd w:fill="CCEEFF" w:val="clear"/>
          </w:tcPr>
          <w:p>
            <w:pPr>
              <w:pStyle w:val="TableContents"/>
              <w:spacing w:before="0" w:after="283"/>
              <w:rPr>
                <w:sz w:val="4"/>
                <w:szCs w:val="4"/>
              </w:rPr>
            </w:pPr>
            <w:r>
              <w:rPr>
                <w:sz w:val="4"/>
                <w:szCs w:val="4"/>
              </w:rPr>
            </w:r>
          </w:p>
        </w:tc>
        <w:tc>
          <w:tcPr>
            <w:tcW w:w="1166" w:type="dxa"/>
            <w:tcBorders/>
            <w:shd w:fill="CCEEFF" w:val="clear"/>
          </w:tcPr>
          <w:p>
            <w:pPr>
              <w:pStyle w:val="TableContents"/>
              <w:spacing w:before="0" w:after="283"/>
              <w:rPr>
                <w:sz w:val="4"/>
                <w:szCs w:val="4"/>
              </w:rPr>
            </w:pPr>
            <w:r>
              <w:rPr>
                <w:sz w:val="4"/>
                <w:szCs w:val="4"/>
              </w:rPr>
            </w:r>
          </w:p>
        </w:tc>
        <w:tc>
          <w:tcPr>
            <w:tcW w:w="275" w:type="dxa"/>
            <w:tcBorders/>
            <w:shd w:fill="CCEEFF" w:val="clear"/>
          </w:tcPr>
          <w:p>
            <w:pPr>
              <w:pStyle w:val="TableContents"/>
              <w:spacing w:before="0" w:after="283"/>
              <w:rPr>
                <w:sz w:val="4"/>
                <w:szCs w:val="4"/>
              </w:rPr>
            </w:pPr>
            <w:r>
              <w:rPr>
                <w:sz w:val="4"/>
                <w:szCs w:val="4"/>
              </w:rPr>
            </w:r>
          </w:p>
        </w:tc>
      </w:tr>
      <w:tr>
        <w:trPr/>
        <w:tc>
          <w:tcPr>
            <w:tcW w:w="2270" w:type="dxa"/>
            <w:tcBorders/>
            <w:shd w:fill="auto" w:val="clear"/>
          </w:tcPr>
          <w:p>
            <w:pPr>
              <w:pStyle w:val="TableContents"/>
              <w:spacing w:before="0" w:after="0"/>
              <w:rPr>
                <w:rFonts w:ascii="Times New Roman" w:hAnsi="Times New Roman"/>
                <w:sz w:val="16"/>
              </w:rPr>
            </w:pPr>
            <w:r>
              <w:rPr>
                <w:rFonts w:ascii="Times New Roman" w:hAnsi="Times New Roman"/>
                <w:sz w:val="16"/>
              </w:rPr>
              <w:t>USR Parent, Inc.(3)(5)</w:t>
            </w:r>
          </w:p>
        </w:tc>
        <w:tc>
          <w:tcPr>
            <w:tcW w:w="60" w:type="dxa"/>
            <w:tcBorders/>
            <w:shd w:fill="auto" w:val="clear"/>
            <w:vAlign w:val="bottom"/>
          </w:tcPr>
          <w:p>
            <w:pPr>
              <w:pStyle w:val="TableContents"/>
              <w:spacing w:before="0" w:after="283"/>
              <w:rPr/>
            </w:pPr>
            <w:r>
              <w:rPr/>
              <w:t> </w:t>
            </w:r>
          </w:p>
        </w:tc>
        <w:tc>
          <w:tcPr>
            <w:tcW w:w="4820" w:type="dxa"/>
            <w:tcBorders/>
            <w:shd w:fill="auto" w:val="clear"/>
          </w:tcPr>
          <w:p>
            <w:pPr>
              <w:pStyle w:val="TableContents"/>
              <w:spacing w:before="0" w:after="283"/>
              <w:rPr/>
            </w:pPr>
            <w:r>
              <w:rPr/>
              <w:t>ABL FILO term loan ($19,500 par, due 4/2027)</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115" w:type="dxa"/>
            <w:tcBorders/>
            <w:shd w:fill="auto" w:val="clear"/>
          </w:tcPr>
          <w:p>
            <w:pPr>
              <w:pStyle w:val="TableContents"/>
              <w:spacing w:before="0" w:after="283"/>
              <w:jc w:val="right"/>
              <w:rPr/>
            </w:pPr>
            <w:r>
              <w:rPr/>
              <w:t>4/25/2022</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310" w:type="dxa"/>
            <w:tcBorders/>
            <w:shd w:fill="auto" w:val="clear"/>
          </w:tcPr>
          <w:p>
            <w:pPr>
              <w:pStyle w:val="TableContents"/>
              <w:spacing w:before="0" w:after="283"/>
              <w:jc w:val="right"/>
              <w:rPr/>
            </w:pPr>
            <w:r>
              <w:rPr/>
              <w:t>SOFR + 6.50</w:t>
            </w:r>
          </w:p>
        </w:tc>
        <w:tc>
          <w:tcPr>
            <w:tcW w:w="27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95" w:type="dxa"/>
            <w:tcBorders/>
            <w:shd w:fill="auto" w:val="clear"/>
          </w:tcPr>
          <w:p>
            <w:pPr>
              <w:pStyle w:val="TableContents"/>
              <w:spacing w:before="0" w:after="283"/>
              <w:jc w:val="right"/>
              <w:rPr/>
            </w:pPr>
            <w:r>
              <w:rPr/>
              <w:t>9.01%</w:t>
            </w:r>
          </w:p>
        </w:tc>
        <w:tc>
          <w:tcPr>
            <w:tcW w:w="60" w:type="dxa"/>
            <w:tcBorders/>
            <w:shd w:fill="auto" w:val="clear"/>
            <w:vAlign w:val="bottom"/>
          </w:tcPr>
          <w:p>
            <w:pPr>
              <w:pStyle w:val="TableContents"/>
              <w:spacing w:before="0" w:after="283"/>
              <w:rPr/>
            </w:pPr>
            <w:r>
              <w:rPr/>
              <w:t> </w:t>
            </w:r>
          </w:p>
        </w:tc>
        <w:tc>
          <w:tcPr>
            <w:tcW w:w="76" w:type="dxa"/>
            <w:tcBorders/>
            <w:shd w:fill="auto" w:val="clear"/>
          </w:tcPr>
          <w:p>
            <w:pPr>
              <w:pStyle w:val="TableContents"/>
              <w:spacing w:before="0" w:after="283"/>
              <w:rPr/>
            </w:pPr>
            <w:r>
              <w:rPr/>
              <w:t> </w:t>
            </w:r>
          </w:p>
        </w:tc>
        <w:tc>
          <w:tcPr>
            <w:tcW w:w="1024" w:type="dxa"/>
            <w:tcBorders/>
            <w:shd w:fill="auto" w:val="clear"/>
          </w:tcPr>
          <w:p>
            <w:pPr>
              <w:pStyle w:val="TableContents"/>
              <w:spacing w:before="0" w:after="283"/>
              <w:jc w:val="right"/>
              <w:rPr/>
            </w:pPr>
            <w:r>
              <w:rPr/>
              <w:t>19,118</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122" w:type="dxa"/>
            <w:tcBorders/>
            <w:shd w:fill="auto" w:val="clear"/>
          </w:tcPr>
          <w:p>
            <w:pPr>
              <w:pStyle w:val="TableContents"/>
              <w:spacing w:before="0" w:after="283"/>
              <w:jc w:val="right"/>
              <w:rPr/>
            </w:pPr>
            <w:r>
              <w:rPr/>
              <w:t>18,866</w:t>
            </w:r>
          </w:p>
        </w:tc>
        <w:tc>
          <w:tcPr>
            <w:tcW w:w="12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tcPr>
          <w:p>
            <w:pPr>
              <w:pStyle w:val="TableContents"/>
              <w:spacing w:before="0" w:after="283"/>
              <w:rPr/>
            </w:pPr>
            <w:r>
              <w:rPr/>
              <w:t> </w:t>
            </w:r>
          </w:p>
        </w:tc>
        <w:tc>
          <w:tcPr>
            <w:tcW w:w="1166" w:type="dxa"/>
            <w:tcBorders/>
            <w:shd w:fill="auto" w:val="clear"/>
          </w:tcPr>
          <w:p>
            <w:pPr>
              <w:pStyle w:val="TableContents"/>
              <w:spacing w:before="0" w:after="283"/>
              <w:jc w:val="right"/>
              <w:rPr/>
            </w:pPr>
            <w:r>
              <w:rPr/>
              <w:t>1.4</w:t>
            </w:r>
          </w:p>
        </w:tc>
        <w:tc>
          <w:tcPr>
            <w:tcW w:w="275" w:type="dxa"/>
            <w:tcBorders/>
            <w:shd w:fill="auto" w:val="clear"/>
          </w:tcPr>
          <w:p>
            <w:pPr>
              <w:pStyle w:val="TableContents"/>
              <w:spacing w:before="0" w:after="283"/>
              <w:rPr/>
            </w:pPr>
            <w:r>
              <w:rPr/>
              <w:t>% </w:t>
            </w:r>
          </w:p>
        </w:tc>
      </w:tr>
      <w:tr>
        <w:trPr/>
        <w:tc>
          <w:tcPr>
            <w:tcW w:w="2270" w:type="dxa"/>
            <w:tcBorders/>
            <w:shd w:fill="CCEEFF" w:val="clear"/>
          </w:tcPr>
          <w:p>
            <w:pPr>
              <w:pStyle w:val="TableContents"/>
              <w:spacing w:before="0" w:after="0"/>
              <w:rPr>
                <w:rFonts w:ascii="Times New Roman" w:hAnsi="Times New Roman"/>
                <w:b/>
                <w:sz w:val="16"/>
              </w:rPr>
            </w:pPr>
            <w:r>
              <w:rPr>
                <w:rFonts w:ascii="Times New Roman" w:hAnsi="Times New Roman"/>
                <w:b/>
                <w:sz w:val="16"/>
              </w:rPr>
              <w:t>Oil, Gas and Consumable Fuels</w:t>
            </w:r>
          </w:p>
        </w:tc>
        <w:tc>
          <w:tcPr>
            <w:tcW w:w="60" w:type="dxa"/>
            <w:tcBorders/>
            <w:shd w:fill="CCEEFF" w:val="clear"/>
            <w:vAlign w:val="bottom"/>
          </w:tcPr>
          <w:p>
            <w:pPr>
              <w:pStyle w:val="TableContents"/>
              <w:spacing w:before="0" w:after="283"/>
              <w:rPr/>
            </w:pPr>
            <w:r>
              <w:rPr/>
              <w:t> </w:t>
            </w:r>
          </w:p>
        </w:tc>
        <w:tc>
          <w:tcPr>
            <w:tcW w:w="482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sz w:val="4"/>
                <w:szCs w:val="4"/>
              </w:rPr>
            </w:pPr>
            <w:r>
              <w:rPr>
                <w:sz w:val="4"/>
                <w:szCs w:val="4"/>
              </w:rPr>
            </w:r>
          </w:p>
        </w:tc>
        <w:tc>
          <w:tcPr>
            <w:tcW w:w="1115" w:type="dxa"/>
            <w:tcBorders/>
            <w:shd w:fill="CCEEFF" w:val="clear"/>
          </w:tcPr>
          <w:p>
            <w:pPr>
              <w:pStyle w:val="TableContents"/>
              <w:spacing w:before="0" w:after="283"/>
              <w:rPr>
                <w:sz w:val="4"/>
                <w:szCs w:val="4"/>
              </w:rPr>
            </w:pPr>
            <w:r>
              <w:rPr>
                <w:sz w:val="4"/>
                <w:szCs w:val="4"/>
              </w:rPr>
            </w:r>
          </w:p>
        </w:tc>
        <w:tc>
          <w:tcPr>
            <w:tcW w:w="6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sz w:val="4"/>
                <w:szCs w:val="4"/>
              </w:rPr>
            </w:pPr>
            <w:r>
              <w:rPr>
                <w:sz w:val="4"/>
                <w:szCs w:val="4"/>
              </w:rPr>
            </w:r>
          </w:p>
        </w:tc>
        <w:tc>
          <w:tcPr>
            <w:tcW w:w="1310" w:type="dxa"/>
            <w:tcBorders/>
            <w:shd w:fill="CCEEFF" w:val="clear"/>
          </w:tcPr>
          <w:p>
            <w:pPr>
              <w:pStyle w:val="TableContents"/>
              <w:spacing w:before="0" w:after="283"/>
              <w:rPr>
                <w:sz w:val="4"/>
                <w:szCs w:val="4"/>
              </w:rPr>
            </w:pPr>
            <w:r>
              <w:rPr>
                <w:sz w:val="4"/>
                <w:szCs w:val="4"/>
              </w:rPr>
            </w:r>
          </w:p>
        </w:tc>
        <w:tc>
          <w:tcPr>
            <w:tcW w:w="27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9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6" w:type="dxa"/>
            <w:tcBorders/>
            <w:shd w:fill="CCEEFF" w:val="clear"/>
          </w:tcPr>
          <w:p>
            <w:pPr>
              <w:pStyle w:val="TableContents"/>
              <w:spacing w:before="0" w:after="283"/>
              <w:rPr>
                <w:sz w:val="4"/>
                <w:szCs w:val="4"/>
              </w:rPr>
            </w:pPr>
            <w:r>
              <w:rPr>
                <w:sz w:val="4"/>
                <w:szCs w:val="4"/>
              </w:rPr>
            </w:r>
          </w:p>
        </w:tc>
        <w:tc>
          <w:tcPr>
            <w:tcW w:w="1024" w:type="dxa"/>
            <w:tcBorders/>
            <w:shd w:fill="CCEEFF" w:val="clear"/>
          </w:tcPr>
          <w:p>
            <w:pPr>
              <w:pStyle w:val="TableContents"/>
              <w:spacing w:before="0" w:after="283"/>
              <w:rPr>
                <w:sz w:val="4"/>
                <w:szCs w:val="4"/>
              </w:rPr>
            </w:pPr>
            <w:r>
              <w:rPr>
                <w:sz w:val="4"/>
                <w:szCs w:val="4"/>
              </w:rPr>
            </w:r>
          </w:p>
        </w:tc>
        <w:tc>
          <w:tcPr>
            <w:tcW w:w="6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8" w:type="dxa"/>
            <w:tcBorders/>
            <w:shd w:fill="CCEEFF" w:val="clear"/>
          </w:tcPr>
          <w:p>
            <w:pPr>
              <w:pStyle w:val="TableContents"/>
              <w:spacing w:before="0" w:after="283"/>
              <w:rPr>
                <w:sz w:val="4"/>
                <w:szCs w:val="4"/>
              </w:rPr>
            </w:pPr>
            <w:r>
              <w:rPr>
                <w:sz w:val="4"/>
                <w:szCs w:val="4"/>
              </w:rPr>
            </w:r>
          </w:p>
        </w:tc>
        <w:tc>
          <w:tcPr>
            <w:tcW w:w="1122" w:type="dxa"/>
            <w:tcBorders/>
            <w:shd w:fill="CCEEFF" w:val="clear"/>
          </w:tcPr>
          <w:p>
            <w:pPr>
              <w:pStyle w:val="TableContents"/>
              <w:spacing w:before="0" w:after="283"/>
              <w:rPr>
                <w:sz w:val="4"/>
                <w:szCs w:val="4"/>
              </w:rPr>
            </w:pPr>
            <w:r>
              <w:rPr>
                <w:sz w:val="4"/>
                <w:szCs w:val="4"/>
              </w:rPr>
            </w:r>
          </w:p>
        </w:tc>
        <w:tc>
          <w:tcPr>
            <w:tcW w:w="12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59" w:type="dxa"/>
            <w:tcBorders/>
            <w:shd w:fill="CCEEFF" w:val="clear"/>
          </w:tcPr>
          <w:p>
            <w:pPr>
              <w:pStyle w:val="TableContents"/>
              <w:spacing w:before="0" w:after="283"/>
              <w:rPr>
                <w:sz w:val="4"/>
                <w:szCs w:val="4"/>
              </w:rPr>
            </w:pPr>
            <w:r>
              <w:rPr>
                <w:sz w:val="4"/>
                <w:szCs w:val="4"/>
              </w:rPr>
            </w:r>
          </w:p>
        </w:tc>
        <w:tc>
          <w:tcPr>
            <w:tcW w:w="1166" w:type="dxa"/>
            <w:tcBorders/>
            <w:shd w:fill="CCEEFF" w:val="clear"/>
          </w:tcPr>
          <w:p>
            <w:pPr>
              <w:pStyle w:val="TableContents"/>
              <w:spacing w:before="0" w:after="283"/>
              <w:rPr>
                <w:sz w:val="4"/>
                <w:szCs w:val="4"/>
              </w:rPr>
            </w:pPr>
            <w:r>
              <w:rPr>
                <w:sz w:val="4"/>
                <w:szCs w:val="4"/>
              </w:rPr>
            </w:r>
          </w:p>
        </w:tc>
        <w:tc>
          <w:tcPr>
            <w:tcW w:w="275" w:type="dxa"/>
            <w:tcBorders/>
            <w:shd w:fill="CCEEFF" w:val="clear"/>
          </w:tcPr>
          <w:p>
            <w:pPr>
              <w:pStyle w:val="TableContents"/>
              <w:spacing w:before="0" w:after="283"/>
              <w:rPr>
                <w:sz w:val="4"/>
                <w:szCs w:val="4"/>
              </w:rPr>
            </w:pPr>
            <w:r>
              <w:rPr>
                <w:sz w:val="4"/>
                <w:szCs w:val="4"/>
              </w:rPr>
            </w:r>
          </w:p>
        </w:tc>
      </w:tr>
      <w:tr>
        <w:trPr/>
        <w:tc>
          <w:tcPr>
            <w:tcW w:w="2270" w:type="dxa"/>
            <w:tcBorders/>
            <w:shd w:fill="auto" w:val="clear"/>
          </w:tcPr>
          <w:p>
            <w:pPr>
              <w:pStyle w:val="TableContents"/>
              <w:spacing w:before="0" w:after="0"/>
              <w:rPr>
                <w:rFonts w:ascii="Times New Roman" w:hAnsi="Times New Roman"/>
                <w:sz w:val="16"/>
              </w:rPr>
            </w:pPr>
            <w:r>
              <w:rPr>
                <w:rFonts w:ascii="Times New Roman" w:hAnsi="Times New Roman"/>
                <w:sz w:val="16"/>
              </w:rPr>
              <w:t>Murchison Oil and Gas, LLC(3)</w:t>
            </w:r>
          </w:p>
        </w:tc>
        <w:tc>
          <w:tcPr>
            <w:tcW w:w="60" w:type="dxa"/>
            <w:tcBorders/>
            <w:shd w:fill="auto" w:val="clear"/>
            <w:vAlign w:val="bottom"/>
          </w:tcPr>
          <w:p>
            <w:pPr>
              <w:pStyle w:val="TableContents"/>
              <w:spacing w:before="0" w:after="283"/>
              <w:rPr/>
            </w:pPr>
            <w:r>
              <w:rPr/>
              <w:t> </w:t>
            </w:r>
          </w:p>
        </w:tc>
        <w:tc>
          <w:tcPr>
            <w:tcW w:w="4820" w:type="dxa"/>
            <w:tcBorders/>
            <w:shd w:fill="auto" w:val="clear"/>
          </w:tcPr>
          <w:p>
            <w:pPr>
              <w:pStyle w:val="TableContents"/>
              <w:spacing w:before="0" w:after="283"/>
              <w:rPr/>
            </w:pPr>
            <w:r>
              <w:rPr/>
              <w:t>First-lien loan ($26,873 par, due 6/2026)</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115" w:type="dxa"/>
            <w:tcBorders/>
            <w:shd w:fill="auto" w:val="clear"/>
          </w:tcPr>
          <w:p>
            <w:pPr>
              <w:pStyle w:val="TableContents"/>
              <w:spacing w:before="0" w:after="283"/>
              <w:jc w:val="right"/>
              <w:rPr/>
            </w:pPr>
            <w:r>
              <w:rPr/>
              <w:t>6/30/2022</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310" w:type="dxa"/>
            <w:tcBorders/>
            <w:shd w:fill="auto" w:val="clear"/>
          </w:tcPr>
          <w:p>
            <w:pPr>
              <w:pStyle w:val="TableContents"/>
              <w:spacing w:before="0" w:after="283"/>
              <w:jc w:val="right"/>
              <w:rPr/>
            </w:pPr>
            <w:r>
              <w:rPr/>
              <w:t>SOFR + 8.50</w:t>
            </w:r>
          </w:p>
        </w:tc>
        <w:tc>
          <w:tcPr>
            <w:tcW w:w="27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95" w:type="dxa"/>
            <w:tcBorders/>
            <w:shd w:fill="auto" w:val="clear"/>
          </w:tcPr>
          <w:p>
            <w:pPr>
              <w:pStyle w:val="TableContents"/>
              <w:spacing w:before="0" w:after="283"/>
              <w:jc w:val="right"/>
              <w:rPr/>
            </w:pPr>
            <w:r>
              <w:rPr/>
              <w:t>12.20%</w:t>
            </w:r>
          </w:p>
        </w:tc>
        <w:tc>
          <w:tcPr>
            <w:tcW w:w="60" w:type="dxa"/>
            <w:tcBorders/>
            <w:shd w:fill="auto" w:val="clear"/>
            <w:vAlign w:val="bottom"/>
          </w:tcPr>
          <w:p>
            <w:pPr>
              <w:pStyle w:val="TableContents"/>
              <w:spacing w:before="0" w:after="283"/>
              <w:rPr/>
            </w:pPr>
            <w:r>
              <w:rPr/>
              <w:t> </w:t>
            </w:r>
          </w:p>
        </w:tc>
        <w:tc>
          <w:tcPr>
            <w:tcW w:w="76" w:type="dxa"/>
            <w:tcBorders/>
            <w:shd w:fill="auto" w:val="clear"/>
          </w:tcPr>
          <w:p>
            <w:pPr>
              <w:pStyle w:val="TableContents"/>
              <w:spacing w:before="0" w:after="283"/>
              <w:rPr/>
            </w:pPr>
            <w:r>
              <w:rPr/>
              <w:t> </w:t>
            </w:r>
          </w:p>
        </w:tc>
        <w:tc>
          <w:tcPr>
            <w:tcW w:w="1024" w:type="dxa"/>
            <w:tcBorders/>
            <w:shd w:fill="auto" w:val="clear"/>
          </w:tcPr>
          <w:p>
            <w:pPr>
              <w:pStyle w:val="TableContents"/>
              <w:spacing w:before="0" w:after="283"/>
              <w:jc w:val="right"/>
              <w:rPr/>
            </w:pPr>
            <w:r>
              <w:rPr/>
              <w:t>26,307</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122" w:type="dxa"/>
            <w:tcBorders/>
            <w:shd w:fill="auto" w:val="clear"/>
          </w:tcPr>
          <w:p>
            <w:pPr>
              <w:pStyle w:val="TableContents"/>
              <w:spacing w:before="0" w:after="283"/>
              <w:jc w:val="right"/>
              <w:rPr/>
            </w:pPr>
            <w:r>
              <w:rPr/>
              <w:t>26,323</w:t>
            </w:r>
          </w:p>
        </w:tc>
        <w:tc>
          <w:tcPr>
            <w:tcW w:w="12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tcPr>
          <w:p>
            <w:pPr>
              <w:pStyle w:val="TableContents"/>
              <w:spacing w:before="0" w:after="283"/>
              <w:rPr/>
            </w:pPr>
            <w:r>
              <w:rPr/>
              <w:t> </w:t>
            </w:r>
          </w:p>
        </w:tc>
        <w:tc>
          <w:tcPr>
            <w:tcW w:w="1166" w:type="dxa"/>
            <w:tcBorders/>
            <w:shd w:fill="auto" w:val="clear"/>
          </w:tcPr>
          <w:p>
            <w:pPr>
              <w:pStyle w:val="TableContents"/>
              <w:spacing w:before="0" w:after="283"/>
              <w:jc w:val="right"/>
              <w:rPr/>
            </w:pPr>
            <w:r>
              <w:rPr/>
              <w:t>2.0</w:t>
            </w:r>
          </w:p>
        </w:tc>
        <w:tc>
          <w:tcPr>
            <w:tcW w:w="275" w:type="dxa"/>
            <w:tcBorders/>
            <w:shd w:fill="auto" w:val="clear"/>
          </w:tcPr>
          <w:p>
            <w:pPr>
              <w:pStyle w:val="TableContents"/>
              <w:spacing w:before="0" w:after="283"/>
              <w:rPr/>
            </w:pPr>
            <w:r>
              <w:rPr/>
              <w:t>% </w:t>
            </w:r>
          </w:p>
        </w:tc>
      </w:tr>
      <w:tr>
        <w:trPr/>
        <w:tc>
          <w:tcPr>
            <w:tcW w:w="2270" w:type="dxa"/>
            <w:tcBorders/>
            <w:shd w:fill="CCEEFF" w:val="clear"/>
          </w:tcPr>
          <w:p>
            <w:pPr>
              <w:pStyle w:val="TableContents"/>
              <w:spacing w:before="0" w:after="0"/>
              <w:rPr>
                <w:rFonts w:ascii="Times New Roman" w:hAnsi="Times New Roman"/>
                <w:sz w:val="16"/>
              </w:rPr>
            </w:pPr>
            <w:r>
              <w:rPr>
                <w:rFonts w:ascii="Times New Roman" w:hAnsi="Times New Roman"/>
                <w:sz w:val="16"/>
              </w:rPr>
              <w:t>TRP Assets, LLC(3)</w:t>
            </w:r>
          </w:p>
        </w:tc>
        <w:tc>
          <w:tcPr>
            <w:tcW w:w="60" w:type="dxa"/>
            <w:tcBorders/>
            <w:shd w:fill="CCEEFF" w:val="clear"/>
            <w:vAlign w:val="bottom"/>
          </w:tcPr>
          <w:p>
            <w:pPr>
              <w:pStyle w:val="TableContents"/>
              <w:spacing w:before="0" w:after="283"/>
              <w:rPr/>
            </w:pPr>
            <w:r>
              <w:rPr/>
              <w:t> </w:t>
            </w:r>
          </w:p>
        </w:tc>
        <w:tc>
          <w:tcPr>
            <w:tcW w:w="4820" w:type="dxa"/>
            <w:tcBorders/>
            <w:shd w:fill="CCEEFF" w:val="clear"/>
          </w:tcPr>
          <w:p>
            <w:pPr>
              <w:pStyle w:val="TableContents"/>
              <w:spacing w:before="0" w:after="283"/>
              <w:rPr/>
            </w:pPr>
            <w:r>
              <w:rPr/>
              <w:t>First-lien loan ($46,364 par, due 12/2025)</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115" w:type="dxa"/>
            <w:tcBorders/>
            <w:shd w:fill="CCEEFF" w:val="clear"/>
          </w:tcPr>
          <w:p>
            <w:pPr>
              <w:pStyle w:val="TableContents"/>
              <w:spacing w:before="0" w:after="283"/>
              <w:jc w:val="right"/>
              <w:rPr/>
            </w:pPr>
            <w:r>
              <w:rPr/>
              <w:t>12/3/2021</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310" w:type="dxa"/>
            <w:tcBorders/>
            <w:shd w:fill="CCEEFF" w:val="clear"/>
          </w:tcPr>
          <w:p>
            <w:pPr>
              <w:pStyle w:val="TableContents"/>
              <w:spacing w:before="0" w:after="283"/>
              <w:jc w:val="right"/>
              <w:rPr/>
            </w:pPr>
            <w:r>
              <w:rPr/>
              <w:t>SOFR + 7.76</w:t>
            </w:r>
          </w:p>
        </w:tc>
        <w:tc>
          <w:tcPr>
            <w:tcW w:w="27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95" w:type="dxa"/>
            <w:tcBorders/>
            <w:shd w:fill="CCEEFF" w:val="clear"/>
          </w:tcPr>
          <w:p>
            <w:pPr>
              <w:pStyle w:val="TableContents"/>
              <w:spacing w:before="0" w:after="283"/>
              <w:jc w:val="right"/>
              <w:rPr/>
            </w:pPr>
            <w:r>
              <w:rPr/>
              <w:t>11.31%</w:t>
            </w:r>
          </w:p>
        </w:tc>
        <w:tc>
          <w:tcPr>
            <w:tcW w:w="60" w:type="dxa"/>
            <w:tcBorders/>
            <w:shd w:fill="CCEEFF" w:val="clear"/>
            <w:vAlign w:val="bottom"/>
          </w:tcPr>
          <w:p>
            <w:pPr>
              <w:pStyle w:val="TableContents"/>
              <w:spacing w:before="0" w:after="283"/>
              <w:rPr/>
            </w:pPr>
            <w:r>
              <w:rPr/>
              <w:t> </w:t>
            </w:r>
          </w:p>
        </w:tc>
        <w:tc>
          <w:tcPr>
            <w:tcW w:w="76" w:type="dxa"/>
            <w:tcBorders/>
            <w:shd w:fill="CCEEFF" w:val="clear"/>
          </w:tcPr>
          <w:p>
            <w:pPr>
              <w:pStyle w:val="TableContents"/>
              <w:spacing w:before="0" w:after="283"/>
              <w:rPr/>
            </w:pPr>
            <w:r>
              <w:rPr/>
              <w:t> </w:t>
            </w:r>
          </w:p>
        </w:tc>
        <w:tc>
          <w:tcPr>
            <w:tcW w:w="1024" w:type="dxa"/>
            <w:tcBorders/>
            <w:shd w:fill="CCEEFF" w:val="clear"/>
          </w:tcPr>
          <w:p>
            <w:pPr>
              <w:pStyle w:val="TableContents"/>
              <w:spacing w:before="0" w:after="283"/>
              <w:jc w:val="right"/>
              <w:rPr/>
            </w:pPr>
            <w:r>
              <w:rPr/>
              <w:t>45,546</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 w:type="dxa"/>
            <w:tcBorders/>
            <w:shd w:fill="CCEEFF" w:val="clear"/>
          </w:tcPr>
          <w:p>
            <w:pPr>
              <w:pStyle w:val="TableContents"/>
              <w:spacing w:before="0" w:after="283"/>
              <w:rPr/>
            </w:pPr>
            <w:r>
              <w:rPr/>
              <w:t> </w:t>
            </w:r>
          </w:p>
        </w:tc>
        <w:tc>
          <w:tcPr>
            <w:tcW w:w="1122" w:type="dxa"/>
            <w:tcBorders/>
            <w:shd w:fill="CCEEFF" w:val="clear"/>
          </w:tcPr>
          <w:p>
            <w:pPr>
              <w:pStyle w:val="TableContents"/>
              <w:spacing w:before="0" w:after="283"/>
              <w:jc w:val="right"/>
              <w:rPr/>
            </w:pPr>
            <w:r>
              <w:rPr/>
              <w:t>46,664</w:t>
            </w:r>
          </w:p>
        </w:tc>
        <w:tc>
          <w:tcPr>
            <w:tcW w:w="12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tcPr>
          <w:p>
            <w:pPr>
              <w:pStyle w:val="TableContents"/>
              <w:spacing w:before="0" w:after="283"/>
              <w:rPr/>
            </w:pPr>
            <w:r>
              <w:rPr/>
              <w:t> </w:t>
            </w:r>
          </w:p>
        </w:tc>
        <w:tc>
          <w:tcPr>
            <w:tcW w:w="1166" w:type="dxa"/>
            <w:tcBorders/>
            <w:shd w:fill="CCEEFF" w:val="clear"/>
          </w:tcPr>
          <w:p>
            <w:pPr>
              <w:pStyle w:val="TableContents"/>
              <w:spacing w:before="0" w:after="283"/>
              <w:jc w:val="right"/>
              <w:rPr/>
            </w:pPr>
            <w:r>
              <w:rPr/>
              <w:t>3.5</w:t>
            </w:r>
          </w:p>
        </w:tc>
        <w:tc>
          <w:tcPr>
            <w:tcW w:w="275" w:type="dxa"/>
            <w:tcBorders/>
            <w:shd w:fill="CCEEFF" w:val="clear"/>
          </w:tcPr>
          <w:p>
            <w:pPr>
              <w:pStyle w:val="TableContents"/>
              <w:spacing w:before="0" w:after="283"/>
              <w:rPr/>
            </w:pPr>
            <w:r>
              <w:rPr/>
              <w:t>% </w:t>
            </w:r>
          </w:p>
        </w:tc>
      </w:tr>
      <w:tr>
        <w:trPr/>
        <w:tc>
          <w:tcPr>
            <w:tcW w:w="227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8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1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31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9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02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pBdr>
                <w:top w:val="single" w:sz="2" w:space="1" w:color="000000"/>
              </w:pBdr>
              <w:spacing w:before="0" w:after="0"/>
              <w:rPr/>
            </w:pPr>
            <w:r>
              <w:rPr/>
              <w:t> </w:t>
            </w:r>
          </w:p>
        </w:tc>
        <w:tc>
          <w:tcPr>
            <w:tcW w:w="1122" w:type="dxa"/>
            <w:tcBorders/>
            <w:shd w:fill="auto" w:val="clear"/>
            <w:vAlign w:val="bottom"/>
          </w:tcPr>
          <w:p>
            <w:pPr>
              <w:pStyle w:val="TableContents"/>
              <w:pBdr>
                <w:top w:val="single" w:sz="2" w:space="1" w:color="000000"/>
              </w:pBdr>
              <w:spacing w:before="0" w:after="0"/>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single" w:sz="2" w:space="1" w:color="000000"/>
              </w:pBdr>
              <w:spacing w:before="0" w:after="0"/>
              <w:rPr/>
            </w:pPr>
            <w:r>
              <w:rPr/>
              <w:t> </w:t>
            </w:r>
          </w:p>
        </w:tc>
        <w:tc>
          <w:tcPr>
            <w:tcW w:w="1166" w:type="dxa"/>
            <w:tcBorders/>
            <w:shd w:fill="auto" w:val="clear"/>
            <w:vAlign w:val="bottom"/>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r>
      <w:tr>
        <w:trPr/>
        <w:tc>
          <w:tcPr>
            <w:tcW w:w="227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82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1115"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1310" w:type="dxa"/>
            <w:tcBorders/>
            <w:shd w:fill="auto" w:val="clear"/>
          </w:tcPr>
          <w:p>
            <w:pPr>
              <w:pStyle w:val="TableContents"/>
              <w:spacing w:before="0" w:after="283"/>
              <w:rPr>
                <w:sz w:val="4"/>
                <w:szCs w:val="4"/>
              </w:rPr>
            </w:pPr>
            <w:r>
              <w:rPr>
                <w:sz w:val="4"/>
                <w:szCs w:val="4"/>
              </w:rPr>
            </w:r>
          </w:p>
        </w:tc>
        <w:tc>
          <w:tcPr>
            <w:tcW w:w="27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9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6" w:type="dxa"/>
            <w:tcBorders/>
            <w:shd w:fill="auto" w:val="clear"/>
          </w:tcPr>
          <w:p>
            <w:pPr>
              <w:pStyle w:val="TableContents"/>
              <w:spacing w:before="0" w:after="283"/>
              <w:rPr/>
            </w:pPr>
            <w:r>
              <w:rPr/>
              <w:t> </w:t>
            </w:r>
          </w:p>
        </w:tc>
        <w:tc>
          <w:tcPr>
            <w:tcW w:w="1024" w:type="dxa"/>
            <w:tcBorders/>
            <w:shd w:fill="auto" w:val="clear"/>
          </w:tcPr>
          <w:p>
            <w:pPr>
              <w:pStyle w:val="TableContents"/>
              <w:spacing w:before="0" w:after="283"/>
              <w:jc w:val="right"/>
              <w:rPr/>
            </w:pPr>
            <w:r>
              <w:rPr/>
              <w:t>71,853</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122" w:type="dxa"/>
            <w:tcBorders/>
            <w:shd w:fill="auto" w:val="clear"/>
          </w:tcPr>
          <w:p>
            <w:pPr>
              <w:pStyle w:val="TableContents"/>
              <w:spacing w:before="0" w:after="283"/>
              <w:jc w:val="right"/>
              <w:rPr/>
            </w:pPr>
            <w:r>
              <w:rPr/>
              <w:t>72,987</w:t>
            </w:r>
          </w:p>
        </w:tc>
        <w:tc>
          <w:tcPr>
            <w:tcW w:w="12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tcPr>
          <w:p>
            <w:pPr>
              <w:pStyle w:val="TableContents"/>
              <w:spacing w:before="0" w:after="283"/>
              <w:rPr/>
            </w:pPr>
            <w:r>
              <w:rPr/>
              <w:t> </w:t>
            </w:r>
          </w:p>
        </w:tc>
        <w:tc>
          <w:tcPr>
            <w:tcW w:w="1166" w:type="dxa"/>
            <w:tcBorders/>
            <w:shd w:fill="auto" w:val="clear"/>
          </w:tcPr>
          <w:p>
            <w:pPr>
              <w:pStyle w:val="TableContents"/>
              <w:spacing w:before="0" w:after="283"/>
              <w:jc w:val="right"/>
              <w:rPr/>
            </w:pPr>
            <w:r>
              <w:rPr/>
              <w:t>5.5</w:t>
            </w:r>
          </w:p>
        </w:tc>
        <w:tc>
          <w:tcPr>
            <w:tcW w:w="275" w:type="dxa"/>
            <w:tcBorders/>
            <w:shd w:fill="auto" w:val="clear"/>
          </w:tcPr>
          <w:p>
            <w:pPr>
              <w:pStyle w:val="TableContents"/>
              <w:spacing w:before="0" w:after="283"/>
              <w:rPr/>
            </w:pPr>
            <w:r>
              <w:rPr/>
              <w:t>% </w:t>
            </w:r>
          </w:p>
        </w:tc>
      </w:tr>
      <w:tr>
        <w:trPr/>
        <w:tc>
          <w:tcPr>
            <w:tcW w:w="227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8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1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31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9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02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pBdr>
                <w:top w:val="single" w:sz="2" w:space="1" w:color="000000"/>
              </w:pBdr>
              <w:spacing w:before="0" w:after="0"/>
              <w:rPr/>
            </w:pPr>
            <w:r>
              <w:rPr/>
              <w:t> </w:t>
            </w:r>
          </w:p>
        </w:tc>
        <w:tc>
          <w:tcPr>
            <w:tcW w:w="1122" w:type="dxa"/>
            <w:tcBorders/>
            <w:shd w:fill="auto" w:val="clear"/>
            <w:vAlign w:val="bottom"/>
          </w:tcPr>
          <w:p>
            <w:pPr>
              <w:pStyle w:val="TableContents"/>
              <w:pBdr>
                <w:top w:val="single" w:sz="2" w:space="1" w:color="000000"/>
              </w:pBdr>
              <w:spacing w:before="0" w:after="0"/>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single" w:sz="2" w:space="1" w:color="000000"/>
              </w:pBdr>
              <w:spacing w:before="0" w:after="0"/>
              <w:rPr/>
            </w:pPr>
            <w:r>
              <w:rPr/>
              <w:t> </w:t>
            </w:r>
          </w:p>
        </w:tc>
        <w:tc>
          <w:tcPr>
            <w:tcW w:w="1166" w:type="dxa"/>
            <w:tcBorders/>
            <w:shd w:fill="auto" w:val="clear"/>
            <w:vAlign w:val="bottom"/>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r>
      <w:tr>
        <w:trPr/>
        <w:tc>
          <w:tcPr>
            <w:tcW w:w="2270" w:type="dxa"/>
            <w:tcBorders/>
            <w:shd w:fill="CCEEFF" w:val="clear"/>
          </w:tcPr>
          <w:p>
            <w:pPr>
              <w:pStyle w:val="TableContents"/>
              <w:spacing w:before="0" w:after="0"/>
              <w:rPr>
                <w:rFonts w:ascii="Times New Roman" w:hAnsi="Times New Roman"/>
                <w:b/>
                <w:sz w:val="16"/>
              </w:rPr>
            </w:pPr>
            <w:r>
              <w:rPr>
                <w:rFonts w:ascii="Times New Roman" w:hAnsi="Times New Roman"/>
                <w:b/>
                <w:sz w:val="16"/>
              </w:rPr>
              <w:t>Other</w:t>
            </w:r>
          </w:p>
        </w:tc>
        <w:tc>
          <w:tcPr>
            <w:tcW w:w="60" w:type="dxa"/>
            <w:tcBorders/>
            <w:shd w:fill="CCEEFF" w:val="clear"/>
            <w:vAlign w:val="bottom"/>
          </w:tcPr>
          <w:p>
            <w:pPr>
              <w:pStyle w:val="TableContents"/>
              <w:spacing w:before="0" w:after="283"/>
              <w:rPr/>
            </w:pPr>
            <w:r>
              <w:rPr/>
              <w:t> </w:t>
            </w:r>
          </w:p>
        </w:tc>
        <w:tc>
          <w:tcPr>
            <w:tcW w:w="482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sz w:val="4"/>
                <w:szCs w:val="4"/>
              </w:rPr>
            </w:pPr>
            <w:r>
              <w:rPr>
                <w:sz w:val="4"/>
                <w:szCs w:val="4"/>
              </w:rPr>
            </w:r>
          </w:p>
        </w:tc>
        <w:tc>
          <w:tcPr>
            <w:tcW w:w="1115" w:type="dxa"/>
            <w:tcBorders/>
            <w:shd w:fill="CCEEFF" w:val="clear"/>
          </w:tcPr>
          <w:p>
            <w:pPr>
              <w:pStyle w:val="TableContents"/>
              <w:spacing w:before="0" w:after="283"/>
              <w:rPr>
                <w:sz w:val="4"/>
                <w:szCs w:val="4"/>
              </w:rPr>
            </w:pPr>
            <w:r>
              <w:rPr>
                <w:sz w:val="4"/>
                <w:szCs w:val="4"/>
              </w:rPr>
            </w:r>
          </w:p>
        </w:tc>
        <w:tc>
          <w:tcPr>
            <w:tcW w:w="6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sz w:val="4"/>
                <w:szCs w:val="4"/>
              </w:rPr>
            </w:pPr>
            <w:r>
              <w:rPr>
                <w:sz w:val="4"/>
                <w:szCs w:val="4"/>
              </w:rPr>
            </w:r>
          </w:p>
        </w:tc>
        <w:tc>
          <w:tcPr>
            <w:tcW w:w="1310" w:type="dxa"/>
            <w:tcBorders/>
            <w:shd w:fill="CCEEFF" w:val="clear"/>
          </w:tcPr>
          <w:p>
            <w:pPr>
              <w:pStyle w:val="TableContents"/>
              <w:spacing w:before="0" w:after="283"/>
              <w:rPr>
                <w:sz w:val="4"/>
                <w:szCs w:val="4"/>
              </w:rPr>
            </w:pPr>
            <w:r>
              <w:rPr>
                <w:sz w:val="4"/>
                <w:szCs w:val="4"/>
              </w:rPr>
            </w:r>
          </w:p>
        </w:tc>
        <w:tc>
          <w:tcPr>
            <w:tcW w:w="27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9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6" w:type="dxa"/>
            <w:tcBorders/>
            <w:shd w:fill="CCEEFF" w:val="clear"/>
          </w:tcPr>
          <w:p>
            <w:pPr>
              <w:pStyle w:val="TableContents"/>
              <w:spacing w:before="0" w:after="283"/>
              <w:rPr>
                <w:sz w:val="4"/>
                <w:szCs w:val="4"/>
              </w:rPr>
            </w:pPr>
            <w:r>
              <w:rPr>
                <w:sz w:val="4"/>
                <w:szCs w:val="4"/>
              </w:rPr>
            </w:r>
          </w:p>
        </w:tc>
        <w:tc>
          <w:tcPr>
            <w:tcW w:w="1024" w:type="dxa"/>
            <w:tcBorders/>
            <w:shd w:fill="CCEEFF" w:val="clear"/>
          </w:tcPr>
          <w:p>
            <w:pPr>
              <w:pStyle w:val="TableContents"/>
              <w:spacing w:before="0" w:after="283"/>
              <w:rPr>
                <w:sz w:val="4"/>
                <w:szCs w:val="4"/>
              </w:rPr>
            </w:pPr>
            <w:r>
              <w:rPr>
                <w:sz w:val="4"/>
                <w:szCs w:val="4"/>
              </w:rPr>
            </w:r>
          </w:p>
        </w:tc>
        <w:tc>
          <w:tcPr>
            <w:tcW w:w="6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8" w:type="dxa"/>
            <w:tcBorders/>
            <w:shd w:fill="CCEEFF" w:val="clear"/>
          </w:tcPr>
          <w:p>
            <w:pPr>
              <w:pStyle w:val="TableContents"/>
              <w:spacing w:before="0" w:after="283"/>
              <w:rPr>
                <w:sz w:val="4"/>
                <w:szCs w:val="4"/>
              </w:rPr>
            </w:pPr>
            <w:r>
              <w:rPr>
                <w:sz w:val="4"/>
                <w:szCs w:val="4"/>
              </w:rPr>
            </w:r>
          </w:p>
        </w:tc>
        <w:tc>
          <w:tcPr>
            <w:tcW w:w="1122" w:type="dxa"/>
            <w:tcBorders/>
            <w:shd w:fill="CCEEFF" w:val="clear"/>
          </w:tcPr>
          <w:p>
            <w:pPr>
              <w:pStyle w:val="TableContents"/>
              <w:spacing w:before="0" w:after="283"/>
              <w:rPr>
                <w:sz w:val="4"/>
                <w:szCs w:val="4"/>
              </w:rPr>
            </w:pPr>
            <w:r>
              <w:rPr>
                <w:sz w:val="4"/>
                <w:szCs w:val="4"/>
              </w:rPr>
            </w:r>
          </w:p>
        </w:tc>
        <w:tc>
          <w:tcPr>
            <w:tcW w:w="12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59" w:type="dxa"/>
            <w:tcBorders/>
            <w:shd w:fill="CCEEFF" w:val="clear"/>
          </w:tcPr>
          <w:p>
            <w:pPr>
              <w:pStyle w:val="TableContents"/>
              <w:spacing w:before="0" w:after="283"/>
              <w:rPr>
                <w:sz w:val="4"/>
                <w:szCs w:val="4"/>
              </w:rPr>
            </w:pPr>
            <w:r>
              <w:rPr>
                <w:sz w:val="4"/>
                <w:szCs w:val="4"/>
              </w:rPr>
            </w:r>
          </w:p>
        </w:tc>
        <w:tc>
          <w:tcPr>
            <w:tcW w:w="1166" w:type="dxa"/>
            <w:tcBorders/>
            <w:shd w:fill="CCEEFF" w:val="clear"/>
          </w:tcPr>
          <w:p>
            <w:pPr>
              <w:pStyle w:val="TableContents"/>
              <w:spacing w:before="0" w:after="283"/>
              <w:rPr>
                <w:sz w:val="4"/>
                <w:szCs w:val="4"/>
              </w:rPr>
            </w:pPr>
            <w:r>
              <w:rPr>
                <w:sz w:val="4"/>
                <w:szCs w:val="4"/>
              </w:rPr>
            </w:r>
          </w:p>
        </w:tc>
        <w:tc>
          <w:tcPr>
            <w:tcW w:w="275" w:type="dxa"/>
            <w:tcBorders/>
            <w:shd w:fill="CCEEFF" w:val="clear"/>
          </w:tcPr>
          <w:p>
            <w:pPr>
              <w:pStyle w:val="TableContents"/>
              <w:spacing w:before="0" w:after="283"/>
              <w:rPr>
                <w:sz w:val="4"/>
                <w:szCs w:val="4"/>
              </w:rPr>
            </w:pPr>
            <w:r>
              <w:rPr>
                <w:sz w:val="4"/>
                <w:szCs w:val="4"/>
              </w:rPr>
            </w:r>
          </w:p>
        </w:tc>
      </w:tr>
      <w:tr>
        <w:trPr/>
        <w:tc>
          <w:tcPr>
            <w:tcW w:w="2270" w:type="dxa"/>
            <w:tcBorders/>
            <w:shd w:fill="auto" w:val="clear"/>
          </w:tcPr>
          <w:p>
            <w:pPr>
              <w:pStyle w:val="TableContents"/>
              <w:spacing w:before="0" w:after="0"/>
              <w:rPr>
                <w:rFonts w:ascii="Times New Roman" w:hAnsi="Times New Roman"/>
                <w:sz w:val="16"/>
              </w:rPr>
            </w:pPr>
            <w:r>
              <w:rPr>
                <w:rFonts w:ascii="Times New Roman" w:hAnsi="Times New Roman"/>
                <w:sz w:val="16"/>
              </w:rPr>
              <w:t>Omnigo Software, LLC(3)(5)</w:t>
            </w:r>
          </w:p>
        </w:tc>
        <w:tc>
          <w:tcPr>
            <w:tcW w:w="60" w:type="dxa"/>
            <w:tcBorders/>
            <w:shd w:fill="auto" w:val="clear"/>
            <w:vAlign w:val="bottom"/>
          </w:tcPr>
          <w:p>
            <w:pPr>
              <w:pStyle w:val="TableContents"/>
              <w:spacing w:before="0" w:after="283"/>
              <w:rPr/>
            </w:pPr>
            <w:r>
              <w:rPr/>
              <w:t> </w:t>
            </w:r>
          </w:p>
        </w:tc>
        <w:tc>
          <w:tcPr>
            <w:tcW w:w="4820" w:type="dxa"/>
            <w:tcBorders/>
            <w:shd w:fill="auto" w:val="clear"/>
          </w:tcPr>
          <w:p>
            <w:pPr>
              <w:pStyle w:val="TableContents"/>
              <w:spacing w:before="0" w:after="283"/>
              <w:rPr/>
            </w:pPr>
            <w:r>
              <w:rPr/>
              <w:t>First-lien loan ($40,455 par, due 3/2026)</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115" w:type="dxa"/>
            <w:tcBorders/>
            <w:shd w:fill="auto" w:val="clear"/>
          </w:tcPr>
          <w:p>
            <w:pPr>
              <w:pStyle w:val="TableContents"/>
              <w:spacing w:before="0" w:after="283"/>
              <w:jc w:val="right"/>
              <w:rPr/>
            </w:pPr>
            <w:r>
              <w:rPr/>
              <w:t>3/31/2021</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310" w:type="dxa"/>
            <w:tcBorders/>
            <w:shd w:fill="auto" w:val="clear"/>
          </w:tcPr>
          <w:p>
            <w:pPr>
              <w:pStyle w:val="TableContents"/>
              <w:spacing w:before="0" w:after="283"/>
              <w:jc w:val="right"/>
              <w:rPr/>
            </w:pPr>
            <w:r>
              <w:rPr/>
              <w:t>SOFR + 6.60</w:t>
            </w:r>
          </w:p>
        </w:tc>
        <w:tc>
          <w:tcPr>
            <w:tcW w:w="27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95" w:type="dxa"/>
            <w:tcBorders/>
            <w:shd w:fill="auto" w:val="clear"/>
          </w:tcPr>
          <w:p>
            <w:pPr>
              <w:pStyle w:val="TableContents"/>
              <w:spacing w:before="0" w:after="283"/>
              <w:jc w:val="right"/>
              <w:rPr/>
            </w:pPr>
            <w:r>
              <w:rPr/>
              <w:t>9.63%</w:t>
            </w:r>
          </w:p>
        </w:tc>
        <w:tc>
          <w:tcPr>
            <w:tcW w:w="60" w:type="dxa"/>
            <w:tcBorders/>
            <w:shd w:fill="auto" w:val="clear"/>
            <w:vAlign w:val="bottom"/>
          </w:tcPr>
          <w:p>
            <w:pPr>
              <w:pStyle w:val="TableContents"/>
              <w:spacing w:before="0" w:after="283"/>
              <w:rPr/>
            </w:pPr>
            <w:r>
              <w:rPr/>
              <w:t> </w:t>
            </w:r>
          </w:p>
        </w:tc>
        <w:tc>
          <w:tcPr>
            <w:tcW w:w="76" w:type="dxa"/>
            <w:tcBorders/>
            <w:shd w:fill="auto" w:val="clear"/>
          </w:tcPr>
          <w:p>
            <w:pPr>
              <w:pStyle w:val="TableContents"/>
              <w:spacing w:before="0" w:after="283"/>
              <w:rPr/>
            </w:pPr>
            <w:r>
              <w:rPr/>
              <w:t> </w:t>
            </w:r>
          </w:p>
        </w:tc>
        <w:tc>
          <w:tcPr>
            <w:tcW w:w="1024" w:type="dxa"/>
            <w:tcBorders/>
            <w:shd w:fill="auto" w:val="clear"/>
          </w:tcPr>
          <w:p>
            <w:pPr>
              <w:pStyle w:val="TableContents"/>
              <w:spacing w:before="0" w:after="283"/>
              <w:jc w:val="right"/>
              <w:rPr/>
            </w:pPr>
            <w:r>
              <w:rPr/>
              <w:t>39,710</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122" w:type="dxa"/>
            <w:tcBorders/>
            <w:shd w:fill="auto" w:val="clear"/>
          </w:tcPr>
          <w:p>
            <w:pPr>
              <w:pStyle w:val="TableContents"/>
              <w:spacing w:before="0" w:after="283"/>
              <w:jc w:val="right"/>
              <w:rPr/>
            </w:pPr>
            <w:r>
              <w:rPr/>
              <w:t>39,545</w:t>
            </w:r>
          </w:p>
        </w:tc>
        <w:tc>
          <w:tcPr>
            <w:tcW w:w="12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tcPr>
          <w:p>
            <w:pPr>
              <w:pStyle w:val="TableContents"/>
              <w:spacing w:before="0" w:after="283"/>
              <w:rPr/>
            </w:pPr>
            <w:r>
              <w:rPr/>
              <w:t> </w:t>
            </w:r>
          </w:p>
        </w:tc>
        <w:tc>
          <w:tcPr>
            <w:tcW w:w="1166" w:type="dxa"/>
            <w:tcBorders/>
            <w:shd w:fill="auto" w:val="clear"/>
          </w:tcPr>
          <w:p>
            <w:pPr>
              <w:pStyle w:val="TableContents"/>
              <w:spacing w:before="0" w:after="283"/>
              <w:jc w:val="right"/>
              <w:rPr/>
            </w:pPr>
            <w:r>
              <w:rPr/>
              <w:t>3.0</w:t>
            </w:r>
          </w:p>
        </w:tc>
        <w:tc>
          <w:tcPr>
            <w:tcW w:w="275" w:type="dxa"/>
            <w:tcBorders/>
            <w:shd w:fill="auto" w:val="clear"/>
          </w:tcPr>
          <w:p>
            <w:pPr>
              <w:pStyle w:val="TableContents"/>
              <w:spacing w:before="0" w:after="283"/>
              <w:rPr/>
            </w:pPr>
            <w:r>
              <w:rPr/>
              <w:t>% </w:t>
            </w:r>
          </w:p>
        </w:tc>
      </w:tr>
      <w:tr>
        <w:trPr/>
        <w:tc>
          <w:tcPr>
            <w:tcW w:w="2270" w:type="dxa"/>
            <w:tcBorders/>
            <w:shd w:fill="CCEEFF" w:val="clear"/>
          </w:tcPr>
          <w:p>
            <w:pPr>
              <w:pStyle w:val="TableContents"/>
              <w:spacing w:before="0" w:after="0"/>
              <w:rPr>
                <w:rFonts w:ascii="Times New Roman" w:hAnsi="Times New Roman"/>
                <w:b/>
                <w:sz w:val="16"/>
              </w:rPr>
            </w:pPr>
            <w:r>
              <w:rPr>
                <w:rFonts w:ascii="Times New Roman" w:hAnsi="Times New Roman"/>
                <w:b/>
                <w:sz w:val="16"/>
              </w:rPr>
              <w:t>Pharmaceuticals</w:t>
            </w:r>
          </w:p>
        </w:tc>
        <w:tc>
          <w:tcPr>
            <w:tcW w:w="60" w:type="dxa"/>
            <w:tcBorders/>
            <w:shd w:fill="CCEEFF" w:val="clear"/>
            <w:vAlign w:val="bottom"/>
          </w:tcPr>
          <w:p>
            <w:pPr>
              <w:pStyle w:val="TableContents"/>
              <w:spacing w:before="0" w:after="283"/>
              <w:rPr/>
            </w:pPr>
            <w:r>
              <w:rPr/>
              <w:t> </w:t>
            </w:r>
          </w:p>
        </w:tc>
        <w:tc>
          <w:tcPr>
            <w:tcW w:w="482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sz w:val="4"/>
                <w:szCs w:val="4"/>
              </w:rPr>
            </w:pPr>
            <w:r>
              <w:rPr>
                <w:sz w:val="4"/>
                <w:szCs w:val="4"/>
              </w:rPr>
            </w:r>
          </w:p>
        </w:tc>
        <w:tc>
          <w:tcPr>
            <w:tcW w:w="1115" w:type="dxa"/>
            <w:tcBorders/>
            <w:shd w:fill="CCEEFF" w:val="clear"/>
          </w:tcPr>
          <w:p>
            <w:pPr>
              <w:pStyle w:val="TableContents"/>
              <w:spacing w:before="0" w:after="283"/>
              <w:rPr>
                <w:sz w:val="4"/>
                <w:szCs w:val="4"/>
              </w:rPr>
            </w:pPr>
            <w:r>
              <w:rPr>
                <w:sz w:val="4"/>
                <w:szCs w:val="4"/>
              </w:rPr>
            </w:r>
          </w:p>
        </w:tc>
        <w:tc>
          <w:tcPr>
            <w:tcW w:w="6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sz w:val="4"/>
                <w:szCs w:val="4"/>
              </w:rPr>
            </w:pPr>
            <w:r>
              <w:rPr>
                <w:sz w:val="4"/>
                <w:szCs w:val="4"/>
              </w:rPr>
            </w:r>
          </w:p>
        </w:tc>
        <w:tc>
          <w:tcPr>
            <w:tcW w:w="1310" w:type="dxa"/>
            <w:tcBorders/>
            <w:shd w:fill="CCEEFF" w:val="clear"/>
          </w:tcPr>
          <w:p>
            <w:pPr>
              <w:pStyle w:val="TableContents"/>
              <w:spacing w:before="0" w:after="283"/>
              <w:rPr>
                <w:sz w:val="4"/>
                <w:szCs w:val="4"/>
              </w:rPr>
            </w:pPr>
            <w:r>
              <w:rPr>
                <w:sz w:val="4"/>
                <w:szCs w:val="4"/>
              </w:rPr>
            </w:r>
          </w:p>
        </w:tc>
        <w:tc>
          <w:tcPr>
            <w:tcW w:w="27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9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6" w:type="dxa"/>
            <w:tcBorders/>
            <w:shd w:fill="CCEEFF" w:val="clear"/>
          </w:tcPr>
          <w:p>
            <w:pPr>
              <w:pStyle w:val="TableContents"/>
              <w:spacing w:before="0" w:after="283"/>
              <w:rPr>
                <w:sz w:val="4"/>
                <w:szCs w:val="4"/>
              </w:rPr>
            </w:pPr>
            <w:r>
              <w:rPr>
                <w:sz w:val="4"/>
                <w:szCs w:val="4"/>
              </w:rPr>
            </w:r>
          </w:p>
        </w:tc>
        <w:tc>
          <w:tcPr>
            <w:tcW w:w="1024" w:type="dxa"/>
            <w:tcBorders/>
            <w:shd w:fill="CCEEFF" w:val="clear"/>
          </w:tcPr>
          <w:p>
            <w:pPr>
              <w:pStyle w:val="TableContents"/>
              <w:spacing w:before="0" w:after="283"/>
              <w:rPr>
                <w:sz w:val="4"/>
                <w:szCs w:val="4"/>
              </w:rPr>
            </w:pPr>
            <w:r>
              <w:rPr>
                <w:sz w:val="4"/>
                <w:szCs w:val="4"/>
              </w:rPr>
            </w:r>
          </w:p>
        </w:tc>
        <w:tc>
          <w:tcPr>
            <w:tcW w:w="6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8" w:type="dxa"/>
            <w:tcBorders/>
            <w:shd w:fill="CCEEFF" w:val="clear"/>
          </w:tcPr>
          <w:p>
            <w:pPr>
              <w:pStyle w:val="TableContents"/>
              <w:spacing w:before="0" w:after="283"/>
              <w:rPr>
                <w:sz w:val="4"/>
                <w:szCs w:val="4"/>
              </w:rPr>
            </w:pPr>
            <w:r>
              <w:rPr>
                <w:sz w:val="4"/>
                <w:szCs w:val="4"/>
              </w:rPr>
            </w:r>
          </w:p>
        </w:tc>
        <w:tc>
          <w:tcPr>
            <w:tcW w:w="1122" w:type="dxa"/>
            <w:tcBorders/>
            <w:shd w:fill="CCEEFF" w:val="clear"/>
          </w:tcPr>
          <w:p>
            <w:pPr>
              <w:pStyle w:val="TableContents"/>
              <w:spacing w:before="0" w:after="283"/>
              <w:rPr>
                <w:sz w:val="4"/>
                <w:szCs w:val="4"/>
              </w:rPr>
            </w:pPr>
            <w:r>
              <w:rPr>
                <w:sz w:val="4"/>
                <w:szCs w:val="4"/>
              </w:rPr>
            </w:r>
          </w:p>
        </w:tc>
        <w:tc>
          <w:tcPr>
            <w:tcW w:w="12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59" w:type="dxa"/>
            <w:tcBorders/>
            <w:shd w:fill="CCEEFF" w:val="clear"/>
          </w:tcPr>
          <w:p>
            <w:pPr>
              <w:pStyle w:val="TableContents"/>
              <w:spacing w:before="0" w:after="283"/>
              <w:rPr>
                <w:sz w:val="4"/>
                <w:szCs w:val="4"/>
              </w:rPr>
            </w:pPr>
            <w:r>
              <w:rPr>
                <w:sz w:val="4"/>
                <w:szCs w:val="4"/>
              </w:rPr>
            </w:r>
          </w:p>
        </w:tc>
        <w:tc>
          <w:tcPr>
            <w:tcW w:w="1166" w:type="dxa"/>
            <w:tcBorders/>
            <w:shd w:fill="CCEEFF" w:val="clear"/>
          </w:tcPr>
          <w:p>
            <w:pPr>
              <w:pStyle w:val="TableContents"/>
              <w:spacing w:before="0" w:after="283"/>
              <w:rPr>
                <w:sz w:val="4"/>
                <w:szCs w:val="4"/>
              </w:rPr>
            </w:pPr>
            <w:r>
              <w:rPr>
                <w:sz w:val="4"/>
                <w:szCs w:val="4"/>
              </w:rPr>
            </w:r>
          </w:p>
        </w:tc>
        <w:tc>
          <w:tcPr>
            <w:tcW w:w="275" w:type="dxa"/>
            <w:tcBorders/>
            <w:shd w:fill="CCEEFF" w:val="clear"/>
          </w:tcPr>
          <w:p>
            <w:pPr>
              <w:pStyle w:val="TableContents"/>
              <w:spacing w:before="0" w:after="283"/>
              <w:rPr>
                <w:sz w:val="4"/>
                <w:szCs w:val="4"/>
              </w:rPr>
            </w:pPr>
            <w:r>
              <w:rPr>
                <w:sz w:val="4"/>
                <w:szCs w:val="4"/>
              </w:rPr>
            </w:r>
          </w:p>
        </w:tc>
      </w:tr>
      <w:tr>
        <w:trPr/>
        <w:tc>
          <w:tcPr>
            <w:tcW w:w="2270" w:type="dxa"/>
            <w:tcBorders/>
            <w:shd w:fill="auto" w:val="clear"/>
          </w:tcPr>
          <w:p>
            <w:pPr>
              <w:pStyle w:val="TableContents"/>
              <w:spacing w:before="0" w:after="0"/>
              <w:rPr>
                <w:rFonts w:ascii="Times New Roman" w:hAnsi="Times New Roman"/>
                <w:sz w:val="16"/>
              </w:rPr>
            </w:pPr>
            <w:r>
              <w:rPr>
                <w:rFonts w:ascii="Times New Roman" w:hAnsi="Times New Roman"/>
                <w:sz w:val="16"/>
              </w:rPr>
              <w:t xml:space="preserve">Biohaven Pharmaceuticals, </w:t>
              <w:br/>
              <w:t>Inc.(3)(4)</w:t>
            </w:r>
          </w:p>
        </w:tc>
        <w:tc>
          <w:tcPr>
            <w:tcW w:w="60" w:type="dxa"/>
            <w:tcBorders/>
            <w:shd w:fill="auto" w:val="clear"/>
            <w:vAlign w:val="bottom"/>
          </w:tcPr>
          <w:p>
            <w:pPr>
              <w:pStyle w:val="TableContents"/>
              <w:spacing w:before="0" w:after="283"/>
              <w:rPr/>
            </w:pPr>
            <w:r>
              <w:rPr/>
              <w:t> </w:t>
            </w:r>
          </w:p>
        </w:tc>
        <w:tc>
          <w:tcPr>
            <w:tcW w:w="4820" w:type="dxa"/>
            <w:tcBorders/>
            <w:shd w:fill="auto" w:val="clear"/>
            <w:vAlign w:val="bottom"/>
          </w:tcPr>
          <w:p>
            <w:pPr>
              <w:pStyle w:val="TableContents"/>
              <w:spacing w:before="0" w:after="283"/>
              <w:rPr/>
            </w:pPr>
            <w:r>
              <w:rPr/>
              <w:t>First-lien loan ($42,613 par, due 8/2025)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right"/>
              <w:rPr/>
            </w:pPr>
            <w:r>
              <w:rPr/>
              <w:t>8/7/2020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0" w:type="dxa"/>
            <w:tcBorders/>
            <w:shd w:fill="auto" w:val="clear"/>
            <w:vAlign w:val="bottom"/>
          </w:tcPr>
          <w:p>
            <w:pPr>
              <w:pStyle w:val="TableContents"/>
              <w:spacing w:before="0" w:after="283"/>
              <w:jc w:val="right"/>
              <w:rPr/>
            </w:pPr>
            <w:r>
              <w:rPr/>
              <w:t>L + 9.00</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95" w:type="dxa"/>
            <w:tcBorders/>
            <w:shd w:fill="auto" w:val="clear"/>
            <w:vAlign w:val="bottom"/>
          </w:tcPr>
          <w:p>
            <w:pPr>
              <w:pStyle w:val="TableContents"/>
              <w:spacing w:before="0" w:after="283"/>
              <w:jc w:val="right"/>
              <w:rPr/>
            </w:pPr>
            <w:r>
              <w:rPr/>
              <w:t>12.67%</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41,864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1122" w:type="dxa"/>
            <w:tcBorders/>
            <w:shd w:fill="auto" w:val="clear"/>
            <w:vAlign w:val="bottom"/>
          </w:tcPr>
          <w:p>
            <w:pPr>
              <w:pStyle w:val="TableContents"/>
              <w:spacing w:before="0" w:after="283"/>
              <w:jc w:val="right"/>
              <w:rPr/>
            </w:pPr>
            <w:r>
              <w:rPr/>
              <w:t>45,169</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166" w:type="dxa"/>
            <w:tcBorders/>
            <w:shd w:fill="auto" w:val="clear"/>
            <w:vAlign w:val="bottom"/>
          </w:tcPr>
          <w:p>
            <w:pPr>
              <w:pStyle w:val="TableContents"/>
              <w:spacing w:before="0" w:after="283"/>
              <w:jc w:val="right"/>
              <w:rPr/>
            </w:pPr>
            <w:r>
              <w:rPr/>
              <w:t>3.4</w:t>
            </w:r>
          </w:p>
        </w:tc>
        <w:tc>
          <w:tcPr>
            <w:tcW w:w="275" w:type="dxa"/>
            <w:tcBorders/>
            <w:shd w:fill="auto" w:val="clear"/>
            <w:vAlign w:val="bottom"/>
          </w:tcPr>
          <w:p>
            <w:pPr>
              <w:pStyle w:val="TableContents"/>
              <w:spacing w:before="0" w:after="283"/>
              <w:rPr/>
            </w:pPr>
            <w:r>
              <w:rPr/>
              <w:t>% </w:t>
            </w:r>
          </w:p>
        </w:tc>
      </w:tr>
      <w:tr>
        <w:trPr/>
        <w:tc>
          <w:tcPr>
            <w:tcW w:w="227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4820" w:type="dxa"/>
            <w:tcBorders/>
            <w:shd w:fill="CCEEFF" w:val="clear"/>
          </w:tcPr>
          <w:p>
            <w:pPr>
              <w:pStyle w:val="TableContents"/>
              <w:spacing w:before="0" w:after="283"/>
              <w:rPr/>
            </w:pPr>
            <w:r>
              <w:rPr/>
              <w:t>First-lien loan ($35,689 par, due 9/2026)</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115" w:type="dxa"/>
            <w:tcBorders/>
            <w:shd w:fill="CCEEFF" w:val="clear"/>
          </w:tcPr>
          <w:p>
            <w:pPr>
              <w:pStyle w:val="TableContents"/>
              <w:spacing w:before="0" w:after="283"/>
              <w:jc w:val="right"/>
              <w:rPr/>
            </w:pPr>
            <w:r>
              <w:rPr/>
              <w:t>9/30/2021</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pPr>
            <w:r>
              <w:rPr/>
              <w:t> </w:t>
            </w:r>
          </w:p>
        </w:tc>
        <w:tc>
          <w:tcPr>
            <w:tcW w:w="1310" w:type="dxa"/>
            <w:tcBorders/>
            <w:shd w:fill="CCEEFF" w:val="clear"/>
          </w:tcPr>
          <w:p>
            <w:pPr>
              <w:pStyle w:val="TableContents"/>
              <w:spacing w:before="0" w:after="283"/>
              <w:jc w:val="right"/>
              <w:rPr/>
            </w:pPr>
            <w:r>
              <w:rPr/>
              <w:t>L + 8.25</w:t>
            </w:r>
          </w:p>
        </w:tc>
        <w:tc>
          <w:tcPr>
            <w:tcW w:w="27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95" w:type="dxa"/>
            <w:tcBorders/>
            <w:shd w:fill="CCEEFF" w:val="clear"/>
          </w:tcPr>
          <w:p>
            <w:pPr>
              <w:pStyle w:val="TableContents"/>
              <w:spacing w:before="0" w:after="283"/>
              <w:jc w:val="right"/>
              <w:rPr/>
            </w:pPr>
            <w:r>
              <w:rPr/>
              <w:t>11.92%</w:t>
            </w:r>
          </w:p>
        </w:tc>
        <w:tc>
          <w:tcPr>
            <w:tcW w:w="60" w:type="dxa"/>
            <w:tcBorders/>
            <w:shd w:fill="CCEEFF" w:val="clear"/>
            <w:vAlign w:val="bottom"/>
          </w:tcPr>
          <w:p>
            <w:pPr>
              <w:pStyle w:val="TableContents"/>
              <w:spacing w:before="0" w:after="283"/>
              <w:rPr/>
            </w:pPr>
            <w:r>
              <w:rPr/>
              <w:t> </w:t>
            </w:r>
          </w:p>
        </w:tc>
        <w:tc>
          <w:tcPr>
            <w:tcW w:w="76" w:type="dxa"/>
            <w:tcBorders/>
            <w:shd w:fill="CCEEFF" w:val="clear"/>
          </w:tcPr>
          <w:p>
            <w:pPr>
              <w:pStyle w:val="TableContents"/>
              <w:spacing w:before="0" w:after="283"/>
              <w:rPr/>
            </w:pPr>
            <w:r>
              <w:rPr/>
              <w:t> </w:t>
            </w:r>
          </w:p>
        </w:tc>
        <w:tc>
          <w:tcPr>
            <w:tcW w:w="1024" w:type="dxa"/>
            <w:tcBorders/>
            <w:shd w:fill="CCEEFF" w:val="clear"/>
          </w:tcPr>
          <w:p>
            <w:pPr>
              <w:pStyle w:val="TableContents"/>
              <w:spacing w:before="0" w:after="283"/>
              <w:jc w:val="right"/>
              <w:rPr/>
            </w:pPr>
            <w:r>
              <w:rPr/>
              <w:t>35,011</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 w:type="dxa"/>
            <w:tcBorders/>
            <w:shd w:fill="CCEEFF" w:val="clear"/>
          </w:tcPr>
          <w:p>
            <w:pPr>
              <w:pStyle w:val="TableContents"/>
              <w:spacing w:before="0" w:after="283"/>
              <w:rPr/>
            </w:pPr>
            <w:r>
              <w:rPr/>
              <w:t> </w:t>
            </w:r>
          </w:p>
        </w:tc>
        <w:tc>
          <w:tcPr>
            <w:tcW w:w="1122" w:type="dxa"/>
            <w:tcBorders/>
            <w:shd w:fill="CCEEFF" w:val="clear"/>
          </w:tcPr>
          <w:p>
            <w:pPr>
              <w:pStyle w:val="TableContents"/>
              <w:spacing w:before="0" w:after="283"/>
              <w:jc w:val="right"/>
              <w:rPr/>
            </w:pPr>
            <w:r>
              <w:rPr/>
              <w:t>41,043</w:t>
            </w:r>
          </w:p>
        </w:tc>
        <w:tc>
          <w:tcPr>
            <w:tcW w:w="12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tcPr>
          <w:p>
            <w:pPr>
              <w:pStyle w:val="TableContents"/>
              <w:spacing w:before="0" w:after="283"/>
              <w:rPr/>
            </w:pPr>
            <w:r>
              <w:rPr/>
              <w:t> </w:t>
            </w:r>
          </w:p>
        </w:tc>
        <w:tc>
          <w:tcPr>
            <w:tcW w:w="1166" w:type="dxa"/>
            <w:tcBorders/>
            <w:shd w:fill="CCEEFF" w:val="clear"/>
          </w:tcPr>
          <w:p>
            <w:pPr>
              <w:pStyle w:val="TableContents"/>
              <w:spacing w:before="0" w:after="283"/>
              <w:jc w:val="right"/>
              <w:rPr/>
            </w:pPr>
            <w:r>
              <w:rPr/>
              <w:t>3.1</w:t>
            </w:r>
          </w:p>
        </w:tc>
        <w:tc>
          <w:tcPr>
            <w:tcW w:w="275" w:type="dxa"/>
            <w:tcBorders/>
            <w:shd w:fill="CCEEFF" w:val="clear"/>
          </w:tcPr>
          <w:p>
            <w:pPr>
              <w:pStyle w:val="TableContents"/>
              <w:spacing w:before="0" w:after="283"/>
              <w:rPr/>
            </w:pPr>
            <w:r>
              <w:rPr/>
              <w:t>% </w:t>
            </w:r>
          </w:p>
        </w:tc>
      </w:tr>
      <w:tr>
        <w:trPr/>
        <w:tc>
          <w:tcPr>
            <w:tcW w:w="2270" w:type="dxa"/>
            <w:tcBorders/>
            <w:shd w:fill="auto" w:val="clear"/>
          </w:tcPr>
          <w:p>
            <w:pPr>
              <w:pStyle w:val="TableContents"/>
              <w:spacing w:before="0" w:after="0"/>
              <w:rPr>
                <w:rFonts w:ascii="Times New Roman" w:hAnsi="Times New Roman"/>
                <w:sz w:val="16"/>
              </w:rPr>
            </w:pPr>
            <w:r>
              <w:rPr>
                <w:rFonts w:ascii="Times New Roman" w:hAnsi="Times New Roman"/>
                <w:sz w:val="16"/>
              </w:rPr>
              <w:t>TherapeuticsMD, Inc.(3)(4)</w:t>
            </w:r>
          </w:p>
        </w:tc>
        <w:tc>
          <w:tcPr>
            <w:tcW w:w="60" w:type="dxa"/>
            <w:tcBorders/>
            <w:shd w:fill="auto" w:val="clear"/>
            <w:vAlign w:val="bottom"/>
          </w:tcPr>
          <w:p>
            <w:pPr>
              <w:pStyle w:val="TableContents"/>
              <w:spacing w:before="0" w:after="283"/>
              <w:rPr/>
            </w:pPr>
            <w:r>
              <w:rPr/>
              <w:t> </w:t>
            </w:r>
          </w:p>
        </w:tc>
        <w:tc>
          <w:tcPr>
            <w:tcW w:w="4820" w:type="dxa"/>
            <w:tcBorders/>
            <w:shd w:fill="auto" w:val="clear"/>
          </w:tcPr>
          <w:p>
            <w:pPr>
              <w:pStyle w:val="TableContents"/>
              <w:spacing w:before="0" w:after="283"/>
              <w:rPr/>
            </w:pPr>
            <w:r>
              <w:rPr/>
              <w:t>First-lien loan ($13,797 par, due 10/2022)</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115" w:type="dxa"/>
            <w:tcBorders/>
            <w:shd w:fill="auto" w:val="clear"/>
          </w:tcPr>
          <w:p>
            <w:pPr>
              <w:pStyle w:val="TableContents"/>
              <w:spacing w:before="0" w:after="283"/>
              <w:jc w:val="right"/>
              <w:rPr/>
            </w:pPr>
            <w:r>
              <w:rPr/>
              <w:t>4/24/2019</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310" w:type="dxa"/>
            <w:tcBorders/>
            <w:shd w:fill="auto" w:val="clear"/>
          </w:tcPr>
          <w:p>
            <w:pPr>
              <w:pStyle w:val="TableContents"/>
              <w:spacing w:before="0" w:after="283"/>
              <w:jc w:val="right"/>
              <w:rPr/>
            </w:pPr>
            <w:r>
              <w:rPr/>
              <w:t>L + 7.75</w:t>
            </w:r>
          </w:p>
        </w:tc>
        <w:tc>
          <w:tcPr>
            <w:tcW w:w="27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95" w:type="dxa"/>
            <w:tcBorders/>
            <w:shd w:fill="auto" w:val="clear"/>
          </w:tcPr>
          <w:p>
            <w:pPr>
              <w:pStyle w:val="TableContents"/>
              <w:spacing w:before="0" w:after="283"/>
              <w:jc w:val="right"/>
              <w:rPr/>
            </w:pPr>
            <w:r>
              <w:rPr/>
              <w:t>11.42%</w:t>
            </w:r>
          </w:p>
        </w:tc>
        <w:tc>
          <w:tcPr>
            <w:tcW w:w="60" w:type="dxa"/>
            <w:tcBorders/>
            <w:shd w:fill="auto" w:val="clear"/>
            <w:vAlign w:val="bottom"/>
          </w:tcPr>
          <w:p>
            <w:pPr>
              <w:pStyle w:val="TableContents"/>
              <w:spacing w:before="0" w:after="283"/>
              <w:rPr/>
            </w:pPr>
            <w:r>
              <w:rPr/>
              <w:t> </w:t>
            </w:r>
          </w:p>
        </w:tc>
        <w:tc>
          <w:tcPr>
            <w:tcW w:w="76" w:type="dxa"/>
            <w:tcBorders/>
            <w:shd w:fill="auto" w:val="clear"/>
          </w:tcPr>
          <w:p>
            <w:pPr>
              <w:pStyle w:val="TableContents"/>
              <w:spacing w:before="0" w:after="283"/>
              <w:rPr/>
            </w:pPr>
            <w:r>
              <w:rPr/>
              <w:t> </w:t>
            </w:r>
          </w:p>
        </w:tc>
        <w:tc>
          <w:tcPr>
            <w:tcW w:w="1024" w:type="dxa"/>
            <w:tcBorders/>
            <w:shd w:fill="auto" w:val="clear"/>
          </w:tcPr>
          <w:p>
            <w:pPr>
              <w:pStyle w:val="TableContents"/>
              <w:spacing w:before="0" w:after="283"/>
              <w:jc w:val="right"/>
              <w:rPr/>
            </w:pPr>
            <w:r>
              <w:rPr/>
              <w:t>13,673</w:t>
            </w:r>
          </w:p>
        </w:tc>
        <w:tc>
          <w:tcPr>
            <w:tcW w:w="60"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shd w:fill="auto" w:val="clear"/>
          </w:tcPr>
          <w:p>
            <w:pPr>
              <w:pStyle w:val="TableContents"/>
              <w:spacing w:before="0" w:after="283"/>
              <w:rPr/>
            </w:pPr>
            <w:r>
              <w:rPr/>
              <w:t> </w:t>
            </w:r>
          </w:p>
        </w:tc>
        <w:tc>
          <w:tcPr>
            <w:tcW w:w="1122" w:type="dxa"/>
            <w:tcBorders/>
            <w:shd w:fill="auto" w:val="clear"/>
          </w:tcPr>
          <w:p>
            <w:pPr>
              <w:pStyle w:val="TableContents"/>
              <w:spacing w:before="0" w:after="283"/>
              <w:jc w:val="right"/>
              <w:rPr/>
            </w:pPr>
            <w:r>
              <w:rPr/>
              <w:t>13,659</w:t>
            </w:r>
          </w:p>
        </w:tc>
        <w:tc>
          <w:tcPr>
            <w:tcW w:w="125" w:type="dxa"/>
            <w:tcBorders/>
            <w:shd w:fill="auto" w:val="clea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tcPr>
          <w:p>
            <w:pPr>
              <w:pStyle w:val="TableContents"/>
              <w:spacing w:before="0" w:after="283"/>
              <w:rPr/>
            </w:pPr>
            <w:r>
              <w:rPr/>
              <w:t> </w:t>
            </w:r>
          </w:p>
        </w:tc>
        <w:tc>
          <w:tcPr>
            <w:tcW w:w="1166" w:type="dxa"/>
            <w:tcBorders/>
            <w:shd w:fill="auto" w:val="clear"/>
          </w:tcPr>
          <w:p>
            <w:pPr>
              <w:pStyle w:val="TableContents"/>
              <w:spacing w:before="0" w:after="283"/>
              <w:jc w:val="right"/>
              <w:rPr/>
            </w:pPr>
            <w:r>
              <w:rPr/>
              <w:t>1.0</w:t>
            </w:r>
          </w:p>
        </w:tc>
        <w:tc>
          <w:tcPr>
            <w:tcW w:w="275" w:type="dxa"/>
            <w:tcBorders/>
            <w:shd w:fill="auto" w:val="clear"/>
          </w:tcPr>
          <w:p>
            <w:pPr>
              <w:pStyle w:val="TableContents"/>
              <w:spacing w:before="0" w:after="283"/>
              <w:rPr/>
            </w:pPr>
            <w:r>
              <w:rPr/>
              <w:t>% </w:t>
            </w:r>
          </w:p>
        </w:tc>
      </w:tr>
      <w:tr>
        <w:trPr/>
        <w:tc>
          <w:tcPr>
            <w:tcW w:w="227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8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1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31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9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02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pBdr>
                <w:top w:val="single" w:sz="2" w:space="1" w:color="000000"/>
              </w:pBdr>
              <w:spacing w:before="0" w:after="0"/>
              <w:rPr/>
            </w:pPr>
            <w:r>
              <w:rPr/>
              <w:t> </w:t>
            </w:r>
          </w:p>
        </w:tc>
        <w:tc>
          <w:tcPr>
            <w:tcW w:w="1122" w:type="dxa"/>
            <w:tcBorders/>
            <w:shd w:fill="auto" w:val="clear"/>
            <w:vAlign w:val="bottom"/>
          </w:tcPr>
          <w:p>
            <w:pPr>
              <w:pStyle w:val="TableContents"/>
              <w:pBdr>
                <w:top w:val="single" w:sz="2" w:space="1" w:color="000000"/>
              </w:pBdr>
              <w:spacing w:before="0" w:after="0"/>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single" w:sz="2" w:space="1" w:color="000000"/>
              </w:pBdr>
              <w:spacing w:before="0" w:after="0"/>
              <w:rPr/>
            </w:pPr>
            <w:r>
              <w:rPr/>
              <w:t> </w:t>
            </w:r>
          </w:p>
        </w:tc>
        <w:tc>
          <w:tcPr>
            <w:tcW w:w="1166" w:type="dxa"/>
            <w:tcBorders/>
            <w:shd w:fill="auto" w:val="clear"/>
            <w:vAlign w:val="bottom"/>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r>
      <w:tr>
        <w:trPr/>
        <w:tc>
          <w:tcPr>
            <w:tcW w:w="227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482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sz w:val="4"/>
                <w:szCs w:val="4"/>
              </w:rPr>
            </w:pPr>
            <w:r>
              <w:rPr>
                <w:sz w:val="4"/>
                <w:szCs w:val="4"/>
              </w:rPr>
            </w:r>
          </w:p>
        </w:tc>
        <w:tc>
          <w:tcPr>
            <w:tcW w:w="1115" w:type="dxa"/>
            <w:tcBorders/>
            <w:shd w:fill="CCEEFF" w:val="clear"/>
          </w:tcPr>
          <w:p>
            <w:pPr>
              <w:pStyle w:val="TableContents"/>
              <w:spacing w:before="0" w:after="283"/>
              <w:rPr>
                <w:sz w:val="4"/>
                <w:szCs w:val="4"/>
              </w:rPr>
            </w:pPr>
            <w:r>
              <w:rPr>
                <w:sz w:val="4"/>
                <w:szCs w:val="4"/>
              </w:rPr>
            </w:r>
          </w:p>
        </w:tc>
        <w:tc>
          <w:tcPr>
            <w:tcW w:w="6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0" w:type="dxa"/>
            <w:tcBorders/>
            <w:shd w:fill="CCEEFF" w:val="clear"/>
          </w:tcPr>
          <w:p>
            <w:pPr>
              <w:pStyle w:val="TableContents"/>
              <w:spacing w:before="0" w:after="283"/>
              <w:rPr>
                <w:sz w:val="4"/>
                <w:szCs w:val="4"/>
              </w:rPr>
            </w:pPr>
            <w:r>
              <w:rPr>
                <w:sz w:val="4"/>
                <w:szCs w:val="4"/>
              </w:rPr>
            </w:r>
          </w:p>
        </w:tc>
        <w:tc>
          <w:tcPr>
            <w:tcW w:w="1310" w:type="dxa"/>
            <w:tcBorders/>
            <w:shd w:fill="CCEEFF" w:val="clear"/>
          </w:tcPr>
          <w:p>
            <w:pPr>
              <w:pStyle w:val="TableContents"/>
              <w:spacing w:before="0" w:after="283"/>
              <w:rPr>
                <w:sz w:val="4"/>
                <w:szCs w:val="4"/>
              </w:rPr>
            </w:pPr>
            <w:r>
              <w:rPr>
                <w:sz w:val="4"/>
                <w:szCs w:val="4"/>
              </w:rPr>
            </w:r>
          </w:p>
        </w:tc>
        <w:tc>
          <w:tcPr>
            <w:tcW w:w="27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49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6" w:type="dxa"/>
            <w:tcBorders/>
            <w:shd w:fill="CCEEFF" w:val="clear"/>
          </w:tcPr>
          <w:p>
            <w:pPr>
              <w:pStyle w:val="TableContents"/>
              <w:spacing w:before="0" w:after="283"/>
              <w:rPr/>
            </w:pPr>
            <w:r>
              <w:rPr/>
              <w:t> </w:t>
            </w:r>
          </w:p>
        </w:tc>
        <w:tc>
          <w:tcPr>
            <w:tcW w:w="1024" w:type="dxa"/>
            <w:tcBorders/>
            <w:shd w:fill="CCEEFF" w:val="clear"/>
          </w:tcPr>
          <w:p>
            <w:pPr>
              <w:pStyle w:val="TableContents"/>
              <w:spacing w:before="0" w:after="283"/>
              <w:jc w:val="right"/>
              <w:rPr/>
            </w:pPr>
            <w:r>
              <w:rPr/>
              <w:t>90,548</w:t>
            </w:r>
          </w:p>
        </w:tc>
        <w:tc>
          <w:tcPr>
            <w:tcW w:w="60"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 w:type="dxa"/>
            <w:tcBorders/>
            <w:shd w:fill="CCEEFF" w:val="clear"/>
          </w:tcPr>
          <w:p>
            <w:pPr>
              <w:pStyle w:val="TableContents"/>
              <w:spacing w:before="0" w:after="283"/>
              <w:rPr/>
            </w:pPr>
            <w:r>
              <w:rPr/>
              <w:t> </w:t>
            </w:r>
          </w:p>
        </w:tc>
        <w:tc>
          <w:tcPr>
            <w:tcW w:w="1122" w:type="dxa"/>
            <w:tcBorders/>
            <w:shd w:fill="CCEEFF" w:val="clear"/>
          </w:tcPr>
          <w:p>
            <w:pPr>
              <w:pStyle w:val="TableContents"/>
              <w:spacing w:before="0" w:after="283"/>
              <w:jc w:val="right"/>
              <w:rPr/>
            </w:pPr>
            <w:r>
              <w:rPr/>
              <w:t>99,871</w:t>
            </w:r>
          </w:p>
        </w:tc>
        <w:tc>
          <w:tcPr>
            <w:tcW w:w="125" w:type="dxa"/>
            <w:tcBorders/>
            <w:shd w:fill="CCEEFF" w:val="clear"/>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tcPr>
          <w:p>
            <w:pPr>
              <w:pStyle w:val="TableContents"/>
              <w:spacing w:before="0" w:after="283"/>
              <w:rPr/>
            </w:pPr>
            <w:r>
              <w:rPr/>
              <w:t> </w:t>
            </w:r>
          </w:p>
        </w:tc>
        <w:tc>
          <w:tcPr>
            <w:tcW w:w="1166" w:type="dxa"/>
            <w:tcBorders/>
            <w:shd w:fill="CCEEFF" w:val="clear"/>
          </w:tcPr>
          <w:p>
            <w:pPr>
              <w:pStyle w:val="TableContents"/>
              <w:spacing w:before="0" w:after="283"/>
              <w:jc w:val="right"/>
              <w:rPr/>
            </w:pPr>
            <w:r>
              <w:rPr/>
              <w:t>7.5</w:t>
            </w:r>
          </w:p>
        </w:tc>
        <w:tc>
          <w:tcPr>
            <w:tcW w:w="275" w:type="dxa"/>
            <w:tcBorders/>
            <w:shd w:fill="CCEEFF" w:val="clear"/>
          </w:tcPr>
          <w:p>
            <w:pPr>
              <w:pStyle w:val="TableContents"/>
              <w:spacing w:before="0" w:after="283"/>
              <w:rPr/>
            </w:pPr>
            <w:r>
              <w:rPr/>
              <w:t>% </w:t>
            </w:r>
          </w:p>
        </w:tc>
      </w:tr>
      <w:tr>
        <w:trPr/>
        <w:tc>
          <w:tcPr>
            <w:tcW w:w="227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48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1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31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9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pBdr>
                <w:top w:val="single" w:sz="2" w:space="1" w:color="000000"/>
              </w:pBdr>
              <w:spacing w:before="0" w:after="0"/>
              <w:rPr/>
            </w:pPr>
            <w:r>
              <w:rPr/>
              <w:t> </w:t>
            </w:r>
          </w:p>
        </w:tc>
        <w:tc>
          <w:tcPr>
            <w:tcW w:w="102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pBdr>
                <w:top w:val="single" w:sz="2" w:space="1" w:color="000000"/>
              </w:pBdr>
              <w:spacing w:before="0" w:after="0"/>
              <w:rPr/>
            </w:pPr>
            <w:r>
              <w:rPr/>
              <w:t> </w:t>
            </w:r>
          </w:p>
        </w:tc>
        <w:tc>
          <w:tcPr>
            <w:tcW w:w="1122" w:type="dxa"/>
            <w:tcBorders/>
            <w:shd w:fill="auto" w:val="clear"/>
            <w:vAlign w:val="bottom"/>
          </w:tcPr>
          <w:p>
            <w:pPr>
              <w:pStyle w:val="TableContents"/>
              <w:pBdr>
                <w:top w:val="single" w:sz="2" w:space="1" w:color="000000"/>
              </w:pBdr>
              <w:spacing w:before="0" w:after="0"/>
              <w:rPr/>
            </w:pPr>
            <w:r>
              <w:rPr/>
              <w:t> </w:t>
            </w:r>
          </w:p>
        </w:tc>
        <w:tc>
          <w:tcPr>
            <w:tcW w:w="12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pBdr>
                <w:top w:val="single" w:sz="2" w:space="1" w:color="000000"/>
              </w:pBdr>
              <w:spacing w:before="0" w:after="0"/>
              <w:rPr/>
            </w:pPr>
            <w:r>
              <w:rPr/>
              <w:t> </w:t>
            </w:r>
          </w:p>
        </w:tc>
        <w:tc>
          <w:tcPr>
            <w:tcW w:w="1166" w:type="dxa"/>
            <w:tcBorders/>
            <w:shd w:fill="auto" w:val="clear"/>
            <w:vAlign w:val="bottom"/>
          </w:tcPr>
          <w:p>
            <w:pPr>
              <w:pStyle w:val="TableContents"/>
              <w:pBdr>
                <w:top w:val="single" w:sz="2" w:space="1" w:color="000000"/>
              </w:pBdr>
              <w:spacing w:before="0" w:after="0"/>
              <w:rPr/>
            </w:pPr>
            <w:r>
              <w:rPr/>
              <w:t> </w:t>
            </w:r>
          </w:p>
        </w:tc>
        <w:tc>
          <w:tcPr>
            <w:tcW w:w="275" w:type="dxa"/>
            <w:tcBorders/>
            <w:shd w:fill="auto" w:val="clear"/>
            <w:vAlign w:val="center"/>
          </w:tcPr>
          <w:p>
            <w:pPr>
              <w:pStyle w:val="TableContents"/>
              <w:spacing w:before="0" w:after="283"/>
              <w:rPr/>
            </w:pPr>
            <w:r>
              <w:rPr/>
              <w:t> </w:t>
            </w:r>
          </w:p>
        </w:tc>
      </w:tr>
      <w:tr>
        <w:trPr/>
        <w:tc>
          <w:tcPr>
            <w:tcW w:w="2270" w:type="dxa"/>
            <w:tcBorders/>
            <w:shd w:fill="auto" w:val="clear"/>
          </w:tcPr>
          <w:p>
            <w:pPr>
              <w:pStyle w:val="TableContents"/>
              <w:spacing w:before="0" w:after="0"/>
              <w:rPr>
                <w:rFonts w:ascii="Times New Roman" w:hAnsi="Times New Roman"/>
                <w:b/>
                <w:sz w:val="16"/>
              </w:rPr>
            </w:pPr>
            <w:r>
              <w:rPr>
                <w:rFonts w:ascii="Times New Roman" w:hAnsi="Times New Roman"/>
                <w:b/>
                <w:sz w:val="16"/>
              </w:rPr>
              <w:t>Retail and Consumer Products</w:t>
            </w:r>
          </w:p>
        </w:tc>
        <w:tc>
          <w:tcPr>
            <w:tcW w:w="60" w:type="dxa"/>
            <w:tcBorders/>
            <w:shd w:fill="auto" w:val="clear"/>
            <w:vAlign w:val="bottom"/>
          </w:tcPr>
          <w:p>
            <w:pPr>
              <w:pStyle w:val="TableContents"/>
              <w:spacing w:before="0" w:after="283"/>
              <w:rPr/>
            </w:pPr>
            <w:r>
              <w:rPr/>
              <w:t> </w:t>
            </w:r>
          </w:p>
        </w:tc>
        <w:tc>
          <w:tcPr>
            <w:tcW w:w="482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1115"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sz w:val="4"/>
                <w:szCs w:val="4"/>
              </w:rPr>
            </w:pPr>
            <w:r>
              <w:rPr>
                <w:sz w:val="4"/>
                <w:szCs w:val="4"/>
              </w:rPr>
            </w:r>
          </w:p>
        </w:tc>
        <w:tc>
          <w:tcPr>
            <w:tcW w:w="1310" w:type="dxa"/>
            <w:tcBorders/>
            <w:shd w:fill="auto" w:val="clear"/>
          </w:tcPr>
          <w:p>
            <w:pPr>
              <w:pStyle w:val="TableContents"/>
              <w:spacing w:before="0" w:after="283"/>
              <w:rPr>
                <w:sz w:val="4"/>
                <w:szCs w:val="4"/>
              </w:rPr>
            </w:pPr>
            <w:r>
              <w:rPr>
                <w:sz w:val="4"/>
                <w:szCs w:val="4"/>
              </w:rPr>
            </w:r>
          </w:p>
        </w:tc>
        <w:tc>
          <w:tcPr>
            <w:tcW w:w="27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9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6" w:type="dxa"/>
            <w:tcBorders/>
            <w:shd w:fill="auto" w:val="clear"/>
          </w:tcPr>
          <w:p>
            <w:pPr>
              <w:pStyle w:val="TableContents"/>
              <w:spacing w:before="0" w:after="283"/>
              <w:rPr>
                <w:sz w:val="4"/>
                <w:szCs w:val="4"/>
              </w:rPr>
            </w:pPr>
            <w:r>
              <w:rPr>
                <w:sz w:val="4"/>
                <w:szCs w:val="4"/>
              </w:rPr>
            </w:r>
          </w:p>
        </w:tc>
        <w:tc>
          <w:tcPr>
            <w:tcW w:w="1024"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8" w:type="dxa"/>
            <w:tcBorders/>
            <w:shd w:fill="auto" w:val="clear"/>
          </w:tcPr>
          <w:p>
            <w:pPr>
              <w:pStyle w:val="TableContents"/>
              <w:spacing w:before="0" w:after="283"/>
              <w:rPr>
                <w:sz w:val="4"/>
                <w:szCs w:val="4"/>
              </w:rPr>
            </w:pPr>
            <w:r>
              <w:rPr>
                <w:sz w:val="4"/>
                <w:szCs w:val="4"/>
              </w:rPr>
            </w:r>
          </w:p>
        </w:tc>
        <w:tc>
          <w:tcPr>
            <w:tcW w:w="1122" w:type="dxa"/>
            <w:tcBorders/>
            <w:shd w:fill="auto" w:val="clear"/>
          </w:tcPr>
          <w:p>
            <w:pPr>
              <w:pStyle w:val="TableContents"/>
              <w:spacing w:before="0" w:after="283"/>
              <w:rPr>
                <w:sz w:val="4"/>
                <w:szCs w:val="4"/>
              </w:rPr>
            </w:pPr>
            <w:r>
              <w:rPr>
                <w:sz w:val="4"/>
                <w:szCs w:val="4"/>
              </w:rPr>
            </w:r>
          </w:p>
        </w:tc>
        <w:tc>
          <w:tcPr>
            <w:tcW w:w="12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59" w:type="dxa"/>
            <w:tcBorders/>
            <w:shd w:fill="auto" w:val="clear"/>
          </w:tcPr>
          <w:p>
            <w:pPr>
              <w:pStyle w:val="TableContents"/>
              <w:spacing w:before="0" w:after="283"/>
              <w:rPr>
                <w:sz w:val="4"/>
                <w:szCs w:val="4"/>
              </w:rPr>
            </w:pPr>
            <w:r>
              <w:rPr>
                <w:sz w:val="4"/>
                <w:szCs w:val="4"/>
              </w:rPr>
            </w:r>
          </w:p>
        </w:tc>
        <w:tc>
          <w:tcPr>
            <w:tcW w:w="1166" w:type="dxa"/>
            <w:tcBorders/>
            <w:shd w:fill="auto" w:val="clear"/>
          </w:tcPr>
          <w:p>
            <w:pPr>
              <w:pStyle w:val="TableContents"/>
              <w:spacing w:before="0" w:after="283"/>
              <w:rPr>
                <w:sz w:val="4"/>
                <w:szCs w:val="4"/>
              </w:rPr>
            </w:pPr>
            <w:r>
              <w:rPr>
                <w:sz w:val="4"/>
                <w:szCs w:val="4"/>
              </w:rPr>
            </w:r>
          </w:p>
        </w:tc>
        <w:tc>
          <w:tcPr>
            <w:tcW w:w="275" w:type="dxa"/>
            <w:tcBorders/>
            <w:shd w:fill="auto" w:val="clear"/>
          </w:tcPr>
          <w:p>
            <w:pPr>
              <w:pStyle w:val="TableContents"/>
              <w:spacing w:before="0" w:after="283"/>
              <w:rPr>
                <w:sz w:val="4"/>
                <w:szCs w:val="4"/>
              </w:rPr>
            </w:pPr>
            <w:r>
              <w:rPr>
                <w:sz w:val="4"/>
                <w:szCs w:val="4"/>
              </w:rPr>
            </w:r>
          </w:p>
        </w:tc>
      </w:tr>
      <w:tr>
        <w:trPr/>
        <w:tc>
          <w:tcPr>
            <w:tcW w:w="2270" w:type="dxa"/>
            <w:tcBorders/>
            <w:shd w:fill="CCEEFF" w:val="clear"/>
          </w:tcPr>
          <w:p>
            <w:pPr>
              <w:pStyle w:val="TableContents"/>
              <w:spacing w:before="0" w:after="0"/>
              <w:rPr>
                <w:rFonts w:ascii="Times New Roman" w:hAnsi="Times New Roman"/>
                <w:sz w:val="16"/>
              </w:rPr>
            </w:pPr>
            <w:r>
              <w:rPr>
                <w:rFonts w:ascii="Times New Roman" w:hAnsi="Times New Roman"/>
                <w:sz w:val="16"/>
              </w:rPr>
              <w:t xml:space="preserve">99 Cents Only Stores </w:t>
              <w:br/>
              <w:t>LLC(3)</w:t>
            </w:r>
          </w:p>
        </w:tc>
        <w:tc>
          <w:tcPr>
            <w:tcW w:w="60" w:type="dxa"/>
            <w:tcBorders/>
            <w:shd w:fill="CCEEFF" w:val="clear"/>
            <w:vAlign w:val="bottom"/>
          </w:tcPr>
          <w:p>
            <w:pPr>
              <w:pStyle w:val="TableContents"/>
              <w:spacing w:before="0" w:after="283"/>
              <w:rPr/>
            </w:pPr>
            <w:r>
              <w:rPr/>
              <w:t> </w:t>
            </w:r>
          </w:p>
        </w:tc>
        <w:tc>
          <w:tcPr>
            <w:tcW w:w="4820" w:type="dxa"/>
            <w:tcBorders/>
            <w:shd w:fill="CCEEFF" w:val="clear"/>
            <w:vAlign w:val="bottom"/>
          </w:tcPr>
          <w:p>
            <w:pPr>
              <w:pStyle w:val="TableContents"/>
              <w:spacing w:before="0" w:after="283"/>
              <w:rPr/>
            </w:pPr>
            <w:r>
              <w:rPr/>
              <w:t>ABL FILO term loan ($25,000 par, due 5/2025)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115" w:type="dxa"/>
            <w:tcBorders/>
            <w:shd w:fill="CCEEFF" w:val="clear"/>
            <w:vAlign w:val="bottom"/>
          </w:tcPr>
          <w:p>
            <w:pPr>
              <w:pStyle w:val="TableContents"/>
              <w:spacing w:before="0" w:after="283"/>
              <w:jc w:val="right"/>
              <w:rPr/>
            </w:pPr>
            <w:r>
              <w:rPr/>
              <w:t>9/6/2017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310" w:type="dxa"/>
            <w:tcBorders/>
            <w:shd w:fill="CCEEFF" w:val="clear"/>
            <w:vAlign w:val="bottom"/>
          </w:tcPr>
          <w:p>
            <w:pPr>
              <w:pStyle w:val="TableContents"/>
              <w:spacing w:before="0" w:after="283"/>
              <w:jc w:val="right"/>
              <w:rPr/>
            </w:pPr>
            <w:r>
              <w:rPr/>
              <w:t>L + 8.50</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495" w:type="dxa"/>
            <w:tcBorders/>
            <w:shd w:fill="CCEEFF" w:val="clear"/>
            <w:vAlign w:val="bottom"/>
          </w:tcPr>
          <w:p>
            <w:pPr>
              <w:pStyle w:val="TableContents"/>
              <w:spacing w:before="0" w:after="283"/>
              <w:jc w:val="right"/>
              <w:rPr/>
            </w:pPr>
            <w:r>
              <w:rPr/>
              <w:t>11.67%</w:t>
            </w:r>
          </w:p>
        </w:tc>
        <w:tc>
          <w:tcPr>
            <w:tcW w:w="60" w:type="dxa"/>
            <w:tcBorders/>
            <w:shd w:fill="CCEEFF" w:val="clear"/>
            <w:vAlign w:val="bottom"/>
          </w:tcPr>
          <w:p>
            <w:pPr>
              <w:pStyle w:val="TableContents"/>
              <w:spacing w:before="0" w:after="283"/>
              <w:rPr/>
            </w:pPr>
            <w:r>
              <w:rPr/>
              <w:t> </w:t>
            </w:r>
          </w:p>
        </w:tc>
        <w:tc>
          <w:tcPr>
            <w:tcW w:w="76"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jc w:val="right"/>
              <w:rPr/>
            </w:pPr>
            <w:r>
              <w:rPr/>
              <w:t>24,762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68" w:type="dxa"/>
            <w:tcBorders/>
            <w:shd w:fill="CCEEFF" w:val="clear"/>
            <w:vAlign w:val="bottom"/>
          </w:tcPr>
          <w:p>
            <w:pPr>
              <w:pStyle w:val="TableContents"/>
              <w:spacing w:before="0" w:after="283"/>
              <w:rPr/>
            </w:pPr>
            <w:r>
              <w:rPr/>
              <w:t> </w:t>
            </w:r>
          </w:p>
        </w:tc>
        <w:tc>
          <w:tcPr>
            <w:tcW w:w="1122" w:type="dxa"/>
            <w:tcBorders/>
            <w:shd w:fill="CCEEFF" w:val="clear"/>
            <w:vAlign w:val="bottom"/>
          </w:tcPr>
          <w:p>
            <w:pPr>
              <w:pStyle w:val="TableContents"/>
              <w:spacing w:before="0" w:after="283"/>
              <w:jc w:val="right"/>
              <w:rPr/>
            </w:pPr>
            <w:r>
              <w:rPr/>
              <w:t>25,000</w:t>
            </w:r>
          </w:p>
        </w:tc>
        <w:tc>
          <w:tcPr>
            <w:tcW w:w="12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rPr/>
            </w:pPr>
            <w:r>
              <w:rPr/>
              <w:t> </w:t>
            </w:r>
          </w:p>
        </w:tc>
        <w:tc>
          <w:tcPr>
            <w:tcW w:w="1166" w:type="dxa"/>
            <w:tcBorders/>
            <w:shd w:fill="CCEEFF" w:val="clear"/>
            <w:vAlign w:val="bottom"/>
          </w:tcPr>
          <w:p>
            <w:pPr>
              <w:pStyle w:val="TableContents"/>
              <w:spacing w:before="0" w:after="283"/>
              <w:jc w:val="right"/>
              <w:rPr/>
            </w:pPr>
            <w:r>
              <w:rPr/>
              <w:t>1.9</w:t>
            </w:r>
          </w:p>
        </w:tc>
        <w:tc>
          <w:tcPr>
            <w:tcW w:w="275" w:type="dxa"/>
            <w:tcBorders/>
            <w:shd w:fill="CCEEFF" w:val="clear"/>
            <w:vAlign w:val="bottom"/>
          </w:tcPr>
          <w:p>
            <w:pPr>
              <w:pStyle w:val="TableContents"/>
              <w:spacing w:before="0" w:after="283"/>
              <w:rPr/>
            </w:pPr>
            <w:r>
              <w:rPr/>
              <w:t>% </w:t>
            </w:r>
          </w:p>
        </w:tc>
      </w:tr>
      <w:tr>
        <w:trPr/>
        <w:tc>
          <w:tcPr>
            <w:tcW w:w="2270" w:type="dxa"/>
            <w:tcBorders/>
            <w:shd w:fill="auto" w:val="clear"/>
          </w:tcPr>
          <w:p>
            <w:pPr>
              <w:pStyle w:val="TableContents"/>
              <w:spacing w:before="0" w:after="0"/>
              <w:rPr>
                <w:rFonts w:ascii="Times New Roman" w:hAnsi="Times New Roman"/>
                <w:sz w:val="16"/>
              </w:rPr>
            </w:pPr>
            <w:r>
              <w:rPr>
                <w:rFonts w:ascii="Times New Roman" w:hAnsi="Times New Roman"/>
                <w:sz w:val="16"/>
              </w:rPr>
              <w:t xml:space="preserve">American Achievement, </w:t>
              <w:br/>
              <w:t>Corp.(3)</w:t>
            </w:r>
          </w:p>
        </w:tc>
        <w:tc>
          <w:tcPr>
            <w:tcW w:w="60" w:type="dxa"/>
            <w:tcBorders/>
            <w:shd w:fill="auto" w:val="clear"/>
            <w:vAlign w:val="bottom"/>
          </w:tcPr>
          <w:p>
            <w:pPr>
              <w:pStyle w:val="TableContents"/>
              <w:spacing w:before="0" w:after="283"/>
              <w:rPr/>
            </w:pPr>
            <w:r>
              <w:rPr/>
              <w:t> </w:t>
            </w:r>
          </w:p>
        </w:tc>
        <w:tc>
          <w:tcPr>
            <w:tcW w:w="4820" w:type="dxa"/>
            <w:tcBorders/>
            <w:shd w:fill="auto" w:val="clear"/>
            <w:vAlign w:val="bottom"/>
          </w:tcPr>
          <w:p>
            <w:pPr>
              <w:pStyle w:val="TableContents"/>
              <w:spacing w:before="0" w:after="283"/>
              <w:rPr/>
            </w:pPr>
            <w:r>
              <w:rPr/>
              <w:t>First-lien loan ($26,566 par, due 9/2026)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15" w:type="dxa"/>
            <w:tcBorders/>
            <w:shd w:fill="auto" w:val="clear"/>
            <w:vAlign w:val="bottom"/>
          </w:tcPr>
          <w:p>
            <w:pPr>
              <w:pStyle w:val="TableContents"/>
              <w:spacing w:before="0" w:after="283"/>
              <w:jc w:val="right"/>
              <w:rPr/>
            </w:pPr>
            <w:r>
              <w:rPr/>
              <w:t>9/30/2015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10" w:type="dxa"/>
            <w:tcBorders/>
            <w:shd w:fill="auto" w:val="clear"/>
            <w:vAlign w:val="bottom"/>
          </w:tcPr>
          <w:p>
            <w:pPr>
              <w:pStyle w:val="TableContents"/>
              <w:spacing w:before="0" w:after="283"/>
              <w:jc w:val="right"/>
              <w:rPr/>
            </w:pPr>
            <w:r>
              <w:rPr/>
              <w:t>L + 6.25</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495" w:type="dxa"/>
            <w:tcBorders/>
            <w:shd w:fill="auto" w:val="clear"/>
            <w:vAlign w:val="bottom"/>
          </w:tcPr>
          <w:p>
            <w:pPr>
              <w:pStyle w:val="TableContents"/>
              <w:spacing w:before="0" w:after="283"/>
              <w:jc w:val="right"/>
              <w:rPr/>
            </w:pPr>
            <w:r>
              <w:rPr/>
              <w:t>8.82% (incl. 8.32% PIK)</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25,710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8" w:type="dxa"/>
            <w:tcBorders/>
            <w:shd w:fill="auto" w:val="clear"/>
            <w:vAlign w:val="bottom"/>
          </w:tcPr>
          <w:p>
            <w:pPr>
              <w:pStyle w:val="TableContents"/>
              <w:spacing w:before="0" w:after="283"/>
              <w:rPr/>
            </w:pPr>
            <w:r>
              <w:rPr/>
              <w:t> </w:t>
            </w:r>
          </w:p>
        </w:tc>
        <w:tc>
          <w:tcPr>
            <w:tcW w:w="1122" w:type="dxa"/>
            <w:tcBorders/>
            <w:shd w:fill="auto" w:val="clear"/>
            <w:vAlign w:val="bottom"/>
          </w:tcPr>
          <w:p>
            <w:pPr>
              <w:pStyle w:val="TableContents"/>
              <w:spacing w:before="0" w:after="283"/>
              <w:jc w:val="right"/>
              <w:rPr/>
            </w:pPr>
            <w:r>
              <w:rPr/>
              <w:t>20,257</w:t>
            </w:r>
          </w:p>
        </w:tc>
        <w:tc>
          <w:tcPr>
            <w:tcW w:w="12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 w:type="dxa"/>
            <w:tcBorders/>
            <w:shd w:fill="auto" w:val="clear"/>
            <w:vAlign w:val="bottom"/>
          </w:tcPr>
          <w:p>
            <w:pPr>
              <w:pStyle w:val="TableContents"/>
              <w:spacing w:before="0" w:after="283"/>
              <w:rPr/>
            </w:pPr>
            <w:r>
              <w:rPr/>
              <w:t> </w:t>
            </w:r>
          </w:p>
        </w:tc>
        <w:tc>
          <w:tcPr>
            <w:tcW w:w="1166" w:type="dxa"/>
            <w:tcBorders/>
            <w:shd w:fill="auto" w:val="clear"/>
            <w:vAlign w:val="bottom"/>
          </w:tcPr>
          <w:p>
            <w:pPr>
              <w:pStyle w:val="TableContents"/>
              <w:spacing w:before="0" w:after="283"/>
              <w:jc w:val="right"/>
              <w:rPr/>
            </w:pPr>
            <w:r>
              <w:rPr/>
              <w:t>1.5</w:t>
            </w:r>
          </w:p>
        </w:tc>
        <w:tc>
          <w:tcPr>
            <w:tcW w:w="275" w:type="dxa"/>
            <w:tcBorders/>
            <w:shd w:fill="auto"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13570" w:type="dxa"/>
        <w:jc w:val="center"/>
        <w:tblInd w:w="0" w:type="dxa"/>
        <w:tblCellMar>
          <w:top w:w="0" w:type="dxa"/>
          <w:left w:w="0" w:type="dxa"/>
          <w:bottom w:w="0" w:type="dxa"/>
          <w:right w:w="0" w:type="dxa"/>
        </w:tblCellMar>
      </w:tblPr>
      <w:tblGrid>
        <w:gridCol w:w="2090"/>
        <w:gridCol w:w="60"/>
        <w:gridCol w:w="2945"/>
        <w:gridCol w:w="60"/>
        <w:gridCol w:w="91"/>
        <w:gridCol w:w="1084"/>
        <w:gridCol w:w="60"/>
        <w:gridCol w:w="60"/>
        <w:gridCol w:w="67"/>
        <w:gridCol w:w="973"/>
        <w:gridCol w:w="185"/>
        <w:gridCol w:w="60"/>
        <w:gridCol w:w="1685"/>
        <w:gridCol w:w="60"/>
        <w:gridCol w:w="94"/>
        <w:gridCol w:w="1006"/>
        <w:gridCol w:w="60"/>
        <w:gridCol w:w="60"/>
        <w:gridCol w:w="86"/>
        <w:gridCol w:w="1104"/>
        <w:gridCol w:w="110"/>
        <w:gridCol w:w="60"/>
        <w:gridCol w:w="187"/>
        <w:gridCol w:w="1138"/>
        <w:gridCol w:w="185"/>
      </w:tblGrid>
      <w:tr>
        <w:trPr/>
        <w:tc>
          <w:tcPr>
            <w:tcW w:w="20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94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7"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94" w:type="dxa"/>
            <w:tcBorders/>
            <w:shd w:fill="auto" w:val="clear"/>
            <w:vAlign w:val="center"/>
          </w:tcPr>
          <w:p>
            <w:pPr>
              <w:pStyle w:val="TableContents"/>
              <w:spacing w:before="0" w:after="283"/>
              <w:rPr>
                <w:sz w:val="4"/>
                <w:szCs w:val="4"/>
              </w:rPr>
            </w:pPr>
            <w:r>
              <w:rPr>
                <w:sz w:val="4"/>
                <w:szCs w:val="4"/>
              </w:rPr>
            </w:r>
          </w:p>
        </w:tc>
        <w:tc>
          <w:tcPr>
            <w:tcW w:w="100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6"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2090" w:type="dxa"/>
            <w:tcBorders/>
            <w:shd w:fill="auto" w:val="clear"/>
            <w:vAlign w:val="bottom"/>
          </w:tcPr>
          <w:p>
            <w:pPr>
              <w:pStyle w:val="TableContents"/>
              <w:pBdr>
                <w:bottom w:val="single" w:sz="8" w:space="1" w:color="000000"/>
              </w:pBdr>
              <w:spacing w:before="0" w:after="0"/>
              <w:rPr>
                <w:rFonts w:ascii="Times New Roman" w:hAnsi="Times New Roman"/>
                <w:b/>
                <w:sz w:val="14"/>
              </w:rPr>
            </w:pPr>
            <w:r>
              <w:rPr>
                <w:rFonts w:ascii="Times New Roman" w:hAnsi="Times New Roman"/>
                <w:b/>
                <w:sz w:val="14"/>
              </w:rPr>
              <w:t>Company(1)(6)</w:t>
            </w:r>
          </w:p>
        </w:tc>
        <w:tc>
          <w:tcPr>
            <w:tcW w:w="60" w:type="dxa"/>
            <w:tcBorders/>
            <w:shd w:fill="auto" w:val="clear"/>
            <w:vAlign w:val="bottom"/>
          </w:tcPr>
          <w:p>
            <w:pPr>
              <w:pStyle w:val="TableContents"/>
              <w:spacing w:before="0" w:after="283"/>
              <w:rPr/>
            </w:pPr>
            <w:r>
              <w:rPr/>
              <w:t> </w:t>
            </w:r>
          </w:p>
        </w:tc>
        <w:tc>
          <w:tcPr>
            <w:tcW w:w="2945"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4"/>
              </w:rPr>
            </w:pPr>
            <w:r>
              <w:rPr>
                <w:rFonts w:ascii="Times New Roman" w:hAnsi="Times New Roman"/>
                <w:b/>
                <w:sz w:val="14"/>
              </w:rPr>
              <w:t>Investment</w:t>
            </w:r>
          </w:p>
        </w:tc>
        <w:tc>
          <w:tcPr>
            <w:tcW w:w="60" w:type="dxa"/>
            <w:tcBorders/>
            <w:shd w:fill="auto" w:val="clear"/>
            <w:vAlign w:val="bottom"/>
          </w:tcPr>
          <w:p>
            <w:pPr>
              <w:pStyle w:val="TableContents"/>
              <w:spacing w:before="0" w:after="283"/>
              <w:rPr/>
            </w:pPr>
            <w:r>
              <w:rPr/>
              <w:t> </w:t>
            </w:r>
          </w:p>
        </w:tc>
        <w:tc>
          <w:tcPr>
            <w:tcW w:w="11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Initial</w:t>
              <w:br/>
              <w:t>Acquisition</w:t>
              <w:br/>
              <w:t>Date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Reference</w:t>
              <w:br/>
              <w:t>Rate and</w:t>
              <w:br/>
              <w:t>Spread</w:t>
            </w:r>
          </w:p>
        </w:tc>
        <w:tc>
          <w:tcPr>
            <w:tcW w:w="1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85"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4"/>
              </w:rPr>
            </w:pPr>
            <w:r>
              <w:rPr>
                <w:rFonts w:ascii="Times New Roman" w:hAnsi="Times New Roman"/>
                <w:b/>
                <w:sz w:val="14"/>
              </w:rPr>
              <w:t>Interest Rate</w:t>
            </w:r>
          </w:p>
        </w:tc>
        <w:tc>
          <w:tcPr>
            <w:tcW w:w="60" w:type="dxa"/>
            <w:tcBorders/>
            <w:shd w:fill="auto" w:val="clear"/>
            <w:vAlign w:val="bottom"/>
          </w:tcPr>
          <w:p>
            <w:pPr>
              <w:pStyle w:val="TableContents"/>
              <w:spacing w:before="0" w:after="283"/>
              <w:rPr/>
            </w:pPr>
            <w:r>
              <w:rPr/>
              <w:t> </w:t>
            </w:r>
          </w:p>
        </w:tc>
        <w:tc>
          <w:tcPr>
            <w:tcW w:w="11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Amortized</w:t>
              <w:br/>
              <w:t>Cost(2)(8)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Fair Value(9)</w:t>
            </w:r>
          </w:p>
        </w:tc>
        <w:tc>
          <w:tcPr>
            <w:tcW w:w="11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2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Percentage</w:t>
              <w:br/>
              <w:t>of Net Assets</w:t>
            </w:r>
          </w:p>
        </w:tc>
        <w:tc>
          <w:tcPr>
            <w:tcW w:w="185" w:type="dxa"/>
            <w:tcBorders/>
            <w:shd w:fill="auto" w:val="clear"/>
            <w:vAlign w:val="bottom"/>
          </w:tcPr>
          <w:p>
            <w:pPr>
              <w:pStyle w:val="TableContents"/>
              <w:spacing w:before="0" w:after="283"/>
              <w:rPr/>
            </w:pPr>
            <w:r>
              <w:rPr/>
              <w:t> </w:t>
            </w:r>
          </w:p>
        </w:tc>
      </w:tr>
      <w:tr>
        <w:trPr/>
        <w:tc>
          <w:tcPr>
            <w:tcW w:w="209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94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First-lien loan ($1,364 par, due 9/2026) (15)</w:t>
            </w:r>
          </w:p>
        </w:tc>
        <w:tc>
          <w:tcPr>
            <w:tcW w:w="60" w:type="dxa"/>
            <w:tcBorders/>
            <w:shd w:fill="CCEEFF" w:val="clear"/>
            <w:vAlign w:val="bottom"/>
          </w:tcPr>
          <w:p>
            <w:pPr>
              <w:pStyle w:val="TableContents"/>
              <w:spacing w:before="0" w:after="283"/>
              <w:rPr/>
            </w:pPr>
            <w:r>
              <w:rPr/>
              <w:t> </w:t>
            </w:r>
          </w:p>
        </w:tc>
        <w:tc>
          <w:tcPr>
            <w:tcW w:w="91" w:type="dxa"/>
            <w:tcBorders/>
            <w:shd w:fill="CCEEFF" w:val="clear"/>
          </w:tcPr>
          <w:p>
            <w:pPr>
              <w:pStyle w:val="TableContents"/>
              <w:spacing w:lineRule="atLeast" w:line="141" w:before="0" w:after="0"/>
              <w:rPr/>
            </w:pPr>
            <w:r>
              <w:rPr/>
              <w:t> </w:t>
            </w:r>
          </w:p>
        </w:tc>
        <w:tc>
          <w:tcPr>
            <w:tcW w:w="108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6/10/2021</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67" w:type="dxa"/>
            <w:tcBorders/>
            <w:shd w:fill="CCEEFF" w:val="clear"/>
          </w:tcPr>
          <w:p>
            <w:pPr>
              <w:pStyle w:val="TableContents"/>
              <w:spacing w:lineRule="atLeast" w:line="141" w:before="0" w:after="0"/>
              <w:rPr/>
            </w:pPr>
            <w:r>
              <w:rPr/>
              <w:t> </w:t>
            </w:r>
          </w:p>
        </w:tc>
        <w:tc>
          <w:tcPr>
            <w:tcW w:w="973"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L + 14.00</w:t>
            </w:r>
          </w:p>
        </w:tc>
        <w:tc>
          <w:tcPr>
            <w:tcW w:w="18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 </w:t>
            </w:r>
          </w:p>
        </w:tc>
        <w:tc>
          <w:tcPr>
            <w:tcW w:w="60" w:type="dxa"/>
            <w:tcBorders/>
            <w:shd w:fill="CCEEFF" w:val="clear"/>
            <w:vAlign w:val="bottom"/>
          </w:tcPr>
          <w:p>
            <w:pPr>
              <w:pStyle w:val="TableContents"/>
              <w:spacing w:before="0" w:after="283"/>
              <w:rPr/>
            </w:pPr>
            <w:r>
              <w:rPr/>
              <w:t> </w:t>
            </w:r>
          </w:p>
        </w:tc>
        <w:tc>
          <w:tcPr>
            <w:tcW w:w="1685"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16.57% (incl. 16.07% PIK)</w:t>
            </w:r>
          </w:p>
        </w:tc>
        <w:tc>
          <w:tcPr>
            <w:tcW w:w="60" w:type="dxa"/>
            <w:tcBorders/>
            <w:shd w:fill="CCEEFF" w:val="clear"/>
            <w:vAlign w:val="bottom"/>
          </w:tcPr>
          <w:p>
            <w:pPr>
              <w:pStyle w:val="TableContents"/>
              <w:spacing w:before="0" w:after="283"/>
              <w:rPr/>
            </w:pPr>
            <w:r>
              <w:rPr/>
              <w:t> </w:t>
            </w:r>
          </w:p>
        </w:tc>
        <w:tc>
          <w:tcPr>
            <w:tcW w:w="94" w:type="dxa"/>
            <w:tcBorders/>
            <w:shd w:fill="CCEEFF" w:val="clear"/>
          </w:tcPr>
          <w:p>
            <w:pPr>
              <w:pStyle w:val="TableContents"/>
              <w:spacing w:lineRule="atLeast" w:line="141" w:before="0" w:after="0"/>
              <w:rPr/>
            </w:pPr>
            <w:r>
              <w:rPr/>
              <w:t> </w:t>
            </w:r>
          </w:p>
        </w:tc>
        <w:tc>
          <w:tcPr>
            <w:tcW w:w="1006"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1,364</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86" w:type="dxa"/>
            <w:tcBorders/>
            <w:shd w:fill="CCEEFF" w:val="clear"/>
          </w:tcPr>
          <w:p>
            <w:pPr>
              <w:pStyle w:val="TableContents"/>
              <w:spacing w:lineRule="atLeast" w:line="141" w:before="0" w:after="0"/>
              <w:rPr/>
            </w:pPr>
            <w:r>
              <w:rPr/>
              <w:t> </w:t>
            </w:r>
          </w:p>
        </w:tc>
        <w:tc>
          <w:tcPr>
            <w:tcW w:w="110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82</w:t>
            </w:r>
          </w:p>
        </w:tc>
        <w:tc>
          <w:tcPr>
            <w:tcW w:w="11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tcPr>
          <w:p>
            <w:pPr>
              <w:pStyle w:val="TableContents"/>
              <w:spacing w:lineRule="atLeast" w:line="141" w:before="0" w:after="0"/>
              <w:rPr/>
            </w:pPr>
            <w:r>
              <w:rPr/>
              <w:t> </w:t>
            </w:r>
          </w:p>
        </w:tc>
        <w:tc>
          <w:tcPr>
            <w:tcW w:w="1138"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0.0</w:t>
            </w:r>
          </w:p>
        </w:tc>
        <w:tc>
          <w:tcPr>
            <w:tcW w:w="18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4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Subordinated note ($4,740 par, due 9/2026) (15)</w:t>
            </w:r>
          </w:p>
        </w:tc>
        <w:tc>
          <w:tcPr>
            <w:tcW w:w="60" w:type="dxa"/>
            <w:tcBorders/>
            <w:shd w:fill="auto" w:val="clear"/>
            <w:vAlign w:val="bottom"/>
          </w:tcPr>
          <w:p>
            <w:pPr>
              <w:pStyle w:val="TableContents"/>
              <w:spacing w:before="0" w:after="283"/>
              <w:rPr/>
            </w:pPr>
            <w:r>
              <w:rPr/>
              <w:t> </w:t>
            </w:r>
          </w:p>
        </w:tc>
        <w:tc>
          <w:tcPr>
            <w:tcW w:w="91" w:type="dxa"/>
            <w:tcBorders/>
            <w:shd w:fill="auto" w:val="clear"/>
          </w:tcPr>
          <w:p>
            <w:pPr>
              <w:pStyle w:val="TableContents"/>
              <w:spacing w:lineRule="atLeast" w:line="141" w:before="0" w:after="0"/>
              <w:rPr/>
            </w:pPr>
            <w:r>
              <w:rPr/>
              <w:t> </w:t>
            </w:r>
          </w:p>
        </w:tc>
        <w:tc>
          <w:tcPr>
            <w:tcW w:w="1084"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3/16/2021</w:t>
            </w:r>
          </w:p>
        </w:tc>
        <w:tc>
          <w:tcPr>
            <w:tcW w:w="6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67" w:type="dxa"/>
            <w:tcBorders/>
            <w:shd w:fill="auto" w:val="clear"/>
          </w:tcPr>
          <w:p>
            <w:pPr>
              <w:pStyle w:val="TableContents"/>
              <w:spacing w:lineRule="atLeast" w:line="141" w:before="0" w:after="0"/>
              <w:rPr/>
            </w:pPr>
            <w:r>
              <w:rPr/>
              <w:t> </w:t>
            </w:r>
          </w:p>
        </w:tc>
        <w:tc>
          <w:tcPr>
            <w:tcW w:w="973"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L + 1.00</w:t>
            </w:r>
          </w:p>
        </w:tc>
        <w:tc>
          <w:tcPr>
            <w:tcW w:w="18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 </w:t>
            </w:r>
          </w:p>
        </w:tc>
        <w:tc>
          <w:tcPr>
            <w:tcW w:w="60" w:type="dxa"/>
            <w:tcBorders/>
            <w:shd w:fill="auto" w:val="clear"/>
            <w:vAlign w:val="bottom"/>
          </w:tcPr>
          <w:p>
            <w:pPr>
              <w:pStyle w:val="TableContents"/>
              <w:spacing w:before="0" w:after="283"/>
              <w:rPr/>
            </w:pPr>
            <w:r>
              <w:rPr/>
              <w:t> </w:t>
            </w:r>
          </w:p>
        </w:tc>
        <w:tc>
          <w:tcPr>
            <w:tcW w:w="1685"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3.28% PIK</w:t>
            </w:r>
          </w:p>
        </w:tc>
        <w:tc>
          <w:tcPr>
            <w:tcW w:w="60" w:type="dxa"/>
            <w:tcBorders/>
            <w:shd w:fill="auto" w:val="clear"/>
            <w:vAlign w:val="bottom"/>
          </w:tcPr>
          <w:p>
            <w:pPr>
              <w:pStyle w:val="TableContents"/>
              <w:spacing w:before="0" w:after="283"/>
              <w:rPr/>
            </w:pPr>
            <w:r>
              <w:rPr/>
              <w:t> </w:t>
            </w:r>
          </w:p>
        </w:tc>
        <w:tc>
          <w:tcPr>
            <w:tcW w:w="94" w:type="dxa"/>
            <w:tcBorders/>
            <w:shd w:fill="auto" w:val="clear"/>
          </w:tcPr>
          <w:p>
            <w:pPr>
              <w:pStyle w:val="TableContents"/>
              <w:spacing w:lineRule="atLeast" w:line="141" w:before="0" w:after="0"/>
              <w:rPr/>
            </w:pPr>
            <w:r>
              <w:rPr/>
              <w:t> </w:t>
            </w:r>
          </w:p>
        </w:tc>
        <w:tc>
          <w:tcPr>
            <w:tcW w:w="1006"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545</w:t>
            </w:r>
          </w:p>
        </w:tc>
        <w:tc>
          <w:tcPr>
            <w:tcW w:w="6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tcPr>
          <w:p>
            <w:pPr>
              <w:pStyle w:val="TableContents"/>
              <w:spacing w:lineRule="atLeast" w:line="141" w:before="0" w:after="0"/>
              <w:rPr/>
            </w:pPr>
            <w:r>
              <w:rPr/>
              <w:t> </w:t>
            </w:r>
          </w:p>
        </w:tc>
        <w:tc>
          <w:tcPr>
            <w:tcW w:w="1104"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71</w:t>
            </w:r>
          </w:p>
        </w:tc>
        <w:tc>
          <w:tcPr>
            <w:tcW w:w="11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tcPr>
          <w:p>
            <w:pPr>
              <w:pStyle w:val="TableContents"/>
              <w:spacing w:lineRule="atLeast" w:line="141" w:before="0" w:after="0"/>
              <w:rPr/>
            </w:pPr>
            <w:r>
              <w:rPr/>
              <w:t> </w:t>
            </w:r>
          </w:p>
        </w:tc>
        <w:tc>
          <w:tcPr>
            <w:tcW w:w="1138"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0.0</w:t>
            </w:r>
          </w:p>
        </w:tc>
        <w:tc>
          <w:tcPr>
            <w:tcW w:w="18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Bed Bath and Beyond Inc.(3)</w:t>
            </w:r>
          </w:p>
        </w:tc>
        <w:tc>
          <w:tcPr>
            <w:tcW w:w="60" w:type="dxa"/>
            <w:tcBorders/>
            <w:shd w:fill="CCEEFF" w:val="clear"/>
            <w:vAlign w:val="bottom"/>
          </w:tcPr>
          <w:p>
            <w:pPr>
              <w:pStyle w:val="TableContents"/>
              <w:spacing w:before="0" w:after="283"/>
              <w:rPr/>
            </w:pPr>
            <w:r>
              <w:rPr/>
              <w:t> </w:t>
            </w:r>
          </w:p>
        </w:tc>
        <w:tc>
          <w:tcPr>
            <w:tcW w:w="294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ABL FILO term loan ($55,000 par, due 8/2027)</w:t>
            </w:r>
          </w:p>
        </w:tc>
        <w:tc>
          <w:tcPr>
            <w:tcW w:w="60" w:type="dxa"/>
            <w:tcBorders/>
            <w:shd w:fill="CCEEFF" w:val="clear"/>
            <w:vAlign w:val="bottom"/>
          </w:tcPr>
          <w:p>
            <w:pPr>
              <w:pStyle w:val="TableContents"/>
              <w:spacing w:before="0" w:after="283"/>
              <w:rPr/>
            </w:pPr>
            <w:r>
              <w:rPr/>
              <w:t> </w:t>
            </w:r>
          </w:p>
        </w:tc>
        <w:tc>
          <w:tcPr>
            <w:tcW w:w="91" w:type="dxa"/>
            <w:tcBorders/>
            <w:shd w:fill="CCEEFF" w:val="clear"/>
          </w:tcPr>
          <w:p>
            <w:pPr>
              <w:pStyle w:val="TableContents"/>
              <w:spacing w:lineRule="atLeast" w:line="141" w:before="0" w:after="0"/>
              <w:rPr/>
            </w:pPr>
            <w:r>
              <w:rPr/>
              <w:t> </w:t>
            </w:r>
          </w:p>
        </w:tc>
        <w:tc>
          <w:tcPr>
            <w:tcW w:w="108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9/2/2022</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67" w:type="dxa"/>
            <w:tcBorders/>
            <w:shd w:fill="CCEEFF" w:val="clear"/>
          </w:tcPr>
          <w:p>
            <w:pPr>
              <w:pStyle w:val="TableContents"/>
              <w:spacing w:lineRule="atLeast" w:line="141" w:before="0" w:after="0"/>
              <w:rPr/>
            </w:pPr>
            <w:r>
              <w:rPr/>
              <w:t> </w:t>
            </w:r>
          </w:p>
        </w:tc>
        <w:tc>
          <w:tcPr>
            <w:tcW w:w="973"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SOFR + 7.90</w:t>
            </w:r>
          </w:p>
        </w:tc>
        <w:tc>
          <w:tcPr>
            <w:tcW w:w="18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 </w:t>
            </w:r>
          </w:p>
        </w:tc>
        <w:tc>
          <w:tcPr>
            <w:tcW w:w="60" w:type="dxa"/>
            <w:tcBorders/>
            <w:shd w:fill="CCEEFF" w:val="clear"/>
            <w:vAlign w:val="bottom"/>
          </w:tcPr>
          <w:p>
            <w:pPr>
              <w:pStyle w:val="TableContents"/>
              <w:spacing w:before="0" w:after="283"/>
              <w:rPr/>
            </w:pPr>
            <w:r>
              <w:rPr/>
              <w:t> </w:t>
            </w:r>
          </w:p>
        </w:tc>
        <w:tc>
          <w:tcPr>
            <w:tcW w:w="1685"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10.87%</w:t>
            </w:r>
          </w:p>
        </w:tc>
        <w:tc>
          <w:tcPr>
            <w:tcW w:w="60" w:type="dxa"/>
            <w:tcBorders/>
            <w:shd w:fill="CCEEFF" w:val="clear"/>
            <w:vAlign w:val="bottom"/>
          </w:tcPr>
          <w:p>
            <w:pPr>
              <w:pStyle w:val="TableContents"/>
              <w:spacing w:before="0" w:after="283"/>
              <w:rPr/>
            </w:pPr>
            <w:r>
              <w:rPr/>
              <w:t> </w:t>
            </w:r>
          </w:p>
        </w:tc>
        <w:tc>
          <w:tcPr>
            <w:tcW w:w="94" w:type="dxa"/>
            <w:tcBorders/>
            <w:shd w:fill="CCEEFF" w:val="clear"/>
          </w:tcPr>
          <w:p>
            <w:pPr>
              <w:pStyle w:val="TableContents"/>
              <w:spacing w:lineRule="atLeast" w:line="141" w:before="0" w:after="0"/>
              <w:rPr/>
            </w:pPr>
            <w:r>
              <w:rPr/>
              <w:t> </w:t>
            </w:r>
          </w:p>
        </w:tc>
        <w:tc>
          <w:tcPr>
            <w:tcW w:w="1006"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53,646</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86" w:type="dxa"/>
            <w:tcBorders/>
            <w:shd w:fill="CCEEFF" w:val="clear"/>
          </w:tcPr>
          <w:p>
            <w:pPr>
              <w:pStyle w:val="TableContents"/>
              <w:spacing w:lineRule="atLeast" w:line="141" w:before="0" w:after="0"/>
              <w:rPr/>
            </w:pPr>
            <w:r>
              <w:rPr/>
              <w:t> </w:t>
            </w:r>
          </w:p>
        </w:tc>
        <w:tc>
          <w:tcPr>
            <w:tcW w:w="110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53,625</w:t>
            </w:r>
          </w:p>
        </w:tc>
        <w:tc>
          <w:tcPr>
            <w:tcW w:w="11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tcPr>
          <w:p>
            <w:pPr>
              <w:pStyle w:val="TableContents"/>
              <w:spacing w:lineRule="atLeast" w:line="141" w:before="0" w:after="0"/>
              <w:rPr/>
            </w:pPr>
            <w:r>
              <w:rPr/>
              <w:t> </w:t>
            </w:r>
          </w:p>
        </w:tc>
        <w:tc>
          <w:tcPr>
            <w:tcW w:w="1138"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4.0</w:t>
            </w:r>
          </w:p>
        </w:tc>
        <w:tc>
          <w:tcPr>
            <w:tcW w:w="18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Cordance Operations, LLC(3)</w:t>
            </w:r>
          </w:p>
        </w:tc>
        <w:tc>
          <w:tcPr>
            <w:tcW w:w="60" w:type="dxa"/>
            <w:tcBorders/>
            <w:shd w:fill="auto" w:val="clear"/>
            <w:vAlign w:val="bottom"/>
          </w:tcPr>
          <w:p>
            <w:pPr>
              <w:pStyle w:val="TableContents"/>
              <w:spacing w:before="0" w:after="283"/>
              <w:rPr/>
            </w:pPr>
            <w:r>
              <w:rPr/>
              <w:t> </w:t>
            </w:r>
          </w:p>
        </w:tc>
        <w:tc>
          <w:tcPr>
            <w:tcW w:w="294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First-lien loan ($26,087 par, due 7/2028)</w:t>
            </w:r>
          </w:p>
        </w:tc>
        <w:tc>
          <w:tcPr>
            <w:tcW w:w="60" w:type="dxa"/>
            <w:tcBorders/>
            <w:shd w:fill="auto" w:val="clear"/>
            <w:vAlign w:val="bottom"/>
          </w:tcPr>
          <w:p>
            <w:pPr>
              <w:pStyle w:val="TableContents"/>
              <w:spacing w:before="0" w:after="283"/>
              <w:rPr/>
            </w:pPr>
            <w:r>
              <w:rPr/>
              <w:t> </w:t>
            </w:r>
          </w:p>
        </w:tc>
        <w:tc>
          <w:tcPr>
            <w:tcW w:w="91" w:type="dxa"/>
            <w:tcBorders/>
            <w:shd w:fill="auto" w:val="clear"/>
          </w:tcPr>
          <w:p>
            <w:pPr>
              <w:pStyle w:val="TableContents"/>
              <w:spacing w:lineRule="atLeast" w:line="141" w:before="0" w:after="0"/>
              <w:rPr/>
            </w:pPr>
            <w:r>
              <w:rPr/>
              <w:t> </w:t>
            </w:r>
          </w:p>
        </w:tc>
        <w:tc>
          <w:tcPr>
            <w:tcW w:w="1084"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7/25/2022</w:t>
            </w:r>
          </w:p>
        </w:tc>
        <w:tc>
          <w:tcPr>
            <w:tcW w:w="6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67" w:type="dxa"/>
            <w:tcBorders/>
            <w:shd w:fill="auto" w:val="clear"/>
          </w:tcPr>
          <w:p>
            <w:pPr>
              <w:pStyle w:val="TableContents"/>
              <w:spacing w:lineRule="atLeast" w:line="141" w:before="0" w:after="0"/>
              <w:rPr/>
            </w:pPr>
            <w:r>
              <w:rPr/>
              <w:t> </w:t>
            </w:r>
          </w:p>
        </w:tc>
        <w:tc>
          <w:tcPr>
            <w:tcW w:w="973"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SOFR + 8.50</w:t>
            </w:r>
          </w:p>
        </w:tc>
        <w:tc>
          <w:tcPr>
            <w:tcW w:w="18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 </w:t>
            </w:r>
          </w:p>
        </w:tc>
        <w:tc>
          <w:tcPr>
            <w:tcW w:w="60" w:type="dxa"/>
            <w:tcBorders/>
            <w:shd w:fill="auto" w:val="clear"/>
            <w:vAlign w:val="bottom"/>
          </w:tcPr>
          <w:p>
            <w:pPr>
              <w:pStyle w:val="TableContents"/>
              <w:spacing w:before="0" w:after="283"/>
              <w:rPr/>
            </w:pPr>
            <w:r>
              <w:rPr/>
              <w:t> </w:t>
            </w:r>
          </w:p>
        </w:tc>
        <w:tc>
          <w:tcPr>
            <w:tcW w:w="1685"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11.80%</w:t>
            </w:r>
          </w:p>
        </w:tc>
        <w:tc>
          <w:tcPr>
            <w:tcW w:w="60" w:type="dxa"/>
            <w:tcBorders/>
            <w:shd w:fill="auto" w:val="clear"/>
            <w:vAlign w:val="bottom"/>
          </w:tcPr>
          <w:p>
            <w:pPr>
              <w:pStyle w:val="TableContents"/>
              <w:spacing w:before="0" w:after="283"/>
              <w:rPr/>
            </w:pPr>
            <w:r>
              <w:rPr/>
              <w:t> </w:t>
            </w:r>
          </w:p>
        </w:tc>
        <w:tc>
          <w:tcPr>
            <w:tcW w:w="94" w:type="dxa"/>
            <w:tcBorders/>
            <w:shd w:fill="auto" w:val="clear"/>
          </w:tcPr>
          <w:p>
            <w:pPr>
              <w:pStyle w:val="TableContents"/>
              <w:spacing w:lineRule="atLeast" w:line="141" w:before="0" w:after="0"/>
              <w:rPr/>
            </w:pPr>
            <w:r>
              <w:rPr/>
              <w:t> </w:t>
            </w:r>
          </w:p>
        </w:tc>
        <w:tc>
          <w:tcPr>
            <w:tcW w:w="1006"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25,310</w:t>
            </w:r>
          </w:p>
        </w:tc>
        <w:tc>
          <w:tcPr>
            <w:tcW w:w="6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tcPr>
          <w:p>
            <w:pPr>
              <w:pStyle w:val="TableContents"/>
              <w:spacing w:lineRule="atLeast" w:line="141" w:before="0" w:after="0"/>
              <w:rPr/>
            </w:pPr>
            <w:r>
              <w:rPr/>
              <w:t> </w:t>
            </w:r>
          </w:p>
        </w:tc>
        <w:tc>
          <w:tcPr>
            <w:tcW w:w="1104"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25,141</w:t>
            </w:r>
          </w:p>
        </w:tc>
        <w:tc>
          <w:tcPr>
            <w:tcW w:w="11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tcPr>
          <w:p>
            <w:pPr>
              <w:pStyle w:val="TableContents"/>
              <w:spacing w:lineRule="atLeast" w:line="141" w:before="0" w:after="0"/>
              <w:rPr/>
            </w:pPr>
            <w:r>
              <w:rPr/>
              <w:t> </w:t>
            </w:r>
          </w:p>
        </w:tc>
        <w:tc>
          <w:tcPr>
            <w:tcW w:w="1138"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1.9</w:t>
            </w:r>
          </w:p>
        </w:tc>
        <w:tc>
          <w:tcPr>
            <w:tcW w:w="18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Moran Foods, LLC(3)</w:t>
            </w:r>
          </w:p>
        </w:tc>
        <w:tc>
          <w:tcPr>
            <w:tcW w:w="60" w:type="dxa"/>
            <w:tcBorders/>
            <w:shd w:fill="CCEEFF" w:val="clear"/>
            <w:vAlign w:val="bottom"/>
          </w:tcPr>
          <w:p>
            <w:pPr>
              <w:pStyle w:val="TableContents"/>
              <w:spacing w:before="0" w:after="283"/>
              <w:rPr/>
            </w:pPr>
            <w:r>
              <w:rPr/>
              <w:t> </w:t>
            </w:r>
          </w:p>
        </w:tc>
        <w:tc>
          <w:tcPr>
            <w:tcW w:w="294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ABL FILO term loan ($32,267 par, due 4/2024)</w:t>
            </w:r>
          </w:p>
        </w:tc>
        <w:tc>
          <w:tcPr>
            <w:tcW w:w="60" w:type="dxa"/>
            <w:tcBorders/>
            <w:shd w:fill="CCEEFF" w:val="clear"/>
            <w:vAlign w:val="bottom"/>
          </w:tcPr>
          <w:p>
            <w:pPr>
              <w:pStyle w:val="TableContents"/>
              <w:spacing w:before="0" w:after="283"/>
              <w:rPr/>
            </w:pPr>
            <w:r>
              <w:rPr/>
              <w:t> </w:t>
            </w:r>
          </w:p>
        </w:tc>
        <w:tc>
          <w:tcPr>
            <w:tcW w:w="91" w:type="dxa"/>
            <w:tcBorders/>
            <w:shd w:fill="CCEEFF" w:val="clear"/>
          </w:tcPr>
          <w:p>
            <w:pPr>
              <w:pStyle w:val="TableContents"/>
              <w:spacing w:lineRule="atLeast" w:line="141" w:before="0" w:after="0"/>
              <w:rPr/>
            </w:pPr>
            <w:r>
              <w:rPr/>
              <w:t> </w:t>
            </w:r>
          </w:p>
        </w:tc>
        <w:tc>
          <w:tcPr>
            <w:tcW w:w="108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4/1/2020</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67" w:type="dxa"/>
            <w:tcBorders/>
            <w:shd w:fill="CCEEFF" w:val="clear"/>
          </w:tcPr>
          <w:p>
            <w:pPr>
              <w:pStyle w:val="TableContents"/>
              <w:spacing w:lineRule="atLeast" w:line="141" w:before="0" w:after="0"/>
              <w:rPr/>
            </w:pPr>
            <w:r>
              <w:rPr/>
              <w:t> </w:t>
            </w:r>
          </w:p>
        </w:tc>
        <w:tc>
          <w:tcPr>
            <w:tcW w:w="973"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L + 7.50</w:t>
            </w:r>
          </w:p>
        </w:tc>
        <w:tc>
          <w:tcPr>
            <w:tcW w:w="18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 </w:t>
            </w:r>
          </w:p>
        </w:tc>
        <w:tc>
          <w:tcPr>
            <w:tcW w:w="60" w:type="dxa"/>
            <w:tcBorders/>
            <w:shd w:fill="CCEEFF" w:val="clear"/>
            <w:vAlign w:val="bottom"/>
          </w:tcPr>
          <w:p>
            <w:pPr>
              <w:pStyle w:val="TableContents"/>
              <w:spacing w:before="0" w:after="283"/>
              <w:rPr/>
            </w:pPr>
            <w:r>
              <w:rPr/>
              <w:t> </w:t>
            </w:r>
          </w:p>
        </w:tc>
        <w:tc>
          <w:tcPr>
            <w:tcW w:w="1685"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11.17%</w:t>
            </w:r>
          </w:p>
        </w:tc>
        <w:tc>
          <w:tcPr>
            <w:tcW w:w="60" w:type="dxa"/>
            <w:tcBorders/>
            <w:shd w:fill="CCEEFF" w:val="clear"/>
            <w:vAlign w:val="bottom"/>
          </w:tcPr>
          <w:p>
            <w:pPr>
              <w:pStyle w:val="TableContents"/>
              <w:spacing w:before="0" w:after="283"/>
              <w:rPr/>
            </w:pPr>
            <w:r>
              <w:rPr/>
              <w:t> </w:t>
            </w:r>
          </w:p>
        </w:tc>
        <w:tc>
          <w:tcPr>
            <w:tcW w:w="94" w:type="dxa"/>
            <w:tcBorders/>
            <w:shd w:fill="CCEEFF" w:val="clear"/>
          </w:tcPr>
          <w:p>
            <w:pPr>
              <w:pStyle w:val="TableContents"/>
              <w:spacing w:lineRule="atLeast" w:line="141" w:before="0" w:after="0"/>
              <w:rPr/>
            </w:pPr>
            <w:r>
              <w:rPr/>
              <w:t> </w:t>
            </w:r>
          </w:p>
        </w:tc>
        <w:tc>
          <w:tcPr>
            <w:tcW w:w="1006"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31,997</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86" w:type="dxa"/>
            <w:tcBorders/>
            <w:shd w:fill="CCEEFF" w:val="clear"/>
          </w:tcPr>
          <w:p>
            <w:pPr>
              <w:pStyle w:val="TableContents"/>
              <w:spacing w:lineRule="atLeast" w:line="141" w:before="0" w:after="0"/>
              <w:rPr/>
            </w:pPr>
            <w:r>
              <w:rPr/>
              <w:t> </w:t>
            </w:r>
          </w:p>
        </w:tc>
        <w:tc>
          <w:tcPr>
            <w:tcW w:w="110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32,186</w:t>
            </w:r>
          </w:p>
        </w:tc>
        <w:tc>
          <w:tcPr>
            <w:tcW w:w="11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tcPr>
          <w:p>
            <w:pPr>
              <w:pStyle w:val="TableContents"/>
              <w:spacing w:lineRule="atLeast" w:line="141" w:before="0" w:after="0"/>
              <w:rPr/>
            </w:pPr>
            <w:r>
              <w:rPr/>
              <w:t> </w:t>
            </w:r>
          </w:p>
        </w:tc>
        <w:tc>
          <w:tcPr>
            <w:tcW w:w="1138"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2.4</w:t>
            </w:r>
          </w:p>
        </w:tc>
        <w:tc>
          <w:tcPr>
            <w:tcW w:w="18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Neuintel, LLC(3)(5)</w:t>
            </w:r>
          </w:p>
        </w:tc>
        <w:tc>
          <w:tcPr>
            <w:tcW w:w="60" w:type="dxa"/>
            <w:tcBorders/>
            <w:shd w:fill="auto" w:val="clear"/>
            <w:vAlign w:val="bottom"/>
          </w:tcPr>
          <w:p>
            <w:pPr>
              <w:pStyle w:val="TableContents"/>
              <w:spacing w:before="0" w:after="283"/>
              <w:rPr/>
            </w:pPr>
            <w:r>
              <w:rPr/>
              <w:t> </w:t>
            </w:r>
          </w:p>
        </w:tc>
        <w:tc>
          <w:tcPr>
            <w:tcW w:w="294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First-lien loan ($55,300 par, due 12/2026)</w:t>
            </w:r>
          </w:p>
        </w:tc>
        <w:tc>
          <w:tcPr>
            <w:tcW w:w="60" w:type="dxa"/>
            <w:tcBorders/>
            <w:shd w:fill="auto" w:val="clear"/>
            <w:vAlign w:val="bottom"/>
          </w:tcPr>
          <w:p>
            <w:pPr>
              <w:pStyle w:val="TableContents"/>
              <w:spacing w:before="0" w:after="283"/>
              <w:rPr/>
            </w:pPr>
            <w:r>
              <w:rPr/>
              <w:t> </w:t>
            </w:r>
          </w:p>
        </w:tc>
        <w:tc>
          <w:tcPr>
            <w:tcW w:w="91" w:type="dxa"/>
            <w:tcBorders/>
            <w:shd w:fill="auto" w:val="clear"/>
          </w:tcPr>
          <w:p>
            <w:pPr>
              <w:pStyle w:val="TableContents"/>
              <w:spacing w:lineRule="atLeast" w:line="141" w:before="0" w:after="0"/>
              <w:rPr/>
            </w:pPr>
            <w:r>
              <w:rPr/>
              <w:t> </w:t>
            </w:r>
          </w:p>
        </w:tc>
        <w:tc>
          <w:tcPr>
            <w:tcW w:w="1084"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12/20/2021</w:t>
            </w:r>
          </w:p>
        </w:tc>
        <w:tc>
          <w:tcPr>
            <w:tcW w:w="6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67" w:type="dxa"/>
            <w:tcBorders/>
            <w:shd w:fill="auto" w:val="clear"/>
          </w:tcPr>
          <w:p>
            <w:pPr>
              <w:pStyle w:val="TableContents"/>
              <w:spacing w:lineRule="atLeast" w:line="141" w:before="0" w:after="0"/>
              <w:rPr/>
            </w:pPr>
            <w:r>
              <w:rPr/>
              <w:t> </w:t>
            </w:r>
          </w:p>
        </w:tc>
        <w:tc>
          <w:tcPr>
            <w:tcW w:w="973"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L + 6.25</w:t>
            </w:r>
          </w:p>
        </w:tc>
        <w:tc>
          <w:tcPr>
            <w:tcW w:w="18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 </w:t>
            </w:r>
          </w:p>
        </w:tc>
        <w:tc>
          <w:tcPr>
            <w:tcW w:w="60" w:type="dxa"/>
            <w:tcBorders/>
            <w:shd w:fill="auto" w:val="clear"/>
            <w:vAlign w:val="bottom"/>
          </w:tcPr>
          <w:p>
            <w:pPr>
              <w:pStyle w:val="TableContents"/>
              <w:spacing w:before="0" w:after="283"/>
              <w:rPr/>
            </w:pPr>
            <w:r>
              <w:rPr/>
              <w:t> </w:t>
            </w:r>
          </w:p>
        </w:tc>
        <w:tc>
          <w:tcPr>
            <w:tcW w:w="1685"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9.07%</w:t>
            </w:r>
          </w:p>
        </w:tc>
        <w:tc>
          <w:tcPr>
            <w:tcW w:w="60" w:type="dxa"/>
            <w:tcBorders/>
            <w:shd w:fill="auto" w:val="clear"/>
            <w:vAlign w:val="bottom"/>
          </w:tcPr>
          <w:p>
            <w:pPr>
              <w:pStyle w:val="TableContents"/>
              <w:spacing w:before="0" w:after="283"/>
              <w:rPr/>
            </w:pPr>
            <w:r>
              <w:rPr/>
              <w:t> </w:t>
            </w:r>
          </w:p>
        </w:tc>
        <w:tc>
          <w:tcPr>
            <w:tcW w:w="94" w:type="dxa"/>
            <w:tcBorders/>
            <w:shd w:fill="auto" w:val="clear"/>
          </w:tcPr>
          <w:p>
            <w:pPr>
              <w:pStyle w:val="TableContents"/>
              <w:spacing w:lineRule="atLeast" w:line="141" w:before="0" w:after="0"/>
              <w:rPr/>
            </w:pPr>
            <w:r>
              <w:rPr/>
              <w:t> </w:t>
            </w:r>
          </w:p>
        </w:tc>
        <w:tc>
          <w:tcPr>
            <w:tcW w:w="1006"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54,263</w:t>
            </w:r>
          </w:p>
        </w:tc>
        <w:tc>
          <w:tcPr>
            <w:tcW w:w="6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tcPr>
          <w:p>
            <w:pPr>
              <w:pStyle w:val="TableContents"/>
              <w:spacing w:lineRule="atLeast" w:line="141" w:before="0" w:after="0"/>
              <w:rPr/>
            </w:pPr>
            <w:r>
              <w:rPr/>
              <w:t> </w:t>
            </w:r>
          </w:p>
        </w:tc>
        <w:tc>
          <w:tcPr>
            <w:tcW w:w="1104"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53,365</w:t>
            </w:r>
          </w:p>
        </w:tc>
        <w:tc>
          <w:tcPr>
            <w:tcW w:w="11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tcPr>
          <w:p>
            <w:pPr>
              <w:pStyle w:val="TableContents"/>
              <w:spacing w:lineRule="atLeast" w:line="141" w:before="0" w:after="0"/>
              <w:rPr/>
            </w:pPr>
            <w:r>
              <w:rPr/>
              <w:t> </w:t>
            </w:r>
          </w:p>
        </w:tc>
        <w:tc>
          <w:tcPr>
            <w:tcW w:w="1138"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4.0</w:t>
            </w:r>
          </w:p>
        </w:tc>
        <w:tc>
          <w:tcPr>
            <w:tcW w:w="18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Project P Intermediate 2, LLC(3)</w:t>
            </w:r>
          </w:p>
        </w:tc>
        <w:tc>
          <w:tcPr>
            <w:tcW w:w="60" w:type="dxa"/>
            <w:tcBorders/>
            <w:shd w:fill="CCEEFF" w:val="clear"/>
            <w:vAlign w:val="bottom"/>
          </w:tcPr>
          <w:p>
            <w:pPr>
              <w:pStyle w:val="TableContents"/>
              <w:spacing w:before="0" w:after="283"/>
              <w:rPr/>
            </w:pPr>
            <w:r>
              <w:rPr/>
              <w:t> </w:t>
            </w:r>
          </w:p>
        </w:tc>
        <w:tc>
          <w:tcPr>
            <w:tcW w:w="2945" w:type="dxa"/>
            <w:tcBorders/>
            <w:shd w:fill="CCEEFF" w:val="clear"/>
            <w:vAlign w:val="bottom"/>
          </w:tcPr>
          <w:p>
            <w:pPr>
              <w:pStyle w:val="TableContents"/>
              <w:spacing w:lineRule="atLeast" w:line="141" w:before="0" w:after="0"/>
              <w:rPr>
                <w:rFonts w:ascii="Times New Roman" w:hAnsi="Times New Roman"/>
                <w:sz w:val="15"/>
              </w:rPr>
            </w:pPr>
            <w:r>
              <w:rPr>
                <w:rFonts w:ascii="Times New Roman" w:hAnsi="Times New Roman"/>
                <w:sz w:val="15"/>
              </w:rPr>
              <w:t>ABL FILO term loan ($74,063 par, due 5/2026)</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lineRule="atLeast" w:line="141" w:before="0" w:after="0"/>
              <w:rPr/>
            </w:pPr>
            <w:r>
              <w:rPr/>
              <w:t> </w:t>
            </w:r>
          </w:p>
        </w:tc>
        <w:tc>
          <w:tcPr>
            <w:tcW w:w="1084" w:type="dxa"/>
            <w:tcBorders/>
            <w:shd w:fill="CCEEFF" w:val="clear"/>
            <w:vAlign w:val="bottom"/>
          </w:tcPr>
          <w:p>
            <w:pPr>
              <w:pStyle w:val="TableContents"/>
              <w:spacing w:lineRule="atLeast" w:line="141" w:before="0" w:after="0"/>
              <w:jc w:val="right"/>
              <w:rPr>
                <w:rFonts w:ascii="Times New Roman" w:hAnsi="Times New Roman"/>
                <w:sz w:val="15"/>
              </w:rPr>
            </w:pPr>
            <w:r>
              <w:rPr>
                <w:rFonts w:ascii="Times New Roman" w:hAnsi="Times New Roman"/>
                <w:sz w:val="15"/>
              </w:rPr>
              <w:t>11/8/2021</w:t>
            </w:r>
          </w:p>
        </w:tc>
        <w:tc>
          <w:tcPr>
            <w:tcW w:w="60" w:type="dxa"/>
            <w:tcBorders/>
            <w:shd w:fill="CCEEFF" w:val="clear"/>
            <w:vAlign w:val="bottom"/>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lineRule="atLeast" w:line="141" w:before="0" w:after="0"/>
              <w:rPr/>
            </w:pPr>
            <w:r>
              <w:rPr/>
              <w:t> </w:t>
            </w:r>
          </w:p>
        </w:tc>
        <w:tc>
          <w:tcPr>
            <w:tcW w:w="973" w:type="dxa"/>
            <w:tcBorders/>
            <w:shd w:fill="CCEEFF" w:val="clear"/>
            <w:vAlign w:val="bottom"/>
          </w:tcPr>
          <w:p>
            <w:pPr>
              <w:pStyle w:val="TableContents"/>
              <w:spacing w:lineRule="atLeast" w:line="141" w:before="0" w:after="0"/>
              <w:jc w:val="right"/>
              <w:rPr>
                <w:rFonts w:ascii="Times New Roman" w:hAnsi="Times New Roman"/>
                <w:sz w:val="15"/>
              </w:rPr>
            </w:pPr>
            <w:r>
              <w:rPr>
                <w:rFonts w:ascii="Times New Roman" w:hAnsi="Times New Roman"/>
                <w:sz w:val="15"/>
              </w:rPr>
              <w:t>L + 8.00</w:t>
            </w:r>
          </w:p>
        </w:tc>
        <w:tc>
          <w:tcPr>
            <w:tcW w:w="185" w:type="dxa"/>
            <w:tcBorders/>
            <w:shd w:fill="CCEEFF" w:val="clear"/>
            <w:vAlign w:val="bottom"/>
          </w:tcPr>
          <w:p>
            <w:pPr>
              <w:pStyle w:val="TableContents"/>
              <w:spacing w:lineRule="atLeast" w:line="141" w:before="0" w:after="0"/>
              <w:rPr>
                <w:rFonts w:ascii="Times New Roman" w:hAnsi="Times New Roman"/>
                <w:sz w:val="15"/>
              </w:rPr>
            </w:pPr>
            <w:r>
              <w:rPr>
                <w:rFonts w:ascii="Times New Roman" w:hAnsi="Times New Roman"/>
                <w:sz w:val="15"/>
              </w:rPr>
              <w:t>% </w:t>
            </w:r>
          </w:p>
        </w:tc>
        <w:tc>
          <w:tcPr>
            <w:tcW w:w="60" w:type="dxa"/>
            <w:tcBorders/>
            <w:shd w:fill="CCEEFF" w:val="clear"/>
            <w:vAlign w:val="bottom"/>
          </w:tcPr>
          <w:p>
            <w:pPr>
              <w:pStyle w:val="TableContents"/>
              <w:spacing w:before="0" w:after="283"/>
              <w:rPr/>
            </w:pPr>
            <w:r>
              <w:rPr/>
              <w:t> </w:t>
            </w:r>
          </w:p>
        </w:tc>
        <w:tc>
          <w:tcPr>
            <w:tcW w:w="1685" w:type="dxa"/>
            <w:tcBorders/>
            <w:shd w:fill="CCEEFF" w:val="clear"/>
            <w:vAlign w:val="bottom"/>
          </w:tcPr>
          <w:p>
            <w:pPr>
              <w:pStyle w:val="TableContents"/>
              <w:spacing w:lineRule="atLeast" w:line="141" w:before="0" w:after="0"/>
              <w:jc w:val="right"/>
              <w:rPr>
                <w:rFonts w:ascii="Times New Roman" w:hAnsi="Times New Roman"/>
                <w:sz w:val="15"/>
              </w:rPr>
            </w:pPr>
            <w:r>
              <w:rPr>
                <w:rFonts w:ascii="Times New Roman" w:hAnsi="Times New Roman"/>
                <w:sz w:val="15"/>
              </w:rPr>
              <w:t>10.81%</w:t>
            </w:r>
          </w:p>
        </w:tc>
        <w:tc>
          <w:tcPr>
            <w:tcW w:w="60"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lineRule="atLeast" w:line="141" w:before="0" w:after="0"/>
              <w:rPr/>
            </w:pPr>
            <w:r>
              <w:rPr/>
              <w:t> </w:t>
            </w:r>
          </w:p>
        </w:tc>
        <w:tc>
          <w:tcPr>
            <w:tcW w:w="1006" w:type="dxa"/>
            <w:tcBorders/>
            <w:shd w:fill="CCEEFF" w:val="clear"/>
            <w:vAlign w:val="bottom"/>
          </w:tcPr>
          <w:p>
            <w:pPr>
              <w:pStyle w:val="TableContents"/>
              <w:spacing w:lineRule="atLeast" w:line="141" w:before="0" w:after="0"/>
              <w:jc w:val="right"/>
              <w:rPr>
                <w:rFonts w:ascii="Times New Roman" w:hAnsi="Times New Roman"/>
                <w:sz w:val="15"/>
              </w:rPr>
            </w:pPr>
            <w:r>
              <w:rPr>
                <w:rFonts w:ascii="Times New Roman" w:hAnsi="Times New Roman"/>
                <w:sz w:val="15"/>
              </w:rPr>
              <w:t>72,828</w:t>
            </w:r>
          </w:p>
        </w:tc>
        <w:tc>
          <w:tcPr>
            <w:tcW w:w="60" w:type="dxa"/>
            <w:tcBorders/>
            <w:shd w:fill="CCEEFF" w:val="clear"/>
            <w:vAlign w:val="bottom"/>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lineRule="atLeast" w:line="141" w:before="0" w:after="0"/>
              <w:rPr/>
            </w:pPr>
            <w:r>
              <w:rPr/>
              <w:t> </w:t>
            </w:r>
          </w:p>
        </w:tc>
        <w:tc>
          <w:tcPr>
            <w:tcW w:w="1104" w:type="dxa"/>
            <w:tcBorders/>
            <w:shd w:fill="CCEEFF" w:val="clear"/>
            <w:vAlign w:val="bottom"/>
          </w:tcPr>
          <w:p>
            <w:pPr>
              <w:pStyle w:val="TableContents"/>
              <w:spacing w:lineRule="atLeast" w:line="141" w:before="0" w:after="0"/>
              <w:jc w:val="right"/>
              <w:rPr>
                <w:rFonts w:ascii="Times New Roman" w:hAnsi="Times New Roman"/>
                <w:sz w:val="15"/>
              </w:rPr>
            </w:pPr>
            <w:r>
              <w:rPr>
                <w:rFonts w:ascii="Times New Roman" w:hAnsi="Times New Roman"/>
                <w:sz w:val="15"/>
              </w:rPr>
              <w:t>73,877</w:t>
            </w:r>
          </w:p>
        </w:tc>
        <w:tc>
          <w:tcPr>
            <w:tcW w:w="110" w:type="dxa"/>
            <w:tcBorders/>
            <w:shd w:fill="CCEEFF" w:val="clear"/>
            <w:vAlign w:val="bottom"/>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lineRule="atLeast" w:line="141" w:before="0" w:after="0"/>
              <w:rPr/>
            </w:pPr>
            <w:r>
              <w:rPr/>
              <w:t> </w:t>
            </w:r>
          </w:p>
        </w:tc>
        <w:tc>
          <w:tcPr>
            <w:tcW w:w="1138" w:type="dxa"/>
            <w:tcBorders/>
            <w:shd w:fill="CCEEFF" w:val="clear"/>
            <w:vAlign w:val="bottom"/>
          </w:tcPr>
          <w:p>
            <w:pPr>
              <w:pStyle w:val="TableContents"/>
              <w:spacing w:lineRule="atLeast" w:line="141" w:before="0" w:after="0"/>
              <w:jc w:val="right"/>
              <w:rPr>
                <w:rFonts w:ascii="Times New Roman" w:hAnsi="Times New Roman"/>
                <w:sz w:val="15"/>
              </w:rPr>
            </w:pPr>
            <w:r>
              <w:rPr>
                <w:rFonts w:ascii="Times New Roman" w:hAnsi="Times New Roman"/>
                <w:sz w:val="15"/>
              </w:rPr>
              <w:t>5.6</w:t>
            </w:r>
          </w:p>
        </w:tc>
        <w:tc>
          <w:tcPr>
            <w:tcW w:w="185" w:type="dxa"/>
            <w:tcBorders/>
            <w:shd w:fill="CCEEFF" w:val="clear"/>
            <w:vAlign w:val="bottom"/>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 xml:space="preserve">Tango Management Consulting, </w:t>
              <w:br/>
              <w:t>LLC(3)(5)</w:t>
            </w:r>
          </w:p>
        </w:tc>
        <w:tc>
          <w:tcPr>
            <w:tcW w:w="60" w:type="dxa"/>
            <w:tcBorders/>
            <w:shd w:fill="auto" w:val="clear"/>
            <w:vAlign w:val="bottom"/>
          </w:tcPr>
          <w:p>
            <w:pPr>
              <w:pStyle w:val="TableContents"/>
              <w:spacing w:before="0" w:after="283"/>
              <w:rPr/>
            </w:pPr>
            <w:r>
              <w:rPr/>
              <w:t> </w:t>
            </w:r>
          </w:p>
        </w:tc>
        <w:tc>
          <w:tcPr>
            <w:tcW w:w="2945" w:type="dxa"/>
            <w:tcBorders/>
            <w:shd w:fill="auto" w:val="clear"/>
            <w:vAlign w:val="bottom"/>
          </w:tcPr>
          <w:p>
            <w:pPr>
              <w:pStyle w:val="TableContents"/>
              <w:spacing w:lineRule="atLeast" w:line="141" w:before="0" w:after="0"/>
              <w:rPr>
                <w:rFonts w:ascii="Times New Roman" w:hAnsi="Times New Roman"/>
                <w:sz w:val="15"/>
              </w:rPr>
            </w:pPr>
            <w:r>
              <w:rPr>
                <w:rFonts w:ascii="Times New Roman" w:hAnsi="Times New Roman"/>
                <w:sz w:val="15"/>
              </w:rPr>
              <w:t>First-lien loan ($42,736 par, due 12/2027)</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lineRule="atLeast" w:line="141" w:before="0" w:after="0"/>
              <w:rPr/>
            </w:pPr>
            <w:r>
              <w:rPr/>
              <w:t> </w:t>
            </w:r>
          </w:p>
        </w:tc>
        <w:tc>
          <w:tcPr>
            <w:tcW w:w="1084" w:type="dxa"/>
            <w:tcBorders/>
            <w:shd w:fill="auto" w:val="clear"/>
            <w:vAlign w:val="bottom"/>
          </w:tcPr>
          <w:p>
            <w:pPr>
              <w:pStyle w:val="TableContents"/>
              <w:spacing w:lineRule="atLeast" w:line="141" w:before="0" w:after="0"/>
              <w:jc w:val="right"/>
              <w:rPr>
                <w:rFonts w:ascii="Times New Roman" w:hAnsi="Times New Roman"/>
                <w:sz w:val="15"/>
              </w:rPr>
            </w:pPr>
            <w:r>
              <w:rPr>
                <w:rFonts w:ascii="Times New Roman" w:hAnsi="Times New Roman"/>
                <w:sz w:val="15"/>
              </w:rPr>
              <w:t>12/1/2021</w:t>
            </w:r>
          </w:p>
        </w:tc>
        <w:tc>
          <w:tcPr>
            <w:tcW w:w="60" w:type="dxa"/>
            <w:tcBorders/>
            <w:shd w:fill="auto" w:val="clear"/>
            <w:vAlign w:val="bottom"/>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lineRule="atLeast" w:line="141" w:before="0" w:after="0"/>
              <w:rPr/>
            </w:pPr>
            <w:r>
              <w:rPr/>
              <w:t> </w:t>
            </w:r>
          </w:p>
        </w:tc>
        <w:tc>
          <w:tcPr>
            <w:tcW w:w="973" w:type="dxa"/>
            <w:tcBorders/>
            <w:shd w:fill="auto" w:val="clear"/>
            <w:vAlign w:val="bottom"/>
          </w:tcPr>
          <w:p>
            <w:pPr>
              <w:pStyle w:val="TableContents"/>
              <w:spacing w:lineRule="atLeast" w:line="141" w:before="0" w:after="0"/>
              <w:jc w:val="right"/>
              <w:rPr>
                <w:rFonts w:ascii="Times New Roman" w:hAnsi="Times New Roman"/>
                <w:sz w:val="15"/>
              </w:rPr>
            </w:pPr>
            <w:r>
              <w:rPr>
                <w:rFonts w:ascii="Times New Roman" w:hAnsi="Times New Roman"/>
                <w:sz w:val="15"/>
              </w:rPr>
              <w:t>L + 6.75</w:t>
            </w:r>
          </w:p>
        </w:tc>
        <w:tc>
          <w:tcPr>
            <w:tcW w:w="185" w:type="dxa"/>
            <w:tcBorders/>
            <w:shd w:fill="auto" w:val="clear"/>
            <w:vAlign w:val="bottom"/>
          </w:tcPr>
          <w:p>
            <w:pPr>
              <w:pStyle w:val="TableContents"/>
              <w:spacing w:lineRule="atLeast" w:line="141" w:before="0" w:after="0"/>
              <w:rPr>
                <w:rFonts w:ascii="Times New Roman" w:hAnsi="Times New Roman"/>
                <w:sz w:val="15"/>
              </w:rPr>
            </w:pPr>
            <w:r>
              <w:rPr>
                <w:rFonts w:ascii="Times New Roman" w:hAnsi="Times New Roman"/>
                <w:sz w:val="15"/>
              </w:rPr>
              <w:t>% </w:t>
            </w:r>
          </w:p>
        </w:tc>
        <w:tc>
          <w:tcPr>
            <w:tcW w:w="60" w:type="dxa"/>
            <w:tcBorders/>
            <w:shd w:fill="auto" w:val="clear"/>
            <w:vAlign w:val="bottom"/>
          </w:tcPr>
          <w:p>
            <w:pPr>
              <w:pStyle w:val="TableContents"/>
              <w:spacing w:before="0" w:after="283"/>
              <w:rPr/>
            </w:pPr>
            <w:r>
              <w:rPr/>
              <w:t> </w:t>
            </w:r>
          </w:p>
        </w:tc>
        <w:tc>
          <w:tcPr>
            <w:tcW w:w="1685" w:type="dxa"/>
            <w:tcBorders/>
            <w:shd w:fill="auto" w:val="clear"/>
            <w:vAlign w:val="bottom"/>
          </w:tcPr>
          <w:p>
            <w:pPr>
              <w:pStyle w:val="TableContents"/>
              <w:spacing w:lineRule="atLeast" w:line="141" w:before="0" w:after="0"/>
              <w:jc w:val="right"/>
              <w:rPr>
                <w:rFonts w:ascii="Times New Roman" w:hAnsi="Times New Roman"/>
                <w:sz w:val="15"/>
              </w:rPr>
            </w:pPr>
            <w:r>
              <w:rPr>
                <w:rFonts w:ascii="Times New Roman" w:hAnsi="Times New Roman"/>
                <w:sz w:val="15"/>
              </w:rPr>
              <w:t>9.03%</w:t>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lineRule="atLeast" w:line="141" w:before="0" w:after="0"/>
              <w:rPr/>
            </w:pPr>
            <w:r>
              <w:rPr/>
              <w:t> </w:t>
            </w:r>
          </w:p>
        </w:tc>
        <w:tc>
          <w:tcPr>
            <w:tcW w:w="1006" w:type="dxa"/>
            <w:tcBorders/>
            <w:shd w:fill="auto" w:val="clear"/>
            <w:vAlign w:val="bottom"/>
          </w:tcPr>
          <w:p>
            <w:pPr>
              <w:pStyle w:val="TableContents"/>
              <w:spacing w:lineRule="atLeast" w:line="141" w:before="0" w:after="0"/>
              <w:jc w:val="right"/>
              <w:rPr>
                <w:rFonts w:ascii="Times New Roman" w:hAnsi="Times New Roman"/>
                <w:sz w:val="15"/>
              </w:rPr>
            </w:pPr>
            <w:r>
              <w:rPr>
                <w:rFonts w:ascii="Times New Roman" w:hAnsi="Times New Roman"/>
                <w:sz w:val="15"/>
              </w:rPr>
              <w:t>41,769</w:t>
            </w:r>
          </w:p>
        </w:tc>
        <w:tc>
          <w:tcPr>
            <w:tcW w:w="60" w:type="dxa"/>
            <w:tcBorders/>
            <w:shd w:fill="auto" w:val="clear"/>
            <w:vAlign w:val="bottom"/>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lineRule="atLeast" w:line="141" w:before="0" w:after="0"/>
              <w:rPr/>
            </w:pPr>
            <w:r>
              <w:rPr/>
              <w:t> </w:t>
            </w:r>
          </w:p>
        </w:tc>
        <w:tc>
          <w:tcPr>
            <w:tcW w:w="1104" w:type="dxa"/>
            <w:tcBorders/>
            <w:shd w:fill="auto" w:val="clear"/>
            <w:vAlign w:val="bottom"/>
          </w:tcPr>
          <w:p>
            <w:pPr>
              <w:pStyle w:val="TableContents"/>
              <w:spacing w:lineRule="atLeast" w:line="141" w:before="0" w:after="0"/>
              <w:jc w:val="right"/>
              <w:rPr>
                <w:rFonts w:ascii="Times New Roman" w:hAnsi="Times New Roman"/>
                <w:sz w:val="15"/>
              </w:rPr>
            </w:pPr>
            <w:r>
              <w:rPr>
                <w:rFonts w:ascii="Times New Roman" w:hAnsi="Times New Roman"/>
                <w:sz w:val="15"/>
              </w:rPr>
              <w:t>40,749</w:t>
            </w:r>
          </w:p>
        </w:tc>
        <w:tc>
          <w:tcPr>
            <w:tcW w:w="110" w:type="dxa"/>
            <w:tcBorders/>
            <w:shd w:fill="auto" w:val="clear"/>
            <w:vAlign w:val="bottom"/>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lineRule="atLeast" w:line="141" w:before="0" w:after="0"/>
              <w:rPr/>
            </w:pPr>
            <w:r>
              <w:rPr/>
              <w:t> </w:t>
            </w:r>
          </w:p>
        </w:tc>
        <w:tc>
          <w:tcPr>
            <w:tcW w:w="1138" w:type="dxa"/>
            <w:tcBorders/>
            <w:shd w:fill="auto" w:val="clear"/>
            <w:vAlign w:val="bottom"/>
          </w:tcPr>
          <w:p>
            <w:pPr>
              <w:pStyle w:val="TableContents"/>
              <w:spacing w:lineRule="atLeast" w:line="141" w:before="0" w:after="0"/>
              <w:jc w:val="right"/>
              <w:rPr>
                <w:rFonts w:ascii="Times New Roman" w:hAnsi="Times New Roman"/>
                <w:sz w:val="15"/>
              </w:rPr>
            </w:pPr>
            <w:r>
              <w:rPr>
                <w:rFonts w:ascii="Times New Roman" w:hAnsi="Times New Roman"/>
                <w:sz w:val="15"/>
              </w:rPr>
              <w:t>3.1</w:t>
            </w:r>
          </w:p>
        </w:tc>
        <w:tc>
          <w:tcPr>
            <w:tcW w:w="185" w:type="dxa"/>
            <w:tcBorders/>
            <w:shd w:fill="auto" w:val="clear"/>
            <w:vAlign w:val="bottom"/>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4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10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pBdr>
                <w:top w:val="single" w:sz="2" w:space="1" w:color="000000"/>
              </w:pBdr>
              <w:spacing w:before="0" w:after="0"/>
              <w:rPr/>
            </w:pPr>
            <w:r>
              <w:rPr/>
              <w:t> </w:t>
            </w:r>
          </w:p>
        </w:tc>
        <w:tc>
          <w:tcPr>
            <w:tcW w:w="100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pBdr>
                <w:top w:val="single" w:sz="2" w:space="1" w:color="000000"/>
              </w:pBdr>
              <w:spacing w:before="0" w:after="0"/>
              <w:rPr/>
            </w:pPr>
            <w:r>
              <w:rPr/>
              <w:t> </w:t>
            </w:r>
          </w:p>
        </w:tc>
        <w:tc>
          <w:tcPr>
            <w:tcW w:w="1104" w:type="dxa"/>
            <w:tcBorders/>
            <w:shd w:fill="auto" w:val="clear"/>
            <w:vAlign w:val="bottom"/>
          </w:tcPr>
          <w:p>
            <w:pPr>
              <w:pStyle w:val="TableContents"/>
              <w:pBdr>
                <w:top w:val="single" w:sz="2" w:space="1" w:color="000000"/>
              </w:pBdr>
              <w:spacing w:before="0" w:after="0"/>
              <w:rPr/>
            </w:pPr>
            <w:r>
              <w:rPr/>
              <w:t> </w:t>
            </w:r>
          </w:p>
        </w:tc>
        <w:tc>
          <w:tcPr>
            <w:tcW w:w="11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pBdr>
                <w:top w:val="single" w:sz="2" w:space="1" w:color="000000"/>
              </w:pBdr>
              <w:spacing w:before="0" w:after="0"/>
              <w:rPr/>
            </w:pPr>
            <w:r>
              <w:rPr/>
              <w:t> </w:t>
            </w:r>
          </w:p>
        </w:tc>
        <w:tc>
          <w:tcPr>
            <w:tcW w:w="1138" w:type="dxa"/>
            <w:tcBorders/>
            <w:shd w:fill="auto" w:val="clear"/>
            <w:vAlign w:val="bottom"/>
          </w:tcPr>
          <w:p>
            <w:pPr>
              <w:pStyle w:val="TableContents"/>
              <w:pBdr>
                <w:top w:val="single" w:sz="2" w:space="1" w:color="000000"/>
              </w:pBdr>
              <w:spacing w:before="0" w:after="0"/>
              <w:rPr/>
            </w:pPr>
            <w:r>
              <w:rPr/>
              <w:t> </w:t>
            </w:r>
          </w:p>
        </w:tc>
        <w:tc>
          <w:tcPr>
            <w:tcW w:w="185" w:type="dxa"/>
            <w:tcBorders/>
            <w:shd w:fill="auto" w:val="clear"/>
            <w:vAlign w:val="center"/>
          </w:tcPr>
          <w:p>
            <w:pPr>
              <w:pStyle w:val="TableContents"/>
              <w:spacing w:before="0" w:after="283"/>
              <w:rPr/>
            </w:pPr>
            <w:r>
              <w:rPr/>
              <w:t> </w:t>
            </w:r>
          </w:p>
        </w:tc>
      </w:tr>
      <w:tr>
        <w:trPr/>
        <w:tc>
          <w:tcPr>
            <w:tcW w:w="209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94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91" w:type="dxa"/>
            <w:tcBorders/>
            <w:shd w:fill="CCEEFF" w:val="clear"/>
          </w:tcPr>
          <w:p>
            <w:pPr>
              <w:pStyle w:val="TableContents"/>
              <w:spacing w:before="0" w:after="283"/>
              <w:rPr>
                <w:sz w:val="4"/>
                <w:szCs w:val="4"/>
              </w:rPr>
            </w:pPr>
            <w:r>
              <w:rPr>
                <w:sz w:val="4"/>
                <w:szCs w:val="4"/>
              </w:rPr>
            </w:r>
          </w:p>
        </w:tc>
        <w:tc>
          <w:tcPr>
            <w:tcW w:w="1084" w:type="dxa"/>
            <w:tcBorders/>
            <w:shd w:fill="CCEEFF" w:val="clear"/>
          </w:tcPr>
          <w:p>
            <w:pPr>
              <w:pStyle w:val="TableContents"/>
              <w:spacing w:before="0" w:after="283"/>
              <w:rPr>
                <w:sz w:val="4"/>
                <w:szCs w:val="4"/>
              </w:rPr>
            </w:pPr>
            <w:r>
              <w:rPr>
                <w:sz w:val="4"/>
                <w:szCs w:val="4"/>
              </w:rPr>
            </w:r>
          </w:p>
        </w:tc>
        <w:tc>
          <w:tcPr>
            <w:tcW w:w="6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7" w:type="dxa"/>
            <w:tcBorders/>
            <w:shd w:fill="CCEEFF" w:val="clear"/>
          </w:tcPr>
          <w:p>
            <w:pPr>
              <w:pStyle w:val="TableContents"/>
              <w:spacing w:before="0" w:after="283"/>
              <w:rPr>
                <w:sz w:val="4"/>
                <w:szCs w:val="4"/>
              </w:rPr>
            </w:pPr>
            <w:r>
              <w:rPr>
                <w:sz w:val="4"/>
                <w:szCs w:val="4"/>
              </w:rPr>
            </w:r>
          </w:p>
        </w:tc>
        <w:tc>
          <w:tcPr>
            <w:tcW w:w="973" w:type="dxa"/>
            <w:tcBorders/>
            <w:shd w:fill="CCEEFF" w:val="clear"/>
          </w:tcPr>
          <w:p>
            <w:pPr>
              <w:pStyle w:val="TableContents"/>
              <w:spacing w:before="0" w:after="283"/>
              <w:rPr>
                <w:sz w:val="4"/>
                <w:szCs w:val="4"/>
              </w:rPr>
            </w:pPr>
            <w:r>
              <w:rPr>
                <w:sz w:val="4"/>
                <w:szCs w:val="4"/>
              </w:rPr>
            </w:r>
          </w:p>
        </w:tc>
        <w:tc>
          <w:tcPr>
            <w:tcW w:w="18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68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94" w:type="dxa"/>
            <w:tcBorders/>
            <w:shd w:fill="CCEEFF" w:val="clear"/>
          </w:tcPr>
          <w:p>
            <w:pPr>
              <w:pStyle w:val="TableContents"/>
              <w:spacing w:lineRule="atLeast" w:line="141" w:before="0" w:after="0"/>
              <w:rPr/>
            </w:pPr>
            <w:r>
              <w:rPr/>
              <w:t> </w:t>
            </w:r>
          </w:p>
        </w:tc>
        <w:tc>
          <w:tcPr>
            <w:tcW w:w="1006"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332,194</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86" w:type="dxa"/>
            <w:tcBorders/>
            <w:shd w:fill="CCEEFF" w:val="clear"/>
          </w:tcPr>
          <w:p>
            <w:pPr>
              <w:pStyle w:val="TableContents"/>
              <w:spacing w:lineRule="atLeast" w:line="141" w:before="0" w:after="0"/>
              <w:rPr/>
            </w:pPr>
            <w:r>
              <w:rPr/>
              <w:t> </w:t>
            </w:r>
          </w:p>
        </w:tc>
        <w:tc>
          <w:tcPr>
            <w:tcW w:w="110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324,353</w:t>
            </w:r>
          </w:p>
        </w:tc>
        <w:tc>
          <w:tcPr>
            <w:tcW w:w="11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tcPr>
          <w:p>
            <w:pPr>
              <w:pStyle w:val="TableContents"/>
              <w:spacing w:lineRule="atLeast" w:line="141" w:before="0" w:after="0"/>
              <w:rPr/>
            </w:pPr>
            <w:r>
              <w:rPr/>
              <w:t> </w:t>
            </w:r>
          </w:p>
        </w:tc>
        <w:tc>
          <w:tcPr>
            <w:tcW w:w="1138"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24.4</w:t>
            </w:r>
          </w:p>
        </w:tc>
        <w:tc>
          <w:tcPr>
            <w:tcW w:w="18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auto" w:val="clear"/>
          </w:tcPr>
          <w:p>
            <w:pPr>
              <w:pStyle w:val="TableContents"/>
              <w:spacing w:lineRule="atLeast" w:line="141" w:before="0" w:after="0"/>
              <w:rPr>
                <w:rFonts w:ascii="Times New Roman" w:hAnsi="Times New Roman"/>
                <w:b/>
                <w:sz w:val="15"/>
              </w:rPr>
            </w:pPr>
            <w:r>
              <w:rPr>
                <w:rFonts w:ascii="Times New Roman" w:hAnsi="Times New Roman"/>
                <w:b/>
                <w:sz w:val="15"/>
              </w:rPr>
              <w:t>Transportation</w:t>
            </w:r>
          </w:p>
        </w:tc>
        <w:tc>
          <w:tcPr>
            <w:tcW w:w="60" w:type="dxa"/>
            <w:tcBorders/>
            <w:shd w:fill="auto" w:val="clear"/>
            <w:vAlign w:val="bottom"/>
          </w:tcPr>
          <w:p>
            <w:pPr>
              <w:pStyle w:val="TableContents"/>
              <w:spacing w:before="0" w:after="283"/>
              <w:rPr/>
            </w:pPr>
            <w:r>
              <w:rPr/>
              <w:t> </w:t>
            </w:r>
          </w:p>
        </w:tc>
        <w:tc>
          <w:tcPr>
            <w:tcW w:w="294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10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sz w:val="4"/>
                <w:szCs w:val="4"/>
              </w:rPr>
            </w:pPr>
            <w:r>
              <w:rPr>
                <w:sz w:val="4"/>
                <w:szCs w:val="4"/>
              </w:rPr>
            </w:r>
          </w:p>
        </w:tc>
        <w:tc>
          <w:tcPr>
            <w:tcW w:w="100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sz w:val="4"/>
                <w:szCs w:val="4"/>
              </w:rPr>
            </w:pPr>
            <w:r>
              <w:rPr>
                <w:sz w:val="4"/>
                <w:szCs w:val="4"/>
              </w:rPr>
            </w:r>
          </w:p>
        </w:tc>
        <w:tc>
          <w:tcPr>
            <w:tcW w:w="1104" w:type="dxa"/>
            <w:tcBorders/>
            <w:shd w:fill="auto" w:val="clear"/>
            <w:vAlign w:val="bottom"/>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sz w:val="4"/>
                <w:szCs w:val="4"/>
              </w:rPr>
            </w:pPr>
            <w:r>
              <w:rPr>
                <w:sz w:val="4"/>
                <w:szCs w:val="4"/>
              </w:rPr>
            </w:r>
          </w:p>
        </w:tc>
        <w:tc>
          <w:tcPr>
            <w:tcW w:w="1138"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r>
      <w:tr>
        <w:trPr/>
        <w:tc>
          <w:tcPr>
            <w:tcW w:w="2090"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Project44, Inc.(3)(5)</w:t>
            </w:r>
          </w:p>
        </w:tc>
        <w:tc>
          <w:tcPr>
            <w:tcW w:w="60" w:type="dxa"/>
            <w:tcBorders/>
            <w:shd w:fill="CCEEFF" w:val="clear"/>
            <w:vAlign w:val="bottom"/>
          </w:tcPr>
          <w:p>
            <w:pPr>
              <w:pStyle w:val="TableContents"/>
              <w:spacing w:before="0" w:after="283"/>
              <w:rPr/>
            </w:pPr>
            <w:r>
              <w:rPr/>
              <w:t> </w:t>
            </w:r>
          </w:p>
        </w:tc>
        <w:tc>
          <w:tcPr>
            <w:tcW w:w="294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First-lien loan ($35,139 par, due 11/2027)</w:t>
            </w:r>
          </w:p>
        </w:tc>
        <w:tc>
          <w:tcPr>
            <w:tcW w:w="60" w:type="dxa"/>
            <w:tcBorders/>
            <w:shd w:fill="CCEEFF" w:val="clear"/>
            <w:vAlign w:val="bottom"/>
          </w:tcPr>
          <w:p>
            <w:pPr>
              <w:pStyle w:val="TableContents"/>
              <w:spacing w:before="0" w:after="283"/>
              <w:rPr/>
            </w:pPr>
            <w:r>
              <w:rPr/>
              <w:t> </w:t>
            </w:r>
          </w:p>
        </w:tc>
        <w:tc>
          <w:tcPr>
            <w:tcW w:w="91" w:type="dxa"/>
            <w:tcBorders/>
            <w:shd w:fill="CCEEFF" w:val="clear"/>
          </w:tcPr>
          <w:p>
            <w:pPr>
              <w:pStyle w:val="TableContents"/>
              <w:spacing w:lineRule="atLeast" w:line="141" w:before="0" w:after="0"/>
              <w:rPr/>
            </w:pPr>
            <w:r>
              <w:rPr/>
              <w:t> </w:t>
            </w:r>
          </w:p>
        </w:tc>
        <w:tc>
          <w:tcPr>
            <w:tcW w:w="108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11/12/2021</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67" w:type="dxa"/>
            <w:tcBorders/>
            <w:shd w:fill="CCEEFF" w:val="clear"/>
          </w:tcPr>
          <w:p>
            <w:pPr>
              <w:pStyle w:val="TableContents"/>
              <w:spacing w:lineRule="atLeast" w:line="141" w:before="0" w:after="0"/>
              <w:rPr/>
            </w:pPr>
            <w:r>
              <w:rPr/>
              <w:t> </w:t>
            </w:r>
          </w:p>
        </w:tc>
        <w:tc>
          <w:tcPr>
            <w:tcW w:w="973"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L + 6.25</w:t>
            </w:r>
          </w:p>
        </w:tc>
        <w:tc>
          <w:tcPr>
            <w:tcW w:w="18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 </w:t>
            </w:r>
          </w:p>
        </w:tc>
        <w:tc>
          <w:tcPr>
            <w:tcW w:w="60" w:type="dxa"/>
            <w:tcBorders/>
            <w:shd w:fill="CCEEFF" w:val="clear"/>
            <w:vAlign w:val="bottom"/>
          </w:tcPr>
          <w:p>
            <w:pPr>
              <w:pStyle w:val="TableContents"/>
              <w:spacing w:before="0" w:after="283"/>
              <w:rPr/>
            </w:pPr>
            <w:r>
              <w:rPr/>
              <w:t> </w:t>
            </w:r>
          </w:p>
        </w:tc>
        <w:tc>
          <w:tcPr>
            <w:tcW w:w="1685"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8.19%</w:t>
            </w:r>
          </w:p>
        </w:tc>
        <w:tc>
          <w:tcPr>
            <w:tcW w:w="60" w:type="dxa"/>
            <w:tcBorders/>
            <w:shd w:fill="CCEEFF" w:val="clear"/>
            <w:vAlign w:val="bottom"/>
          </w:tcPr>
          <w:p>
            <w:pPr>
              <w:pStyle w:val="TableContents"/>
              <w:spacing w:before="0" w:after="283"/>
              <w:rPr/>
            </w:pPr>
            <w:r>
              <w:rPr/>
              <w:t> </w:t>
            </w:r>
          </w:p>
        </w:tc>
        <w:tc>
          <w:tcPr>
            <w:tcW w:w="94" w:type="dxa"/>
            <w:tcBorders/>
            <w:shd w:fill="CCEEFF" w:val="clear"/>
          </w:tcPr>
          <w:p>
            <w:pPr>
              <w:pStyle w:val="TableContents"/>
              <w:spacing w:lineRule="atLeast" w:line="141" w:before="0" w:after="0"/>
              <w:rPr/>
            </w:pPr>
            <w:r>
              <w:rPr/>
              <w:t> </w:t>
            </w:r>
          </w:p>
        </w:tc>
        <w:tc>
          <w:tcPr>
            <w:tcW w:w="1006"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33,988</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86" w:type="dxa"/>
            <w:tcBorders/>
            <w:shd w:fill="CCEEFF" w:val="clear"/>
          </w:tcPr>
          <w:p>
            <w:pPr>
              <w:pStyle w:val="TableContents"/>
              <w:spacing w:lineRule="atLeast" w:line="141" w:before="0" w:after="0"/>
              <w:rPr/>
            </w:pPr>
            <w:r>
              <w:rPr/>
              <w:t> </w:t>
            </w:r>
          </w:p>
        </w:tc>
        <w:tc>
          <w:tcPr>
            <w:tcW w:w="110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33,626</w:t>
            </w:r>
          </w:p>
        </w:tc>
        <w:tc>
          <w:tcPr>
            <w:tcW w:w="11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tcPr>
          <w:p>
            <w:pPr>
              <w:pStyle w:val="TableContents"/>
              <w:spacing w:lineRule="atLeast" w:line="141" w:before="0" w:after="0"/>
              <w:rPr/>
            </w:pPr>
            <w:r>
              <w:rPr/>
              <w:t> </w:t>
            </w:r>
          </w:p>
        </w:tc>
        <w:tc>
          <w:tcPr>
            <w:tcW w:w="1138"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2.5</w:t>
            </w:r>
          </w:p>
        </w:tc>
        <w:tc>
          <w:tcPr>
            <w:tcW w:w="18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4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10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pBdr>
                <w:top w:val="single" w:sz="2" w:space="1" w:color="000000"/>
              </w:pBdr>
              <w:spacing w:before="0" w:after="0"/>
              <w:rPr/>
            </w:pPr>
            <w:r>
              <w:rPr/>
              <w:t> </w:t>
            </w:r>
          </w:p>
        </w:tc>
        <w:tc>
          <w:tcPr>
            <w:tcW w:w="100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pBdr>
                <w:top w:val="single" w:sz="2" w:space="1" w:color="000000"/>
              </w:pBdr>
              <w:spacing w:before="0" w:after="0"/>
              <w:rPr/>
            </w:pPr>
            <w:r>
              <w:rPr/>
              <w:t> </w:t>
            </w:r>
          </w:p>
        </w:tc>
        <w:tc>
          <w:tcPr>
            <w:tcW w:w="1104" w:type="dxa"/>
            <w:tcBorders/>
            <w:shd w:fill="auto" w:val="clear"/>
            <w:vAlign w:val="bottom"/>
          </w:tcPr>
          <w:p>
            <w:pPr>
              <w:pStyle w:val="TableContents"/>
              <w:pBdr>
                <w:top w:val="single" w:sz="2" w:space="1" w:color="000000"/>
              </w:pBdr>
              <w:spacing w:before="0" w:after="0"/>
              <w:rPr/>
            </w:pPr>
            <w:r>
              <w:rPr/>
              <w:t> </w:t>
            </w:r>
          </w:p>
        </w:tc>
        <w:tc>
          <w:tcPr>
            <w:tcW w:w="11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pBdr>
                <w:top w:val="single" w:sz="2" w:space="1" w:color="000000"/>
              </w:pBdr>
              <w:spacing w:before="0" w:after="0"/>
              <w:rPr/>
            </w:pPr>
            <w:r>
              <w:rPr/>
              <w:t> </w:t>
            </w:r>
          </w:p>
        </w:tc>
        <w:tc>
          <w:tcPr>
            <w:tcW w:w="1138" w:type="dxa"/>
            <w:tcBorders/>
            <w:shd w:fill="auto" w:val="clear"/>
            <w:vAlign w:val="bottom"/>
          </w:tcPr>
          <w:p>
            <w:pPr>
              <w:pStyle w:val="TableContents"/>
              <w:pBdr>
                <w:top w:val="single" w:sz="2" w:space="1" w:color="000000"/>
              </w:pBdr>
              <w:spacing w:before="0" w:after="0"/>
              <w:rPr/>
            </w:pPr>
            <w:r>
              <w:rPr/>
              <w:t> </w:t>
            </w:r>
          </w:p>
        </w:tc>
        <w:tc>
          <w:tcPr>
            <w:tcW w:w="185" w:type="dxa"/>
            <w:tcBorders/>
            <w:shd w:fill="auto" w:val="clear"/>
            <w:vAlign w:val="center"/>
          </w:tcPr>
          <w:p>
            <w:pPr>
              <w:pStyle w:val="TableContents"/>
              <w:spacing w:before="0" w:after="283"/>
              <w:rPr/>
            </w:pPr>
            <w:r>
              <w:rPr/>
              <w:t> </w:t>
            </w:r>
          </w:p>
        </w:tc>
      </w:tr>
      <w:tr>
        <w:trPr/>
        <w:tc>
          <w:tcPr>
            <w:tcW w:w="2090" w:type="dxa"/>
            <w:tcBorders/>
            <w:shd w:fill="auto" w:val="clear"/>
          </w:tcPr>
          <w:p>
            <w:pPr>
              <w:pStyle w:val="TableContents"/>
              <w:spacing w:lineRule="atLeast" w:line="141" w:before="0" w:after="0"/>
              <w:rPr>
                <w:rFonts w:ascii="Times New Roman" w:hAnsi="Times New Roman"/>
                <w:b/>
                <w:sz w:val="15"/>
              </w:rPr>
            </w:pPr>
            <w:r>
              <w:rPr>
                <w:rFonts w:ascii="Times New Roman" w:hAnsi="Times New Roman"/>
                <w:b/>
                <w:sz w:val="15"/>
              </w:rPr>
              <w:t>Total Debt Investments</w:t>
            </w:r>
          </w:p>
        </w:tc>
        <w:tc>
          <w:tcPr>
            <w:tcW w:w="60" w:type="dxa"/>
            <w:tcBorders/>
            <w:shd w:fill="auto" w:val="clear"/>
            <w:vAlign w:val="bottom"/>
          </w:tcPr>
          <w:p>
            <w:pPr>
              <w:pStyle w:val="TableContents"/>
              <w:spacing w:before="0" w:after="283"/>
              <w:rPr/>
            </w:pPr>
            <w:r>
              <w:rPr/>
              <w:t> </w:t>
            </w:r>
          </w:p>
        </w:tc>
        <w:tc>
          <w:tcPr>
            <w:tcW w:w="294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10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lineRule="atLeast" w:line="141" w:before="0" w:after="0"/>
              <w:rPr/>
            </w:pPr>
            <w:r>
              <w:rPr/>
              <w:t> </w:t>
            </w:r>
          </w:p>
        </w:tc>
        <w:tc>
          <w:tcPr>
            <w:tcW w:w="1006" w:type="dxa"/>
            <w:tcBorders/>
            <w:shd w:fill="auto" w:val="clear"/>
            <w:vAlign w:val="bottom"/>
          </w:tcPr>
          <w:p>
            <w:pPr>
              <w:pStyle w:val="TableContents"/>
              <w:spacing w:lineRule="atLeast" w:line="141" w:before="0" w:after="0"/>
              <w:jc w:val="right"/>
              <w:rPr>
                <w:rFonts w:ascii="Times New Roman" w:hAnsi="Times New Roman"/>
                <w:sz w:val="15"/>
              </w:rPr>
            </w:pPr>
            <w:r>
              <w:rPr>
                <w:rFonts w:ascii="Times New Roman" w:hAnsi="Times New Roman"/>
                <w:sz w:val="15"/>
              </w:rPr>
              <w:t>2,599,055</w:t>
            </w:r>
          </w:p>
        </w:tc>
        <w:tc>
          <w:tcPr>
            <w:tcW w:w="60" w:type="dxa"/>
            <w:tcBorders/>
            <w:shd w:fill="auto" w:val="clear"/>
            <w:vAlign w:val="bottom"/>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lineRule="atLeast" w:line="141" w:before="0" w:after="0"/>
              <w:rPr/>
            </w:pPr>
            <w:r>
              <w:rPr/>
              <w:t> </w:t>
            </w:r>
          </w:p>
        </w:tc>
        <w:tc>
          <w:tcPr>
            <w:tcW w:w="1104" w:type="dxa"/>
            <w:tcBorders/>
            <w:shd w:fill="auto" w:val="clear"/>
            <w:vAlign w:val="bottom"/>
          </w:tcPr>
          <w:p>
            <w:pPr>
              <w:pStyle w:val="TableContents"/>
              <w:spacing w:lineRule="atLeast" w:line="141" w:before="0" w:after="0"/>
              <w:jc w:val="right"/>
              <w:rPr>
                <w:rFonts w:ascii="Times New Roman" w:hAnsi="Times New Roman"/>
                <w:sz w:val="15"/>
              </w:rPr>
            </w:pPr>
            <w:r>
              <w:rPr>
                <w:rFonts w:ascii="Times New Roman" w:hAnsi="Times New Roman"/>
                <w:sz w:val="15"/>
              </w:rPr>
              <w:t>2,589,752</w:t>
            </w:r>
          </w:p>
        </w:tc>
        <w:tc>
          <w:tcPr>
            <w:tcW w:w="110" w:type="dxa"/>
            <w:tcBorders/>
            <w:shd w:fill="auto" w:val="clear"/>
            <w:vAlign w:val="bottom"/>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lineRule="atLeast" w:line="141" w:before="0" w:after="0"/>
              <w:rPr/>
            </w:pPr>
            <w:r>
              <w:rPr/>
              <w:t> </w:t>
            </w:r>
          </w:p>
        </w:tc>
        <w:tc>
          <w:tcPr>
            <w:tcW w:w="1138" w:type="dxa"/>
            <w:tcBorders/>
            <w:shd w:fill="auto" w:val="clear"/>
            <w:vAlign w:val="bottom"/>
          </w:tcPr>
          <w:p>
            <w:pPr>
              <w:pStyle w:val="TableContents"/>
              <w:spacing w:lineRule="atLeast" w:line="141" w:before="0" w:after="0"/>
              <w:jc w:val="right"/>
              <w:rPr>
                <w:rFonts w:ascii="Times New Roman" w:hAnsi="Times New Roman"/>
                <w:sz w:val="15"/>
              </w:rPr>
            </w:pPr>
            <w:r>
              <w:rPr>
                <w:rFonts w:ascii="Times New Roman" w:hAnsi="Times New Roman"/>
                <w:sz w:val="15"/>
              </w:rPr>
              <w:t>194.8</w:t>
            </w:r>
          </w:p>
        </w:tc>
        <w:tc>
          <w:tcPr>
            <w:tcW w:w="185" w:type="dxa"/>
            <w:tcBorders/>
            <w:shd w:fill="auto" w:val="clear"/>
            <w:vAlign w:val="bottom"/>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4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10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pBdr>
                <w:top w:val="single" w:sz="2" w:space="1" w:color="000000"/>
              </w:pBdr>
              <w:spacing w:before="0" w:after="0"/>
              <w:rPr/>
            </w:pPr>
            <w:r>
              <w:rPr/>
              <w:t> </w:t>
            </w:r>
          </w:p>
        </w:tc>
        <w:tc>
          <w:tcPr>
            <w:tcW w:w="100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pBdr>
                <w:top w:val="single" w:sz="2" w:space="1" w:color="000000"/>
              </w:pBdr>
              <w:spacing w:before="0" w:after="0"/>
              <w:rPr/>
            </w:pPr>
            <w:r>
              <w:rPr/>
              <w:t> </w:t>
            </w:r>
          </w:p>
        </w:tc>
        <w:tc>
          <w:tcPr>
            <w:tcW w:w="1104" w:type="dxa"/>
            <w:tcBorders/>
            <w:shd w:fill="auto" w:val="clear"/>
            <w:vAlign w:val="bottom"/>
          </w:tcPr>
          <w:p>
            <w:pPr>
              <w:pStyle w:val="TableContents"/>
              <w:pBdr>
                <w:top w:val="single" w:sz="2" w:space="1" w:color="000000"/>
              </w:pBdr>
              <w:spacing w:before="0" w:after="0"/>
              <w:rPr/>
            </w:pPr>
            <w:r>
              <w:rPr/>
              <w:t> </w:t>
            </w:r>
          </w:p>
        </w:tc>
        <w:tc>
          <w:tcPr>
            <w:tcW w:w="11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pBdr>
                <w:top w:val="single" w:sz="2" w:space="1" w:color="000000"/>
              </w:pBdr>
              <w:spacing w:before="0" w:after="0"/>
              <w:rPr/>
            </w:pPr>
            <w:r>
              <w:rPr/>
              <w:t> </w:t>
            </w:r>
          </w:p>
        </w:tc>
        <w:tc>
          <w:tcPr>
            <w:tcW w:w="1138" w:type="dxa"/>
            <w:tcBorders/>
            <w:shd w:fill="auto" w:val="clear"/>
            <w:vAlign w:val="bottom"/>
          </w:tcPr>
          <w:p>
            <w:pPr>
              <w:pStyle w:val="TableContents"/>
              <w:pBdr>
                <w:top w:val="single" w:sz="2" w:space="1" w:color="000000"/>
              </w:pBdr>
              <w:spacing w:before="0" w:after="0"/>
              <w:rPr/>
            </w:pPr>
            <w:r>
              <w:rPr/>
              <w:t> </w:t>
            </w:r>
          </w:p>
        </w:tc>
        <w:tc>
          <w:tcPr>
            <w:tcW w:w="185" w:type="dxa"/>
            <w:tcBorders/>
            <w:shd w:fill="auto" w:val="clear"/>
            <w:vAlign w:val="center"/>
          </w:tcPr>
          <w:p>
            <w:pPr>
              <w:pStyle w:val="TableContents"/>
              <w:spacing w:before="0" w:after="283"/>
              <w:rPr/>
            </w:pPr>
            <w:r>
              <w:rPr/>
              <w:t> </w:t>
            </w:r>
          </w:p>
        </w:tc>
      </w:tr>
      <w:tr>
        <w:trPr/>
        <w:tc>
          <w:tcPr>
            <w:tcW w:w="2090" w:type="dxa"/>
            <w:tcBorders/>
            <w:shd w:fill="CCEEFF" w:val="clear"/>
          </w:tcPr>
          <w:p>
            <w:pPr>
              <w:pStyle w:val="TableContents"/>
              <w:spacing w:lineRule="atLeast" w:line="141" w:before="0" w:after="0"/>
              <w:rPr>
                <w:rFonts w:ascii="Times New Roman" w:hAnsi="Times New Roman"/>
                <w:b/>
                <w:sz w:val="15"/>
              </w:rPr>
            </w:pPr>
            <w:r>
              <w:rPr>
                <w:rFonts w:ascii="Times New Roman" w:hAnsi="Times New Roman"/>
                <w:b/>
                <w:sz w:val="15"/>
              </w:rPr>
              <w:t>Equity and Other Investments</w:t>
            </w:r>
          </w:p>
        </w:tc>
        <w:tc>
          <w:tcPr>
            <w:tcW w:w="60" w:type="dxa"/>
            <w:tcBorders/>
            <w:shd w:fill="CCEEFF" w:val="clear"/>
            <w:vAlign w:val="bottom"/>
          </w:tcPr>
          <w:p>
            <w:pPr>
              <w:pStyle w:val="TableContents"/>
              <w:spacing w:before="0" w:after="283"/>
              <w:rPr/>
            </w:pPr>
            <w:r>
              <w:rPr/>
              <w:t> </w:t>
            </w:r>
          </w:p>
        </w:tc>
        <w:tc>
          <w:tcPr>
            <w:tcW w:w="294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sz w:val="4"/>
                <w:szCs w:val="4"/>
              </w:rPr>
            </w:pPr>
            <w:r>
              <w:rPr>
                <w:sz w:val="4"/>
                <w:szCs w:val="4"/>
              </w:rPr>
            </w:r>
          </w:p>
        </w:tc>
        <w:tc>
          <w:tcPr>
            <w:tcW w:w="108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sz w:val="4"/>
                <w:szCs w:val="4"/>
              </w:rPr>
            </w:pPr>
            <w:r>
              <w:rPr>
                <w:sz w:val="4"/>
                <w:szCs w:val="4"/>
              </w:rPr>
            </w:r>
          </w:p>
        </w:tc>
        <w:tc>
          <w:tcPr>
            <w:tcW w:w="973" w:type="dxa"/>
            <w:tcBorders/>
            <w:shd w:fill="CCEEFF" w:val="clear"/>
            <w:vAlign w:val="bottom"/>
          </w:tcPr>
          <w:p>
            <w:pPr>
              <w:pStyle w:val="TableContents"/>
              <w:spacing w:before="0" w:after="283"/>
              <w:rPr>
                <w:sz w:val="4"/>
                <w:szCs w:val="4"/>
              </w:rPr>
            </w:pPr>
            <w:r>
              <w:rPr>
                <w:sz w:val="4"/>
                <w:szCs w:val="4"/>
              </w:rPr>
            </w:r>
          </w:p>
        </w:tc>
        <w:tc>
          <w:tcPr>
            <w:tcW w:w="18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68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sz w:val="4"/>
                <w:szCs w:val="4"/>
              </w:rPr>
            </w:pPr>
            <w:r>
              <w:rPr>
                <w:sz w:val="4"/>
                <w:szCs w:val="4"/>
              </w:rPr>
            </w:r>
          </w:p>
        </w:tc>
        <w:tc>
          <w:tcPr>
            <w:tcW w:w="100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sz w:val="4"/>
                <w:szCs w:val="4"/>
              </w:rPr>
            </w:pPr>
            <w:r>
              <w:rPr>
                <w:sz w:val="4"/>
                <w:szCs w:val="4"/>
              </w:rPr>
            </w:r>
          </w:p>
        </w:tc>
        <w:tc>
          <w:tcPr>
            <w:tcW w:w="1104" w:type="dxa"/>
            <w:tcBorders/>
            <w:shd w:fill="CCEEFF" w:val="clear"/>
            <w:vAlign w:val="bottom"/>
          </w:tcPr>
          <w:p>
            <w:pPr>
              <w:pStyle w:val="TableContents"/>
              <w:spacing w:before="0" w:after="283"/>
              <w:rPr>
                <w:sz w:val="4"/>
                <w:szCs w:val="4"/>
              </w:rPr>
            </w:pPr>
            <w:r>
              <w:rPr>
                <w:sz w:val="4"/>
                <w:szCs w:val="4"/>
              </w:rPr>
            </w:r>
          </w:p>
        </w:tc>
        <w:tc>
          <w:tcPr>
            <w:tcW w:w="11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sz w:val="4"/>
                <w:szCs w:val="4"/>
              </w:rPr>
            </w:pPr>
            <w:r>
              <w:rPr>
                <w:sz w:val="4"/>
                <w:szCs w:val="4"/>
              </w:rPr>
            </w:r>
          </w:p>
        </w:tc>
        <w:tc>
          <w:tcPr>
            <w:tcW w:w="1138" w:type="dxa"/>
            <w:tcBorders/>
            <w:shd w:fill="CCEEFF" w:val="clear"/>
            <w:vAlign w:val="bottom"/>
          </w:tcPr>
          <w:p>
            <w:pPr>
              <w:pStyle w:val="TableContents"/>
              <w:spacing w:before="0" w:after="283"/>
              <w:rPr>
                <w:sz w:val="4"/>
                <w:szCs w:val="4"/>
              </w:rPr>
            </w:pPr>
            <w:r>
              <w:rPr>
                <w:sz w:val="4"/>
                <w:szCs w:val="4"/>
              </w:rPr>
            </w:r>
          </w:p>
        </w:tc>
        <w:tc>
          <w:tcPr>
            <w:tcW w:w="185" w:type="dxa"/>
            <w:tcBorders/>
            <w:shd w:fill="CCEEFF" w:val="clear"/>
            <w:vAlign w:val="bottom"/>
          </w:tcPr>
          <w:p>
            <w:pPr>
              <w:pStyle w:val="TableContents"/>
              <w:spacing w:before="0" w:after="283"/>
              <w:rPr>
                <w:sz w:val="4"/>
                <w:szCs w:val="4"/>
              </w:rPr>
            </w:pPr>
            <w:r>
              <w:rPr>
                <w:sz w:val="4"/>
                <w:szCs w:val="4"/>
              </w:rPr>
            </w:r>
          </w:p>
        </w:tc>
      </w:tr>
      <w:tr>
        <w:trPr/>
        <w:tc>
          <w:tcPr>
            <w:tcW w:w="2090"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Business Services</w:t>
            </w:r>
          </w:p>
        </w:tc>
        <w:tc>
          <w:tcPr>
            <w:tcW w:w="60" w:type="dxa"/>
            <w:tcBorders/>
            <w:shd w:fill="auto" w:val="clear"/>
            <w:vAlign w:val="bottom"/>
          </w:tcPr>
          <w:p>
            <w:pPr>
              <w:pStyle w:val="TableContents"/>
              <w:spacing w:before="0" w:after="283"/>
              <w:rPr/>
            </w:pPr>
            <w:r>
              <w:rPr/>
              <w:t> </w:t>
            </w:r>
          </w:p>
        </w:tc>
        <w:tc>
          <w:tcPr>
            <w:tcW w:w="294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1" w:type="dxa"/>
            <w:tcBorders/>
            <w:shd w:fill="auto" w:val="clear"/>
          </w:tcPr>
          <w:p>
            <w:pPr>
              <w:pStyle w:val="TableContents"/>
              <w:spacing w:before="0" w:after="283"/>
              <w:rPr>
                <w:sz w:val="4"/>
                <w:szCs w:val="4"/>
              </w:rPr>
            </w:pPr>
            <w:r>
              <w:rPr>
                <w:sz w:val="4"/>
                <w:szCs w:val="4"/>
              </w:rPr>
            </w:r>
          </w:p>
        </w:tc>
        <w:tc>
          <w:tcPr>
            <w:tcW w:w="1084"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7" w:type="dxa"/>
            <w:tcBorders/>
            <w:shd w:fill="auto" w:val="clear"/>
          </w:tcPr>
          <w:p>
            <w:pPr>
              <w:pStyle w:val="TableContents"/>
              <w:spacing w:before="0" w:after="283"/>
              <w:rPr>
                <w:sz w:val="4"/>
                <w:szCs w:val="4"/>
              </w:rPr>
            </w:pPr>
            <w:r>
              <w:rPr>
                <w:sz w:val="4"/>
                <w:szCs w:val="4"/>
              </w:rPr>
            </w:r>
          </w:p>
        </w:tc>
        <w:tc>
          <w:tcPr>
            <w:tcW w:w="973" w:type="dxa"/>
            <w:tcBorders/>
            <w:shd w:fill="auto" w:val="clear"/>
          </w:tcPr>
          <w:p>
            <w:pPr>
              <w:pStyle w:val="TableContents"/>
              <w:spacing w:before="0" w:after="283"/>
              <w:rPr>
                <w:sz w:val="4"/>
                <w:szCs w:val="4"/>
              </w:rPr>
            </w:pPr>
            <w:r>
              <w:rPr>
                <w:sz w:val="4"/>
                <w:szCs w:val="4"/>
              </w:rPr>
            </w:r>
          </w:p>
        </w:tc>
        <w:tc>
          <w:tcPr>
            <w:tcW w:w="1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tcPr>
          <w:p>
            <w:pPr>
              <w:pStyle w:val="TableContents"/>
              <w:spacing w:before="0" w:after="283"/>
              <w:rPr>
                <w:sz w:val="4"/>
                <w:szCs w:val="4"/>
              </w:rPr>
            </w:pPr>
            <w:r>
              <w:rPr>
                <w:sz w:val="4"/>
                <w:szCs w:val="4"/>
              </w:rPr>
            </w:r>
          </w:p>
        </w:tc>
        <w:tc>
          <w:tcPr>
            <w:tcW w:w="1006"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6" w:type="dxa"/>
            <w:tcBorders/>
            <w:shd w:fill="auto" w:val="clear"/>
          </w:tcPr>
          <w:p>
            <w:pPr>
              <w:pStyle w:val="TableContents"/>
              <w:spacing w:before="0" w:after="283"/>
              <w:rPr>
                <w:sz w:val="4"/>
                <w:szCs w:val="4"/>
              </w:rPr>
            </w:pPr>
            <w:r>
              <w:rPr>
                <w:sz w:val="4"/>
                <w:szCs w:val="4"/>
              </w:rPr>
            </w:r>
          </w:p>
        </w:tc>
        <w:tc>
          <w:tcPr>
            <w:tcW w:w="1104" w:type="dxa"/>
            <w:tcBorders/>
            <w:shd w:fill="auto" w:val="clear"/>
          </w:tcPr>
          <w:p>
            <w:pPr>
              <w:pStyle w:val="TableContents"/>
              <w:spacing w:before="0" w:after="283"/>
              <w:rPr>
                <w:sz w:val="4"/>
                <w:szCs w:val="4"/>
              </w:rPr>
            </w:pPr>
            <w:r>
              <w:rPr>
                <w:sz w:val="4"/>
                <w:szCs w:val="4"/>
              </w:rPr>
            </w:r>
          </w:p>
        </w:tc>
        <w:tc>
          <w:tcPr>
            <w:tcW w:w="11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87" w:type="dxa"/>
            <w:tcBorders/>
            <w:shd w:fill="auto" w:val="clear"/>
          </w:tcPr>
          <w:p>
            <w:pPr>
              <w:pStyle w:val="TableContents"/>
              <w:spacing w:before="0" w:after="283"/>
              <w:rPr>
                <w:sz w:val="4"/>
                <w:szCs w:val="4"/>
              </w:rPr>
            </w:pPr>
            <w:r>
              <w:rPr>
                <w:sz w:val="4"/>
                <w:szCs w:val="4"/>
              </w:rPr>
            </w:r>
          </w:p>
        </w:tc>
        <w:tc>
          <w:tcPr>
            <w:tcW w:w="1138" w:type="dxa"/>
            <w:tcBorders/>
            <w:shd w:fill="auto" w:val="clear"/>
          </w:tcPr>
          <w:p>
            <w:pPr>
              <w:pStyle w:val="TableContents"/>
              <w:spacing w:before="0" w:after="283"/>
              <w:rPr>
                <w:sz w:val="4"/>
                <w:szCs w:val="4"/>
              </w:rPr>
            </w:pPr>
            <w:r>
              <w:rPr>
                <w:sz w:val="4"/>
                <w:szCs w:val="4"/>
              </w:rPr>
            </w:r>
          </w:p>
        </w:tc>
        <w:tc>
          <w:tcPr>
            <w:tcW w:w="185" w:type="dxa"/>
            <w:tcBorders/>
            <w:shd w:fill="auto" w:val="clear"/>
          </w:tcPr>
          <w:p>
            <w:pPr>
              <w:pStyle w:val="TableContents"/>
              <w:spacing w:before="0" w:after="283"/>
              <w:rPr>
                <w:sz w:val="4"/>
                <w:szCs w:val="4"/>
              </w:rPr>
            </w:pPr>
            <w:r>
              <w:rPr>
                <w:sz w:val="4"/>
                <w:szCs w:val="4"/>
              </w:rPr>
            </w:r>
          </w:p>
        </w:tc>
      </w:tr>
      <w:tr>
        <w:trPr/>
        <w:tc>
          <w:tcPr>
            <w:tcW w:w="2090"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Dye &amp; Durham, Ltd.(4)(11)(13)</w:t>
            </w:r>
          </w:p>
        </w:tc>
        <w:tc>
          <w:tcPr>
            <w:tcW w:w="60" w:type="dxa"/>
            <w:tcBorders/>
            <w:shd w:fill="CCEEFF" w:val="clear"/>
            <w:vAlign w:val="bottom"/>
          </w:tcPr>
          <w:p>
            <w:pPr>
              <w:pStyle w:val="TableContents"/>
              <w:spacing w:before="0" w:after="283"/>
              <w:rPr/>
            </w:pPr>
            <w:r>
              <w:rPr/>
              <w:t> </w:t>
            </w:r>
          </w:p>
        </w:tc>
        <w:tc>
          <w:tcPr>
            <w:tcW w:w="294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Common Shares (126,968 shares)</w:t>
            </w:r>
          </w:p>
        </w:tc>
        <w:tc>
          <w:tcPr>
            <w:tcW w:w="60" w:type="dxa"/>
            <w:tcBorders/>
            <w:shd w:fill="CCEEFF" w:val="clear"/>
            <w:vAlign w:val="bottom"/>
          </w:tcPr>
          <w:p>
            <w:pPr>
              <w:pStyle w:val="TableContents"/>
              <w:spacing w:before="0" w:after="283"/>
              <w:rPr/>
            </w:pPr>
            <w:r>
              <w:rPr/>
              <w:t> </w:t>
            </w:r>
          </w:p>
        </w:tc>
        <w:tc>
          <w:tcPr>
            <w:tcW w:w="91" w:type="dxa"/>
            <w:tcBorders/>
            <w:shd w:fill="CCEEFF" w:val="clear"/>
          </w:tcPr>
          <w:p>
            <w:pPr>
              <w:pStyle w:val="TableContents"/>
              <w:spacing w:lineRule="atLeast" w:line="141" w:before="0" w:after="0"/>
              <w:rPr/>
            </w:pPr>
            <w:r>
              <w:rPr/>
              <w:t> </w:t>
            </w:r>
          </w:p>
        </w:tc>
        <w:tc>
          <w:tcPr>
            <w:tcW w:w="108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12/3/2021</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67" w:type="dxa"/>
            <w:tcBorders/>
            <w:shd w:fill="CCEEFF" w:val="clear"/>
          </w:tcPr>
          <w:p>
            <w:pPr>
              <w:pStyle w:val="TableContents"/>
              <w:spacing w:before="0" w:after="283"/>
              <w:rPr>
                <w:sz w:val="4"/>
                <w:szCs w:val="4"/>
              </w:rPr>
            </w:pPr>
            <w:r>
              <w:rPr>
                <w:sz w:val="4"/>
                <w:szCs w:val="4"/>
              </w:rPr>
            </w:r>
          </w:p>
        </w:tc>
        <w:tc>
          <w:tcPr>
            <w:tcW w:w="973" w:type="dxa"/>
            <w:tcBorders/>
            <w:shd w:fill="CCEEFF" w:val="clear"/>
          </w:tcPr>
          <w:p>
            <w:pPr>
              <w:pStyle w:val="TableContents"/>
              <w:spacing w:before="0" w:after="283"/>
              <w:rPr>
                <w:sz w:val="4"/>
                <w:szCs w:val="4"/>
              </w:rPr>
            </w:pPr>
            <w:r>
              <w:rPr>
                <w:sz w:val="4"/>
                <w:szCs w:val="4"/>
              </w:rPr>
            </w:r>
          </w:p>
        </w:tc>
        <w:tc>
          <w:tcPr>
            <w:tcW w:w="18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68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94" w:type="dxa"/>
            <w:tcBorders/>
            <w:shd w:fill="CCEEFF" w:val="clear"/>
          </w:tcPr>
          <w:p>
            <w:pPr>
              <w:pStyle w:val="TableContents"/>
              <w:spacing w:lineRule="atLeast" w:line="141" w:before="0" w:after="0"/>
              <w:rPr/>
            </w:pPr>
            <w:r>
              <w:rPr/>
              <w:t> </w:t>
            </w:r>
          </w:p>
        </w:tc>
        <w:tc>
          <w:tcPr>
            <w:tcW w:w="1006"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3,909</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86" w:type="dxa"/>
            <w:tcBorders/>
            <w:shd w:fill="CCEEFF" w:val="clear"/>
          </w:tcPr>
          <w:p>
            <w:pPr>
              <w:pStyle w:val="TableContents"/>
              <w:spacing w:lineRule="atLeast" w:line="141" w:before="0" w:after="0"/>
              <w:rPr/>
            </w:pPr>
            <w:r>
              <w:rPr/>
              <w:t> </w:t>
            </w:r>
          </w:p>
          <w:p>
            <w:pPr>
              <w:pStyle w:val="TableContents"/>
              <w:spacing w:before="0" w:after="283"/>
              <w:rPr/>
            </w:pPr>
            <w:r>
              <w:rPr/>
            </w:r>
          </w:p>
        </w:tc>
        <w:tc>
          <w:tcPr>
            <w:tcW w:w="110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1,688</w:t>
            </w:r>
          </w:p>
          <w:p>
            <w:pPr>
              <w:pStyle w:val="TableContents"/>
              <w:rPr/>
            </w:pPr>
            <w:r>
              <w:rPr/>
            </w:r>
          </w:p>
          <w:p>
            <w:pPr>
              <w:pStyle w:val="TableContents"/>
              <w:spacing w:lineRule="atLeast" w:line="141" w:before="0" w:after="20"/>
              <w:jc w:val="right"/>
              <w:rPr>
                <w:rFonts w:ascii="Times New Roman" w:hAnsi="Times New Roman"/>
                <w:sz w:val="15"/>
              </w:rPr>
            </w:pPr>
            <w:r>
              <w:rPr>
                <w:rFonts w:ascii="Times New Roman" w:hAnsi="Times New Roman"/>
                <w:sz w:val="15"/>
              </w:rPr>
              <w:t>(CAD 2,322</w:t>
            </w:r>
          </w:p>
        </w:tc>
        <w:tc>
          <w:tcPr>
            <w:tcW w:w="110" w:type="dxa"/>
            <w:tcBorders/>
            <w:shd w:fill="CCEEFF" w:val="clear"/>
          </w:tcPr>
          <w:p>
            <w:pPr>
              <w:pStyle w:val="TableContents"/>
              <w:spacing w:lineRule="atLeast" w:line="141" w:before="0" w:after="0"/>
              <w:rPr/>
            </w:pPr>
            <w:r>
              <w:rPr/>
              <w:t> </w:t>
            </w:r>
          </w:p>
          <w:p>
            <w:pPr>
              <w:pStyle w:val="TableContents"/>
              <w:rPr/>
            </w:pPr>
            <w:r>
              <w:rPr/>
            </w:r>
          </w:p>
          <w:p>
            <w:pPr>
              <w:pStyle w:val="TableContents"/>
              <w:spacing w:lineRule="atLeast" w:line="141" w:before="0" w:after="20"/>
              <w:rPr>
                <w:rFonts w:ascii="Times New Roman" w:hAnsi="Times New Roman"/>
                <w:sz w:val="15"/>
              </w:rPr>
            </w:pPr>
            <w:r>
              <w:rPr>
                <w:rFonts w:ascii="Times New Roman" w:hAnsi="Times New Roman"/>
                <w:sz w:val="15"/>
              </w:rPr>
              <w:t>) </w:t>
            </w:r>
          </w:p>
        </w:tc>
        <w:tc>
          <w:tcPr>
            <w:tcW w:w="60" w:type="dxa"/>
            <w:tcBorders/>
            <w:shd w:fill="CCEEFF" w:val="clear"/>
            <w:vAlign w:val="bottom"/>
          </w:tcPr>
          <w:p>
            <w:pPr>
              <w:pStyle w:val="TableContents"/>
              <w:spacing w:before="0" w:after="283"/>
              <w:rPr/>
            </w:pPr>
            <w:r>
              <w:rPr/>
              <w:t> </w:t>
            </w:r>
          </w:p>
        </w:tc>
        <w:tc>
          <w:tcPr>
            <w:tcW w:w="187" w:type="dxa"/>
            <w:tcBorders/>
            <w:shd w:fill="CCEEFF" w:val="clear"/>
          </w:tcPr>
          <w:p>
            <w:pPr>
              <w:pStyle w:val="TableContents"/>
              <w:spacing w:lineRule="atLeast" w:line="141" w:before="0" w:after="0"/>
              <w:rPr/>
            </w:pPr>
            <w:r>
              <w:rPr/>
              <w:t> </w:t>
            </w:r>
          </w:p>
        </w:tc>
        <w:tc>
          <w:tcPr>
            <w:tcW w:w="1138"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0.1</w:t>
            </w:r>
          </w:p>
        </w:tc>
        <w:tc>
          <w:tcPr>
            <w:tcW w:w="18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Mitnick TA Aggregator,</w:t>
              <w:br/>
              <w:t>LP(12)(13)(14)</w:t>
            </w:r>
          </w:p>
        </w:tc>
        <w:tc>
          <w:tcPr>
            <w:tcW w:w="60" w:type="dxa"/>
            <w:tcBorders/>
            <w:shd w:fill="auto" w:val="clear"/>
            <w:vAlign w:val="bottom"/>
          </w:tcPr>
          <w:p>
            <w:pPr>
              <w:pStyle w:val="TableContents"/>
              <w:spacing w:before="0" w:after="283"/>
              <w:rPr/>
            </w:pPr>
            <w:r>
              <w:rPr/>
              <w:t> </w:t>
            </w:r>
          </w:p>
        </w:tc>
        <w:tc>
          <w:tcPr>
            <w:tcW w:w="2945" w:type="dxa"/>
            <w:tcBorders/>
            <w:shd w:fill="auto" w:val="clear"/>
            <w:vAlign w:val="bottom"/>
          </w:tcPr>
          <w:p>
            <w:pPr>
              <w:pStyle w:val="TableContents"/>
              <w:spacing w:lineRule="atLeast" w:line="141" w:before="0" w:after="0"/>
              <w:rPr>
                <w:rFonts w:ascii="Times New Roman" w:hAnsi="Times New Roman"/>
                <w:sz w:val="15"/>
              </w:rPr>
            </w:pPr>
            <w:r>
              <w:rPr>
                <w:rFonts w:ascii="Times New Roman" w:hAnsi="Times New Roman"/>
                <w:sz w:val="15"/>
              </w:rPr>
              <w:t>Membership Interest (0.29% ownership)</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lineRule="atLeast" w:line="141" w:before="0" w:after="0"/>
              <w:rPr/>
            </w:pPr>
            <w:r>
              <w:rPr/>
              <w:t> </w:t>
            </w:r>
          </w:p>
        </w:tc>
        <w:tc>
          <w:tcPr>
            <w:tcW w:w="1084" w:type="dxa"/>
            <w:tcBorders/>
            <w:shd w:fill="auto" w:val="clear"/>
            <w:vAlign w:val="bottom"/>
          </w:tcPr>
          <w:p>
            <w:pPr>
              <w:pStyle w:val="TableContents"/>
              <w:spacing w:lineRule="atLeast" w:line="141" w:before="0" w:after="0"/>
              <w:jc w:val="right"/>
              <w:rPr>
                <w:rFonts w:ascii="Times New Roman" w:hAnsi="Times New Roman"/>
                <w:sz w:val="15"/>
              </w:rPr>
            </w:pPr>
            <w:r>
              <w:rPr>
                <w:rFonts w:ascii="Times New Roman" w:hAnsi="Times New Roman"/>
                <w:sz w:val="15"/>
              </w:rPr>
              <w:t>5/2/2022</w:t>
            </w:r>
          </w:p>
        </w:tc>
        <w:tc>
          <w:tcPr>
            <w:tcW w:w="60" w:type="dxa"/>
            <w:tcBorders/>
            <w:shd w:fill="auto" w:val="clear"/>
            <w:vAlign w:val="bottom"/>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lineRule="atLeast" w:line="141" w:before="0" w:after="0"/>
              <w:rPr/>
            </w:pPr>
            <w:r>
              <w:rPr/>
              <w:t> </w:t>
            </w:r>
          </w:p>
        </w:tc>
        <w:tc>
          <w:tcPr>
            <w:tcW w:w="1006" w:type="dxa"/>
            <w:tcBorders/>
            <w:shd w:fill="auto" w:val="clear"/>
            <w:vAlign w:val="bottom"/>
          </w:tcPr>
          <w:p>
            <w:pPr>
              <w:pStyle w:val="TableContents"/>
              <w:spacing w:lineRule="atLeast" w:line="141" w:before="0" w:after="0"/>
              <w:jc w:val="right"/>
              <w:rPr>
                <w:rFonts w:ascii="Times New Roman" w:hAnsi="Times New Roman"/>
                <w:sz w:val="15"/>
              </w:rPr>
            </w:pPr>
            <w:r>
              <w:rPr>
                <w:rFonts w:ascii="Times New Roman" w:hAnsi="Times New Roman"/>
                <w:sz w:val="15"/>
              </w:rPr>
              <w:t>5,243</w:t>
            </w:r>
          </w:p>
        </w:tc>
        <w:tc>
          <w:tcPr>
            <w:tcW w:w="60" w:type="dxa"/>
            <w:tcBorders/>
            <w:shd w:fill="auto" w:val="clear"/>
            <w:vAlign w:val="bottom"/>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lineRule="atLeast" w:line="141" w:before="0" w:after="0"/>
              <w:rPr/>
            </w:pPr>
            <w:r>
              <w:rPr/>
              <w:t> </w:t>
            </w:r>
          </w:p>
        </w:tc>
        <w:tc>
          <w:tcPr>
            <w:tcW w:w="1104" w:type="dxa"/>
            <w:tcBorders/>
            <w:shd w:fill="auto" w:val="clear"/>
            <w:vAlign w:val="bottom"/>
          </w:tcPr>
          <w:p>
            <w:pPr>
              <w:pStyle w:val="TableContents"/>
              <w:spacing w:lineRule="atLeast" w:line="141" w:before="0" w:after="0"/>
              <w:jc w:val="right"/>
              <w:rPr>
                <w:rFonts w:ascii="Times New Roman" w:hAnsi="Times New Roman"/>
                <w:sz w:val="15"/>
              </w:rPr>
            </w:pPr>
            <w:r>
              <w:rPr>
                <w:rFonts w:ascii="Times New Roman" w:hAnsi="Times New Roman"/>
                <w:sz w:val="15"/>
              </w:rPr>
              <w:t>5,243</w:t>
            </w:r>
          </w:p>
        </w:tc>
        <w:tc>
          <w:tcPr>
            <w:tcW w:w="110" w:type="dxa"/>
            <w:tcBorders/>
            <w:shd w:fill="auto" w:val="clear"/>
            <w:vAlign w:val="bottom"/>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lineRule="atLeast" w:line="141" w:before="0" w:after="0"/>
              <w:rPr/>
            </w:pPr>
            <w:r>
              <w:rPr/>
              <w:t> </w:t>
            </w:r>
          </w:p>
        </w:tc>
        <w:tc>
          <w:tcPr>
            <w:tcW w:w="1138" w:type="dxa"/>
            <w:tcBorders/>
            <w:shd w:fill="auto" w:val="clear"/>
            <w:vAlign w:val="bottom"/>
          </w:tcPr>
          <w:p>
            <w:pPr>
              <w:pStyle w:val="TableContents"/>
              <w:spacing w:lineRule="atLeast" w:line="141" w:before="0" w:after="0"/>
              <w:jc w:val="right"/>
              <w:rPr>
                <w:rFonts w:ascii="Times New Roman" w:hAnsi="Times New Roman"/>
                <w:sz w:val="15"/>
              </w:rPr>
            </w:pPr>
            <w:r>
              <w:rPr>
                <w:rFonts w:ascii="Times New Roman" w:hAnsi="Times New Roman"/>
                <w:sz w:val="15"/>
              </w:rPr>
              <w:t>0.4</w:t>
            </w:r>
          </w:p>
        </w:tc>
        <w:tc>
          <w:tcPr>
            <w:tcW w:w="185" w:type="dxa"/>
            <w:tcBorders/>
            <w:shd w:fill="auto" w:val="clear"/>
            <w:vAlign w:val="bottom"/>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ReliaQuest, LLC(12)(13)(14)</w:t>
            </w:r>
          </w:p>
        </w:tc>
        <w:tc>
          <w:tcPr>
            <w:tcW w:w="60" w:type="dxa"/>
            <w:tcBorders/>
            <w:shd w:fill="CCEEFF" w:val="clear"/>
            <w:vAlign w:val="bottom"/>
          </w:tcPr>
          <w:p>
            <w:pPr>
              <w:pStyle w:val="TableContents"/>
              <w:spacing w:before="0" w:after="283"/>
              <w:rPr/>
            </w:pPr>
            <w:r>
              <w:rPr/>
              <w:t> </w:t>
            </w:r>
          </w:p>
        </w:tc>
        <w:tc>
          <w:tcPr>
            <w:tcW w:w="294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Class A-1 Units (570,263 units)</w:t>
            </w:r>
          </w:p>
        </w:tc>
        <w:tc>
          <w:tcPr>
            <w:tcW w:w="60" w:type="dxa"/>
            <w:tcBorders/>
            <w:shd w:fill="CCEEFF" w:val="clear"/>
            <w:vAlign w:val="bottom"/>
          </w:tcPr>
          <w:p>
            <w:pPr>
              <w:pStyle w:val="TableContents"/>
              <w:spacing w:before="0" w:after="283"/>
              <w:rPr/>
            </w:pPr>
            <w:r>
              <w:rPr/>
              <w:t> </w:t>
            </w:r>
          </w:p>
        </w:tc>
        <w:tc>
          <w:tcPr>
            <w:tcW w:w="91" w:type="dxa"/>
            <w:tcBorders/>
            <w:shd w:fill="CCEEFF" w:val="clear"/>
          </w:tcPr>
          <w:p>
            <w:pPr>
              <w:pStyle w:val="TableContents"/>
              <w:spacing w:lineRule="atLeast" w:line="141" w:before="0" w:after="0"/>
              <w:rPr/>
            </w:pPr>
            <w:r>
              <w:rPr/>
              <w:t> </w:t>
            </w:r>
          </w:p>
        </w:tc>
        <w:tc>
          <w:tcPr>
            <w:tcW w:w="108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11/23/2021</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67" w:type="dxa"/>
            <w:tcBorders/>
            <w:shd w:fill="CCEEFF" w:val="clear"/>
          </w:tcPr>
          <w:p>
            <w:pPr>
              <w:pStyle w:val="TableContents"/>
              <w:spacing w:before="0" w:after="283"/>
              <w:rPr>
                <w:sz w:val="4"/>
                <w:szCs w:val="4"/>
              </w:rPr>
            </w:pPr>
            <w:r>
              <w:rPr>
                <w:sz w:val="4"/>
                <w:szCs w:val="4"/>
              </w:rPr>
            </w:r>
          </w:p>
        </w:tc>
        <w:tc>
          <w:tcPr>
            <w:tcW w:w="973" w:type="dxa"/>
            <w:tcBorders/>
            <w:shd w:fill="CCEEFF" w:val="clear"/>
          </w:tcPr>
          <w:p>
            <w:pPr>
              <w:pStyle w:val="TableContents"/>
              <w:spacing w:before="0" w:after="283"/>
              <w:rPr>
                <w:sz w:val="4"/>
                <w:szCs w:val="4"/>
              </w:rPr>
            </w:pPr>
            <w:r>
              <w:rPr>
                <w:sz w:val="4"/>
                <w:szCs w:val="4"/>
              </w:rPr>
            </w:r>
          </w:p>
        </w:tc>
        <w:tc>
          <w:tcPr>
            <w:tcW w:w="18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68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94" w:type="dxa"/>
            <w:tcBorders/>
            <w:shd w:fill="CCEEFF" w:val="clear"/>
          </w:tcPr>
          <w:p>
            <w:pPr>
              <w:pStyle w:val="TableContents"/>
              <w:spacing w:lineRule="atLeast" w:line="141" w:before="0" w:after="0"/>
              <w:rPr/>
            </w:pPr>
            <w:r>
              <w:rPr/>
              <w:t> </w:t>
            </w:r>
          </w:p>
        </w:tc>
        <w:tc>
          <w:tcPr>
            <w:tcW w:w="1006"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1,126</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86" w:type="dxa"/>
            <w:tcBorders/>
            <w:shd w:fill="CCEEFF" w:val="clear"/>
          </w:tcPr>
          <w:p>
            <w:pPr>
              <w:pStyle w:val="TableContents"/>
              <w:spacing w:lineRule="atLeast" w:line="141" w:before="0" w:after="0"/>
              <w:rPr/>
            </w:pPr>
            <w:r>
              <w:rPr/>
              <w:t> </w:t>
            </w:r>
          </w:p>
        </w:tc>
        <w:tc>
          <w:tcPr>
            <w:tcW w:w="110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1,363</w:t>
            </w:r>
          </w:p>
        </w:tc>
        <w:tc>
          <w:tcPr>
            <w:tcW w:w="11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tcPr>
          <w:p>
            <w:pPr>
              <w:pStyle w:val="TableContents"/>
              <w:spacing w:lineRule="atLeast" w:line="141" w:before="0" w:after="0"/>
              <w:rPr/>
            </w:pPr>
            <w:r>
              <w:rPr/>
              <w:t> </w:t>
            </w:r>
          </w:p>
        </w:tc>
        <w:tc>
          <w:tcPr>
            <w:tcW w:w="1138"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0.1</w:t>
            </w:r>
          </w:p>
        </w:tc>
        <w:tc>
          <w:tcPr>
            <w:tcW w:w="18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Sprinklr, Inc.(11)(12)</w:t>
            </w:r>
          </w:p>
        </w:tc>
        <w:tc>
          <w:tcPr>
            <w:tcW w:w="60" w:type="dxa"/>
            <w:tcBorders/>
            <w:shd w:fill="auto" w:val="clear"/>
            <w:vAlign w:val="bottom"/>
          </w:tcPr>
          <w:p>
            <w:pPr>
              <w:pStyle w:val="TableContents"/>
              <w:spacing w:before="0" w:after="283"/>
              <w:rPr/>
            </w:pPr>
            <w:r>
              <w:rPr/>
              <w:t> </w:t>
            </w:r>
          </w:p>
        </w:tc>
        <w:tc>
          <w:tcPr>
            <w:tcW w:w="294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Common Shares (484,700 shares)</w:t>
            </w:r>
          </w:p>
        </w:tc>
        <w:tc>
          <w:tcPr>
            <w:tcW w:w="60" w:type="dxa"/>
            <w:tcBorders/>
            <w:shd w:fill="auto" w:val="clear"/>
            <w:vAlign w:val="bottom"/>
          </w:tcPr>
          <w:p>
            <w:pPr>
              <w:pStyle w:val="TableContents"/>
              <w:spacing w:before="0" w:after="283"/>
              <w:rPr/>
            </w:pPr>
            <w:r>
              <w:rPr/>
              <w:t> </w:t>
            </w:r>
          </w:p>
        </w:tc>
        <w:tc>
          <w:tcPr>
            <w:tcW w:w="91" w:type="dxa"/>
            <w:tcBorders/>
            <w:shd w:fill="auto" w:val="clear"/>
          </w:tcPr>
          <w:p>
            <w:pPr>
              <w:pStyle w:val="TableContents"/>
              <w:spacing w:lineRule="atLeast" w:line="141" w:before="0" w:after="0"/>
              <w:rPr/>
            </w:pPr>
            <w:r>
              <w:rPr/>
              <w:t> </w:t>
            </w:r>
          </w:p>
        </w:tc>
        <w:tc>
          <w:tcPr>
            <w:tcW w:w="1084"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6/24/2021</w:t>
            </w:r>
          </w:p>
        </w:tc>
        <w:tc>
          <w:tcPr>
            <w:tcW w:w="6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67" w:type="dxa"/>
            <w:tcBorders/>
            <w:shd w:fill="auto" w:val="clear"/>
          </w:tcPr>
          <w:p>
            <w:pPr>
              <w:pStyle w:val="TableContents"/>
              <w:spacing w:before="0" w:after="283"/>
              <w:rPr>
                <w:sz w:val="4"/>
                <w:szCs w:val="4"/>
              </w:rPr>
            </w:pPr>
            <w:r>
              <w:rPr>
                <w:sz w:val="4"/>
                <w:szCs w:val="4"/>
              </w:rPr>
            </w:r>
          </w:p>
        </w:tc>
        <w:tc>
          <w:tcPr>
            <w:tcW w:w="973" w:type="dxa"/>
            <w:tcBorders/>
            <w:shd w:fill="auto" w:val="clear"/>
          </w:tcPr>
          <w:p>
            <w:pPr>
              <w:pStyle w:val="TableContents"/>
              <w:spacing w:before="0" w:after="283"/>
              <w:rPr>
                <w:sz w:val="4"/>
                <w:szCs w:val="4"/>
              </w:rPr>
            </w:pPr>
            <w:r>
              <w:rPr>
                <w:sz w:val="4"/>
                <w:szCs w:val="4"/>
              </w:rPr>
            </w:r>
          </w:p>
        </w:tc>
        <w:tc>
          <w:tcPr>
            <w:tcW w:w="1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tcPr>
          <w:p>
            <w:pPr>
              <w:pStyle w:val="TableContents"/>
              <w:spacing w:lineRule="atLeast" w:line="141" w:before="0" w:after="0"/>
              <w:rPr/>
            </w:pPr>
            <w:r>
              <w:rPr/>
              <w:t> </w:t>
            </w:r>
          </w:p>
        </w:tc>
        <w:tc>
          <w:tcPr>
            <w:tcW w:w="1006"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4,180</w:t>
            </w:r>
          </w:p>
        </w:tc>
        <w:tc>
          <w:tcPr>
            <w:tcW w:w="6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tcPr>
          <w:p>
            <w:pPr>
              <w:pStyle w:val="TableContents"/>
              <w:spacing w:lineRule="atLeast" w:line="141" w:before="0" w:after="0"/>
              <w:rPr/>
            </w:pPr>
            <w:r>
              <w:rPr/>
              <w:t> </w:t>
            </w:r>
          </w:p>
        </w:tc>
        <w:tc>
          <w:tcPr>
            <w:tcW w:w="1104"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4,469</w:t>
            </w:r>
          </w:p>
        </w:tc>
        <w:tc>
          <w:tcPr>
            <w:tcW w:w="11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tcPr>
          <w:p>
            <w:pPr>
              <w:pStyle w:val="TableContents"/>
              <w:spacing w:lineRule="atLeast" w:line="141" w:before="0" w:after="0"/>
              <w:rPr/>
            </w:pPr>
            <w:r>
              <w:rPr/>
              <w:t> </w:t>
            </w:r>
          </w:p>
        </w:tc>
        <w:tc>
          <w:tcPr>
            <w:tcW w:w="1138"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0.3</w:t>
            </w:r>
          </w:p>
        </w:tc>
        <w:tc>
          <w:tcPr>
            <w:tcW w:w="18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WideOrbit, Inc.(12)</w:t>
            </w:r>
          </w:p>
        </w:tc>
        <w:tc>
          <w:tcPr>
            <w:tcW w:w="60" w:type="dxa"/>
            <w:tcBorders/>
            <w:shd w:fill="CCEEFF" w:val="clear"/>
            <w:vAlign w:val="bottom"/>
          </w:tcPr>
          <w:p>
            <w:pPr>
              <w:pStyle w:val="TableContents"/>
              <w:spacing w:before="0" w:after="283"/>
              <w:rPr/>
            </w:pPr>
            <w:r>
              <w:rPr/>
              <w:t> </w:t>
            </w:r>
          </w:p>
        </w:tc>
        <w:tc>
          <w:tcPr>
            <w:tcW w:w="294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1,567,807 Warrants</w:t>
            </w:r>
          </w:p>
        </w:tc>
        <w:tc>
          <w:tcPr>
            <w:tcW w:w="60" w:type="dxa"/>
            <w:tcBorders/>
            <w:shd w:fill="CCEEFF" w:val="clear"/>
            <w:vAlign w:val="bottom"/>
          </w:tcPr>
          <w:p>
            <w:pPr>
              <w:pStyle w:val="TableContents"/>
              <w:spacing w:before="0" w:after="283"/>
              <w:rPr/>
            </w:pPr>
            <w:r>
              <w:rPr/>
              <w:t> </w:t>
            </w:r>
          </w:p>
        </w:tc>
        <w:tc>
          <w:tcPr>
            <w:tcW w:w="91" w:type="dxa"/>
            <w:tcBorders/>
            <w:shd w:fill="CCEEFF" w:val="clear"/>
          </w:tcPr>
          <w:p>
            <w:pPr>
              <w:pStyle w:val="TableContents"/>
              <w:spacing w:lineRule="atLeast" w:line="141" w:before="0" w:after="0"/>
              <w:rPr/>
            </w:pPr>
            <w:r>
              <w:rPr/>
              <w:t> </w:t>
            </w:r>
          </w:p>
        </w:tc>
        <w:tc>
          <w:tcPr>
            <w:tcW w:w="108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7/8/2020</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67" w:type="dxa"/>
            <w:tcBorders/>
            <w:shd w:fill="CCEEFF" w:val="clear"/>
          </w:tcPr>
          <w:p>
            <w:pPr>
              <w:pStyle w:val="TableContents"/>
              <w:spacing w:before="0" w:after="283"/>
              <w:rPr>
                <w:sz w:val="4"/>
                <w:szCs w:val="4"/>
              </w:rPr>
            </w:pPr>
            <w:r>
              <w:rPr>
                <w:sz w:val="4"/>
                <w:szCs w:val="4"/>
              </w:rPr>
            </w:r>
          </w:p>
        </w:tc>
        <w:tc>
          <w:tcPr>
            <w:tcW w:w="973" w:type="dxa"/>
            <w:tcBorders/>
            <w:shd w:fill="CCEEFF" w:val="clear"/>
          </w:tcPr>
          <w:p>
            <w:pPr>
              <w:pStyle w:val="TableContents"/>
              <w:spacing w:before="0" w:after="283"/>
              <w:rPr>
                <w:sz w:val="4"/>
                <w:szCs w:val="4"/>
              </w:rPr>
            </w:pPr>
            <w:r>
              <w:rPr>
                <w:sz w:val="4"/>
                <w:szCs w:val="4"/>
              </w:rPr>
            </w:r>
          </w:p>
        </w:tc>
        <w:tc>
          <w:tcPr>
            <w:tcW w:w="18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68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94" w:type="dxa"/>
            <w:tcBorders/>
            <w:shd w:fill="CCEEFF" w:val="clear"/>
          </w:tcPr>
          <w:p>
            <w:pPr>
              <w:pStyle w:val="TableContents"/>
              <w:spacing w:lineRule="atLeast" w:line="141" w:before="0" w:after="0"/>
              <w:rPr/>
            </w:pPr>
            <w:r>
              <w:rPr/>
              <w:t> </w:t>
            </w:r>
          </w:p>
        </w:tc>
        <w:tc>
          <w:tcPr>
            <w:tcW w:w="1006"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327</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86" w:type="dxa"/>
            <w:tcBorders/>
            <w:shd w:fill="CCEEFF" w:val="clear"/>
          </w:tcPr>
          <w:p>
            <w:pPr>
              <w:pStyle w:val="TableContents"/>
              <w:spacing w:lineRule="atLeast" w:line="141" w:before="0" w:after="0"/>
              <w:rPr/>
            </w:pPr>
            <w:r>
              <w:rPr/>
              <w:t> </w:t>
            </w:r>
          </w:p>
        </w:tc>
        <w:tc>
          <w:tcPr>
            <w:tcW w:w="110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2,482</w:t>
            </w:r>
          </w:p>
        </w:tc>
        <w:tc>
          <w:tcPr>
            <w:tcW w:w="11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tcPr>
          <w:p>
            <w:pPr>
              <w:pStyle w:val="TableContents"/>
              <w:spacing w:lineRule="atLeast" w:line="141" w:before="0" w:after="0"/>
              <w:rPr/>
            </w:pPr>
            <w:r>
              <w:rPr/>
              <w:t> </w:t>
            </w:r>
          </w:p>
        </w:tc>
        <w:tc>
          <w:tcPr>
            <w:tcW w:w="1138"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0.2</w:t>
            </w:r>
          </w:p>
        </w:tc>
        <w:tc>
          <w:tcPr>
            <w:tcW w:w="18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4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10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pBdr>
                <w:top w:val="single" w:sz="2" w:space="1" w:color="000000"/>
              </w:pBdr>
              <w:spacing w:before="0" w:after="0"/>
              <w:rPr/>
            </w:pPr>
            <w:r>
              <w:rPr/>
              <w:t> </w:t>
            </w:r>
          </w:p>
        </w:tc>
        <w:tc>
          <w:tcPr>
            <w:tcW w:w="100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pBdr>
                <w:top w:val="single" w:sz="2" w:space="1" w:color="000000"/>
              </w:pBdr>
              <w:spacing w:before="0" w:after="0"/>
              <w:rPr/>
            </w:pPr>
            <w:r>
              <w:rPr/>
              <w:t> </w:t>
            </w:r>
          </w:p>
        </w:tc>
        <w:tc>
          <w:tcPr>
            <w:tcW w:w="1104" w:type="dxa"/>
            <w:tcBorders/>
            <w:shd w:fill="auto" w:val="clear"/>
            <w:vAlign w:val="bottom"/>
          </w:tcPr>
          <w:p>
            <w:pPr>
              <w:pStyle w:val="TableContents"/>
              <w:pBdr>
                <w:top w:val="single" w:sz="2" w:space="1" w:color="000000"/>
              </w:pBdr>
              <w:spacing w:before="0" w:after="0"/>
              <w:rPr/>
            </w:pPr>
            <w:r>
              <w:rPr/>
              <w:t> </w:t>
            </w:r>
          </w:p>
        </w:tc>
        <w:tc>
          <w:tcPr>
            <w:tcW w:w="11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pBdr>
                <w:top w:val="single" w:sz="2" w:space="1" w:color="000000"/>
              </w:pBdr>
              <w:spacing w:before="0" w:after="0"/>
              <w:rPr/>
            </w:pPr>
            <w:r>
              <w:rPr/>
              <w:t> </w:t>
            </w:r>
          </w:p>
        </w:tc>
        <w:tc>
          <w:tcPr>
            <w:tcW w:w="1138" w:type="dxa"/>
            <w:tcBorders/>
            <w:shd w:fill="auto" w:val="clear"/>
            <w:vAlign w:val="bottom"/>
          </w:tcPr>
          <w:p>
            <w:pPr>
              <w:pStyle w:val="TableContents"/>
              <w:pBdr>
                <w:top w:val="single" w:sz="2" w:space="1" w:color="000000"/>
              </w:pBdr>
              <w:spacing w:before="0" w:after="0"/>
              <w:rPr/>
            </w:pPr>
            <w:r>
              <w:rPr/>
              <w:t> </w:t>
            </w:r>
          </w:p>
        </w:tc>
        <w:tc>
          <w:tcPr>
            <w:tcW w:w="185" w:type="dxa"/>
            <w:tcBorders/>
            <w:shd w:fill="auto" w:val="clear"/>
            <w:vAlign w:val="center"/>
          </w:tcPr>
          <w:p>
            <w:pPr>
              <w:pStyle w:val="TableContents"/>
              <w:spacing w:before="0" w:after="283"/>
              <w:rPr/>
            </w:pPr>
            <w:r>
              <w:rPr/>
              <w:t> </w:t>
            </w:r>
          </w:p>
        </w:tc>
      </w:tr>
      <w:tr>
        <w:trPr/>
        <w:tc>
          <w:tcPr>
            <w:tcW w:w="209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4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1" w:type="dxa"/>
            <w:tcBorders/>
            <w:shd w:fill="auto" w:val="clear"/>
          </w:tcPr>
          <w:p>
            <w:pPr>
              <w:pStyle w:val="TableContents"/>
              <w:spacing w:before="0" w:after="283"/>
              <w:rPr>
                <w:sz w:val="4"/>
                <w:szCs w:val="4"/>
              </w:rPr>
            </w:pPr>
            <w:r>
              <w:rPr>
                <w:sz w:val="4"/>
                <w:szCs w:val="4"/>
              </w:rPr>
            </w:r>
          </w:p>
        </w:tc>
        <w:tc>
          <w:tcPr>
            <w:tcW w:w="1084"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7" w:type="dxa"/>
            <w:tcBorders/>
            <w:shd w:fill="auto" w:val="clear"/>
          </w:tcPr>
          <w:p>
            <w:pPr>
              <w:pStyle w:val="TableContents"/>
              <w:spacing w:before="0" w:after="283"/>
              <w:rPr>
                <w:sz w:val="4"/>
                <w:szCs w:val="4"/>
              </w:rPr>
            </w:pPr>
            <w:r>
              <w:rPr>
                <w:sz w:val="4"/>
                <w:szCs w:val="4"/>
              </w:rPr>
            </w:r>
          </w:p>
        </w:tc>
        <w:tc>
          <w:tcPr>
            <w:tcW w:w="973" w:type="dxa"/>
            <w:tcBorders/>
            <w:shd w:fill="auto" w:val="clear"/>
          </w:tcPr>
          <w:p>
            <w:pPr>
              <w:pStyle w:val="TableContents"/>
              <w:spacing w:before="0" w:after="283"/>
              <w:rPr>
                <w:sz w:val="4"/>
                <w:szCs w:val="4"/>
              </w:rPr>
            </w:pPr>
            <w:r>
              <w:rPr>
                <w:sz w:val="4"/>
                <w:szCs w:val="4"/>
              </w:rPr>
            </w:r>
          </w:p>
        </w:tc>
        <w:tc>
          <w:tcPr>
            <w:tcW w:w="1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tcPr>
          <w:p>
            <w:pPr>
              <w:pStyle w:val="TableContents"/>
              <w:spacing w:lineRule="atLeast" w:line="141" w:before="0" w:after="0"/>
              <w:rPr/>
            </w:pPr>
            <w:r>
              <w:rPr/>
              <w:t> </w:t>
            </w:r>
          </w:p>
        </w:tc>
        <w:tc>
          <w:tcPr>
            <w:tcW w:w="1006"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14,785</w:t>
            </w:r>
          </w:p>
        </w:tc>
        <w:tc>
          <w:tcPr>
            <w:tcW w:w="6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tcPr>
          <w:p>
            <w:pPr>
              <w:pStyle w:val="TableContents"/>
              <w:spacing w:lineRule="atLeast" w:line="141" w:before="0" w:after="0"/>
              <w:rPr/>
            </w:pPr>
            <w:r>
              <w:rPr/>
              <w:t> </w:t>
            </w:r>
          </w:p>
        </w:tc>
        <w:tc>
          <w:tcPr>
            <w:tcW w:w="1104"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15,245</w:t>
            </w:r>
          </w:p>
        </w:tc>
        <w:tc>
          <w:tcPr>
            <w:tcW w:w="11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tcPr>
          <w:p>
            <w:pPr>
              <w:pStyle w:val="TableContents"/>
              <w:spacing w:lineRule="atLeast" w:line="141" w:before="0" w:after="0"/>
              <w:rPr/>
            </w:pPr>
            <w:r>
              <w:rPr/>
              <w:t> </w:t>
            </w:r>
          </w:p>
        </w:tc>
        <w:tc>
          <w:tcPr>
            <w:tcW w:w="1138"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1.1</w:t>
            </w:r>
          </w:p>
        </w:tc>
        <w:tc>
          <w:tcPr>
            <w:tcW w:w="18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4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10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pBdr>
                <w:top w:val="single" w:sz="2" w:space="1" w:color="000000"/>
              </w:pBdr>
              <w:spacing w:before="0" w:after="0"/>
              <w:rPr/>
            </w:pPr>
            <w:r>
              <w:rPr/>
              <w:t> </w:t>
            </w:r>
          </w:p>
        </w:tc>
        <w:tc>
          <w:tcPr>
            <w:tcW w:w="100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pBdr>
                <w:top w:val="single" w:sz="2" w:space="1" w:color="000000"/>
              </w:pBdr>
              <w:spacing w:before="0" w:after="0"/>
              <w:rPr/>
            </w:pPr>
            <w:r>
              <w:rPr/>
              <w:t> </w:t>
            </w:r>
          </w:p>
        </w:tc>
        <w:tc>
          <w:tcPr>
            <w:tcW w:w="1104" w:type="dxa"/>
            <w:tcBorders/>
            <w:shd w:fill="auto" w:val="clear"/>
            <w:vAlign w:val="bottom"/>
          </w:tcPr>
          <w:p>
            <w:pPr>
              <w:pStyle w:val="TableContents"/>
              <w:pBdr>
                <w:top w:val="single" w:sz="2" w:space="1" w:color="000000"/>
              </w:pBdr>
              <w:spacing w:before="0" w:after="0"/>
              <w:rPr/>
            </w:pPr>
            <w:r>
              <w:rPr/>
              <w:t> </w:t>
            </w:r>
          </w:p>
        </w:tc>
        <w:tc>
          <w:tcPr>
            <w:tcW w:w="11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pBdr>
                <w:top w:val="single" w:sz="2" w:space="1" w:color="000000"/>
              </w:pBdr>
              <w:spacing w:before="0" w:after="0"/>
              <w:rPr/>
            </w:pPr>
            <w:r>
              <w:rPr/>
              <w:t> </w:t>
            </w:r>
          </w:p>
        </w:tc>
        <w:tc>
          <w:tcPr>
            <w:tcW w:w="1138" w:type="dxa"/>
            <w:tcBorders/>
            <w:shd w:fill="auto" w:val="clear"/>
            <w:vAlign w:val="bottom"/>
          </w:tcPr>
          <w:p>
            <w:pPr>
              <w:pStyle w:val="TableContents"/>
              <w:pBdr>
                <w:top w:val="single" w:sz="2" w:space="1" w:color="000000"/>
              </w:pBdr>
              <w:spacing w:before="0" w:after="0"/>
              <w:rPr/>
            </w:pPr>
            <w:r>
              <w:rPr/>
              <w:t> </w:t>
            </w:r>
          </w:p>
        </w:tc>
        <w:tc>
          <w:tcPr>
            <w:tcW w:w="185" w:type="dxa"/>
            <w:tcBorders/>
            <w:shd w:fill="auto" w:val="clear"/>
            <w:vAlign w:val="center"/>
          </w:tcPr>
          <w:p>
            <w:pPr>
              <w:pStyle w:val="TableContents"/>
              <w:spacing w:before="0" w:after="283"/>
              <w:rPr/>
            </w:pPr>
            <w:r>
              <w:rPr/>
              <w:t> </w:t>
            </w:r>
          </w:p>
        </w:tc>
      </w:tr>
      <w:tr>
        <w:trPr/>
        <w:tc>
          <w:tcPr>
            <w:tcW w:w="2090" w:type="dxa"/>
            <w:tcBorders/>
            <w:shd w:fill="CCEEFF" w:val="clear"/>
          </w:tcPr>
          <w:p>
            <w:pPr>
              <w:pStyle w:val="TableContents"/>
              <w:spacing w:lineRule="atLeast" w:line="141" w:before="0" w:after="0"/>
              <w:rPr>
                <w:rFonts w:ascii="Times New Roman" w:hAnsi="Times New Roman"/>
                <w:b/>
                <w:sz w:val="15"/>
              </w:rPr>
            </w:pPr>
            <w:r>
              <w:rPr>
                <w:rFonts w:ascii="Times New Roman" w:hAnsi="Times New Roman"/>
                <w:b/>
                <w:sz w:val="15"/>
              </w:rPr>
              <w:t>Communications</w:t>
            </w:r>
          </w:p>
        </w:tc>
        <w:tc>
          <w:tcPr>
            <w:tcW w:w="60" w:type="dxa"/>
            <w:tcBorders/>
            <w:shd w:fill="CCEEFF" w:val="clear"/>
            <w:vAlign w:val="bottom"/>
          </w:tcPr>
          <w:p>
            <w:pPr>
              <w:pStyle w:val="TableContents"/>
              <w:spacing w:before="0" w:after="283"/>
              <w:rPr/>
            </w:pPr>
            <w:r>
              <w:rPr/>
              <w:t> </w:t>
            </w:r>
          </w:p>
        </w:tc>
        <w:tc>
          <w:tcPr>
            <w:tcW w:w="294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sz w:val="4"/>
                <w:szCs w:val="4"/>
              </w:rPr>
            </w:pPr>
            <w:r>
              <w:rPr>
                <w:sz w:val="4"/>
                <w:szCs w:val="4"/>
              </w:rPr>
            </w:r>
          </w:p>
        </w:tc>
        <w:tc>
          <w:tcPr>
            <w:tcW w:w="108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sz w:val="4"/>
                <w:szCs w:val="4"/>
              </w:rPr>
            </w:pPr>
            <w:r>
              <w:rPr>
                <w:sz w:val="4"/>
                <w:szCs w:val="4"/>
              </w:rPr>
            </w:r>
          </w:p>
        </w:tc>
        <w:tc>
          <w:tcPr>
            <w:tcW w:w="973" w:type="dxa"/>
            <w:tcBorders/>
            <w:shd w:fill="CCEEFF" w:val="clear"/>
            <w:vAlign w:val="bottom"/>
          </w:tcPr>
          <w:p>
            <w:pPr>
              <w:pStyle w:val="TableContents"/>
              <w:spacing w:before="0" w:after="283"/>
              <w:rPr>
                <w:sz w:val="4"/>
                <w:szCs w:val="4"/>
              </w:rPr>
            </w:pPr>
            <w:r>
              <w:rPr>
                <w:sz w:val="4"/>
                <w:szCs w:val="4"/>
              </w:rPr>
            </w:r>
          </w:p>
        </w:tc>
        <w:tc>
          <w:tcPr>
            <w:tcW w:w="18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68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sz w:val="4"/>
                <w:szCs w:val="4"/>
              </w:rPr>
            </w:pPr>
            <w:r>
              <w:rPr>
                <w:sz w:val="4"/>
                <w:szCs w:val="4"/>
              </w:rPr>
            </w:r>
          </w:p>
        </w:tc>
        <w:tc>
          <w:tcPr>
            <w:tcW w:w="100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sz w:val="4"/>
                <w:szCs w:val="4"/>
              </w:rPr>
            </w:pPr>
            <w:r>
              <w:rPr>
                <w:sz w:val="4"/>
                <w:szCs w:val="4"/>
              </w:rPr>
            </w:r>
          </w:p>
        </w:tc>
        <w:tc>
          <w:tcPr>
            <w:tcW w:w="1104" w:type="dxa"/>
            <w:tcBorders/>
            <w:shd w:fill="CCEEFF" w:val="clear"/>
            <w:vAlign w:val="bottom"/>
          </w:tcPr>
          <w:p>
            <w:pPr>
              <w:pStyle w:val="TableContents"/>
              <w:spacing w:before="0" w:after="283"/>
              <w:rPr>
                <w:sz w:val="4"/>
                <w:szCs w:val="4"/>
              </w:rPr>
            </w:pPr>
            <w:r>
              <w:rPr>
                <w:sz w:val="4"/>
                <w:szCs w:val="4"/>
              </w:rPr>
            </w:r>
          </w:p>
        </w:tc>
        <w:tc>
          <w:tcPr>
            <w:tcW w:w="11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sz w:val="4"/>
                <w:szCs w:val="4"/>
              </w:rPr>
            </w:pPr>
            <w:r>
              <w:rPr>
                <w:sz w:val="4"/>
                <w:szCs w:val="4"/>
              </w:rPr>
            </w:r>
          </w:p>
        </w:tc>
        <w:tc>
          <w:tcPr>
            <w:tcW w:w="1138" w:type="dxa"/>
            <w:tcBorders/>
            <w:shd w:fill="CCEEFF" w:val="clear"/>
            <w:vAlign w:val="bottom"/>
          </w:tcPr>
          <w:p>
            <w:pPr>
              <w:pStyle w:val="TableContents"/>
              <w:spacing w:before="0" w:after="283"/>
              <w:rPr>
                <w:sz w:val="4"/>
                <w:szCs w:val="4"/>
              </w:rPr>
            </w:pPr>
            <w:r>
              <w:rPr>
                <w:sz w:val="4"/>
                <w:szCs w:val="4"/>
              </w:rPr>
            </w:r>
          </w:p>
        </w:tc>
        <w:tc>
          <w:tcPr>
            <w:tcW w:w="185" w:type="dxa"/>
            <w:tcBorders/>
            <w:shd w:fill="CCEEFF" w:val="clear"/>
            <w:vAlign w:val="bottom"/>
          </w:tcPr>
          <w:p>
            <w:pPr>
              <w:pStyle w:val="TableContents"/>
              <w:spacing w:before="0" w:after="283"/>
              <w:rPr>
                <w:sz w:val="4"/>
                <w:szCs w:val="4"/>
              </w:rPr>
            </w:pPr>
            <w:r>
              <w:rPr>
                <w:sz w:val="4"/>
                <w:szCs w:val="4"/>
              </w:rPr>
            </w:r>
          </w:p>
        </w:tc>
      </w:tr>
      <w:tr>
        <w:trPr/>
        <w:tc>
          <w:tcPr>
            <w:tcW w:w="2090"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Celtra Technologies, Inc.(12)(13)</w:t>
            </w:r>
          </w:p>
        </w:tc>
        <w:tc>
          <w:tcPr>
            <w:tcW w:w="60" w:type="dxa"/>
            <w:tcBorders/>
            <w:shd w:fill="auto" w:val="clear"/>
            <w:vAlign w:val="bottom"/>
          </w:tcPr>
          <w:p>
            <w:pPr>
              <w:pStyle w:val="TableContents"/>
              <w:spacing w:before="0" w:after="283"/>
              <w:rPr/>
            </w:pPr>
            <w:r>
              <w:rPr/>
              <w:t> </w:t>
            </w:r>
          </w:p>
        </w:tc>
        <w:tc>
          <w:tcPr>
            <w:tcW w:w="294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Class A Units (1,250,000 units)</w:t>
            </w:r>
          </w:p>
        </w:tc>
        <w:tc>
          <w:tcPr>
            <w:tcW w:w="60" w:type="dxa"/>
            <w:tcBorders/>
            <w:shd w:fill="auto" w:val="clear"/>
            <w:vAlign w:val="bottom"/>
          </w:tcPr>
          <w:p>
            <w:pPr>
              <w:pStyle w:val="TableContents"/>
              <w:spacing w:before="0" w:after="283"/>
              <w:rPr/>
            </w:pPr>
            <w:r>
              <w:rPr/>
              <w:t> </w:t>
            </w:r>
          </w:p>
        </w:tc>
        <w:tc>
          <w:tcPr>
            <w:tcW w:w="91" w:type="dxa"/>
            <w:tcBorders/>
            <w:shd w:fill="auto" w:val="clear"/>
          </w:tcPr>
          <w:p>
            <w:pPr>
              <w:pStyle w:val="TableContents"/>
              <w:spacing w:lineRule="atLeast" w:line="141" w:before="0" w:after="0"/>
              <w:rPr/>
            </w:pPr>
            <w:r>
              <w:rPr/>
              <w:t> </w:t>
            </w:r>
          </w:p>
        </w:tc>
        <w:tc>
          <w:tcPr>
            <w:tcW w:w="1084"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11/19/2021</w:t>
            </w:r>
          </w:p>
        </w:tc>
        <w:tc>
          <w:tcPr>
            <w:tcW w:w="6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67" w:type="dxa"/>
            <w:tcBorders/>
            <w:shd w:fill="auto" w:val="clear"/>
          </w:tcPr>
          <w:p>
            <w:pPr>
              <w:pStyle w:val="TableContents"/>
              <w:spacing w:before="0" w:after="283"/>
              <w:rPr>
                <w:sz w:val="4"/>
                <w:szCs w:val="4"/>
              </w:rPr>
            </w:pPr>
            <w:r>
              <w:rPr>
                <w:sz w:val="4"/>
                <w:szCs w:val="4"/>
              </w:rPr>
            </w:r>
          </w:p>
        </w:tc>
        <w:tc>
          <w:tcPr>
            <w:tcW w:w="973" w:type="dxa"/>
            <w:tcBorders/>
            <w:shd w:fill="auto" w:val="clear"/>
          </w:tcPr>
          <w:p>
            <w:pPr>
              <w:pStyle w:val="TableContents"/>
              <w:spacing w:before="0" w:after="283"/>
              <w:rPr>
                <w:sz w:val="4"/>
                <w:szCs w:val="4"/>
              </w:rPr>
            </w:pPr>
            <w:r>
              <w:rPr>
                <w:sz w:val="4"/>
                <w:szCs w:val="4"/>
              </w:rPr>
            </w:r>
          </w:p>
        </w:tc>
        <w:tc>
          <w:tcPr>
            <w:tcW w:w="1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tcPr>
          <w:p>
            <w:pPr>
              <w:pStyle w:val="TableContents"/>
              <w:spacing w:lineRule="atLeast" w:line="141" w:before="0" w:after="0"/>
              <w:rPr/>
            </w:pPr>
            <w:r>
              <w:rPr/>
              <w:t> </w:t>
            </w:r>
          </w:p>
        </w:tc>
        <w:tc>
          <w:tcPr>
            <w:tcW w:w="1006"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1,250</w:t>
            </w:r>
          </w:p>
        </w:tc>
        <w:tc>
          <w:tcPr>
            <w:tcW w:w="6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tcPr>
          <w:p>
            <w:pPr>
              <w:pStyle w:val="TableContents"/>
              <w:spacing w:lineRule="atLeast" w:line="141" w:before="0" w:after="0"/>
              <w:rPr/>
            </w:pPr>
            <w:r>
              <w:rPr/>
              <w:t> </w:t>
            </w:r>
          </w:p>
        </w:tc>
        <w:tc>
          <w:tcPr>
            <w:tcW w:w="1104"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1,250</w:t>
            </w:r>
          </w:p>
        </w:tc>
        <w:tc>
          <w:tcPr>
            <w:tcW w:w="11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tcPr>
          <w:p>
            <w:pPr>
              <w:pStyle w:val="TableContents"/>
              <w:spacing w:lineRule="atLeast" w:line="141" w:before="0" w:after="0"/>
              <w:rPr/>
            </w:pPr>
            <w:r>
              <w:rPr/>
              <w:t> </w:t>
            </w:r>
          </w:p>
        </w:tc>
        <w:tc>
          <w:tcPr>
            <w:tcW w:w="1138"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0.1</w:t>
            </w:r>
          </w:p>
        </w:tc>
        <w:tc>
          <w:tcPr>
            <w:tcW w:w="18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IntelePeer Holdings, Inc.(12)</w:t>
            </w:r>
          </w:p>
        </w:tc>
        <w:tc>
          <w:tcPr>
            <w:tcW w:w="60" w:type="dxa"/>
            <w:tcBorders/>
            <w:shd w:fill="CCEEFF" w:val="clear"/>
            <w:vAlign w:val="bottom"/>
          </w:tcPr>
          <w:p>
            <w:pPr>
              <w:pStyle w:val="TableContents"/>
              <w:spacing w:before="0" w:after="283"/>
              <w:rPr/>
            </w:pPr>
            <w:r>
              <w:rPr/>
              <w:t> </w:t>
            </w:r>
          </w:p>
        </w:tc>
        <w:tc>
          <w:tcPr>
            <w:tcW w:w="294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Series C Preferred Shares (1,816,295 shares)</w:t>
            </w:r>
          </w:p>
        </w:tc>
        <w:tc>
          <w:tcPr>
            <w:tcW w:w="60" w:type="dxa"/>
            <w:tcBorders/>
            <w:shd w:fill="CCEEFF" w:val="clear"/>
            <w:vAlign w:val="bottom"/>
          </w:tcPr>
          <w:p>
            <w:pPr>
              <w:pStyle w:val="TableContents"/>
              <w:spacing w:before="0" w:after="283"/>
              <w:rPr/>
            </w:pPr>
            <w:r>
              <w:rPr/>
              <w:t> </w:t>
            </w:r>
          </w:p>
        </w:tc>
        <w:tc>
          <w:tcPr>
            <w:tcW w:w="91" w:type="dxa"/>
            <w:tcBorders/>
            <w:shd w:fill="CCEEFF" w:val="clear"/>
          </w:tcPr>
          <w:p>
            <w:pPr>
              <w:pStyle w:val="TableContents"/>
              <w:spacing w:lineRule="atLeast" w:line="141" w:before="0" w:after="0"/>
              <w:rPr/>
            </w:pPr>
            <w:r>
              <w:rPr/>
              <w:t> </w:t>
            </w:r>
          </w:p>
        </w:tc>
        <w:tc>
          <w:tcPr>
            <w:tcW w:w="108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4/8/2021</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67" w:type="dxa"/>
            <w:tcBorders/>
            <w:shd w:fill="CCEEFF" w:val="clear"/>
          </w:tcPr>
          <w:p>
            <w:pPr>
              <w:pStyle w:val="TableContents"/>
              <w:spacing w:before="0" w:after="283"/>
              <w:rPr>
                <w:sz w:val="4"/>
                <w:szCs w:val="4"/>
              </w:rPr>
            </w:pPr>
            <w:r>
              <w:rPr>
                <w:sz w:val="4"/>
                <w:szCs w:val="4"/>
              </w:rPr>
            </w:r>
          </w:p>
        </w:tc>
        <w:tc>
          <w:tcPr>
            <w:tcW w:w="973" w:type="dxa"/>
            <w:tcBorders/>
            <w:shd w:fill="CCEEFF" w:val="clear"/>
          </w:tcPr>
          <w:p>
            <w:pPr>
              <w:pStyle w:val="TableContents"/>
              <w:spacing w:before="0" w:after="283"/>
              <w:rPr>
                <w:sz w:val="4"/>
                <w:szCs w:val="4"/>
              </w:rPr>
            </w:pPr>
            <w:r>
              <w:rPr>
                <w:sz w:val="4"/>
                <w:szCs w:val="4"/>
              </w:rPr>
            </w:r>
          </w:p>
        </w:tc>
        <w:tc>
          <w:tcPr>
            <w:tcW w:w="18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68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94" w:type="dxa"/>
            <w:tcBorders/>
            <w:shd w:fill="CCEEFF" w:val="clear"/>
          </w:tcPr>
          <w:p>
            <w:pPr>
              <w:pStyle w:val="TableContents"/>
              <w:spacing w:lineRule="atLeast" w:line="141" w:before="0" w:after="0"/>
              <w:rPr/>
            </w:pPr>
            <w:r>
              <w:rPr/>
              <w:t> </w:t>
            </w:r>
          </w:p>
        </w:tc>
        <w:tc>
          <w:tcPr>
            <w:tcW w:w="1006"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1,816</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86" w:type="dxa"/>
            <w:tcBorders/>
            <w:shd w:fill="CCEEFF" w:val="clear"/>
          </w:tcPr>
          <w:p>
            <w:pPr>
              <w:pStyle w:val="TableContents"/>
              <w:spacing w:lineRule="atLeast" w:line="141" w:before="0" w:after="0"/>
              <w:rPr/>
            </w:pPr>
            <w:r>
              <w:rPr/>
              <w:t> </w:t>
            </w:r>
          </w:p>
        </w:tc>
        <w:tc>
          <w:tcPr>
            <w:tcW w:w="110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2,829</w:t>
            </w:r>
          </w:p>
        </w:tc>
        <w:tc>
          <w:tcPr>
            <w:tcW w:w="11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tcPr>
          <w:p>
            <w:pPr>
              <w:pStyle w:val="TableContents"/>
              <w:spacing w:lineRule="atLeast" w:line="141" w:before="0" w:after="0"/>
              <w:rPr/>
            </w:pPr>
            <w:r>
              <w:rPr/>
              <w:t> </w:t>
            </w:r>
          </w:p>
        </w:tc>
        <w:tc>
          <w:tcPr>
            <w:tcW w:w="1138"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0.2</w:t>
            </w:r>
          </w:p>
        </w:tc>
        <w:tc>
          <w:tcPr>
            <w:tcW w:w="18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4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Series D Preferred Shares (1,598,874 shares)</w:t>
            </w:r>
          </w:p>
        </w:tc>
        <w:tc>
          <w:tcPr>
            <w:tcW w:w="60" w:type="dxa"/>
            <w:tcBorders/>
            <w:shd w:fill="auto" w:val="clear"/>
            <w:vAlign w:val="bottom"/>
          </w:tcPr>
          <w:p>
            <w:pPr>
              <w:pStyle w:val="TableContents"/>
              <w:spacing w:before="0" w:after="283"/>
              <w:rPr/>
            </w:pPr>
            <w:r>
              <w:rPr/>
              <w:t> </w:t>
            </w:r>
          </w:p>
        </w:tc>
        <w:tc>
          <w:tcPr>
            <w:tcW w:w="91" w:type="dxa"/>
            <w:tcBorders/>
            <w:shd w:fill="auto" w:val="clear"/>
          </w:tcPr>
          <w:p>
            <w:pPr>
              <w:pStyle w:val="TableContents"/>
              <w:spacing w:lineRule="atLeast" w:line="141" w:before="0" w:after="0"/>
              <w:rPr/>
            </w:pPr>
            <w:r>
              <w:rPr/>
              <w:t> </w:t>
            </w:r>
          </w:p>
        </w:tc>
        <w:tc>
          <w:tcPr>
            <w:tcW w:w="1084"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4/8/2021</w:t>
            </w:r>
          </w:p>
        </w:tc>
        <w:tc>
          <w:tcPr>
            <w:tcW w:w="6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67" w:type="dxa"/>
            <w:tcBorders/>
            <w:shd w:fill="auto" w:val="clear"/>
          </w:tcPr>
          <w:p>
            <w:pPr>
              <w:pStyle w:val="TableContents"/>
              <w:spacing w:before="0" w:after="283"/>
              <w:rPr>
                <w:sz w:val="4"/>
                <w:szCs w:val="4"/>
              </w:rPr>
            </w:pPr>
            <w:r>
              <w:rPr>
                <w:sz w:val="4"/>
                <w:szCs w:val="4"/>
              </w:rPr>
            </w:r>
          </w:p>
        </w:tc>
        <w:tc>
          <w:tcPr>
            <w:tcW w:w="973" w:type="dxa"/>
            <w:tcBorders/>
            <w:shd w:fill="auto" w:val="clear"/>
          </w:tcPr>
          <w:p>
            <w:pPr>
              <w:pStyle w:val="TableContents"/>
              <w:spacing w:before="0" w:after="283"/>
              <w:rPr>
                <w:sz w:val="4"/>
                <w:szCs w:val="4"/>
              </w:rPr>
            </w:pPr>
            <w:r>
              <w:rPr>
                <w:sz w:val="4"/>
                <w:szCs w:val="4"/>
              </w:rPr>
            </w:r>
          </w:p>
        </w:tc>
        <w:tc>
          <w:tcPr>
            <w:tcW w:w="1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tcPr>
          <w:p>
            <w:pPr>
              <w:pStyle w:val="TableContents"/>
              <w:spacing w:lineRule="atLeast" w:line="141" w:before="0" w:after="0"/>
              <w:rPr/>
            </w:pPr>
            <w:r>
              <w:rPr/>
              <w:t> </w:t>
            </w:r>
          </w:p>
        </w:tc>
        <w:tc>
          <w:tcPr>
            <w:tcW w:w="1006"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2,925</w:t>
            </w:r>
          </w:p>
        </w:tc>
        <w:tc>
          <w:tcPr>
            <w:tcW w:w="6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tcPr>
          <w:p>
            <w:pPr>
              <w:pStyle w:val="TableContents"/>
              <w:spacing w:lineRule="atLeast" w:line="141" w:before="0" w:after="0"/>
              <w:rPr/>
            </w:pPr>
            <w:r>
              <w:rPr/>
              <w:t> </w:t>
            </w:r>
          </w:p>
        </w:tc>
        <w:tc>
          <w:tcPr>
            <w:tcW w:w="1104"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2,925</w:t>
            </w:r>
          </w:p>
        </w:tc>
        <w:tc>
          <w:tcPr>
            <w:tcW w:w="11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tcPr>
          <w:p>
            <w:pPr>
              <w:pStyle w:val="TableContents"/>
              <w:spacing w:lineRule="atLeast" w:line="141" w:before="0" w:after="0"/>
              <w:rPr/>
            </w:pPr>
            <w:r>
              <w:rPr/>
              <w:t> </w:t>
            </w:r>
          </w:p>
        </w:tc>
        <w:tc>
          <w:tcPr>
            <w:tcW w:w="1138"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0.2</w:t>
            </w:r>
          </w:p>
        </w:tc>
        <w:tc>
          <w:tcPr>
            <w:tcW w:w="18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94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280,000 Warrants</w:t>
            </w:r>
          </w:p>
        </w:tc>
        <w:tc>
          <w:tcPr>
            <w:tcW w:w="60" w:type="dxa"/>
            <w:tcBorders/>
            <w:shd w:fill="CCEEFF" w:val="clear"/>
            <w:vAlign w:val="bottom"/>
          </w:tcPr>
          <w:p>
            <w:pPr>
              <w:pStyle w:val="TableContents"/>
              <w:spacing w:before="0" w:after="283"/>
              <w:rPr/>
            </w:pPr>
            <w:r>
              <w:rPr/>
              <w:t> </w:t>
            </w:r>
          </w:p>
        </w:tc>
        <w:tc>
          <w:tcPr>
            <w:tcW w:w="91" w:type="dxa"/>
            <w:tcBorders/>
            <w:shd w:fill="CCEEFF" w:val="clear"/>
          </w:tcPr>
          <w:p>
            <w:pPr>
              <w:pStyle w:val="TableContents"/>
              <w:spacing w:lineRule="atLeast" w:line="141" w:before="0" w:after="0"/>
              <w:rPr/>
            </w:pPr>
            <w:r>
              <w:rPr/>
              <w:t> </w:t>
            </w:r>
          </w:p>
        </w:tc>
        <w:tc>
          <w:tcPr>
            <w:tcW w:w="108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2/28/2020</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67" w:type="dxa"/>
            <w:tcBorders/>
            <w:shd w:fill="CCEEFF" w:val="clear"/>
          </w:tcPr>
          <w:p>
            <w:pPr>
              <w:pStyle w:val="TableContents"/>
              <w:spacing w:before="0" w:after="283"/>
              <w:rPr>
                <w:sz w:val="4"/>
                <w:szCs w:val="4"/>
              </w:rPr>
            </w:pPr>
            <w:r>
              <w:rPr>
                <w:sz w:val="4"/>
                <w:szCs w:val="4"/>
              </w:rPr>
            </w:r>
          </w:p>
        </w:tc>
        <w:tc>
          <w:tcPr>
            <w:tcW w:w="973" w:type="dxa"/>
            <w:tcBorders/>
            <w:shd w:fill="CCEEFF" w:val="clear"/>
          </w:tcPr>
          <w:p>
            <w:pPr>
              <w:pStyle w:val="TableContents"/>
              <w:spacing w:before="0" w:after="283"/>
              <w:rPr>
                <w:sz w:val="4"/>
                <w:szCs w:val="4"/>
              </w:rPr>
            </w:pPr>
            <w:r>
              <w:rPr>
                <w:sz w:val="4"/>
                <w:szCs w:val="4"/>
              </w:rPr>
            </w:r>
          </w:p>
        </w:tc>
        <w:tc>
          <w:tcPr>
            <w:tcW w:w="18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68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94" w:type="dxa"/>
            <w:tcBorders/>
            <w:shd w:fill="CCEEFF" w:val="clear"/>
          </w:tcPr>
          <w:p>
            <w:pPr>
              <w:pStyle w:val="TableContents"/>
              <w:spacing w:lineRule="atLeast" w:line="141" w:before="0" w:after="0"/>
              <w:rPr/>
            </w:pPr>
            <w:r>
              <w:rPr/>
              <w:t> </w:t>
            </w:r>
          </w:p>
        </w:tc>
        <w:tc>
          <w:tcPr>
            <w:tcW w:w="1006"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183</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86" w:type="dxa"/>
            <w:tcBorders/>
            <w:shd w:fill="CCEEFF" w:val="clear"/>
          </w:tcPr>
          <w:p>
            <w:pPr>
              <w:pStyle w:val="TableContents"/>
              <w:spacing w:lineRule="atLeast" w:line="141" w:before="0" w:after="0"/>
              <w:rPr/>
            </w:pPr>
            <w:r>
              <w:rPr/>
              <w:t> </w:t>
            </w:r>
          </w:p>
        </w:tc>
        <w:tc>
          <w:tcPr>
            <w:tcW w:w="110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193</w:t>
            </w:r>
          </w:p>
        </w:tc>
        <w:tc>
          <w:tcPr>
            <w:tcW w:w="11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tcPr>
          <w:p>
            <w:pPr>
              <w:pStyle w:val="TableContents"/>
              <w:spacing w:lineRule="atLeast" w:line="141" w:before="0" w:after="0"/>
              <w:rPr/>
            </w:pPr>
            <w:r>
              <w:rPr/>
              <w:t> </w:t>
            </w:r>
          </w:p>
        </w:tc>
        <w:tc>
          <w:tcPr>
            <w:tcW w:w="1138"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0.0</w:t>
            </w:r>
          </w:p>
        </w:tc>
        <w:tc>
          <w:tcPr>
            <w:tcW w:w="18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4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106,592 Warrants</w:t>
            </w:r>
          </w:p>
        </w:tc>
        <w:tc>
          <w:tcPr>
            <w:tcW w:w="60" w:type="dxa"/>
            <w:tcBorders/>
            <w:shd w:fill="auto" w:val="clear"/>
            <w:vAlign w:val="bottom"/>
          </w:tcPr>
          <w:p>
            <w:pPr>
              <w:pStyle w:val="TableContents"/>
              <w:spacing w:before="0" w:after="283"/>
              <w:rPr/>
            </w:pPr>
            <w:r>
              <w:rPr/>
              <w:t> </w:t>
            </w:r>
          </w:p>
        </w:tc>
        <w:tc>
          <w:tcPr>
            <w:tcW w:w="91" w:type="dxa"/>
            <w:tcBorders/>
            <w:shd w:fill="auto" w:val="clear"/>
          </w:tcPr>
          <w:p>
            <w:pPr>
              <w:pStyle w:val="TableContents"/>
              <w:spacing w:lineRule="atLeast" w:line="141" w:before="0" w:after="0"/>
              <w:rPr/>
            </w:pPr>
            <w:r>
              <w:rPr/>
              <w:t> </w:t>
            </w:r>
          </w:p>
        </w:tc>
        <w:tc>
          <w:tcPr>
            <w:tcW w:w="1084"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4/8/2021</w:t>
            </w:r>
          </w:p>
        </w:tc>
        <w:tc>
          <w:tcPr>
            <w:tcW w:w="6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67" w:type="dxa"/>
            <w:tcBorders/>
            <w:shd w:fill="auto" w:val="clear"/>
          </w:tcPr>
          <w:p>
            <w:pPr>
              <w:pStyle w:val="TableContents"/>
              <w:spacing w:before="0" w:after="283"/>
              <w:rPr>
                <w:sz w:val="4"/>
                <w:szCs w:val="4"/>
              </w:rPr>
            </w:pPr>
            <w:r>
              <w:rPr>
                <w:sz w:val="4"/>
                <w:szCs w:val="4"/>
              </w:rPr>
            </w:r>
          </w:p>
        </w:tc>
        <w:tc>
          <w:tcPr>
            <w:tcW w:w="973" w:type="dxa"/>
            <w:tcBorders/>
            <w:shd w:fill="auto" w:val="clear"/>
          </w:tcPr>
          <w:p>
            <w:pPr>
              <w:pStyle w:val="TableContents"/>
              <w:spacing w:before="0" w:after="283"/>
              <w:rPr>
                <w:sz w:val="4"/>
                <w:szCs w:val="4"/>
              </w:rPr>
            </w:pPr>
            <w:r>
              <w:rPr>
                <w:sz w:val="4"/>
                <w:szCs w:val="4"/>
              </w:rPr>
            </w:r>
          </w:p>
        </w:tc>
        <w:tc>
          <w:tcPr>
            <w:tcW w:w="1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tcPr>
          <w:p>
            <w:pPr>
              <w:pStyle w:val="TableContents"/>
              <w:spacing w:lineRule="atLeast" w:line="141" w:before="0" w:after="0"/>
              <w:rPr/>
            </w:pPr>
            <w:r>
              <w:rPr/>
              <w:t> </w:t>
            </w:r>
          </w:p>
        </w:tc>
        <w:tc>
          <w:tcPr>
            <w:tcW w:w="1006"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w:t>
            </w:r>
          </w:p>
        </w:tc>
        <w:tc>
          <w:tcPr>
            <w:tcW w:w="6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tcPr>
          <w:p>
            <w:pPr>
              <w:pStyle w:val="TableContents"/>
              <w:spacing w:lineRule="atLeast" w:line="141" w:before="0" w:after="0"/>
              <w:rPr/>
            </w:pPr>
            <w:r>
              <w:rPr/>
              <w:t> </w:t>
            </w:r>
          </w:p>
        </w:tc>
        <w:tc>
          <w:tcPr>
            <w:tcW w:w="1104"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11</w:t>
            </w:r>
          </w:p>
        </w:tc>
        <w:tc>
          <w:tcPr>
            <w:tcW w:w="11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tcPr>
          <w:p>
            <w:pPr>
              <w:pStyle w:val="TableContents"/>
              <w:spacing w:lineRule="atLeast" w:line="141" w:before="0" w:after="0"/>
              <w:rPr/>
            </w:pPr>
            <w:r>
              <w:rPr/>
              <w:t> </w:t>
            </w:r>
          </w:p>
        </w:tc>
        <w:tc>
          <w:tcPr>
            <w:tcW w:w="1138"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0.0</w:t>
            </w:r>
          </w:p>
        </w:tc>
        <w:tc>
          <w:tcPr>
            <w:tcW w:w="18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4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10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pBdr>
                <w:top w:val="single" w:sz="2" w:space="1" w:color="000000"/>
              </w:pBdr>
              <w:spacing w:before="0" w:after="0"/>
              <w:rPr/>
            </w:pPr>
            <w:r>
              <w:rPr/>
              <w:t> </w:t>
            </w:r>
          </w:p>
        </w:tc>
        <w:tc>
          <w:tcPr>
            <w:tcW w:w="100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pBdr>
                <w:top w:val="single" w:sz="2" w:space="1" w:color="000000"/>
              </w:pBdr>
              <w:spacing w:before="0" w:after="0"/>
              <w:rPr/>
            </w:pPr>
            <w:r>
              <w:rPr/>
              <w:t> </w:t>
            </w:r>
          </w:p>
        </w:tc>
        <w:tc>
          <w:tcPr>
            <w:tcW w:w="1104" w:type="dxa"/>
            <w:tcBorders/>
            <w:shd w:fill="auto" w:val="clear"/>
            <w:vAlign w:val="bottom"/>
          </w:tcPr>
          <w:p>
            <w:pPr>
              <w:pStyle w:val="TableContents"/>
              <w:pBdr>
                <w:top w:val="single" w:sz="2" w:space="1" w:color="000000"/>
              </w:pBdr>
              <w:spacing w:before="0" w:after="0"/>
              <w:rPr/>
            </w:pPr>
            <w:r>
              <w:rPr/>
              <w:t> </w:t>
            </w:r>
          </w:p>
        </w:tc>
        <w:tc>
          <w:tcPr>
            <w:tcW w:w="11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pBdr>
                <w:top w:val="single" w:sz="2" w:space="1" w:color="000000"/>
              </w:pBdr>
              <w:spacing w:before="0" w:after="0"/>
              <w:rPr/>
            </w:pPr>
            <w:r>
              <w:rPr/>
              <w:t> </w:t>
            </w:r>
          </w:p>
        </w:tc>
        <w:tc>
          <w:tcPr>
            <w:tcW w:w="1138" w:type="dxa"/>
            <w:tcBorders/>
            <w:shd w:fill="auto" w:val="clear"/>
            <w:vAlign w:val="bottom"/>
          </w:tcPr>
          <w:p>
            <w:pPr>
              <w:pStyle w:val="TableContents"/>
              <w:pBdr>
                <w:top w:val="single" w:sz="2" w:space="1" w:color="000000"/>
              </w:pBdr>
              <w:spacing w:before="0" w:after="0"/>
              <w:rPr/>
            </w:pPr>
            <w:r>
              <w:rPr/>
              <w:t> </w:t>
            </w:r>
          </w:p>
        </w:tc>
        <w:tc>
          <w:tcPr>
            <w:tcW w:w="185" w:type="dxa"/>
            <w:tcBorders/>
            <w:shd w:fill="auto" w:val="clear"/>
            <w:vAlign w:val="center"/>
          </w:tcPr>
          <w:p>
            <w:pPr>
              <w:pStyle w:val="TableContents"/>
              <w:spacing w:before="0" w:after="283"/>
              <w:rPr/>
            </w:pPr>
            <w:r>
              <w:rPr/>
              <w:t> </w:t>
            </w:r>
          </w:p>
        </w:tc>
      </w:tr>
      <w:tr>
        <w:trPr/>
        <w:tc>
          <w:tcPr>
            <w:tcW w:w="209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94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91" w:type="dxa"/>
            <w:tcBorders/>
            <w:shd w:fill="CCEEFF" w:val="clear"/>
          </w:tcPr>
          <w:p>
            <w:pPr>
              <w:pStyle w:val="TableContents"/>
              <w:spacing w:before="0" w:after="283"/>
              <w:rPr>
                <w:sz w:val="4"/>
                <w:szCs w:val="4"/>
              </w:rPr>
            </w:pPr>
            <w:r>
              <w:rPr>
                <w:sz w:val="4"/>
                <w:szCs w:val="4"/>
              </w:rPr>
            </w:r>
          </w:p>
        </w:tc>
        <w:tc>
          <w:tcPr>
            <w:tcW w:w="1084" w:type="dxa"/>
            <w:tcBorders/>
            <w:shd w:fill="CCEEFF" w:val="clear"/>
          </w:tcPr>
          <w:p>
            <w:pPr>
              <w:pStyle w:val="TableContents"/>
              <w:spacing w:before="0" w:after="283"/>
              <w:rPr>
                <w:sz w:val="4"/>
                <w:szCs w:val="4"/>
              </w:rPr>
            </w:pPr>
            <w:r>
              <w:rPr>
                <w:sz w:val="4"/>
                <w:szCs w:val="4"/>
              </w:rPr>
            </w:r>
          </w:p>
        </w:tc>
        <w:tc>
          <w:tcPr>
            <w:tcW w:w="6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7" w:type="dxa"/>
            <w:tcBorders/>
            <w:shd w:fill="CCEEFF" w:val="clear"/>
          </w:tcPr>
          <w:p>
            <w:pPr>
              <w:pStyle w:val="TableContents"/>
              <w:spacing w:before="0" w:after="283"/>
              <w:rPr>
                <w:sz w:val="4"/>
                <w:szCs w:val="4"/>
              </w:rPr>
            </w:pPr>
            <w:r>
              <w:rPr>
                <w:sz w:val="4"/>
                <w:szCs w:val="4"/>
              </w:rPr>
            </w:r>
          </w:p>
        </w:tc>
        <w:tc>
          <w:tcPr>
            <w:tcW w:w="973" w:type="dxa"/>
            <w:tcBorders/>
            <w:shd w:fill="CCEEFF" w:val="clear"/>
          </w:tcPr>
          <w:p>
            <w:pPr>
              <w:pStyle w:val="TableContents"/>
              <w:spacing w:before="0" w:after="283"/>
              <w:rPr>
                <w:sz w:val="4"/>
                <w:szCs w:val="4"/>
              </w:rPr>
            </w:pPr>
            <w:r>
              <w:rPr>
                <w:sz w:val="4"/>
                <w:szCs w:val="4"/>
              </w:rPr>
            </w:r>
          </w:p>
        </w:tc>
        <w:tc>
          <w:tcPr>
            <w:tcW w:w="18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68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94" w:type="dxa"/>
            <w:tcBorders/>
            <w:shd w:fill="CCEEFF" w:val="clear"/>
          </w:tcPr>
          <w:p>
            <w:pPr>
              <w:pStyle w:val="TableContents"/>
              <w:spacing w:lineRule="atLeast" w:line="141" w:before="0" w:after="0"/>
              <w:rPr/>
            </w:pPr>
            <w:r>
              <w:rPr/>
              <w:t> </w:t>
            </w:r>
          </w:p>
        </w:tc>
        <w:tc>
          <w:tcPr>
            <w:tcW w:w="1006"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6,174</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86" w:type="dxa"/>
            <w:tcBorders/>
            <w:shd w:fill="CCEEFF" w:val="clear"/>
          </w:tcPr>
          <w:p>
            <w:pPr>
              <w:pStyle w:val="TableContents"/>
              <w:spacing w:lineRule="atLeast" w:line="141" w:before="0" w:after="0"/>
              <w:rPr/>
            </w:pPr>
            <w:r>
              <w:rPr/>
              <w:t> </w:t>
            </w:r>
          </w:p>
        </w:tc>
        <w:tc>
          <w:tcPr>
            <w:tcW w:w="110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7,208</w:t>
            </w:r>
          </w:p>
        </w:tc>
        <w:tc>
          <w:tcPr>
            <w:tcW w:w="11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tcPr>
          <w:p>
            <w:pPr>
              <w:pStyle w:val="TableContents"/>
              <w:spacing w:lineRule="atLeast" w:line="141" w:before="0" w:after="0"/>
              <w:rPr/>
            </w:pPr>
            <w:r>
              <w:rPr/>
              <w:t> </w:t>
            </w:r>
          </w:p>
        </w:tc>
        <w:tc>
          <w:tcPr>
            <w:tcW w:w="1138"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0.5</w:t>
            </w:r>
          </w:p>
        </w:tc>
        <w:tc>
          <w:tcPr>
            <w:tcW w:w="18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4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10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pBdr>
                <w:top w:val="single" w:sz="2" w:space="1" w:color="000000"/>
              </w:pBdr>
              <w:spacing w:before="0" w:after="0"/>
              <w:rPr/>
            </w:pPr>
            <w:r>
              <w:rPr/>
              <w:t> </w:t>
            </w:r>
          </w:p>
        </w:tc>
        <w:tc>
          <w:tcPr>
            <w:tcW w:w="100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pBdr>
                <w:top w:val="single" w:sz="2" w:space="1" w:color="000000"/>
              </w:pBdr>
              <w:spacing w:before="0" w:after="0"/>
              <w:rPr/>
            </w:pPr>
            <w:r>
              <w:rPr/>
              <w:t> </w:t>
            </w:r>
          </w:p>
        </w:tc>
        <w:tc>
          <w:tcPr>
            <w:tcW w:w="1104" w:type="dxa"/>
            <w:tcBorders/>
            <w:shd w:fill="auto" w:val="clear"/>
            <w:vAlign w:val="bottom"/>
          </w:tcPr>
          <w:p>
            <w:pPr>
              <w:pStyle w:val="TableContents"/>
              <w:pBdr>
                <w:top w:val="single" w:sz="2" w:space="1" w:color="000000"/>
              </w:pBdr>
              <w:spacing w:before="0" w:after="0"/>
              <w:rPr/>
            </w:pPr>
            <w:r>
              <w:rPr/>
              <w:t> </w:t>
            </w:r>
          </w:p>
        </w:tc>
        <w:tc>
          <w:tcPr>
            <w:tcW w:w="11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pBdr>
                <w:top w:val="single" w:sz="2" w:space="1" w:color="000000"/>
              </w:pBdr>
              <w:spacing w:before="0" w:after="0"/>
              <w:rPr/>
            </w:pPr>
            <w:r>
              <w:rPr/>
              <w:t> </w:t>
            </w:r>
          </w:p>
        </w:tc>
        <w:tc>
          <w:tcPr>
            <w:tcW w:w="1138" w:type="dxa"/>
            <w:tcBorders/>
            <w:shd w:fill="auto" w:val="clear"/>
            <w:vAlign w:val="bottom"/>
          </w:tcPr>
          <w:p>
            <w:pPr>
              <w:pStyle w:val="TableContents"/>
              <w:pBdr>
                <w:top w:val="single" w:sz="2" w:space="1" w:color="000000"/>
              </w:pBdr>
              <w:spacing w:before="0" w:after="0"/>
              <w:rPr/>
            </w:pPr>
            <w:r>
              <w:rPr/>
              <w:t> </w:t>
            </w:r>
          </w:p>
        </w:tc>
        <w:tc>
          <w:tcPr>
            <w:tcW w:w="185" w:type="dxa"/>
            <w:tcBorders/>
            <w:shd w:fill="auto" w:val="clear"/>
            <w:vAlign w:val="center"/>
          </w:tcPr>
          <w:p>
            <w:pPr>
              <w:pStyle w:val="TableContents"/>
              <w:spacing w:before="0" w:after="283"/>
              <w:rPr/>
            </w:pPr>
            <w:r>
              <w:rPr/>
              <w:t> </w:t>
            </w:r>
          </w:p>
        </w:tc>
      </w:tr>
      <w:tr>
        <w:trPr/>
        <w:tc>
          <w:tcPr>
            <w:tcW w:w="2090" w:type="dxa"/>
            <w:tcBorders/>
            <w:shd w:fill="auto" w:val="clear"/>
          </w:tcPr>
          <w:p>
            <w:pPr>
              <w:pStyle w:val="TableContents"/>
              <w:spacing w:lineRule="atLeast" w:line="141" w:before="0" w:after="0"/>
              <w:rPr>
                <w:rFonts w:ascii="Times New Roman" w:hAnsi="Times New Roman"/>
                <w:b/>
                <w:sz w:val="15"/>
              </w:rPr>
            </w:pPr>
            <w:r>
              <w:rPr>
                <w:rFonts w:ascii="Times New Roman" w:hAnsi="Times New Roman"/>
                <w:b/>
                <w:sz w:val="15"/>
              </w:rPr>
              <w:t>Education</w:t>
            </w:r>
          </w:p>
        </w:tc>
        <w:tc>
          <w:tcPr>
            <w:tcW w:w="60" w:type="dxa"/>
            <w:tcBorders/>
            <w:shd w:fill="auto" w:val="clear"/>
            <w:vAlign w:val="bottom"/>
          </w:tcPr>
          <w:p>
            <w:pPr>
              <w:pStyle w:val="TableContents"/>
              <w:spacing w:before="0" w:after="283"/>
              <w:rPr/>
            </w:pPr>
            <w:r>
              <w:rPr/>
              <w:t> </w:t>
            </w:r>
          </w:p>
        </w:tc>
        <w:tc>
          <w:tcPr>
            <w:tcW w:w="294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10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sz w:val="4"/>
                <w:szCs w:val="4"/>
              </w:rPr>
            </w:pPr>
            <w:r>
              <w:rPr>
                <w:sz w:val="4"/>
                <w:szCs w:val="4"/>
              </w:rPr>
            </w:r>
          </w:p>
        </w:tc>
        <w:tc>
          <w:tcPr>
            <w:tcW w:w="100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sz w:val="4"/>
                <w:szCs w:val="4"/>
              </w:rPr>
            </w:pPr>
            <w:r>
              <w:rPr>
                <w:sz w:val="4"/>
                <w:szCs w:val="4"/>
              </w:rPr>
            </w:r>
          </w:p>
        </w:tc>
        <w:tc>
          <w:tcPr>
            <w:tcW w:w="1104" w:type="dxa"/>
            <w:tcBorders/>
            <w:shd w:fill="auto" w:val="clear"/>
            <w:vAlign w:val="bottom"/>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sz w:val="4"/>
                <w:szCs w:val="4"/>
              </w:rPr>
            </w:pPr>
            <w:r>
              <w:rPr>
                <w:sz w:val="4"/>
                <w:szCs w:val="4"/>
              </w:rPr>
            </w:r>
          </w:p>
        </w:tc>
        <w:tc>
          <w:tcPr>
            <w:tcW w:w="1138"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r>
      <w:tr>
        <w:trPr/>
        <w:tc>
          <w:tcPr>
            <w:tcW w:w="2090"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Astra 2L Holdings II LLC(12)(13)</w:t>
            </w:r>
          </w:p>
        </w:tc>
        <w:tc>
          <w:tcPr>
            <w:tcW w:w="60" w:type="dxa"/>
            <w:tcBorders/>
            <w:shd w:fill="CCEEFF" w:val="clear"/>
            <w:vAlign w:val="bottom"/>
          </w:tcPr>
          <w:p>
            <w:pPr>
              <w:pStyle w:val="TableContents"/>
              <w:spacing w:before="0" w:after="283"/>
              <w:rPr/>
            </w:pPr>
            <w:r>
              <w:rPr/>
              <w:t> </w:t>
            </w:r>
          </w:p>
        </w:tc>
        <w:tc>
          <w:tcPr>
            <w:tcW w:w="294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Membership Interest (10.17% ownership)</w:t>
            </w:r>
          </w:p>
        </w:tc>
        <w:tc>
          <w:tcPr>
            <w:tcW w:w="60" w:type="dxa"/>
            <w:tcBorders/>
            <w:shd w:fill="CCEEFF" w:val="clear"/>
            <w:vAlign w:val="bottom"/>
          </w:tcPr>
          <w:p>
            <w:pPr>
              <w:pStyle w:val="TableContents"/>
              <w:spacing w:before="0" w:after="283"/>
              <w:rPr/>
            </w:pPr>
            <w:r>
              <w:rPr/>
              <w:t> </w:t>
            </w:r>
          </w:p>
        </w:tc>
        <w:tc>
          <w:tcPr>
            <w:tcW w:w="91" w:type="dxa"/>
            <w:tcBorders/>
            <w:shd w:fill="CCEEFF" w:val="clear"/>
          </w:tcPr>
          <w:p>
            <w:pPr>
              <w:pStyle w:val="TableContents"/>
              <w:spacing w:lineRule="atLeast" w:line="141" w:before="0" w:after="0"/>
              <w:rPr/>
            </w:pPr>
            <w:r>
              <w:rPr/>
              <w:t> </w:t>
            </w:r>
          </w:p>
        </w:tc>
        <w:tc>
          <w:tcPr>
            <w:tcW w:w="108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1/13/2022</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67" w:type="dxa"/>
            <w:tcBorders/>
            <w:shd w:fill="CCEEFF" w:val="clear"/>
          </w:tcPr>
          <w:p>
            <w:pPr>
              <w:pStyle w:val="TableContents"/>
              <w:spacing w:before="0" w:after="283"/>
              <w:rPr>
                <w:sz w:val="4"/>
                <w:szCs w:val="4"/>
              </w:rPr>
            </w:pPr>
            <w:r>
              <w:rPr>
                <w:sz w:val="4"/>
                <w:szCs w:val="4"/>
              </w:rPr>
            </w:r>
          </w:p>
        </w:tc>
        <w:tc>
          <w:tcPr>
            <w:tcW w:w="973" w:type="dxa"/>
            <w:tcBorders/>
            <w:shd w:fill="CCEEFF" w:val="clear"/>
          </w:tcPr>
          <w:p>
            <w:pPr>
              <w:pStyle w:val="TableContents"/>
              <w:spacing w:before="0" w:after="283"/>
              <w:rPr>
                <w:sz w:val="4"/>
                <w:szCs w:val="4"/>
              </w:rPr>
            </w:pPr>
            <w:r>
              <w:rPr>
                <w:sz w:val="4"/>
                <w:szCs w:val="4"/>
              </w:rPr>
            </w:r>
          </w:p>
        </w:tc>
        <w:tc>
          <w:tcPr>
            <w:tcW w:w="18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68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94" w:type="dxa"/>
            <w:tcBorders/>
            <w:shd w:fill="CCEEFF" w:val="clear"/>
          </w:tcPr>
          <w:p>
            <w:pPr>
              <w:pStyle w:val="TableContents"/>
              <w:spacing w:lineRule="atLeast" w:line="141" w:before="0" w:after="0"/>
              <w:rPr/>
            </w:pPr>
            <w:r>
              <w:rPr/>
              <w:t> </w:t>
            </w:r>
          </w:p>
        </w:tc>
        <w:tc>
          <w:tcPr>
            <w:tcW w:w="1006"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3,255</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86" w:type="dxa"/>
            <w:tcBorders/>
            <w:shd w:fill="CCEEFF" w:val="clear"/>
          </w:tcPr>
          <w:p>
            <w:pPr>
              <w:pStyle w:val="TableContents"/>
              <w:spacing w:lineRule="atLeast" w:line="141" w:before="0" w:after="0"/>
              <w:rPr/>
            </w:pPr>
            <w:r>
              <w:rPr/>
              <w:t> </w:t>
            </w:r>
          </w:p>
        </w:tc>
        <w:tc>
          <w:tcPr>
            <w:tcW w:w="110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2,620</w:t>
            </w:r>
          </w:p>
        </w:tc>
        <w:tc>
          <w:tcPr>
            <w:tcW w:w="11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tcPr>
          <w:p>
            <w:pPr>
              <w:pStyle w:val="TableContents"/>
              <w:spacing w:lineRule="atLeast" w:line="141" w:before="0" w:after="0"/>
              <w:rPr/>
            </w:pPr>
            <w:r>
              <w:rPr/>
              <w:t> </w:t>
            </w:r>
          </w:p>
        </w:tc>
        <w:tc>
          <w:tcPr>
            <w:tcW w:w="1138"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0.2</w:t>
            </w:r>
          </w:p>
        </w:tc>
        <w:tc>
          <w:tcPr>
            <w:tcW w:w="18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EMS Linq, Inc.(12)(13)</w:t>
            </w:r>
          </w:p>
        </w:tc>
        <w:tc>
          <w:tcPr>
            <w:tcW w:w="60" w:type="dxa"/>
            <w:tcBorders/>
            <w:shd w:fill="auto" w:val="clear"/>
            <w:vAlign w:val="bottom"/>
          </w:tcPr>
          <w:p>
            <w:pPr>
              <w:pStyle w:val="TableContents"/>
              <w:spacing w:before="0" w:after="283"/>
              <w:rPr/>
            </w:pPr>
            <w:r>
              <w:rPr/>
              <w:t> </w:t>
            </w:r>
          </w:p>
        </w:tc>
        <w:tc>
          <w:tcPr>
            <w:tcW w:w="294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Class B Units (5,522,526 units)</w:t>
            </w:r>
          </w:p>
        </w:tc>
        <w:tc>
          <w:tcPr>
            <w:tcW w:w="60" w:type="dxa"/>
            <w:tcBorders/>
            <w:shd w:fill="auto" w:val="clear"/>
            <w:vAlign w:val="bottom"/>
          </w:tcPr>
          <w:p>
            <w:pPr>
              <w:pStyle w:val="TableContents"/>
              <w:spacing w:before="0" w:after="283"/>
              <w:rPr/>
            </w:pPr>
            <w:r>
              <w:rPr/>
              <w:t> </w:t>
            </w:r>
          </w:p>
        </w:tc>
        <w:tc>
          <w:tcPr>
            <w:tcW w:w="91" w:type="dxa"/>
            <w:tcBorders/>
            <w:shd w:fill="auto" w:val="clear"/>
          </w:tcPr>
          <w:p>
            <w:pPr>
              <w:pStyle w:val="TableContents"/>
              <w:spacing w:lineRule="atLeast" w:line="141" w:before="0" w:after="0"/>
              <w:rPr/>
            </w:pPr>
            <w:r>
              <w:rPr/>
              <w:t> </w:t>
            </w:r>
          </w:p>
        </w:tc>
        <w:tc>
          <w:tcPr>
            <w:tcW w:w="1084"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12/22/2021</w:t>
            </w:r>
          </w:p>
        </w:tc>
        <w:tc>
          <w:tcPr>
            <w:tcW w:w="6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67" w:type="dxa"/>
            <w:tcBorders/>
            <w:shd w:fill="auto" w:val="clear"/>
          </w:tcPr>
          <w:p>
            <w:pPr>
              <w:pStyle w:val="TableContents"/>
              <w:spacing w:before="0" w:after="283"/>
              <w:rPr>
                <w:sz w:val="4"/>
                <w:szCs w:val="4"/>
              </w:rPr>
            </w:pPr>
            <w:r>
              <w:rPr>
                <w:sz w:val="4"/>
                <w:szCs w:val="4"/>
              </w:rPr>
            </w:r>
          </w:p>
        </w:tc>
        <w:tc>
          <w:tcPr>
            <w:tcW w:w="973" w:type="dxa"/>
            <w:tcBorders/>
            <w:shd w:fill="auto" w:val="clear"/>
          </w:tcPr>
          <w:p>
            <w:pPr>
              <w:pStyle w:val="TableContents"/>
              <w:spacing w:before="0" w:after="283"/>
              <w:rPr>
                <w:sz w:val="4"/>
                <w:szCs w:val="4"/>
              </w:rPr>
            </w:pPr>
            <w:r>
              <w:rPr>
                <w:sz w:val="4"/>
                <w:szCs w:val="4"/>
              </w:rPr>
            </w:r>
          </w:p>
        </w:tc>
        <w:tc>
          <w:tcPr>
            <w:tcW w:w="1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tcPr>
          <w:p>
            <w:pPr>
              <w:pStyle w:val="TableContents"/>
              <w:spacing w:lineRule="atLeast" w:line="141" w:before="0" w:after="0"/>
              <w:rPr/>
            </w:pPr>
            <w:r>
              <w:rPr/>
              <w:t> </w:t>
            </w:r>
          </w:p>
        </w:tc>
        <w:tc>
          <w:tcPr>
            <w:tcW w:w="1006"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5,523</w:t>
            </w:r>
          </w:p>
        </w:tc>
        <w:tc>
          <w:tcPr>
            <w:tcW w:w="6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tcPr>
          <w:p>
            <w:pPr>
              <w:pStyle w:val="TableContents"/>
              <w:spacing w:lineRule="atLeast" w:line="141" w:before="0" w:after="0"/>
              <w:rPr/>
            </w:pPr>
            <w:r>
              <w:rPr/>
              <w:t> </w:t>
            </w:r>
          </w:p>
        </w:tc>
        <w:tc>
          <w:tcPr>
            <w:tcW w:w="1104"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4,763</w:t>
            </w:r>
          </w:p>
        </w:tc>
        <w:tc>
          <w:tcPr>
            <w:tcW w:w="11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tcPr>
          <w:p>
            <w:pPr>
              <w:pStyle w:val="TableContents"/>
              <w:spacing w:lineRule="atLeast" w:line="141" w:before="0" w:after="0"/>
              <w:rPr/>
            </w:pPr>
            <w:r>
              <w:rPr/>
              <w:t> </w:t>
            </w:r>
          </w:p>
        </w:tc>
        <w:tc>
          <w:tcPr>
            <w:tcW w:w="1138"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0.3</w:t>
            </w:r>
          </w:p>
        </w:tc>
        <w:tc>
          <w:tcPr>
            <w:tcW w:w="18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 xml:space="preserve">RMCF IV CIV XXXV, </w:t>
              <w:br/>
              <w:t>LP.(12)</w:t>
            </w:r>
          </w:p>
        </w:tc>
        <w:tc>
          <w:tcPr>
            <w:tcW w:w="60" w:type="dxa"/>
            <w:tcBorders/>
            <w:shd w:fill="CCEEFF" w:val="clear"/>
            <w:vAlign w:val="bottom"/>
          </w:tcPr>
          <w:p>
            <w:pPr>
              <w:pStyle w:val="TableContents"/>
              <w:spacing w:before="0" w:after="283"/>
              <w:rPr/>
            </w:pPr>
            <w:r>
              <w:rPr/>
              <w:t> </w:t>
            </w:r>
          </w:p>
        </w:tc>
        <w:tc>
          <w:tcPr>
            <w:tcW w:w="2945" w:type="dxa"/>
            <w:tcBorders/>
            <w:shd w:fill="CCEEFF" w:val="clear"/>
            <w:vAlign w:val="bottom"/>
          </w:tcPr>
          <w:p>
            <w:pPr>
              <w:pStyle w:val="TableContents"/>
              <w:spacing w:lineRule="atLeast" w:line="141" w:before="0" w:after="0"/>
              <w:rPr>
                <w:rFonts w:ascii="Times New Roman" w:hAnsi="Times New Roman"/>
                <w:sz w:val="15"/>
              </w:rPr>
            </w:pPr>
            <w:r>
              <w:rPr>
                <w:rFonts w:ascii="Times New Roman" w:hAnsi="Times New Roman"/>
                <w:sz w:val="15"/>
              </w:rPr>
              <w:t>Partnership Interest (11.94% ownership)</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lineRule="atLeast" w:line="141" w:before="0" w:after="0"/>
              <w:rPr/>
            </w:pPr>
            <w:r>
              <w:rPr/>
              <w:t> </w:t>
            </w:r>
          </w:p>
        </w:tc>
        <w:tc>
          <w:tcPr>
            <w:tcW w:w="1084" w:type="dxa"/>
            <w:tcBorders/>
            <w:shd w:fill="CCEEFF" w:val="clear"/>
            <w:vAlign w:val="bottom"/>
          </w:tcPr>
          <w:p>
            <w:pPr>
              <w:pStyle w:val="TableContents"/>
              <w:spacing w:lineRule="atLeast" w:line="141" w:before="0" w:after="0"/>
              <w:jc w:val="right"/>
              <w:rPr>
                <w:rFonts w:ascii="Times New Roman" w:hAnsi="Times New Roman"/>
                <w:sz w:val="15"/>
              </w:rPr>
            </w:pPr>
            <w:r>
              <w:rPr>
                <w:rFonts w:ascii="Times New Roman" w:hAnsi="Times New Roman"/>
                <w:sz w:val="15"/>
              </w:rPr>
              <w:t>6/8/2021</w:t>
            </w:r>
          </w:p>
        </w:tc>
        <w:tc>
          <w:tcPr>
            <w:tcW w:w="60" w:type="dxa"/>
            <w:tcBorders/>
            <w:shd w:fill="CCEEFF" w:val="clear"/>
            <w:vAlign w:val="bottom"/>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sz w:val="4"/>
                <w:szCs w:val="4"/>
              </w:rPr>
            </w:pPr>
            <w:r>
              <w:rPr>
                <w:sz w:val="4"/>
                <w:szCs w:val="4"/>
              </w:rPr>
            </w:r>
          </w:p>
        </w:tc>
        <w:tc>
          <w:tcPr>
            <w:tcW w:w="973" w:type="dxa"/>
            <w:tcBorders/>
            <w:shd w:fill="CCEEFF" w:val="clear"/>
            <w:vAlign w:val="bottom"/>
          </w:tcPr>
          <w:p>
            <w:pPr>
              <w:pStyle w:val="TableContents"/>
              <w:spacing w:before="0" w:after="283"/>
              <w:rPr>
                <w:sz w:val="4"/>
                <w:szCs w:val="4"/>
              </w:rPr>
            </w:pPr>
            <w:r>
              <w:rPr>
                <w:sz w:val="4"/>
                <w:szCs w:val="4"/>
              </w:rPr>
            </w:r>
          </w:p>
        </w:tc>
        <w:tc>
          <w:tcPr>
            <w:tcW w:w="18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68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lineRule="atLeast" w:line="141" w:before="0" w:after="0"/>
              <w:rPr/>
            </w:pPr>
            <w:r>
              <w:rPr/>
              <w:t> </w:t>
            </w:r>
          </w:p>
        </w:tc>
        <w:tc>
          <w:tcPr>
            <w:tcW w:w="1006" w:type="dxa"/>
            <w:tcBorders/>
            <w:shd w:fill="CCEEFF" w:val="clear"/>
            <w:vAlign w:val="bottom"/>
          </w:tcPr>
          <w:p>
            <w:pPr>
              <w:pStyle w:val="TableContents"/>
              <w:spacing w:lineRule="atLeast" w:line="141" w:before="0" w:after="0"/>
              <w:jc w:val="right"/>
              <w:rPr>
                <w:rFonts w:ascii="Times New Roman" w:hAnsi="Times New Roman"/>
                <w:sz w:val="15"/>
              </w:rPr>
            </w:pPr>
            <w:r>
              <w:rPr>
                <w:rFonts w:ascii="Times New Roman" w:hAnsi="Times New Roman"/>
                <w:sz w:val="15"/>
              </w:rPr>
              <w:t>1,000</w:t>
            </w:r>
          </w:p>
        </w:tc>
        <w:tc>
          <w:tcPr>
            <w:tcW w:w="60" w:type="dxa"/>
            <w:tcBorders/>
            <w:shd w:fill="CCEEFF" w:val="clear"/>
            <w:vAlign w:val="bottom"/>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lineRule="atLeast" w:line="141" w:before="0" w:after="0"/>
              <w:rPr/>
            </w:pPr>
            <w:r>
              <w:rPr/>
              <w:t> </w:t>
            </w:r>
          </w:p>
        </w:tc>
        <w:tc>
          <w:tcPr>
            <w:tcW w:w="1104" w:type="dxa"/>
            <w:tcBorders/>
            <w:shd w:fill="CCEEFF" w:val="clear"/>
            <w:vAlign w:val="bottom"/>
          </w:tcPr>
          <w:p>
            <w:pPr>
              <w:pStyle w:val="TableContents"/>
              <w:spacing w:lineRule="atLeast" w:line="141" w:before="0" w:after="0"/>
              <w:jc w:val="right"/>
              <w:rPr>
                <w:rFonts w:ascii="Times New Roman" w:hAnsi="Times New Roman"/>
                <w:sz w:val="15"/>
              </w:rPr>
            </w:pPr>
            <w:r>
              <w:rPr>
                <w:rFonts w:ascii="Times New Roman" w:hAnsi="Times New Roman"/>
                <w:sz w:val="15"/>
              </w:rPr>
              <w:t>1,190</w:t>
            </w:r>
          </w:p>
        </w:tc>
        <w:tc>
          <w:tcPr>
            <w:tcW w:w="110" w:type="dxa"/>
            <w:tcBorders/>
            <w:shd w:fill="CCEEFF" w:val="clear"/>
            <w:vAlign w:val="bottom"/>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lineRule="atLeast" w:line="141" w:before="0" w:after="0"/>
              <w:rPr/>
            </w:pPr>
            <w:r>
              <w:rPr/>
              <w:t> </w:t>
            </w:r>
          </w:p>
        </w:tc>
        <w:tc>
          <w:tcPr>
            <w:tcW w:w="1138" w:type="dxa"/>
            <w:tcBorders/>
            <w:shd w:fill="CCEEFF" w:val="clear"/>
            <w:vAlign w:val="bottom"/>
          </w:tcPr>
          <w:p>
            <w:pPr>
              <w:pStyle w:val="TableContents"/>
              <w:spacing w:lineRule="atLeast" w:line="141" w:before="0" w:after="0"/>
              <w:jc w:val="right"/>
              <w:rPr>
                <w:rFonts w:ascii="Times New Roman" w:hAnsi="Times New Roman"/>
                <w:sz w:val="15"/>
              </w:rPr>
            </w:pPr>
            <w:r>
              <w:rPr>
                <w:rFonts w:ascii="Times New Roman" w:hAnsi="Times New Roman"/>
                <w:sz w:val="15"/>
              </w:rPr>
              <w:t>0.1</w:t>
            </w:r>
          </w:p>
        </w:tc>
        <w:tc>
          <w:tcPr>
            <w:tcW w:w="185" w:type="dxa"/>
            <w:tcBorders/>
            <w:shd w:fill="CCEEFF" w:val="clear"/>
            <w:vAlign w:val="bottom"/>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4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10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pBdr>
                <w:top w:val="single" w:sz="2" w:space="1" w:color="000000"/>
              </w:pBdr>
              <w:spacing w:before="0" w:after="0"/>
              <w:rPr/>
            </w:pPr>
            <w:r>
              <w:rPr/>
              <w:t> </w:t>
            </w:r>
          </w:p>
        </w:tc>
        <w:tc>
          <w:tcPr>
            <w:tcW w:w="100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pBdr>
                <w:top w:val="single" w:sz="2" w:space="1" w:color="000000"/>
              </w:pBdr>
              <w:spacing w:before="0" w:after="0"/>
              <w:rPr/>
            </w:pPr>
            <w:r>
              <w:rPr/>
              <w:t> </w:t>
            </w:r>
          </w:p>
        </w:tc>
        <w:tc>
          <w:tcPr>
            <w:tcW w:w="1104" w:type="dxa"/>
            <w:tcBorders/>
            <w:shd w:fill="auto" w:val="clear"/>
            <w:vAlign w:val="bottom"/>
          </w:tcPr>
          <w:p>
            <w:pPr>
              <w:pStyle w:val="TableContents"/>
              <w:pBdr>
                <w:top w:val="single" w:sz="2" w:space="1" w:color="000000"/>
              </w:pBdr>
              <w:spacing w:before="0" w:after="0"/>
              <w:rPr/>
            </w:pPr>
            <w:r>
              <w:rPr/>
              <w:t> </w:t>
            </w:r>
          </w:p>
        </w:tc>
        <w:tc>
          <w:tcPr>
            <w:tcW w:w="11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pBdr>
                <w:top w:val="single" w:sz="2" w:space="1" w:color="000000"/>
              </w:pBdr>
              <w:spacing w:before="0" w:after="0"/>
              <w:rPr/>
            </w:pPr>
            <w:r>
              <w:rPr/>
              <w:t> </w:t>
            </w:r>
          </w:p>
        </w:tc>
        <w:tc>
          <w:tcPr>
            <w:tcW w:w="1138" w:type="dxa"/>
            <w:tcBorders/>
            <w:shd w:fill="auto" w:val="clear"/>
            <w:vAlign w:val="bottom"/>
          </w:tcPr>
          <w:p>
            <w:pPr>
              <w:pStyle w:val="TableContents"/>
              <w:pBdr>
                <w:top w:val="single" w:sz="2" w:space="1" w:color="000000"/>
              </w:pBdr>
              <w:spacing w:before="0" w:after="0"/>
              <w:rPr/>
            </w:pPr>
            <w:r>
              <w:rPr/>
              <w:t> </w:t>
            </w:r>
          </w:p>
        </w:tc>
        <w:tc>
          <w:tcPr>
            <w:tcW w:w="185" w:type="dxa"/>
            <w:tcBorders/>
            <w:shd w:fill="auto" w:val="clear"/>
            <w:vAlign w:val="center"/>
          </w:tcPr>
          <w:p>
            <w:pPr>
              <w:pStyle w:val="TableContents"/>
              <w:spacing w:before="0" w:after="283"/>
              <w:rPr/>
            </w:pPr>
            <w:r>
              <w:rPr/>
              <w:t> </w:t>
            </w:r>
          </w:p>
        </w:tc>
      </w:tr>
      <w:tr>
        <w:trPr/>
        <w:tc>
          <w:tcPr>
            <w:tcW w:w="209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4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1" w:type="dxa"/>
            <w:tcBorders/>
            <w:shd w:fill="auto" w:val="clear"/>
          </w:tcPr>
          <w:p>
            <w:pPr>
              <w:pStyle w:val="TableContents"/>
              <w:spacing w:before="0" w:after="283"/>
              <w:rPr>
                <w:sz w:val="4"/>
                <w:szCs w:val="4"/>
              </w:rPr>
            </w:pPr>
            <w:r>
              <w:rPr>
                <w:sz w:val="4"/>
                <w:szCs w:val="4"/>
              </w:rPr>
            </w:r>
          </w:p>
        </w:tc>
        <w:tc>
          <w:tcPr>
            <w:tcW w:w="1084"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7" w:type="dxa"/>
            <w:tcBorders/>
            <w:shd w:fill="auto" w:val="clear"/>
          </w:tcPr>
          <w:p>
            <w:pPr>
              <w:pStyle w:val="TableContents"/>
              <w:spacing w:before="0" w:after="283"/>
              <w:rPr>
                <w:sz w:val="4"/>
                <w:szCs w:val="4"/>
              </w:rPr>
            </w:pPr>
            <w:r>
              <w:rPr>
                <w:sz w:val="4"/>
                <w:szCs w:val="4"/>
              </w:rPr>
            </w:r>
          </w:p>
        </w:tc>
        <w:tc>
          <w:tcPr>
            <w:tcW w:w="973" w:type="dxa"/>
            <w:tcBorders/>
            <w:shd w:fill="auto" w:val="clear"/>
          </w:tcPr>
          <w:p>
            <w:pPr>
              <w:pStyle w:val="TableContents"/>
              <w:spacing w:before="0" w:after="283"/>
              <w:rPr>
                <w:sz w:val="4"/>
                <w:szCs w:val="4"/>
              </w:rPr>
            </w:pPr>
            <w:r>
              <w:rPr>
                <w:sz w:val="4"/>
                <w:szCs w:val="4"/>
              </w:rPr>
            </w:r>
          </w:p>
        </w:tc>
        <w:tc>
          <w:tcPr>
            <w:tcW w:w="1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tcPr>
          <w:p>
            <w:pPr>
              <w:pStyle w:val="TableContents"/>
              <w:spacing w:lineRule="atLeast" w:line="141" w:before="0" w:after="0"/>
              <w:rPr/>
            </w:pPr>
            <w:r>
              <w:rPr/>
              <w:t> </w:t>
            </w:r>
          </w:p>
        </w:tc>
        <w:tc>
          <w:tcPr>
            <w:tcW w:w="1006"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9,778</w:t>
            </w:r>
          </w:p>
        </w:tc>
        <w:tc>
          <w:tcPr>
            <w:tcW w:w="6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tcPr>
          <w:p>
            <w:pPr>
              <w:pStyle w:val="TableContents"/>
              <w:spacing w:lineRule="atLeast" w:line="141" w:before="0" w:after="0"/>
              <w:rPr/>
            </w:pPr>
            <w:r>
              <w:rPr/>
              <w:t> </w:t>
            </w:r>
          </w:p>
        </w:tc>
        <w:tc>
          <w:tcPr>
            <w:tcW w:w="1104"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8,573</w:t>
            </w:r>
          </w:p>
        </w:tc>
        <w:tc>
          <w:tcPr>
            <w:tcW w:w="11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tcPr>
          <w:p>
            <w:pPr>
              <w:pStyle w:val="TableContents"/>
              <w:spacing w:lineRule="atLeast" w:line="141" w:before="0" w:after="0"/>
              <w:rPr/>
            </w:pPr>
            <w:r>
              <w:rPr/>
              <w:t> </w:t>
            </w:r>
          </w:p>
        </w:tc>
        <w:tc>
          <w:tcPr>
            <w:tcW w:w="1138"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0.6</w:t>
            </w:r>
          </w:p>
        </w:tc>
        <w:tc>
          <w:tcPr>
            <w:tcW w:w="18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4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10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pBdr>
                <w:top w:val="single" w:sz="2" w:space="1" w:color="000000"/>
              </w:pBdr>
              <w:spacing w:before="0" w:after="0"/>
              <w:rPr/>
            </w:pPr>
            <w:r>
              <w:rPr/>
              <w:t> </w:t>
            </w:r>
          </w:p>
        </w:tc>
        <w:tc>
          <w:tcPr>
            <w:tcW w:w="100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pBdr>
                <w:top w:val="single" w:sz="2" w:space="1" w:color="000000"/>
              </w:pBdr>
              <w:spacing w:before="0" w:after="0"/>
              <w:rPr/>
            </w:pPr>
            <w:r>
              <w:rPr/>
              <w:t> </w:t>
            </w:r>
          </w:p>
        </w:tc>
        <w:tc>
          <w:tcPr>
            <w:tcW w:w="1104" w:type="dxa"/>
            <w:tcBorders/>
            <w:shd w:fill="auto" w:val="clear"/>
            <w:vAlign w:val="bottom"/>
          </w:tcPr>
          <w:p>
            <w:pPr>
              <w:pStyle w:val="TableContents"/>
              <w:pBdr>
                <w:top w:val="single" w:sz="2" w:space="1" w:color="000000"/>
              </w:pBdr>
              <w:spacing w:before="0" w:after="0"/>
              <w:rPr/>
            </w:pPr>
            <w:r>
              <w:rPr/>
              <w:t> </w:t>
            </w:r>
          </w:p>
        </w:tc>
        <w:tc>
          <w:tcPr>
            <w:tcW w:w="11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pBdr>
                <w:top w:val="single" w:sz="2" w:space="1" w:color="000000"/>
              </w:pBdr>
              <w:spacing w:before="0" w:after="0"/>
              <w:rPr/>
            </w:pPr>
            <w:r>
              <w:rPr/>
              <w:t> </w:t>
            </w:r>
          </w:p>
        </w:tc>
        <w:tc>
          <w:tcPr>
            <w:tcW w:w="1138" w:type="dxa"/>
            <w:tcBorders/>
            <w:shd w:fill="auto" w:val="clear"/>
            <w:vAlign w:val="bottom"/>
          </w:tcPr>
          <w:p>
            <w:pPr>
              <w:pStyle w:val="TableContents"/>
              <w:pBdr>
                <w:top w:val="single" w:sz="2" w:space="1" w:color="000000"/>
              </w:pBdr>
              <w:spacing w:before="0" w:after="0"/>
              <w:rPr/>
            </w:pPr>
            <w:r>
              <w:rPr/>
              <w:t> </w:t>
            </w:r>
          </w:p>
        </w:tc>
        <w:tc>
          <w:tcPr>
            <w:tcW w:w="185" w:type="dxa"/>
            <w:tcBorders/>
            <w:shd w:fill="auto" w:val="clear"/>
            <w:vAlign w:val="center"/>
          </w:tcPr>
          <w:p>
            <w:pPr>
              <w:pStyle w:val="TableContents"/>
              <w:spacing w:before="0" w:after="283"/>
              <w:rPr/>
            </w:pPr>
            <w:r>
              <w:rPr/>
              <w:t> </w:t>
            </w:r>
          </w:p>
        </w:tc>
      </w:tr>
      <w:tr>
        <w:trPr/>
        <w:tc>
          <w:tcPr>
            <w:tcW w:w="2090" w:type="dxa"/>
            <w:tcBorders/>
            <w:shd w:fill="CCEEFF" w:val="clear"/>
          </w:tcPr>
          <w:p>
            <w:pPr>
              <w:pStyle w:val="TableContents"/>
              <w:spacing w:lineRule="atLeast" w:line="141" w:before="0" w:after="0"/>
              <w:rPr>
                <w:rFonts w:ascii="Times New Roman" w:hAnsi="Times New Roman"/>
                <w:b/>
                <w:sz w:val="15"/>
              </w:rPr>
            </w:pPr>
            <w:r>
              <w:rPr>
                <w:rFonts w:ascii="Times New Roman" w:hAnsi="Times New Roman"/>
                <w:b/>
                <w:sz w:val="15"/>
              </w:rPr>
              <w:t>Financial Services</w:t>
            </w:r>
          </w:p>
        </w:tc>
        <w:tc>
          <w:tcPr>
            <w:tcW w:w="60" w:type="dxa"/>
            <w:tcBorders/>
            <w:shd w:fill="CCEEFF" w:val="clear"/>
            <w:vAlign w:val="bottom"/>
          </w:tcPr>
          <w:p>
            <w:pPr>
              <w:pStyle w:val="TableContents"/>
              <w:spacing w:before="0" w:after="283"/>
              <w:rPr/>
            </w:pPr>
            <w:r>
              <w:rPr/>
              <w:t> </w:t>
            </w:r>
          </w:p>
        </w:tc>
        <w:tc>
          <w:tcPr>
            <w:tcW w:w="294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sz w:val="4"/>
                <w:szCs w:val="4"/>
              </w:rPr>
            </w:pPr>
            <w:r>
              <w:rPr>
                <w:sz w:val="4"/>
                <w:szCs w:val="4"/>
              </w:rPr>
            </w:r>
          </w:p>
        </w:tc>
        <w:tc>
          <w:tcPr>
            <w:tcW w:w="108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sz w:val="4"/>
                <w:szCs w:val="4"/>
              </w:rPr>
            </w:pPr>
            <w:r>
              <w:rPr>
                <w:sz w:val="4"/>
                <w:szCs w:val="4"/>
              </w:rPr>
            </w:r>
          </w:p>
        </w:tc>
        <w:tc>
          <w:tcPr>
            <w:tcW w:w="973" w:type="dxa"/>
            <w:tcBorders/>
            <w:shd w:fill="CCEEFF" w:val="clear"/>
            <w:vAlign w:val="bottom"/>
          </w:tcPr>
          <w:p>
            <w:pPr>
              <w:pStyle w:val="TableContents"/>
              <w:spacing w:before="0" w:after="283"/>
              <w:rPr>
                <w:sz w:val="4"/>
                <w:szCs w:val="4"/>
              </w:rPr>
            </w:pPr>
            <w:r>
              <w:rPr>
                <w:sz w:val="4"/>
                <w:szCs w:val="4"/>
              </w:rPr>
            </w:r>
          </w:p>
        </w:tc>
        <w:tc>
          <w:tcPr>
            <w:tcW w:w="18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68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sz w:val="4"/>
                <w:szCs w:val="4"/>
              </w:rPr>
            </w:pPr>
            <w:r>
              <w:rPr>
                <w:sz w:val="4"/>
                <w:szCs w:val="4"/>
              </w:rPr>
            </w:r>
          </w:p>
        </w:tc>
        <w:tc>
          <w:tcPr>
            <w:tcW w:w="100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sz w:val="4"/>
                <w:szCs w:val="4"/>
              </w:rPr>
            </w:pPr>
            <w:r>
              <w:rPr>
                <w:sz w:val="4"/>
                <w:szCs w:val="4"/>
              </w:rPr>
            </w:r>
          </w:p>
        </w:tc>
        <w:tc>
          <w:tcPr>
            <w:tcW w:w="1104" w:type="dxa"/>
            <w:tcBorders/>
            <w:shd w:fill="CCEEFF" w:val="clear"/>
            <w:vAlign w:val="bottom"/>
          </w:tcPr>
          <w:p>
            <w:pPr>
              <w:pStyle w:val="TableContents"/>
              <w:spacing w:before="0" w:after="283"/>
              <w:rPr>
                <w:sz w:val="4"/>
                <w:szCs w:val="4"/>
              </w:rPr>
            </w:pPr>
            <w:r>
              <w:rPr>
                <w:sz w:val="4"/>
                <w:szCs w:val="4"/>
              </w:rPr>
            </w:r>
          </w:p>
        </w:tc>
        <w:tc>
          <w:tcPr>
            <w:tcW w:w="11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sz w:val="4"/>
                <w:szCs w:val="4"/>
              </w:rPr>
            </w:pPr>
            <w:r>
              <w:rPr>
                <w:sz w:val="4"/>
                <w:szCs w:val="4"/>
              </w:rPr>
            </w:r>
          </w:p>
        </w:tc>
        <w:tc>
          <w:tcPr>
            <w:tcW w:w="1138" w:type="dxa"/>
            <w:tcBorders/>
            <w:shd w:fill="CCEEFF" w:val="clear"/>
            <w:vAlign w:val="bottom"/>
          </w:tcPr>
          <w:p>
            <w:pPr>
              <w:pStyle w:val="TableContents"/>
              <w:spacing w:before="0" w:after="283"/>
              <w:rPr>
                <w:sz w:val="4"/>
                <w:szCs w:val="4"/>
              </w:rPr>
            </w:pPr>
            <w:r>
              <w:rPr>
                <w:sz w:val="4"/>
                <w:szCs w:val="4"/>
              </w:rPr>
            </w:r>
          </w:p>
        </w:tc>
        <w:tc>
          <w:tcPr>
            <w:tcW w:w="185" w:type="dxa"/>
            <w:tcBorders/>
            <w:shd w:fill="CCEEFF" w:val="clear"/>
            <w:vAlign w:val="bottom"/>
          </w:tcPr>
          <w:p>
            <w:pPr>
              <w:pStyle w:val="TableContents"/>
              <w:spacing w:before="0" w:after="283"/>
              <w:rPr>
                <w:sz w:val="4"/>
                <w:szCs w:val="4"/>
              </w:rPr>
            </w:pPr>
            <w:r>
              <w:rPr>
                <w:sz w:val="4"/>
                <w:szCs w:val="4"/>
              </w:rPr>
            </w:r>
          </w:p>
        </w:tc>
      </w:tr>
      <w:tr>
        <w:trPr/>
        <w:tc>
          <w:tcPr>
            <w:tcW w:w="2090"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AvidXchange, Inc.(11)(12)(13)</w:t>
            </w:r>
          </w:p>
        </w:tc>
        <w:tc>
          <w:tcPr>
            <w:tcW w:w="60" w:type="dxa"/>
            <w:tcBorders/>
            <w:shd w:fill="auto" w:val="clear"/>
            <w:vAlign w:val="bottom"/>
          </w:tcPr>
          <w:p>
            <w:pPr>
              <w:pStyle w:val="TableContents"/>
              <w:spacing w:before="0" w:after="283"/>
              <w:rPr/>
            </w:pPr>
            <w:r>
              <w:rPr/>
              <w:t> </w:t>
            </w:r>
          </w:p>
        </w:tc>
        <w:tc>
          <w:tcPr>
            <w:tcW w:w="294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Common Shares (200,721 shares)</w:t>
            </w:r>
          </w:p>
        </w:tc>
        <w:tc>
          <w:tcPr>
            <w:tcW w:w="60" w:type="dxa"/>
            <w:tcBorders/>
            <w:shd w:fill="auto" w:val="clear"/>
            <w:vAlign w:val="bottom"/>
          </w:tcPr>
          <w:p>
            <w:pPr>
              <w:pStyle w:val="TableContents"/>
              <w:spacing w:before="0" w:after="283"/>
              <w:rPr/>
            </w:pPr>
            <w:r>
              <w:rPr/>
              <w:t> </w:t>
            </w:r>
          </w:p>
        </w:tc>
        <w:tc>
          <w:tcPr>
            <w:tcW w:w="91" w:type="dxa"/>
            <w:tcBorders/>
            <w:shd w:fill="auto" w:val="clear"/>
          </w:tcPr>
          <w:p>
            <w:pPr>
              <w:pStyle w:val="TableContents"/>
              <w:spacing w:lineRule="atLeast" w:line="141" w:before="0" w:after="0"/>
              <w:rPr/>
            </w:pPr>
            <w:r>
              <w:rPr/>
              <w:t> </w:t>
            </w:r>
          </w:p>
        </w:tc>
        <w:tc>
          <w:tcPr>
            <w:tcW w:w="1084"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10/15/2021</w:t>
            </w:r>
          </w:p>
        </w:tc>
        <w:tc>
          <w:tcPr>
            <w:tcW w:w="6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67" w:type="dxa"/>
            <w:tcBorders/>
            <w:shd w:fill="auto" w:val="clear"/>
          </w:tcPr>
          <w:p>
            <w:pPr>
              <w:pStyle w:val="TableContents"/>
              <w:spacing w:before="0" w:after="283"/>
              <w:rPr>
                <w:sz w:val="4"/>
                <w:szCs w:val="4"/>
              </w:rPr>
            </w:pPr>
            <w:r>
              <w:rPr>
                <w:sz w:val="4"/>
                <w:szCs w:val="4"/>
              </w:rPr>
            </w:r>
          </w:p>
        </w:tc>
        <w:tc>
          <w:tcPr>
            <w:tcW w:w="973" w:type="dxa"/>
            <w:tcBorders/>
            <w:shd w:fill="auto" w:val="clear"/>
          </w:tcPr>
          <w:p>
            <w:pPr>
              <w:pStyle w:val="TableContents"/>
              <w:spacing w:before="0" w:after="283"/>
              <w:rPr>
                <w:sz w:val="4"/>
                <w:szCs w:val="4"/>
              </w:rPr>
            </w:pPr>
            <w:r>
              <w:rPr>
                <w:sz w:val="4"/>
                <w:szCs w:val="4"/>
              </w:rPr>
            </w:r>
          </w:p>
        </w:tc>
        <w:tc>
          <w:tcPr>
            <w:tcW w:w="1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tcPr>
          <w:p>
            <w:pPr>
              <w:pStyle w:val="TableContents"/>
              <w:spacing w:lineRule="atLeast" w:line="141" w:before="0" w:after="0"/>
              <w:rPr/>
            </w:pPr>
            <w:r>
              <w:rPr/>
              <w:t> </w:t>
            </w:r>
          </w:p>
        </w:tc>
        <w:tc>
          <w:tcPr>
            <w:tcW w:w="1006"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1,022</w:t>
            </w:r>
          </w:p>
        </w:tc>
        <w:tc>
          <w:tcPr>
            <w:tcW w:w="6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tcPr>
          <w:p>
            <w:pPr>
              <w:pStyle w:val="TableContents"/>
              <w:spacing w:lineRule="atLeast" w:line="141" w:before="0" w:after="0"/>
              <w:rPr/>
            </w:pPr>
            <w:r>
              <w:rPr/>
              <w:t> </w:t>
            </w:r>
          </w:p>
        </w:tc>
        <w:tc>
          <w:tcPr>
            <w:tcW w:w="1104"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1,690</w:t>
            </w:r>
          </w:p>
        </w:tc>
        <w:tc>
          <w:tcPr>
            <w:tcW w:w="11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tcPr>
          <w:p>
            <w:pPr>
              <w:pStyle w:val="TableContents"/>
              <w:spacing w:lineRule="atLeast" w:line="141" w:before="0" w:after="0"/>
              <w:rPr/>
            </w:pPr>
            <w:r>
              <w:rPr/>
              <w:t> </w:t>
            </w:r>
          </w:p>
        </w:tc>
        <w:tc>
          <w:tcPr>
            <w:tcW w:w="1138"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0.1</w:t>
            </w:r>
          </w:p>
        </w:tc>
        <w:tc>
          <w:tcPr>
            <w:tcW w:w="18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Newport Parent Holdings, LP(12)</w:t>
            </w:r>
          </w:p>
        </w:tc>
        <w:tc>
          <w:tcPr>
            <w:tcW w:w="60" w:type="dxa"/>
            <w:tcBorders/>
            <w:shd w:fill="CCEEFF" w:val="clear"/>
            <w:vAlign w:val="bottom"/>
          </w:tcPr>
          <w:p>
            <w:pPr>
              <w:pStyle w:val="TableContents"/>
              <w:spacing w:before="0" w:after="283"/>
              <w:rPr/>
            </w:pPr>
            <w:r>
              <w:rPr/>
              <w:t> </w:t>
            </w:r>
          </w:p>
        </w:tc>
        <w:tc>
          <w:tcPr>
            <w:tcW w:w="2945" w:type="dxa"/>
            <w:tcBorders/>
            <w:shd w:fill="CCEEFF" w:val="clear"/>
            <w:vAlign w:val="bottom"/>
          </w:tcPr>
          <w:p>
            <w:pPr>
              <w:pStyle w:val="TableContents"/>
              <w:spacing w:lineRule="atLeast" w:line="141" w:before="0" w:after="0"/>
              <w:rPr>
                <w:rFonts w:ascii="Times New Roman" w:hAnsi="Times New Roman"/>
                <w:sz w:val="15"/>
              </w:rPr>
            </w:pPr>
            <w:r>
              <w:rPr>
                <w:rFonts w:ascii="Times New Roman" w:hAnsi="Times New Roman"/>
                <w:sz w:val="15"/>
              </w:rPr>
              <w:t>Class A-2 Units (131,569 units)</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lineRule="atLeast" w:line="141" w:before="0" w:after="0"/>
              <w:rPr/>
            </w:pPr>
            <w:r>
              <w:rPr/>
              <w:t> </w:t>
            </w:r>
          </w:p>
        </w:tc>
        <w:tc>
          <w:tcPr>
            <w:tcW w:w="1084" w:type="dxa"/>
            <w:tcBorders/>
            <w:shd w:fill="CCEEFF" w:val="clear"/>
            <w:vAlign w:val="bottom"/>
          </w:tcPr>
          <w:p>
            <w:pPr>
              <w:pStyle w:val="TableContents"/>
              <w:spacing w:lineRule="atLeast" w:line="141" w:before="0" w:after="0"/>
              <w:jc w:val="right"/>
              <w:rPr>
                <w:rFonts w:ascii="Times New Roman" w:hAnsi="Times New Roman"/>
                <w:sz w:val="15"/>
              </w:rPr>
            </w:pPr>
            <w:r>
              <w:rPr>
                <w:rFonts w:ascii="Times New Roman" w:hAnsi="Times New Roman"/>
                <w:sz w:val="15"/>
              </w:rPr>
              <w:t>12/10/2020</w:t>
            </w:r>
          </w:p>
        </w:tc>
        <w:tc>
          <w:tcPr>
            <w:tcW w:w="60" w:type="dxa"/>
            <w:tcBorders/>
            <w:shd w:fill="CCEEFF" w:val="clear"/>
            <w:vAlign w:val="bottom"/>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sz w:val="4"/>
                <w:szCs w:val="4"/>
              </w:rPr>
            </w:pPr>
            <w:r>
              <w:rPr>
                <w:sz w:val="4"/>
                <w:szCs w:val="4"/>
              </w:rPr>
            </w:r>
          </w:p>
        </w:tc>
        <w:tc>
          <w:tcPr>
            <w:tcW w:w="973" w:type="dxa"/>
            <w:tcBorders/>
            <w:shd w:fill="CCEEFF" w:val="clear"/>
            <w:vAlign w:val="bottom"/>
          </w:tcPr>
          <w:p>
            <w:pPr>
              <w:pStyle w:val="TableContents"/>
              <w:spacing w:before="0" w:after="283"/>
              <w:rPr>
                <w:sz w:val="4"/>
                <w:szCs w:val="4"/>
              </w:rPr>
            </w:pPr>
            <w:r>
              <w:rPr>
                <w:sz w:val="4"/>
                <w:szCs w:val="4"/>
              </w:rPr>
            </w:r>
          </w:p>
        </w:tc>
        <w:tc>
          <w:tcPr>
            <w:tcW w:w="18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68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lineRule="atLeast" w:line="141" w:before="0" w:after="0"/>
              <w:rPr/>
            </w:pPr>
            <w:r>
              <w:rPr/>
              <w:t> </w:t>
            </w:r>
          </w:p>
        </w:tc>
        <w:tc>
          <w:tcPr>
            <w:tcW w:w="1006" w:type="dxa"/>
            <w:tcBorders/>
            <w:shd w:fill="CCEEFF" w:val="clear"/>
            <w:vAlign w:val="bottom"/>
          </w:tcPr>
          <w:p>
            <w:pPr>
              <w:pStyle w:val="TableContents"/>
              <w:spacing w:lineRule="atLeast" w:line="141" w:before="0" w:after="0"/>
              <w:jc w:val="right"/>
              <w:rPr>
                <w:rFonts w:ascii="Times New Roman" w:hAnsi="Times New Roman"/>
                <w:sz w:val="15"/>
              </w:rPr>
            </w:pPr>
            <w:r>
              <w:rPr>
                <w:rFonts w:ascii="Times New Roman" w:hAnsi="Times New Roman"/>
                <w:sz w:val="15"/>
              </w:rPr>
              <w:t>4,177</w:t>
            </w:r>
          </w:p>
        </w:tc>
        <w:tc>
          <w:tcPr>
            <w:tcW w:w="60" w:type="dxa"/>
            <w:tcBorders/>
            <w:shd w:fill="CCEEFF" w:val="clear"/>
            <w:vAlign w:val="bottom"/>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lineRule="atLeast" w:line="141" w:before="0" w:after="0"/>
              <w:rPr/>
            </w:pPr>
            <w:r>
              <w:rPr/>
              <w:t> </w:t>
            </w:r>
          </w:p>
        </w:tc>
        <w:tc>
          <w:tcPr>
            <w:tcW w:w="1104" w:type="dxa"/>
            <w:tcBorders/>
            <w:shd w:fill="CCEEFF" w:val="clear"/>
            <w:vAlign w:val="bottom"/>
          </w:tcPr>
          <w:p>
            <w:pPr>
              <w:pStyle w:val="TableContents"/>
              <w:spacing w:lineRule="atLeast" w:line="141" w:before="0" w:after="0"/>
              <w:jc w:val="right"/>
              <w:rPr>
                <w:rFonts w:ascii="Times New Roman" w:hAnsi="Times New Roman"/>
                <w:sz w:val="15"/>
              </w:rPr>
            </w:pPr>
            <w:r>
              <w:rPr>
                <w:rFonts w:ascii="Times New Roman" w:hAnsi="Times New Roman"/>
                <w:sz w:val="15"/>
              </w:rPr>
              <w:t>4,386</w:t>
            </w:r>
          </w:p>
        </w:tc>
        <w:tc>
          <w:tcPr>
            <w:tcW w:w="110" w:type="dxa"/>
            <w:tcBorders/>
            <w:shd w:fill="CCEEFF" w:val="clear"/>
            <w:vAlign w:val="bottom"/>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lineRule="atLeast" w:line="141" w:before="0" w:after="0"/>
              <w:rPr/>
            </w:pPr>
            <w:r>
              <w:rPr/>
              <w:t> </w:t>
            </w:r>
          </w:p>
        </w:tc>
        <w:tc>
          <w:tcPr>
            <w:tcW w:w="1138" w:type="dxa"/>
            <w:tcBorders/>
            <w:shd w:fill="CCEEFF" w:val="clear"/>
            <w:vAlign w:val="bottom"/>
          </w:tcPr>
          <w:p>
            <w:pPr>
              <w:pStyle w:val="TableContents"/>
              <w:spacing w:lineRule="atLeast" w:line="141" w:before="0" w:after="0"/>
              <w:jc w:val="right"/>
              <w:rPr>
                <w:rFonts w:ascii="Times New Roman" w:hAnsi="Times New Roman"/>
                <w:sz w:val="15"/>
              </w:rPr>
            </w:pPr>
            <w:r>
              <w:rPr>
                <w:rFonts w:ascii="Times New Roman" w:hAnsi="Times New Roman"/>
                <w:sz w:val="15"/>
              </w:rPr>
              <w:t>0.3</w:t>
            </w:r>
          </w:p>
        </w:tc>
        <w:tc>
          <w:tcPr>
            <w:tcW w:w="185" w:type="dxa"/>
            <w:tcBorders/>
            <w:shd w:fill="CCEEFF" w:val="clear"/>
            <w:vAlign w:val="bottom"/>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 xml:space="preserve">Oxford Square Capital </w:t>
              <w:br/>
              <w:t>Corp.(4)(11)</w:t>
            </w:r>
          </w:p>
        </w:tc>
        <w:tc>
          <w:tcPr>
            <w:tcW w:w="60" w:type="dxa"/>
            <w:tcBorders/>
            <w:shd w:fill="auto" w:val="clear"/>
            <w:vAlign w:val="bottom"/>
          </w:tcPr>
          <w:p>
            <w:pPr>
              <w:pStyle w:val="TableContents"/>
              <w:spacing w:before="0" w:after="283"/>
              <w:rPr/>
            </w:pPr>
            <w:r>
              <w:rPr/>
              <w:t> </w:t>
            </w:r>
          </w:p>
        </w:tc>
        <w:tc>
          <w:tcPr>
            <w:tcW w:w="2945" w:type="dxa"/>
            <w:tcBorders/>
            <w:shd w:fill="auto" w:val="clear"/>
            <w:vAlign w:val="bottom"/>
          </w:tcPr>
          <w:p>
            <w:pPr>
              <w:pStyle w:val="TableContents"/>
              <w:spacing w:lineRule="atLeast" w:line="141" w:before="0" w:after="0"/>
              <w:rPr>
                <w:rFonts w:ascii="Times New Roman" w:hAnsi="Times New Roman"/>
                <w:sz w:val="15"/>
              </w:rPr>
            </w:pPr>
            <w:r>
              <w:rPr>
                <w:rFonts w:ascii="Times New Roman" w:hAnsi="Times New Roman"/>
                <w:sz w:val="15"/>
              </w:rPr>
              <w:t>Common Shares (1,620 shares)</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lineRule="atLeast" w:line="141" w:before="0" w:after="0"/>
              <w:rPr/>
            </w:pPr>
            <w:r>
              <w:rPr/>
              <w:t> </w:t>
            </w:r>
          </w:p>
        </w:tc>
        <w:tc>
          <w:tcPr>
            <w:tcW w:w="1084" w:type="dxa"/>
            <w:tcBorders/>
            <w:shd w:fill="auto" w:val="clear"/>
            <w:vAlign w:val="bottom"/>
          </w:tcPr>
          <w:p>
            <w:pPr>
              <w:pStyle w:val="TableContents"/>
              <w:spacing w:lineRule="atLeast" w:line="141" w:before="0" w:after="0"/>
              <w:jc w:val="right"/>
              <w:rPr>
                <w:rFonts w:ascii="Times New Roman" w:hAnsi="Times New Roman"/>
                <w:sz w:val="15"/>
              </w:rPr>
            </w:pPr>
            <w:r>
              <w:rPr>
                <w:rFonts w:ascii="Times New Roman" w:hAnsi="Times New Roman"/>
                <w:sz w:val="15"/>
              </w:rPr>
              <w:t>8/5/2015</w:t>
            </w:r>
          </w:p>
        </w:tc>
        <w:tc>
          <w:tcPr>
            <w:tcW w:w="60" w:type="dxa"/>
            <w:tcBorders/>
            <w:shd w:fill="auto" w:val="clear"/>
            <w:vAlign w:val="bottom"/>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lineRule="atLeast" w:line="141" w:before="0" w:after="0"/>
              <w:rPr/>
            </w:pPr>
            <w:r>
              <w:rPr/>
              <w:t> </w:t>
            </w:r>
          </w:p>
        </w:tc>
        <w:tc>
          <w:tcPr>
            <w:tcW w:w="1006" w:type="dxa"/>
            <w:tcBorders/>
            <w:shd w:fill="auto" w:val="clear"/>
            <w:vAlign w:val="bottom"/>
          </w:tcPr>
          <w:p>
            <w:pPr>
              <w:pStyle w:val="TableContents"/>
              <w:spacing w:lineRule="atLeast" w:line="141" w:before="0" w:after="0"/>
              <w:jc w:val="right"/>
              <w:rPr>
                <w:rFonts w:ascii="Times New Roman" w:hAnsi="Times New Roman"/>
                <w:sz w:val="15"/>
              </w:rPr>
            </w:pPr>
            <w:r>
              <w:rPr>
                <w:rFonts w:ascii="Times New Roman" w:hAnsi="Times New Roman"/>
                <w:sz w:val="15"/>
              </w:rPr>
              <w:t>6</w:t>
            </w:r>
          </w:p>
        </w:tc>
        <w:tc>
          <w:tcPr>
            <w:tcW w:w="60" w:type="dxa"/>
            <w:tcBorders/>
            <w:shd w:fill="auto" w:val="clear"/>
            <w:vAlign w:val="bottom"/>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lineRule="atLeast" w:line="141" w:before="0" w:after="0"/>
              <w:rPr/>
            </w:pPr>
            <w:r>
              <w:rPr/>
              <w:t> </w:t>
            </w:r>
          </w:p>
        </w:tc>
        <w:tc>
          <w:tcPr>
            <w:tcW w:w="1104" w:type="dxa"/>
            <w:tcBorders/>
            <w:shd w:fill="auto" w:val="clear"/>
            <w:vAlign w:val="bottom"/>
          </w:tcPr>
          <w:p>
            <w:pPr>
              <w:pStyle w:val="TableContents"/>
              <w:spacing w:lineRule="atLeast" w:line="141" w:before="0" w:after="0"/>
              <w:jc w:val="right"/>
              <w:rPr>
                <w:rFonts w:ascii="Times New Roman" w:hAnsi="Times New Roman"/>
                <w:sz w:val="15"/>
              </w:rPr>
            </w:pPr>
            <w:r>
              <w:rPr>
                <w:rFonts w:ascii="Times New Roman" w:hAnsi="Times New Roman"/>
                <w:sz w:val="15"/>
              </w:rPr>
              <w:t>5</w:t>
            </w:r>
          </w:p>
        </w:tc>
        <w:tc>
          <w:tcPr>
            <w:tcW w:w="110" w:type="dxa"/>
            <w:tcBorders/>
            <w:shd w:fill="auto" w:val="clear"/>
            <w:vAlign w:val="bottom"/>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lineRule="atLeast" w:line="141" w:before="0" w:after="0"/>
              <w:rPr/>
            </w:pPr>
            <w:r>
              <w:rPr/>
              <w:t> </w:t>
            </w:r>
          </w:p>
        </w:tc>
        <w:tc>
          <w:tcPr>
            <w:tcW w:w="1138" w:type="dxa"/>
            <w:tcBorders/>
            <w:shd w:fill="auto" w:val="clear"/>
            <w:vAlign w:val="bottom"/>
          </w:tcPr>
          <w:p>
            <w:pPr>
              <w:pStyle w:val="TableContents"/>
              <w:spacing w:lineRule="atLeast" w:line="141" w:before="0" w:after="0"/>
              <w:jc w:val="right"/>
              <w:rPr>
                <w:rFonts w:ascii="Times New Roman" w:hAnsi="Times New Roman"/>
                <w:sz w:val="15"/>
              </w:rPr>
            </w:pPr>
            <w:r>
              <w:rPr>
                <w:rFonts w:ascii="Times New Roman" w:hAnsi="Times New Roman"/>
                <w:sz w:val="15"/>
              </w:rPr>
              <w:t>0.0</w:t>
            </w:r>
          </w:p>
        </w:tc>
        <w:tc>
          <w:tcPr>
            <w:tcW w:w="185" w:type="dxa"/>
            <w:tcBorders/>
            <w:shd w:fill="auto" w:val="clear"/>
            <w:vAlign w:val="bottom"/>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Passport Labs, Inc.(12)</w:t>
            </w:r>
          </w:p>
        </w:tc>
        <w:tc>
          <w:tcPr>
            <w:tcW w:w="60" w:type="dxa"/>
            <w:tcBorders/>
            <w:shd w:fill="CCEEFF" w:val="clear"/>
            <w:vAlign w:val="bottom"/>
          </w:tcPr>
          <w:p>
            <w:pPr>
              <w:pStyle w:val="TableContents"/>
              <w:spacing w:before="0" w:after="283"/>
              <w:rPr/>
            </w:pPr>
            <w:r>
              <w:rPr/>
              <w:t> </w:t>
            </w:r>
          </w:p>
        </w:tc>
        <w:tc>
          <w:tcPr>
            <w:tcW w:w="294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17,534 Warrants</w:t>
            </w:r>
          </w:p>
        </w:tc>
        <w:tc>
          <w:tcPr>
            <w:tcW w:w="60" w:type="dxa"/>
            <w:tcBorders/>
            <w:shd w:fill="CCEEFF" w:val="clear"/>
            <w:vAlign w:val="bottom"/>
          </w:tcPr>
          <w:p>
            <w:pPr>
              <w:pStyle w:val="TableContents"/>
              <w:spacing w:before="0" w:after="283"/>
              <w:rPr/>
            </w:pPr>
            <w:r>
              <w:rPr/>
              <w:t> </w:t>
            </w:r>
          </w:p>
        </w:tc>
        <w:tc>
          <w:tcPr>
            <w:tcW w:w="91" w:type="dxa"/>
            <w:tcBorders/>
            <w:shd w:fill="CCEEFF" w:val="clear"/>
          </w:tcPr>
          <w:p>
            <w:pPr>
              <w:pStyle w:val="TableContents"/>
              <w:spacing w:lineRule="atLeast" w:line="141" w:before="0" w:after="0"/>
              <w:rPr/>
            </w:pPr>
            <w:r>
              <w:rPr/>
              <w:t> </w:t>
            </w:r>
          </w:p>
        </w:tc>
        <w:tc>
          <w:tcPr>
            <w:tcW w:w="108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4/28/2021</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67" w:type="dxa"/>
            <w:tcBorders/>
            <w:shd w:fill="CCEEFF" w:val="clear"/>
          </w:tcPr>
          <w:p>
            <w:pPr>
              <w:pStyle w:val="TableContents"/>
              <w:spacing w:before="0" w:after="283"/>
              <w:rPr>
                <w:sz w:val="4"/>
                <w:szCs w:val="4"/>
              </w:rPr>
            </w:pPr>
            <w:r>
              <w:rPr>
                <w:sz w:val="4"/>
                <w:szCs w:val="4"/>
              </w:rPr>
            </w:r>
          </w:p>
        </w:tc>
        <w:tc>
          <w:tcPr>
            <w:tcW w:w="973" w:type="dxa"/>
            <w:tcBorders/>
            <w:shd w:fill="CCEEFF" w:val="clear"/>
          </w:tcPr>
          <w:p>
            <w:pPr>
              <w:pStyle w:val="TableContents"/>
              <w:spacing w:before="0" w:after="283"/>
              <w:rPr>
                <w:sz w:val="4"/>
                <w:szCs w:val="4"/>
              </w:rPr>
            </w:pPr>
            <w:r>
              <w:rPr>
                <w:sz w:val="4"/>
                <w:szCs w:val="4"/>
              </w:rPr>
            </w:r>
          </w:p>
        </w:tc>
        <w:tc>
          <w:tcPr>
            <w:tcW w:w="18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68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94" w:type="dxa"/>
            <w:tcBorders/>
            <w:shd w:fill="CCEEFF" w:val="clear"/>
          </w:tcPr>
          <w:p>
            <w:pPr>
              <w:pStyle w:val="TableContents"/>
              <w:spacing w:lineRule="atLeast" w:line="141" w:before="0" w:after="0"/>
              <w:rPr/>
            </w:pPr>
            <w:r>
              <w:rPr/>
              <w:t> </w:t>
            </w:r>
          </w:p>
        </w:tc>
        <w:tc>
          <w:tcPr>
            <w:tcW w:w="1006"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192</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86" w:type="dxa"/>
            <w:tcBorders/>
            <w:shd w:fill="CCEEFF" w:val="clear"/>
          </w:tcPr>
          <w:p>
            <w:pPr>
              <w:pStyle w:val="TableContents"/>
              <w:spacing w:lineRule="atLeast" w:line="141" w:before="0" w:after="0"/>
              <w:rPr/>
            </w:pPr>
            <w:r>
              <w:rPr/>
              <w:t> </w:t>
            </w:r>
          </w:p>
        </w:tc>
        <w:tc>
          <w:tcPr>
            <w:tcW w:w="110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92</w:t>
            </w:r>
          </w:p>
        </w:tc>
        <w:tc>
          <w:tcPr>
            <w:tcW w:w="11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tcPr>
          <w:p>
            <w:pPr>
              <w:pStyle w:val="TableContents"/>
              <w:spacing w:lineRule="atLeast" w:line="141" w:before="0" w:after="0"/>
              <w:rPr/>
            </w:pPr>
            <w:r>
              <w:rPr/>
              <w:t> </w:t>
            </w:r>
          </w:p>
        </w:tc>
        <w:tc>
          <w:tcPr>
            <w:tcW w:w="1138"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0.0</w:t>
            </w:r>
          </w:p>
        </w:tc>
        <w:tc>
          <w:tcPr>
            <w:tcW w:w="18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TradingScreen, Inc.(12)(14)</w:t>
            </w:r>
          </w:p>
        </w:tc>
        <w:tc>
          <w:tcPr>
            <w:tcW w:w="60" w:type="dxa"/>
            <w:tcBorders/>
            <w:shd w:fill="auto" w:val="clear"/>
            <w:vAlign w:val="bottom"/>
          </w:tcPr>
          <w:p>
            <w:pPr>
              <w:pStyle w:val="TableContents"/>
              <w:spacing w:before="0" w:after="283"/>
              <w:rPr/>
            </w:pPr>
            <w:r>
              <w:rPr/>
              <w:t> </w:t>
            </w:r>
          </w:p>
        </w:tc>
        <w:tc>
          <w:tcPr>
            <w:tcW w:w="294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Class A Units (600,000 units)</w:t>
            </w:r>
          </w:p>
        </w:tc>
        <w:tc>
          <w:tcPr>
            <w:tcW w:w="60" w:type="dxa"/>
            <w:tcBorders/>
            <w:shd w:fill="auto" w:val="clear"/>
            <w:vAlign w:val="bottom"/>
          </w:tcPr>
          <w:p>
            <w:pPr>
              <w:pStyle w:val="TableContents"/>
              <w:spacing w:before="0" w:after="283"/>
              <w:rPr/>
            </w:pPr>
            <w:r>
              <w:rPr/>
              <w:t> </w:t>
            </w:r>
          </w:p>
        </w:tc>
        <w:tc>
          <w:tcPr>
            <w:tcW w:w="91" w:type="dxa"/>
            <w:tcBorders/>
            <w:shd w:fill="auto" w:val="clear"/>
          </w:tcPr>
          <w:p>
            <w:pPr>
              <w:pStyle w:val="TableContents"/>
              <w:spacing w:lineRule="atLeast" w:line="141" w:before="0" w:after="0"/>
              <w:rPr/>
            </w:pPr>
            <w:r>
              <w:rPr/>
              <w:t> </w:t>
            </w:r>
          </w:p>
        </w:tc>
        <w:tc>
          <w:tcPr>
            <w:tcW w:w="1084"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5/14/2021</w:t>
            </w:r>
          </w:p>
        </w:tc>
        <w:tc>
          <w:tcPr>
            <w:tcW w:w="6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67" w:type="dxa"/>
            <w:tcBorders/>
            <w:shd w:fill="auto" w:val="clear"/>
          </w:tcPr>
          <w:p>
            <w:pPr>
              <w:pStyle w:val="TableContents"/>
              <w:spacing w:before="0" w:after="283"/>
              <w:rPr>
                <w:sz w:val="4"/>
                <w:szCs w:val="4"/>
              </w:rPr>
            </w:pPr>
            <w:r>
              <w:rPr>
                <w:sz w:val="4"/>
                <w:szCs w:val="4"/>
              </w:rPr>
            </w:r>
          </w:p>
        </w:tc>
        <w:tc>
          <w:tcPr>
            <w:tcW w:w="973" w:type="dxa"/>
            <w:tcBorders/>
            <w:shd w:fill="auto" w:val="clear"/>
          </w:tcPr>
          <w:p>
            <w:pPr>
              <w:pStyle w:val="TableContents"/>
              <w:spacing w:before="0" w:after="283"/>
              <w:rPr>
                <w:sz w:val="4"/>
                <w:szCs w:val="4"/>
              </w:rPr>
            </w:pPr>
            <w:r>
              <w:rPr>
                <w:sz w:val="4"/>
                <w:szCs w:val="4"/>
              </w:rPr>
            </w:r>
          </w:p>
        </w:tc>
        <w:tc>
          <w:tcPr>
            <w:tcW w:w="1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tcPr>
          <w:p>
            <w:pPr>
              <w:pStyle w:val="TableContents"/>
              <w:spacing w:lineRule="atLeast" w:line="141" w:before="0" w:after="0"/>
              <w:rPr/>
            </w:pPr>
            <w:r>
              <w:rPr/>
              <w:t> </w:t>
            </w:r>
          </w:p>
        </w:tc>
        <w:tc>
          <w:tcPr>
            <w:tcW w:w="1006"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600</w:t>
            </w:r>
          </w:p>
        </w:tc>
        <w:tc>
          <w:tcPr>
            <w:tcW w:w="6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tcPr>
          <w:p>
            <w:pPr>
              <w:pStyle w:val="TableContents"/>
              <w:spacing w:lineRule="atLeast" w:line="141" w:before="0" w:after="0"/>
              <w:rPr/>
            </w:pPr>
            <w:r>
              <w:rPr/>
              <w:t> </w:t>
            </w:r>
          </w:p>
        </w:tc>
        <w:tc>
          <w:tcPr>
            <w:tcW w:w="1104"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600</w:t>
            </w:r>
          </w:p>
        </w:tc>
        <w:tc>
          <w:tcPr>
            <w:tcW w:w="11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tcPr>
          <w:p>
            <w:pPr>
              <w:pStyle w:val="TableContents"/>
              <w:spacing w:lineRule="atLeast" w:line="141" w:before="0" w:after="0"/>
              <w:rPr/>
            </w:pPr>
            <w:r>
              <w:rPr/>
              <w:t> </w:t>
            </w:r>
          </w:p>
        </w:tc>
        <w:tc>
          <w:tcPr>
            <w:tcW w:w="1138"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0.0</w:t>
            </w:r>
          </w:p>
        </w:tc>
        <w:tc>
          <w:tcPr>
            <w:tcW w:w="18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4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10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pBdr>
                <w:top w:val="single" w:sz="2" w:space="1" w:color="000000"/>
              </w:pBdr>
              <w:spacing w:before="0" w:after="0"/>
              <w:rPr/>
            </w:pPr>
            <w:r>
              <w:rPr/>
              <w:t> </w:t>
            </w:r>
          </w:p>
        </w:tc>
        <w:tc>
          <w:tcPr>
            <w:tcW w:w="100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pBdr>
                <w:top w:val="single" w:sz="2" w:space="1" w:color="000000"/>
              </w:pBdr>
              <w:spacing w:before="0" w:after="0"/>
              <w:rPr/>
            </w:pPr>
            <w:r>
              <w:rPr/>
              <w:t> </w:t>
            </w:r>
          </w:p>
        </w:tc>
        <w:tc>
          <w:tcPr>
            <w:tcW w:w="1104" w:type="dxa"/>
            <w:tcBorders/>
            <w:shd w:fill="auto" w:val="clear"/>
            <w:vAlign w:val="bottom"/>
          </w:tcPr>
          <w:p>
            <w:pPr>
              <w:pStyle w:val="TableContents"/>
              <w:pBdr>
                <w:top w:val="single" w:sz="2" w:space="1" w:color="000000"/>
              </w:pBdr>
              <w:spacing w:before="0" w:after="0"/>
              <w:rPr/>
            </w:pPr>
            <w:r>
              <w:rPr/>
              <w:t> </w:t>
            </w:r>
          </w:p>
        </w:tc>
        <w:tc>
          <w:tcPr>
            <w:tcW w:w="11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pBdr>
                <w:top w:val="single" w:sz="2" w:space="1" w:color="000000"/>
              </w:pBdr>
              <w:spacing w:before="0" w:after="0"/>
              <w:rPr/>
            </w:pPr>
            <w:r>
              <w:rPr/>
              <w:t> </w:t>
            </w:r>
          </w:p>
        </w:tc>
        <w:tc>
          <w:tcPr>
            <w:tcW w:w="1138" w:type="dxa"/>
            <w:tcBorders/>
            <w:shd w:fill="auto" w:val="clear"/>
            <w:vAlign w:val="bottom"/>
          </w:tcPr>
          <w:p>
            <w:pPr>
              <w:pStyle w:val="TableContents"/>
              <w:pBdr>
                <w:top w:val="single" w:sz="2" w:space="1" w:color="000000"/>
              </w:pBdr>
              <w:spacing w:before="0" w:after="0"/>
              <w:rPr/>
            </w:pPr>
            <w:r>
              <w:rPr/>
              <w:t> </w:t>
            </w:r>
          </w:p>
        </w:tc>
        <w:tc>
          <w:tcPr>
            <w:tcW w:w="185" w:type="dxa"/>
            <w:tcBorders/>
            <w:shd w:fill="auto" w:val="clear"/>
            <w:vAlign w:val="center"/>
          </w:tcPr>
          <w:p>
            <w:pPr>
              <w:pStyle w:val="TableContents"/>
              <w:spacing w:before="0" w:after="283"/>
              <w:rPr/>
            </w:pPr>
            <w:r>
              <w:rPr/>
              <w:t> </w:t>
            </w:r>
          </w:p>
        </w:tc>
      </w:tr>
      <w:tr>
        <w:trPr/>
        <w:tc>
          <w:tcPr>
            <w:tcW w:w="209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94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91" w:type="dxa"/>
            <w:tcBorders/>
            <w:shd w:fill="CCEEFF" w:val="clear"/>
          </w:tcPr>
          <w:p>
            <w:pPr>
              <w:pStyle w:val="TableContents"/>
              <w:spacing w:before="0" w:after="283"/>
              <w:rPr>
                <w:sz w:val="4"/>
                <w:szCs w:val="4"/>
              </w:rPr>
            </w:pPr>
            <w:r>
              <w:rPr>
                <w:sz w:val="4"/>
                <w:szCs w:val="4"/>
              </w:rPr>
            </w:r>
          </w:p>
        </w:tc>
        <w:tc>
          <w:tcPr>
            <w:tcW w:w="1084" w:type="dxa"/>
            <w:tcBorders/>
            <w:shd w:fill="CCEEFF" w:val="clear"/>
          </w:tcPr>
          <w:p>
            <w:pPr>
              <w:pStyle w:val="TableContents"/>
              <w:spacing w:before="0" w:after="283"/>
              <w:rPr>
                <w:sz w:val="4"/>
                <w:szCs w:val="4"/>
              </w:rPr>
            </w:pPr>
            <w:r>
              <w:rPr>
                <w:sz w:val="4"/>
                <w:szCs w:val="4"/>
              </w:rPr>
            </w:r>
          </w:p>
        </w:tc>
        <w:tc>
          <w:tcPr>
            <w:tcW w:w="6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7" w:type="dxa"/>
            <w:tcBorders/>
            <w:shd w:fill="CCEEFF" w:val="clear"/>
          </w:tcPr>
          <w:p>
            <w:pPr>
              <w:pStyle w:val="TableContents"/>
              <w:spacing w:before="0" w:after="283"/>
              <w:rPr>
                <w:sz w:val="4"/>
                <w:szCs w:val="4"/>
              </w:rPr>
            </w:pPr>
            <w:r>
              <w:rPr>
                <w:sz w:val="4"/>
                <w:szCs w:val="4"/>
              </w:rPr>
            </w:r>
          </w:p>
        </w:tc>
        <w:tc>
          <w:tcPr>
            <w:tcW w:w="973" w:type="dxa"/>
            <w:tcBorders/>
            <w:shd w:fill="CCEEFF" w:val="clear"/>
          </w:tcPr>
          <w:p>
            <w:pPr>
              <w:pStyle w:val="TableContents"/>
              <w:spacing w:before="0" w:after="283"/>
              <w:rPr>
                <w:sz w:val="4"/>
                <w:szCs w:val="4"/>
              </w:rPr>
            </w:pPr>
            <w:r>
              <w:rPr>
                <w:sz w:val="4"/>
                <w:szCs w:val="4"/>
              </w:rPr>
            </w:r>
          </w:p>
        </w:tc>
        <w:tc>
          <w:tcPr>
            <w:tcW w:w="18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68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94" w:type="dxa"/>
            <w:tcBorders/>
            <w:shd w:fill="CCEEFF" w:val="clear"/>
          </w:tcPr>
          <w:p>
            <w:pPr>
              <w:pStyle w:val="TableContents"/>
              <w:spacing w:lineRule="atLeast" w:line="141" w:before="0" w:after="0"/>
              <w:rPr/>
            </w:pPr>
            <w:r>
              <w:rPr/>
              <w:t> </w:t>
            </w:r>
          </w:p>
        </w:tc>
        <w:tc>
          <w:tcPr>
            <w:tcW w:w="1006"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5,997</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86" w:type="dxa"/>
            <w:tcBorders/>
            <w:shd w:fill="CCEEFF" w:val="clear"/>
          </w:tcPr>
          <w:p>
            <w:pPr>
              <w:pStyle w:val="TableContents"/>
              <w:spacing w:lineRule="atLeast" w:line="141" w:before="0" w:after="0"/>
              <w:rPr/>
            </w:pPr>
            <w:r>
              <w:rPr/>
              <w:t> </w:t>
            </w:r>
          </w:p>
        </w:tc>
        <w:tc>
          <w:tcPr>
            <w:tcW w:w="110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6,773</w:t>
            </w:r>
          </w:p>
        </w:tc>
        <w:tc>
          <w:tcPr>
            <w:tcW w:w="11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tcPr>
          <w:p>
            <w:pPr>
              <w:pStyle w:val="TableContents"/>
              <w:spacing w:lineRule="atLeast" w:line="141" w:before="0" w:after="0"/>
              <w:rPr/>
            </w:pPr>
            <w:r>
              <w:rPr/>
              <w:t> </w:t>
            </w:r>
          </w:p>
        </w:tc>
        <w:tc>
          <w:tcPr>
            <w:tcW w:w="1138"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0.4</w:t>
            </w:r>
          </w:p>
        </w:tc>
        <w:tc>
          <w:tcPr>
            <w:tcW w:w="18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4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10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pBdr>
                <w:top w:val="single" w:sz="2" w:space="1" w:color="000000"/>
              </w:pBdr>
              <w:spacing w:before="0" w:after="0"/>
              <w:rPr/>
            </w:pPr>
            <w:r>
              <w:rPr/>
              <w:t> </w:t>
            </w:r>
          </w:p>
        </w:tc>
        <w:tc>
          <w:tcPr>
            <w:tcW w:w="100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pBdr>
                <w:top w:val="single" w:sz="2" w:space="1" w:color="000000"/>
              </w:pBdr>
              <w:spacing w:before="0" w:after="0"/>
              <w:rPr/>
            </w:pPr>
            <w:r>
              <w:rPr/>
              <w:t> </w:t>
            </w:r>
          </w:p>
        </w:tc>
        <w:tc>
          <w:tcPr>
            <w:tcW w:w="1104" w:type="dxa"/>
            <w:tcBorders/>
            <w:shd w:fill="auto" w:val="clear"/>
            <w:vAlign w:val="bottom"/>
          </w:tcPr>
          <w:p>
            <w:pPr>
              <w:pStyle w:val="TableContents"/>
              <w:pBdr>
                <w:top w:val="single" w:sz="2" w:space="1" w:color="000000"/>
              </w:pBdr>
              <w:spacing w:before="0" w:after="0"/>
              <w:rPr/>
            </w:pPr>
            <w:r>
              <w:rPr/>
              <w:t> </w:t>
            </w:r>
          </w:p>
        </w:tc>
        <w:tc>
          <w:tcPr>
            <w:tcW w:w="11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pBdr>
                <w:top w:val="single" w:sz="2" w:space="1" w:color="000000"/>
              </w:pBdr>
              <w:spacing w:before="0" w:after="0"/>
              <w:rPr/>
            </w:pPr>
            <w:r>
              <w:rPr/>
              <w:t> </w:t>
            </w:r>
          </w:p>
        </w:tc>
        <w:tc>
          <w:tcPr>
            <w:tcW w:w="1138" w:type="dxa"/>
            <w:tcBorders/>
            <w:shd w:fill="auto" w:val="clear"/>
            <w:vAlign w:val="bottom"/>
          </w:tcPr>
          <w:p>
            <w:pPr>
              <w:pStyle w:val="TableContents"/>
              <w:pBdr>
                <w:top w:val="single" w:sz="2" w:space="1" w:color="000000"/>
              </w:pBdr>
              <w:spacing w:before="0" w:after="0"/>
              <w:rPr/>
            </w:pPr>
            <w:r>
              <w:rPr/>
              <w:t> </w:t>
            </w:r>
          </w:p>
        </w:tc>
        <w:tc>
          <w:tcPr>
            <w:tcW w:w="185" w:type="dxa"/>
            <w:tcBorders/>
            <w:shd w:fill="auto" w:val="clear"/>
            <w:vAlign w:val="center"/>
          </w:tcPr>
          <w:p>
            <w:pPr>
              <w:pStyle w:val="TableContents"/>
              <w:spacing w:before="0" w:after="283"/>
              <w:rPr/>
            </w:pPr>
            <w:r>
              <w:rPr/>
              <w:t> </w:t>
            </w:r>
          </w:p>
        </w:tc>
      </w:tr>
      <w:tr>
        <w:trPr/>
        <w:tc>
          <w:tcPr>
            <w:tcW w:w="2090" w:type="dxa"/>
            <w:tcBorders/>
            <w:shd w:fill="auto" w:val="clear"/>
          </w:tcPr>
          <w:p>
            <w:pPr>
              <w:pStyle w:val="TableContents"/>
              <w:spacing w:lineRule="atLeast" w:line="141" w:before="0" w:after="0"/>
              <w:rPr>
                <w:rFonts w:ascii="Times New Roman" w:hAnsi="Times New Roman"/>
                <w:b/>
                <w:sz w:val="15"/>
              </w:rPr>
            </w:pPr>
            <w:r>
              <w:rPr>
                <w:rFonts w:ascii="Times New Roman" w:hAnsi="Times New Roman"/>
                <w:b/>
                <w:sz w:val="15"/>
              </w:rPr>
              <w:t>Healthcare</w:t>
            </w:r>
          </w:p>
        </w:tc>
        <w:tc>
          <w:tcPr>
            <w:tcW w:w="60" w:type="dxa"/>
            <w:tcBorders/>
            <w:shd w:fill="auto" w:val="clear"/>
            <w:vAlign w:val="bottom"/>
          </w:tcPr>
          <w:p>
            <w:pPr>
              <w:pStyle w:val="TableContents"/>
              <w:spacing w:before="0" w:after="283"/>
              <w:rPr/>
            </w:pPr>
            <w:r>
              <w:rPr/>
              <w:t> </w:t>
            </w:r>
          </w:p>
        </w:tc>
        <w:tc>
          <w:tcPr>
            <w:tcW w:w="294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1" w:type="dxa"/>
            <w:tcBorders/>
            <w:shd w:fill="auto" w:val="clear"/>
          </w:tcPr>
          <w:p>
            <w:pPr>
              <w:pStyle w:val="TableContents"/>
              <w:spacing w:before="0" w:after="283"/>
              <w:rPr>
                <w:sz w:val="4"/>
                <w:szCs w:val="4"/>
              </w:rPr>
            </w:pPr>
            <w:r>
              <w:rPr>
                <w:sz w:val="4"/>
                <w:szCs w:val="4"/>
              </w:rPr>
            </w:r>
          </w:p>
        </w:tc>
        <w:tc>
          <w:tcPr>
            <w:tcW w:w="1084"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7" w:type="dxa"/>
            <w:tcBorders/>
            <w:shd w:fill="auto" w:val="clear"/>
          </w:tcPr>
          <w:p>
            <w:pPr>
              <w:pStyle w:val="TableContents"/>
              <w:spacing w:before="0" w:after="283"/>
              <w:rPr>
                <w:sz w:val="4"/>
                <w:szCs w:val="4"/>
              </w:rPr>
            </w:pPr>
            <w:r>
              <w:rPr>
                <w:sz w:val="4"/>
                <w:szCs w:val="4"/>
              </w:rPr>
            </w:r>
          </w:p>
        </w:tc>
        <w:tc>
          <w:tcPr>
            <w:tcW w:w="973" w:type="dxa"/>
            <w:tcBorders/>
            <w:shd w:fill="auto" w:val="clear"/>
          </w:tcPr>
          <w:p>
            <w:pPr>
              <w:pStyle w:val="TableContents"/>
              <w:spacing w:before="0" w:after="283"/>
              <w:rPr>
                <w:sz w:val="4"/>
                <w:szCs w:val="4"/>
              </w:rPr>
            </w:pPr>
            <w:r>
              <w:rPr>
                <w:sz w:val="4"/>
                <w:szCs w:val="4"/>
              </w:rPr>
            </w:r>
          </w:p>
        </w:tc>
        <w:tc>
          <w:tcPr>
            <w:tcW w:w="1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tcPr>
          <w:p>
            <w:pPr>
              <w:pStyle w:val="TableContents"/>
              <w:spacing w:before="0" w:after="283"/>
              <w:rPr>
                <w:sz w:val="4"/>
                <w:szCs w:val="4"/>
              </w:rPr>
            </w:pPr>
            <w:r>
              <w:rPr>
                <w:sz w:val="4"/>
                <w:szCs w:val="4"/>
              </w:rPr>
            </w:r>
          </w:p>
        </w:tc>
        <w:tc>
          <w:tcPr>
            <w:tcW w:w="1006"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6" w:type="dxa"/>
            <w:tcBorders/>
            <w:shd w:fill="auto" w:val="clear"/>
          </w:tcPr>
          <w:p>
            <w:pPr>
              <w:pStyle w:val="TableContents"/>
              <w:spacing w:before="0" w:after="283"/>
              <w:rPr>
                <w:sz w:val="4"/>
                <w:szCs w:val="4"/>
              </w:rPr>
            </w:pPr>
            <w:r>
              <w:rPr>
                <w:sz w:val="4"/>
                <w:szCs w:val="4"/>
              </w:rPr>
            </w:r>
          </w:p>
        </w:tc>
        <w:tc>
          <w:tcPr>
            <w:tcW w:w="1104" w:type="dxa"/>
            <w:tcBorders/>
            <w:shd w:fill="auto" w:val="clear"/>
          </w:tcPr>
          <w:p>
            <w:pPr>
              <w:pStyle w:val="TableContents"/>
              <w:spacing w:before="0" w:after="283"/>
              <w:rPr>
                <w:sz w:val="4"/>
                <w:szCs w:val="4"/>
              </w:rPr>
            </w:pPr>
            <w:r>
              <w:rPr>
                <w:sz w:val="4"/>
                <w:szCs w:val="4"/>
              </w:rPr>
            </w:r>
          </w:p>
        </w:tc>
        <w:tc>
          <w:tcPr>
            <w:tcW w:w="11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87" w:type="dxa"/>
            <w:tcBorders/>
            <w:shd w:fill="auto" w:val="clear"/>
          </w:tcPr>
          <w:p>
            <w:pPr>
              <w:pStyle w:val="TableContents"/>
              <w:spacing w:before="0" w:after="283"/>
              <w:rPr>
                <w:sz w:val="4"/>
                <w:szCs w:val="4"/>
              </w:rPr>
            </w:pPr>
            <w:r>
              <w:rPr>
                <w:sz w:val="4"/>
                <w:szCs w:val="4"/>
              </w:rPr>
            </w:r>
          </w:p>
        </w:tc>
        <w:tc>
          <w:tcPr>
            <w:tcW w:w="1138" w:type="dxa"/>
            <w:tcBorders/>
            <w:shd w:fill="auto" w:val="clear"/>
          </w:tcPr>
          <w:p>
            <w:pPr>
              <w:pStyle w:val="TableContents"/>
              <w:spacing w:before="0" w:after="283"/>
              <w:rPr>
                <w:sz w:val="4"/>
                <w:szCs w:val="4"/>
              </w:rPr>
            </w:pPr>
            <w:r>
              <w:rPr>
                <w:sz w:val="4"/>
                <w:szCs w:val="4"/>
              </w:rPr>
            </w:r>
          </w:p>
        </w:tc>
        <w:tc>
          <w:tcPr>
            <w:tcW w:w="185" w:type="dxa"/>
            <w:tcBorders/>
            <w:shd w:fill="auto" w:val="clear"/>
          </w:tcPr>
          <w:p>
            <w:pPr>
              <w:pStyle w:val="TableContents"/>
              <w:spacing w:before="0" w:after="283"/>
              <w:rPr>
                <w:sz w:val="4"/>
                <w:szCs w:val="4"/>
              </w:rPr>
            </w:pPr>
            <w:r>
              <w:rPr>
                <w:sz w:val="4"/>
                <w:szCs w:val="4"/>
              </w:rPr>
            </w:r>
          </w:p>
        </w:tc>
      </w:tr>
      <w:tr>
        <w:trPr/>
        <w:tc>
          <w:tcPr>
            <w:tcW w:w="2090"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Caris Life Sciences, Inc.(12)</w:t>
            </w:r>
          </w:p>
        </w:tc>
        <w:tc>
          <w:tcPr>
            <w:tcW w:w="60" w:type="dxa"/>
            <w:tcBorders/>
            <w:shd w:fill="CCEEFF" w:val="clear"/>
            <w:vAlign w:val="bottom"/>
          </w:tcPr>
          <w:p>
            <w:pPr>
              <w:pStyle w:val="TableContents"/>
              <w:spacing w:before="0" w:after="283"/>
              <w:rPr/>
            </w:pPr>
            <w:r>
              <w:rPr/>
              <w:t> </w:t>
            </w:r>
          </w:p>
        </w:tc>
        <w:tc>
          <w:tcPr>
            <w:tcW w:w="294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Series C Preferred Shares (362,319 shares)</w:t>
            </w:r>
          </w:p>
        </w:tc>
        <w:tc>
          <w:tcPr>
            <w:tcW w:w="60" w:type="dxa"/>
            <w:tcBorders/>
            <w:shd w:fill="CCEEFF" w:val="clear"/>
            <w:vAlign w:val="bottom"/>
          </w:tcPr>
          <w:p>
            <w:pPr>
              <w:pStyle w:val="TableContents"/>
              <w:spacing w:before="0" w:after="283"/>
              <w:rPr/>
            </w:pPr>
            <w:r>
              <w:rPr/>
              <w:t> </w:t>
            </w:r>
          </w:p>
        </w:tc>
        <w:tc>
          <w:tcPr>
            <w:tcW w:w="91" w:type="dxa"/>
            <w:tcBorders/>
            <w:shd w:fill="CCEEFF" w:val="clear"/>
          </w:tcPr>
          <w:p>
            <w:pPr>
              <w:pStyle w:val="TableContents"/>
              <w:spacing w:lineRule="atLeast" w:line="141" w:before="0" w:after="0"/>
              <w:rPr/>
            </w:pPr>
            <w:r>
              <w:rPr/>
              <w:t> </w:t>
            </w:r>
          </w:p>
        </w:tc>
        <w:tc>
          <w:tcPr>
            <w:tcW w:w="108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10/13/2020</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67" w:type="dxa"/>
            <w:tcBorders/>
            <w:shd w:fill="CCEEFF" w:val="clear"/>
          </w:tcPr>
          <w:p>
            <w:pPr>
              <w:pStyle w:val="TableContents"/>
              <w:spacing w:before="0" w:after="283"/>
              <w:rPr>
                <w:sz w:val="4"/>
                <w:szCs w:val="4"/>
              </w:rPr>
            </w:pPr>
            <w:r>
              <w:rPr>
                <w:sz w:val="4"/>
                <w:szCs w:val="4"/>
              </w:rPr>
            </w:r>
          </w:p>
        </w:tc>
        <w:tc>
          <w:tcPr>
            <w:tcW w:w="973" w:type="dxa"/>
            <w:tcBorders/>
            <w:shd w:fill="CCEEFF" w:val="clear"/>
          </w:tcPr>
          <w:p>
            <w:pPr>
              <w:pStyle w:val="TableContents"/>
              <w:spacing w:before="0" w:after="283"/>
              <w:rPr>
                <w:sz w:val="4"/>
                <w:szCs w:val="4"/>
              </w:rPr>
            </w:pPr>
            <w:r>
              <w:rPr>
                <w:sz w:val="4"/>
                <w:szCs w:val="4"/>
              </w:rPr>
            </w:r>
          </w:p>
        </w:tc>
        <w:tc>
          <w:tcPr>
            <w:tcW w:w="18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68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94" w:type="dxa"/>
            <w:tcBorders/>
            <w:shd w:fill="CCEEFF" w:val="clear"/>
          </w:tcPr>
          <w:p>
            <w:pPr>
              <w:pStyle w:val="TableContents"/>
              <w:spacing w:lineRule="atLeast" w:line="141" w:before="0" w:after="0"/>
              <w:rPr/>
            </w:pPr>
            <w:r>
              <w:rPr/>
              <w:t> </w:t>
            </w:r>
          </w:p>
        </w:tc>
        <w:tc>
          <w:tcPr>
            <w:tcW w:w="1006"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1,000</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86" w:type="dxa"/>
            <w:tcBorders/>
            <w:shd w:fill="CCEEFF" w:val="clear"/>
          </w:tcPr>
          <w:p>
            <w:pPr>
              <w:pStyle w:val="TableContents"/>
              <w:spacing w:lineRule="atLeast" w:line="141" w:before="0" w:after="0"/>
              <w:rPr/>
            </w:pPr>
            <w:r>
              <w:rPr/>
              <w:t> </w:t>
            </w:r>
          </w:p>
        </w:tc>
        <w:tc>
          <w:tcPr>
            <w:tcW w:w="110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1,300</w:t>
            </w:r>
          </w:p>
        </w:tc>
        <w:tc>
          <w:tcPr>
            <w:tcW w:w="11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tcPr>
          <w:p>
            <w:pPr>
              <w:pStyle w:val="TableContents"/>
              <w:spacing w:lineRule="atLeast" w:line="141" w:before="0" w:after="0"/>
              <w:rPr/>
            </w:pPr>
            <w:r>
              <w:rPr/>
              <w:t> </w:t>
            </w:r>
          </w:p>
        </w:tc>
        <w:tc>
          <w:tcPr>
            <w:tcW w:w="1138"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0.1</w:t>
            </w:r>
          </w:p>
        </w:tc>
        <w:tc>
          <w:tcPr>
            <w:tcW w:w="18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4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Series D Preferred Shares (1,240,740 shares)</w:t>
            </w:r>
          </w:p>
        </w:tc>
        <w:tc>
          <w:tcPr>
            <w:tcW w:w="60" w:type="dxa"/>
            <w:tcBorders/>
            <w:shd w:fill="auto" w:val="clear"/>
            <w:vAlign w:val="bottom"/>
          </w:tcPr>
          <w:p>
            <w:pPr>
              <w:pStyle w:val="TableContents"/>
              <w:spacing w:before="0" w:after="283"/>
              <w:rPr/>
            </w:pPr>
            <w:r>
              <w:rPr/>
              <w:t> </w:t>
            </w:r>
          </w:p>
        </w:tc>
        <w:tc>
          <w:tcPr>
            <w:tcW w:w="91" w:type="dxa"/>
            <w:tcBorders/>
            <w:shd w:fill="auto" w:val="clear"/>
          </w:tcPr>
          <w:p>
            <w:pPr>
              <w:pStyle w:val="TableContents"/>
              <w:spacing w:lineRule="atLeast" w:line="141" w:before="0" w:after="0"/>
              <w:rPr/>
            </w:pPr>
            <w:r>
              <w:rPr/>
              <w:t> </w:t>
            </w:r>
          </w:p>
        </w:tc>
        <w:tc>
          <w:tcPr>
            <w:tcW w:w="1084"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5/11/2021</w:t>
            </w:r>
          </w:p>
        </w:tc>
        <w:tc>
          <w:tcPr>
            <w:tcW w:w="6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67" w:type="dxa"/>
            <w:tcBorders/>
            <w:shd w:fill="auto" w:val="clear"/>
          </w:tcPr>
          <w:p>
            <w:pPr>
              <w:pStyle w:val="TableContents"/>
              <w:spacing w:before="0" w:after="283"/>
              <w:rPr>
                <w:sz w:val="4"/>
                <w:szCs w:val="4"/>
              </w:rPr>
            </w:pPr>
            <w:r>
              <w:rPr>
                <w:sz w:val="4"/>
                <w:szCs w:val="4"/>
              </w:rPr>
            </w:r>
          </w:p>
        </w:tc>
        <w:tc>
          <w:tcPr>
            <w:tcW w:w="973" w:type="dxa"/>
            <w:tcBorders/>
            <w:shd w:fill="auto" w:val="clear"/>
          </w:tcPr>
          <w:p>
            <w:pPr>
              <w:pStyle w:val="TableContents"/>
              <w:spacing w:before="0" w:after="283"/>
              <w:rPr>
                <w:sz w:val="4"/>
                <w:szCs w:val="4"/>
              </w:rPr>
            </w:pPr>
            <w:r>
              <w:rPr>
                <w:sz w:val="4"/>
                <w:szCs w:val="4"/>
              </w:rPr>
            </w:r>
          </w:p>
        </w:tc>
        <w:tc>
          <w:tcPr>
            <w:tcW w:w="1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tcPr>
          <w:p>
            <w:pPr>
              <w:pStyle w:val="TableContents"/>
              <w:spacing w:lineRule="atLeast" w:line="141" w:before="0" w:after="0"/>
              <w:rPr/>
            </w:pPr>
            <w:r>
              <w:rPr/>
              <w:t> </w:t>
            </w:r>
          </w:p>
        </w:tc>
        <w:tc>
          <w:tcPr>
            <w:tcW w:w="1006"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10,050</w:t>
            </w:r>
          </w:p>
        </w:tc>
        <w:tc>
          <w:tcPr>
            <w:tcW w:w="6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tcPr>
          <w:p>
            <w:pPr>
              <w:pStyle w:val="TableContents"/>
              <w:spacing w:lineRule="atLeast" w:line="141" w:before="0" w:after="0"/>
              <w:rPr/>
            </w:pPr>
            <w:r>
              <w:rPr/>
              <w:t> </w:t>
            </w:r>
          </w:p>
        </w:tc>
        <w:tc>
          <w:tcPr>
            <w:tcW w:w="1104"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8,568</w:t>
            </w:r>
          </w:p>
        </w:tc>
        <w:tc>
          <w:tcPr>
            <w:tcW w:w="11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tcPr>
          <w:p>
            <w:pPr>
              <w:pStyle w:val="TableContents"/>
              <w:spacing w:lineRule="atLeast" w:line="141" w:before="0" w:after="0"/>
              <w:rPr/>
            </w:pPr>
            <w:r>
              <w:rPr/>
              <w:t> </w:t>
            </w:r>
          </w:p>
        </w:tc>
        <w:tc>
          <w:tcPr>
            <w:tcW w:w="1138"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0.6</w:t>
            </w:r>
          </w:p>
        </w:tc>
        <w:tc>
          <w:tcPr>
            <w:tcW w:w="18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94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633,376 Warrants</w:t>
            </w:r>
          </w:p>
        </w:tc>
        <w:tc>
          <w:tcPr>
            <w:tcW w:w="60" w:type="dxa"/>
            <w:tcBorders/>
            <w:shd w:fill="CCEEFF" w:val="clear"/>
            <w:vAlign w:val="bottom"/>
          </w:tcPr>
          <w:p>
            <w:pPr>
              <w:pStyle w:val="TableContents"/>
              <w:spacing w:before="0" w:after="283"/>
              <w:rPr/>
            </w:pPr>
            <w:r>
              <w:rPr/>
              <w:t> </w:t>
            </w:r>
          </w:p>
        </w:tc>
        <w:tc>
          <w:tcPr>
            <w:tcW w:w="91" w:type="dxa"/>
            <w:tcBorders/>
            <w:shd w:fill="CCEEFF" w:val="clear"/>
          </w:tcPr>
          <w:p>
            <w:pPr>
              <w:pStyle w:val="TableContents"/>
              <w:spacing w:lineRule="atLeast" w:line="141" w:before="0" w:after="0"/>
              <w:rPr/>
            </w:pPr>
            <w:r>
              <w:rPr/>
              <w:t> </w:t>
            </w:r>
          </w:p>
        </w:tc>
        <w:tc>
          <w:tcPr>
            <w:tcW w:w="108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9/21/2018</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67" w:type="dxa"/>
            <w:tcBorders/>
            <w:shd w:fill="CCEEFF" w:val="clear"/>
          </w:tcPr>
          <w:p>
            <w:pPr>
              <w:pStyle w:val="TableContents"/>
              <w:spacing w:before="0" w:after="283"/>
              <w:rPr>
                <w:sz w:val="4"/>
                <w:szCs w:val="4"/>
              </w:rPr>
            </w:pPr>
            <w:r>
              <w:rPr>
                <w:sz w:val="4"/>
                <w:szCs w:val="4"/>
              </w:rPr>
            </w:r>
          </w:p>
        </w:tc>
        <w:tc>
          <w:tcPr>
            <w:tcW w:w="973" w:type="dxa"/>
            <w:tcBorders/>
            <w:shd w:fill="CCEEFF" w:val="clear"/>
          </w:tcPr>
          <w:p>
            <w:pPr>
              <w:pStyle w:val="TableContents"/>
              <w:spacing w:before="0" w:after="283"/>
              <w:rPr>
                <w:sz w:val="4"/>
                <w:szCs w:val="4"/>
              </w:rPr>
            </w:pPr>
            <w:r>
              <w:rPr>
                <w:sz w:val="4"/>
                <w:szCs w:val="4"/>
              </w:rPr>
            </w:r>
          </w:p>
        </w:tc>
        <w:tc>
          <w:tcPr>
            <w:tcW w:w="18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68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94" w:type="dxa"/>
            <w:tcBorders/>
            <w:shd w:fill="CCEEFF" w:val="clear"/>
          </w:tcPr>
          <w:p>
            <w:pPr>
              <w:pStyle w:val="TableContents"/>
              <w:spacing w:lineRule="atLeast" w:line="141" w:before="0" w:after="0"/>
              <w:rPr/>
            </w:pPr>
            <w:r>
              <w:rPr/>
              <w:t> </w:t>
            </w:r>
          </w:p>
        </w:tc>
        <w:tc>
          <w:tcPr>
            <w:tcW w:w="1006"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192</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86" w:type="dxa"/>
            <w:tcBorders/>
            <w:shd w:fill="CCEEFF" w:val="clear"/>
          </w:tcPr>
          <w:p>
            <w:pPr>
              <w:pStyle w:val="TableContents"/>
              <w:spacing w:lineRule="atLeast" w:line="141" w:before="0" w:after="0"/>
              <w:rPr/>
            </w:pPr>
            <w:r>
              <w:rPr/>
              <w:t> </w:t>
            </w:r>
          </w:p>
        </w:tc>
        <w:tc>
          <w:tcPr>
            <w:tcW w:w="110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1,151</w:t>
            </w:r>
          </w:p>
        </w:tc>
        <w:tc>
          <w:tcPr>
            <w:tcW w:w="11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tcPr>
          <w:p>
            <w:pPr>
              <w:pStyle w:val="TableContents"/>
              <w:spacing w:lineRule="atLeast" w:line="141" w:before="0" w:after="0"/>
              <w:rPr/>
            </w:pPr>
            <w:r>
              <w:rPr/>
              <w:t> </w:t>
            </w:r>
          </w:p>
        </w:tc>
        <w:tc>
          <w:tcPr>
            <w:tcW w:w="1138"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0.1</w:t>
            </w:r>
          </w:p>
        </w:tc>
        <w:tc>
          <w:tcPr>
            <w:tcW w:w="18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4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569,991 Warrants</w:t>
            </w:r>
          </w:p>
        </w:tc>
        <w:tc>
          <w:tcPr>
            <w:tcW w:w="60" w:type="dxa"/>
            <w:tcBorders/>
            <w:shd w:fill="auto" w:val="clear"/>
            <w:vAlign w:val="bottom"/>
          </w:tcPr>
          <w:p>
            <w:pPr>
              <w:pStyle w:val="TableContents"/>
              <w:spacing w:before="0" w:after="283"/>
              <w:rPr/>
            </w:pPr>
            <w:r>
              <w:rPr/>
              <w:t> </w:t>
            </w:r>
          </w:p>
        </w:tc>
        <w:tc>
          <w:tcPr>
            <w:tcW w:w="91" w:type="dxa"/>
            <w:tcBorders/>
            <w:shd w:fill="auto" w:val="clear"/>
          </w:tcPr>
          <w:p>
            <w:pPr>
              <w:pStyle w:val="TableContents"/>
              <w:spacing w:lineRule="atLeast" w:line="141" w:before="0" w:after="0"/>
              <w:rPr/>
            </w:pPr>
            <w:r>
              <w:rPr/>
              <w:t> </w:t>
            </w:r>
          </w:p>
        </w:tc>
        <w:tc>
          <w:tcPr>
            <w:tcW w:w="1084"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4/2/2020</w:t>
            </w:r>
          </w:p>
        </w:tc>
        <w:tc>
          <w:tcPr>
            <w:tcW w:w="6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67" w:type="dxa"/>
            <w:tcBorders/>
            <w:shd w:fill="auto" w:val="clear"/>
          </w:tcPr>
          <w:p>
            <w:pPr>
              <w:pStyle w:val="TableContents"/>
              <w:spacing w:before="0" w:after="283"/>
              <w:rPr>
                <w:sz w:val="4"/>
                <w:szCs w:val="4"/>
              </w:rPr>
            </w:pPr>
            <w:r>
              <w:rPr>
                <w:sz w:val="4"/>
                <w:szCs w:val="4"/>
              </w:rPr>
            </w:r>
          </w:p>
        </w:tc>
        <w:tc>
          <w:tcPr>
            <w:tcW w:w="973" w:type="dxa"/>
            <w:tcBorders/>
            <w:shd w:fill="auto" w:val="clear"/>
          </w:tcPr>
          <w:p>
            <w:pPr>
              <w:pStyle w:val="TableContents"/>
              <w:spacing w:before="0" w:after="283"/>
              <w:rPr>
                <w:sz w:val="4"/>
                <w:szCs w:val="4"/>
              </w:rPr>
            </w:pPr>
            <w:r>
              <w:rPr>
                <w:sz w:val="4"/>
                <w:szCs w:val="4"/>
              </w:rPr>
            </w:r>
          </w:p>
        </w:tc>
        <w:tc>
          <w:tcPr>
            <w:tcW w:w="1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tcPr>
          <w:p>
            <w:pPr>
              <w:pStyle w:val="TableContents"/>
              <w:spacing w:lineRule="atLeast" w:line="141" w:before="0" w:after="0"/>
              <w:rPr/>
            </w:pPr>
            <w:r>
              <w:rPr/>
              <w:t> </w:t>
            </w:r>
          </w:p>
        </w:tc>
        <w:tc>
          <w:tcPr>
            <w:tcW w:w="1006"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250</w:t>
            </w:r>
          </w:p>
        </w:tc>
        <w:tc>
          <w:tcPr>
            <w:tcW w:w="6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tcPr>
          <w:p>
            <w:pPr>
              <w:pStyle w:val="TableContents"/>
              <w:spacing w:lineRule="atLeast" w:line="141" w:before="0" w:after="0"/>
              <w:rPr/>
            </w:pPr>
            <w:r>
              <w:rPr/>
              <w:t> </w:t>
            </w:r>
          </w:p>
        </w:tc>
        <w:tc>
          <w:tcPr>
            <w:tcW w:w="1104"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888</w:t>
            </w:r>
          </w:p>
        </w:tc>
        <w:tc>
          <w:tcPr>
            <w:tcW w:w="11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tcPr>
          <w:p>
            <w:pPr>
              <w:pStyle w:val="TableContents"/>
              <w:spacing w:lineRule="atLeast" w:line="141" w:before="0" w:after="0"/>
              <w:rPr/>
            </w:pPr>
            <w:r>
              <w:rPr/>
              <w:t> </w:t>
            </w:r>
          </w:p>
        </w:tc>
        <w:tc>
          <w:tcPr>
            <w:tcW w:w="1138"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0.1</w:t>
            </w:r>
          </w:p>
        </w:tc>
        <w:tc>
          <w:tcPr>
            <w:tcW w:w="18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Merative L.P.(12)(13)(14)</w:t>
            </w:r>
          </w:p>
        </w:tc>
        <w:tc>
          <w:tcPr>
            <w:tcW w:w="60" w:type="dxa"/>
            <w:tcBorders/>
            <w:shd w:fill="CCEEFF" w:val="clear"/>
            <w:vAlign w:val="bottom"/>
          </w:tcPr>
          <w:p>
            <w:pPr>
              <w:pStyle w:val="TableContents"/>
              <w:spacing w:before="0" w:after="283"/>
              <w:rPr/>
            </w:pPr>
            <w:r>
              <w:rPr/>
              <w:t> </w:t>
            </w:r>
          </w:p>
        </w:tc>
        <w:tc>
          <w:tcPr>
            <w:tcW w:w="294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989,691 Class A-1 Units</w:t>
            </w:r>
          </w:p>
        </w:tc>
        <w:tc>
          <w:tcPr>
            <w:tcW w:w="60" w:type="dxa"/>
            <w:tcBorders/>
            <w:shd w:fill="CCEEFF" w:val="clear"/>
            <w:vAlign w:val="bottom"/>
          </w:tcPr>
          <w:p>
            <w:pPr>
              <w:pStyle w:val="TableContents"/>
              <w:spacing w:before="0" w:after="283"/>
              <w:rPr/>
            </w:pPr>
            <w:r>
              <w:rPr/>
              <w:t> </w:t>
            </w:r>
          </w:p>
        </w:tc>
        <w:tc>
          <w:tcPr>
            <w:tcW w:w="91" w:type="dxa"/>
            <w:tcBorders/>
            <w:shd w:fill="CCEEFF" w:val="clear"/>
          </w:tcPr>
          <w:p>
            <w:pPr>
              <w:pStyle w:val="TableContents"/>
              <w:spacing w:lineRule="atLeast" w:line="141" w:before="0" w:after="0"/>
              <w:rPr/>
            </w:pPr>
            <w:r>
              <w:rPr/>
              <w:t> </w:t>
            </w:r>
          </w:p>
        </w:tc>
        <w:tc>
          <w:tcPr>
            <w:tcW w:w="108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6/30/2022</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67" w:type="dxa"/>
            <w:tcBorders/>
            <w:shd w:fill="CCEEFF" w:val="clear"/>
          </w:tcPr>
          <w:p>
            <w:pPr>
              <w:pStyle w:val="TableContents"/>
              <w:spacing w:before="0" w:after="283"/>
              <w:rPr>
                <w:sz w:val="4"/>
                <w:szCs w:val="4"/>
              </w:rPr>
            </w:pPr>
            <w:r>
              <w:rPr>
                <w:sz w:val="4"/>
                <w:szCs w:val="4"/>
              </w:rPr>
            </w:r>
          </w:p>
        </w:tc>
        <w:tc>
          <w:tcPr>
            <w:tcW w:w="973" w:type="dxa"/>
            <w:tcBorders/>
            <w:shd w:fill="CCEEFF" w:val="clear"/>
          </w:tcPr>
          <w:p>
            <w:pPr>
              <w:pStyle w:val="TableContents"/>
              <w:spacing w:before="0" w:after="283"/>
              <w:rPr>
                <w:sz w:val="4"/>
                <w:szCs w:val="4"/>
              </w:rPr>
            </w:pPr>
            <w:r>
              <w:rPr>
                <w:sz w:val="4"/>
                <w:szCs w:val="4"/>
              </w:rPr>
            </w:r>
          </w:p>
        </w:tc>
        <w:tc>
          <w:tcPr>
            <w:tcW w:w="18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68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94" w:type="dxa"/>
            <w:tcBorders/>
            <w:shd w:fill="CCEEFF" w:val="clear"/>
          </w:tcPr>
          <w:p>
            <w:pPr>
              <w:pStyle w:val="TableContents"/>
              <w:spacing w:lineRule="atLeast" w:line="141" w:before="0" w:after="0"/>
              <w:rPr/>
            </w:pPr>
            <w:r>
              <w:rPr/>
              <w:t> </w:t>
            </w:r>
          </w:p>
        </w:tc>
        <w:tc>
          <w:tcPr>
            <w:tcW w:w="1006"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9,897</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86" w:type="dxa"/>
            <w:tcBorders/>
            <w:shd w:fill="CCEEFF" w:val="clear"/>
          </w:tcPr>
          <w:p>
            <w:pPr>
              <w:pStyle w:val="TableContents"/>
              <w:spacing w:lineRule="atLeast" w:line="141" w:before="0" w:after="0"/>
              <w:rPr/>
            </w:pPr>
            <w:r>
              <w:rPr/>
              <w:t> </w:t>
            </w:r>
          </w:p>
        </w:tc>
        <w:tc>
          <w:tcPr>
            <w:tcW w:w="110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9,897</w:t>
            </w:r>
          </w:p>
        </w:tc>
        <w:tc>
          <w:tcPr>
            <w:tcW w:w="11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tcPr>
          <w:p>
            <w:pPr>
              <w:pStyle w:val="TableContents"/>
              <w:spacing w:lineRule="atLeast" w:line="141" w:before="0" w:after="0"/>
              <w:rPr/>
            </w:pPr>
            <w:r>
              <w:rPr/>
              <w:t> </w:t>
            </w:r>
          </w:p>
        </w:tc>
        <w:tc>
          <w:tcPr>
            <w:tcW w:w="1138"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0.7</w:t>
            </w:r>
          </w:p>
        </w:tc>
        <w:tc>
          <w:tcPr>
            <w:tcW w:w="18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4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10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pBdr>
                <w:top w:val="single" w:sz="2" w:space="1" w:color="000000"/>
              </w:pBdr>
              <w:spacing w:before="0" w:after="0"/>
              <w:rPr/>
            </w:pPr>
            <w:r>
              <w:rPr/>
              <w:t> </w:t>
            </w:r>
          </w:p>
        </w:tc>
        <w:tc>
          <w:tcPr>
            <w:tcW w:w="100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pBdr>
                <w:top w:val="single" w:sz="2" w:space="1" w:color="000000"/>
              </w:pBdr>
              <w:spacing w:before="0" w:after="0"/>
              <w:rPr/>
            </w:pPr>
            <w:r>
              <w:rPr/>
              <w:t> </w:t>
            </w:r>
          </w:p>
        </w:tc>
        <w:tc>
          <w:tcPr>
            <w:tcW w:w="1104" w:type="dxa"/>
            <w:tcBorders/>
            <w:shd w:fill="auto" w:val="clear"/>
            <w:vAlign w:val="bottom"/>
          </w:tcPr>
          <w:p>
            <w:pPr>
              <w:pStyle w:val="TableContents"/>
              <w:pBdr>
                <w:top w:val="single" w:sz="2" w:space="1" w:color="000000"/>
              </w:pBdr>
              <w:spacing w:before="0" w:after="0"/>
              <w:rPr/>
            </w:pPr>
            <w:r>
              <w:rPr/>
              <w:t> </w:t>
            </w:r>
          </w:p>
        </w:tc>
        <w:tc>
          <w:tcPr>
            <w:tcW w:w="11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pBdr>
                <w:top w:val="single" w:sz="2" w:space="1" w:color="000000"/>
              </w:pBdr>
              <w:spacing w:before="0" w:after="0"/>
              <w:rPr/>
            </w:pPr>
            <w:r>
              <w:rPr/>
              <w:t> </w:t>
            </w:r>
          </w:p>
        </w:tc>
        <w:tc>
          <w:tcPr>
            <w:tcW w:w="1138" w:type="dxa"/>
            <w:tcBorders/>
            <w:shd w:fill="auto" w:val="clear"/>
            <w:vAlign w:val="bottom"/>
          </w:tcPr>
          <w:p>
            <w:pPr>
              <w:pStyle w:val="TableContents"/>
              <w:pBdr>
                <w:top w:val="single" w:sz="2" w:space="1" w:color="000000"/>
              </w:pBdr>
              <w:spacing w:before="0" w:after="0"/>
              <w:rPr/>
            </w:pPr>
            <w:r>
              <w:rPr/>
              <w:t> </w:t>
            </w:r>
          </w:p>
        </w:tc>
        <w:tc>
          <w:tcPr>
            <w:tcW w:w="185" w:type="dxa"/>
            <w:tcBorders/>
            <w:shd w:fill="auto" w:val="clear"/>
            <w:vAlign w:val="center"/>
          </w:tcPr>
          <w:p>
            <w:pPr>
              <w:pStyle w:val="TableContents"/>
              <w:spacing w:before="0" w:after="283"/>
              <w:rPr/>
            </w:pPr>
            <w:r>
              <w:rPr/>
              <w:t> </w:t>
            </w:r>
          </w:p>
        </w:tc>
      </w:tr>
      <w:tr>
        <w:trPr/>
        <w:tc>
          <w:tcPr>
            <w:tcW w:w="209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4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1" w:type="dxa"/>
            <w:tcBorders/>
            <w:shd w:fill="auto" w:val="clear"/>
          </w:tcPr>
          <w:p>
            <w:pPr>
              <w:pStyle w:val="TableContents"/>
              <w:spacing w:before="0" w:after="283"/>
              <w:rPr>
                <w:sz w:val="4"/>
                <w:szCs w:val="4"/>
              </w:rPr>
            </w:pPr>
            <w:r>
              <w:rPr>
                <w:sz w:val="4"/>
                <w:szCs w:val="4"/>
              </w:rPr>
            </w:r>
          </w:p>
        </w:tc>
        <w:tc>
          <w:tcPr>
            <w:tcW w:w="1084"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7" w:type="dxa"/>
            <w:tcBorders/>
            <w:shd w:fill="auto" w:val="clear"/>
          </w:tcPr>
          <w:p>
            <w:pPr>
              <w:pStyle w:val="TableContents"/>
              <w:spacing w:before="0" w:after="283"/>
              <w:rPr>
                <w:sz w:val="4"/>
                <w:szCs w:val="4"/>
              </w:rPr>
            </w:pPr>
            <w:r>
              <w:rPr>
                <w:sz w:val="4"/>
                <w:szCs w:val="4"/>
              </w:rPr>
            </w:r>
          </w:p>
        </w:tc>
        <w:tc>
          <w:tcPr>
            <w:tcW w:w="973" w:type="dxa"/>
            <w:tcBorders/>
            <w:shd w:fill="auto" w:val="clear"/>
          </w:tcPr>
          <w:p>
            <w:pPr>
              <w:pStyle w:val="TableContents"/>
              <w:spacing w:before="0" w:after="283"/>
              <w:rPr>
                <w:sz w:val="4"/>
                <w:szCs w:val="4"/>
              </w:rPr>
            </w:pPr>
            <w:r>
              <w:rPr>
                <w:sz w:val="4"/>
                <w:szCs w:val="4"/>
              </w:rPr>
            </w:r>
          </w:p>
        </w:tc>
        <w:tc>
          <w:tcPr>
            <w:tcW w:w="1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tcPr>
          <w:p>
            <w:pPr>
              <w:pStyle w:val="TableContents"/>
              <w:spacing w:lineRule="atLeast" w:line="141" w:before="0" w:after="0"/>
              <w:rPr/>
            </w:pPr>
            <w:r>
              <w:rPr/>
              <w:t> </w:t>
            </w:r>
          </w:p>
        </w:tc>
        <w:tc>
          <w:tcPr>
            <w:tcW w:w="1006"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21,389</w:t>
            </w:r>
          </w:p>
        </w:tc>
        <w:tc>
          <w:tcPr>
            <w:tcW w:w="6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tcPr>
          <w:p>
            <w:pPr>
              <w:pStyle w:val="TableContents"/>
              <w:spacing w:lineRule="atLeast" w:line="141" w:before="0" w:after="0"/>
              <w:rPr/>
            </w:pPr>
            <w:r>
              <w:rPr/>
              <w:t> </w:t>
            </w:r>
          </w:p>
        </w:tc>
        <w:tc>
          <w:tcPr>
            <w:tcW w:w="1104"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21,804</w:t>
            </w:r>
          </w:p>
        </w:tc>
        <w:tc>
          <w:tcPr>
            <w:tcW w:w="11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tcPr>
          <w:p>
            <w:pPr>
              <w:pStyle w:val="TableContents"/>
              <w:spacing w:lineRule="atLeast" w:line="141" w:before="0" w:after="0"/>
              <w:rPr/>
            </w:pPr>
            <w:r>
              <w:rPr/>
              <w:t> </w:t>
            </w:r>
          </w:p>
        </w:tc>
        <w:tc>
          <w:tcPr>
            <w:tcW w:w="1138"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1.6</w:t>
            </w:r>
          </w:p>
        </w:tc>
        <w:tc>
          <w:tcPr>
            <w:tcW w:w="18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4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10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pBdr>
                <w:top w:val="single" w:sz="2" w:space="1" w:color="000000"/>
              </w:pBdr>
              <w:spacing w:before="0" w:after="0"/>
              <w:rPr/>
            </w:pPr>
            <w:r>
              <w:rPr/>
              <w:t> </w:t>
            </w:r>
          </w:p>
        </w:tc>
        <w:tc>
          <w:tcPr>
            <w:tcW w:w="100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pBdr>
                <w:top w:val="single" w:sz="2" w:space="1" w:color="000000"/>
              </w:pBdr>
              <w:spacing w:before="0" w:after="0"/>
              <w:rPr/>
            </w:pPr>
            <w:r>
              <w:rPr/>
              <w:t> </w:t>
            </w:r>
          </w:p>
        </w:tc>
        <w:tc>
          <w:tcPr>
            <w:tcW w:w="1104" w:type="dxa"/>
            <w:tcBorders/>
            <w:shd w:fill="auto" w:val="clear"/>
            <w:vAlign w:val="bottom"/>
          </w:tcPr>
          <w:p>
            <w:pPr>
              <w:pStyle w:val="TableContents"/>
              <w:pBdr>
                <w:top w:val="single" w:sz="2" w:space="1" w:color="000000"/>
              </w:pBdr>
              <w:spacing w:before="0" w:after="0"/>
              <w:rPr/>
            </w:pPr>
            <w:r>
              <w:rPr/>
              <w:t> </w:t>
            </w:r>
          </w:p>
        </w:tc>
        <w:tc>
          <w:tcPr>
            <w:tcW w:w="11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pBdr>
                <w:top w:val="single" w:sz="2" w:space="1" w:color="000000"/>
              </w:pBdr>
              <w:spacing w:before="0" w:after="0"/>
              <w:rPr/>
            </w:pPr>
            <w:r>
              <w:rPr/>
              <w:t> </w:t>
            </w:r>
          </w:p>
        </w:tc>
        <w:tc>
          <w:tcPr>
            <w:tcW w:w="1138" w:type="dxa"/>
            <w:tcBorders/>
            <w:shd w:fill="auto" w:val="clear"/>
            <w:vAlign w:val="bottom"/>
          </w:tcPr>
          <w:p>
            <w:pPr>
              <w:pStyle w:val="TableContents"/>
              <w:pBdr>
                <w:top w:val="single" w:sz="2" w:space="1" w:color="000000"/>
              </w:pBdr>
              <w:spacing w:before="0" w:after="0"/>
              <w:rPr/>
            </w:pPr>
            <w:r>
              <w:rPr/>
              <w:t> </w:t>
            </w:r>
          </w:p>
        </w:tc>
        <w:tc>
          <w:tcPr>
            <w:tcW w:w="185" w:type="dxa"/>
            <w:tcBorders/>
            <w:shd w:fill="auto" w:val="clear"/>
            <w:vAlign w:val="center"/>
          </w:tcPr>
          <w:p>
            <w:pPr>
              <w:pStyle w:val="TableContents"/>
              <w:spacing w:before="0" w:after="283"/>
              <w:rPr/>
            </w:pPr>
            <w:r>
              <w:rPr/>
              <w:t> </w:t>
            </w:r>
          </w:p>
        </w:tc>
      </w:tr>
      <w:tr>
        <w:trPr/>
        <w:tc>
          <w:tcPr>
            <w:tcW w:w="2090" w:type="dxa"/>
            <w:tcBorders/>
            <w:shd w:fill="CCEEFF" w:val="clear"/>
          </w:tcPr>
          <w:p>
            <w:pPr>
              <w:pStyle w:val="TableContents"/>
              <w:spacing w:lineRule="atLeast" w:line="141" w:before="0" w:after="0"/>
              <w:rPr>
                <w:rFonts w:ascii="Times New Roman" w:hAnsi="Times New Roman"/>
                <w:b/>
                <w:sz w:val="15"/>
              </w:rPr>
            </w:pPr>
            <w:r>
              <w:rPr>
                <w:rFonts w:ascii="Times New Roman" w:hAnsi="Times New Roman"/>
                <w:b/>
                <w:sz w:val="15"/>
              </w:rPr>
              <w:t>Hotel, Gaming and Leisure</w:t>
            </w:r>
          </w:p>
        </w:tc>
        <w:tc>
          <w:tcPr>
            <w:tcW w:w="60" w:type="dxa"/>
            <w:tcBorders/>
            <w:shd w:fill="CCEEFF" w:val="clear"/>
            <w:vAlign w:val="bottom"/>
          </w:tcPr>
          <w:p>
            <w:pPr>
              <w:pStyle w:val="TableContents"/>
              <w:spacing w:before="0" w:after="283"/>
              <w:rPr/>
            </w:pPr>
            <w:r>
              <w:rPr/>
              <w:t> </w:t>
            </w:r>
          </w:p>
        </w:tc>
        <w:tc>
          <w:tcPr>
            <w:tcW w:w="294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sz w:val="4"/>
                <w:szCs w:val="4"/>
              </w:rPr>
            </w:pPr>
            <w:r>
              <w:rPr>
                <w:sz w:val="4"/>
                <w:szCs w:val="4"/>
              </w:rPr>
            </w:r>
          </w:p>
        </w:tc>
        <w:tc>
          <w:tcPr>
            <w:tcW w:w="108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sz w:val="4"/>
                <w:szCs w:val="4"/>
              </w:rPr>
            </w:pPr>
            <w:r>
              <w:rPr>
                <w:sz w:val="4"/>
                <w:szCs w:val="4"/>
              </w:rPr>
            </w:r>
          </w:p>
        </w:tc>
        <w:tc>
          <w:tcPr>
            <w:tcW w:w="973" w:type="dxa"/>
            <w:tcBorders/>
            <w:shd w:fill="CCEEFF" w:val="clear"/>
            <w:vAlign w:val="bottom"/>
          </w:tcPr>
          <w:p>
            <w:pPr>
              <w:pStyle w:val="TableContents"/>
              <w:spacing w:before="0" w:after="283"/>
              <w:rPr>
                <w:sz w:val="4"/>
                <w:szCs w:val="4"/>
              </w:rPr>
            </w:pPr>
            <w:r>
              <w:rPr>
                <w:sz w:val="4"/>
                <w:szCs w:val="4"/>
              </w:rPr>
            </w:r>
          </w:p>
        </w:tc>
        <w:tc>
          <w:tcPr>
            <w:tcW w:w="18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68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sz w:val="4"/>
                <w:szCs w:val="4"/>
              </w:rPr>
            </w:pPr>
            <w:r>
              <w:rPr>
                <w:sz w:val="4"/>
                <w:szCs w:val="4"/>
              </w:rPr>
            </w:r>
          </w:p>
        </w:tc>
        <w:tc>
          <w:tcPr>
            <w:tcW w:w="100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sz w:val="4"/>
                <w:szCs w:val="4"/>
              </w:rPr>
            </w:pPr>
            <w:r>
              <w:rPr>
                <w:sz w:val="4"/>
                <w:szCs w:val="4"/>
              </w:rPr>
            </w:r>
          </w:p>
        </w:tc>
        <w:tc>
          <w:tcPr>
            <w:tcW w:w="1104" w:type="dxa"/>
            <w:tcBorders/>
            <w:shd w:fill="CCEEFF" w:val="clear"/>
            <w:vAlign w:val="bottom"/>
          </w:tcPr>
          <w:p>
            <w:pPr>
              <w:pStyle w:val="TableContents"/>
              <w:spacing w:before="0" w:after="283"/>
              <w:rPr>
                <w:sz w:val="4"/>
                <w:szCs w:val="4"/>
              </w:rPr>
            </w:pPr>
            <w:r>
              <w:rPr>
                <w:sz w:val="4"/>
                <w:szCs w:val="4"/>
              </w:rPr>
            </w:r>
          </w:p>
        </w:tc>
        <w:tc>
          <w:tcPr>
            <w:tcW w:w="11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sz w:val="4"/>
                <w:szCs w:val="4"/>
              </w:rPr>
            </w:pPr>
            <w:r>
              <w:rPr>
                <w:sz w:val="4"/>
                <w:szCs w:val="4"/>
              </w:rPr>
            </w:r>
          </w:p>
        </w:tc>
        <w:tc>
          <w:tcPr>
            <w:tcW w:w="1138" w:type="dxa"/>
            <w:tcBorders/>
            <w:shd w:fill="CCEEFF" w:val="clear"/>
            <w:vAlign w:val="bottom"/>
          </w:tcPr>
          <w:p>
            <w:pPr>
              <w:pStyle w:val="TableContents"/>
              <w:spacing w:before="0" w:after="283"/>
              <w:rPr>
                <w:sz w:val="4"/>
                <w:szCs w:val="4"/>
              </w:rPr>
            </w:pPr>
            <w:r>
              <w:rPr>
                <w:sz w:val="4"/>
                <w:szCs w:val="4"/>
              </w:rPr>
            </w:r>
          </w:p>
        </w:tc>
        <w:tc>
          <w:tcPr>
            <w:tcW w:w="185" w:type="dxa"/>
            <w:tcBorders/>
            <w:shd w:fill="CCEEFF" w:val="clear"/>
            <w:vAlign w:val="bottom"/>
          </w:tcPr>
          <w:p>
            <w:pPr>
              <w:pStyle w:val="TableContents"/>
              <w:spacing w:before="0" w:after="283"/>
              <w:rPr>
                <w:sz w:val="4"/>
                <w:szCs w:val="4"/>
              </w:rPr>
            </w:pPr>
            <w:r>
              <w:rPr>
                <w:sz w:val="4"/>
                <w:szCs w:val="4"/>
              </w:rPr>
            </w:r>
          </w:p>
        </w:tc>
      </w:tr>
      <w:tr>
        <w:trPr/>
        <w:tc>
          <w:tcPr>
            <w:tcW w:w="2090"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IRGSE Holding Corp.(7)(12)</w:t>
            </w:r>
          </w:p>
        </w:tc>
        <w:tc>
          <w:tcPr>
            <w:tcW w:w="60" w:type="dxa"/>
            <w:tcBorders/>
            <w:shd w:fill="auto" w:val="clear"/>
            <w:vAlign w:val="bottom"/>
          </w:tcPr>
          <w:p>
            <w:pPr>
              <w:pStyle w:val="TableContents"/>
              <w:spacing w:before="0" w:after="283"/>
              <w:rPr/>
            </w:pPr>
            <w:r>
              <w:rPr/>
              <w:t> </w:t>
            </w:r>
          </w:p>
        </w:tc>
        <w:tc>
          <w:tcPr>
            <w:tcW w:w="294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Class A Units (33,790,171 units)</w:t>
            </w:r>
          </w:p>
        </w:tc>
        <w:tc>
          <w:tcPr>
            <w:tcW w:w="60" w:type="dxa"/>
            <w:tcBorders/>
            <w:shd w:fill="auto" w:val="clear"/>
            <w:vAlign w:val="bottom"/>
          </w:tcPr>
          <w:p>
            <w:pPr>
              <w:pStyle w:val="TableContents"/>
              <w:spacing w:before="0" w:after="283"/>
              <w:rPr/>
            </w:pPr>
            <w:r>
              <w:rPr/>
              <w:t> </w:t>
            </w:r>
          </w:p>
        </w:tc>
        <w:tc>
          <w:tcPr>
            <w:tcW w:w="91" w:type="dxa"/>
            <w:tcBorders/>
            <w:shd w:fill="auto" w:val="clear"/>
          </w:tcPr>
          <w:p>
            <w:pPr>
              <w:pStyle w:val="TableContents"/>
              <w:spacing w:lineRule="atLeast" w:line="141" w:before="0" w:after="0"/>
              <w:rPr/>
            </w:pPr>
            <w:r>
              <w:rPr/>
              <w:t> </w:t>
            </w:r>
          </w:p>
        </w:tc>
        <w:tc>
          <w:tcPr>
            <w:tcW w:w="1084"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12/21/2018</w:t>
            </w:r>
          </w:p>
        </w:tc>
        <w:tc>
          <w:tcPr>
            <w:tcW w:w="6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67" w:type="dxa"/>
            <w:tcBorders/>
            <w:shd w:fill="auto" w:val="clear"/>
          </w:tcPr>
          <w:p>
            <w:pPr>
              <w:pStyle w:val="TableContents"/>
              <w:spacing w:before="0" w:after="283"/>
              <w:rPr>
                <w:sz w:val="4"/>
                <w:szCs w:val="4"/>
              </w:rPr>
            </w:pPr>
            <w:r>
              <w:rPr>
                <w:sz w:val="4"/>
                <w:szCs w:val="4"/>
              </w:rPr>
            </w:r>
          </w:p>
        </w:tc>
        <w:tc>
          <w:tcPr>
            <w:tcW w:w="973" w:type="dxa"/>
            <w:tcBorders/>
            <w:shd w:fill="auto" w:val="clear"/>
          </w:tcPr>
          <w:p>
            <w:pPr>
              <w:pStyle w:val="TableContents"/>
              <w:spacing w:before="0" w:after="283"/>
              <w:rPr>
                <w:sz w:val="4"/>
                <w:szCs w:val="4"/>
              </w:rPr>
            </w:pPr>
            <w:r>
              <w:rPr>
                <w:sz w:val="4"/>
                <w:szCs w:val="4"/>
              </w:rPr>
            </w:r>
          </w:p>
        </w:tc>
        <w:tc>
          <w:tcPr>
            <w:tcW w:w="1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tcPr>
          <w:p>
            <w:pPr>
              <w:pStyle w:val="TableContents"/>
              <w:spacing w:lineRule="atLeast" w:line="141" w:before="0" w:after="0"/>
              <w:rPr/>
            </w:pPr>
            <w:r>
              <w:rPr/>
              <w:t> </w:t>
            </w:r>
          </w:p>
        </w:tc>
        <w:tc>
          <w:tcPr>
            <w:tcW w:w="1006"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21,842</w:t>
            </w:r>
          </w:p>
        </w:tc>
        <w:tc>
          <w:tcPr>
            <w:tcW w:w="6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tcPr>
          <w:p>
            <w:pPr>
              <w:pStyle w:val="TableContents"/>
              <w:spacing w:lineRule="atLeast" w:line="141" w:before="0" w:after="0"/>
              <w:rPr/>
            </w:pPr>
            <w:r>
              <w:rPr/>
              <w:t> </w:t>
            </w:r>
          </w:p>
        </w:tc>
        <w:tc>
          <w:tcPr>
            <w:tcW w:w="1104"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25,596</w:t>
            </w:r>
          </w:p>
        </w:tc>
        <w:tc>
          <w:tcPr>
            <w:tcW w:w="11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tcPr>
          <w:p>
            <w:pPr>
              <w:pStyle w:val="TableContents"/>
              <w:spacing w:lineRule="atLeast" w:line="141" w:before="0" w:after="0"/>
              <w:rPr/>
            </w:pPr>
            <w:r>
              <w:rPr/>
              <w:t> </w:t>
            </w:r>
          </w:p>
        </w:tc>
        <w:tc>
          <w:tcPr>
            <w:tcW w:w="1138"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1.9</w:t>
            </w:r>
          </w:p>
        </w:tc>
        <w:tc>
          <w:tcPr>
            <w:tcW w:w="18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94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Class C-1 Units (8,800,000 units)</w:t>
            </w:r>
          </w:p>
        </w:tc>
        <w:tc>
          <w:tcPr>
            <w:tcW w:w="60" w:type="dxa"/>
            <w:tcBorders/>
            <w:shd w:fill="CCEEFF" w:val="clear"/>
            <w:vAlign w:val="bottom"/>
          </w:tcPr>
          <w:p>
            <w:pPr>
              <w:pStyle w:val="TableContents"/>
              <w:spacing w:before="0" w:after="283"/>
              <w:rPr/>
            </w:pPr>
            <w:r>
              <w:rPr/>
              <w:t> </w:t>
            </w:r>
          </w:p>
        </w:tc>
        <w:tc>
          <w:tcPr>
            <w:tcW w:w="91" w:type="dxa"/>
            <w:tcBorders/>
            <w:shd w:fill="CCEEFF" w:val="clear"/>
          </w:tcPr>
          <w:p>
            <w:pPr>
              <w:pStyle w:val="TableContents"/>
              <w:spacing w:lineRule="atLeast" w:line="141" w:before="0" w:after="0"/>
              <w:rPr/>
            </w:pPr>
            <w:r>
              <w:rPr/>
              <w:t> </w:t>
            </w:r>
          </w:p>
        </w:tc>
        <w:tc>
          <w:tcPr>
            <w:tcW w:w="108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12/21/2018</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67" w:type="dxa"/>
            <w:tcBorders/>
            <w:shd w:fill="CCEEFF" w:val="clear"/>
          </w:tcPr>
          <w:p>
            <w:pPr>
              <w:pStyle w:val="TableContents"/>
              <w:spacing w:before="0" w:after="283"/>
              <w:rPr>
                <w:sz w:val="4"/>
                <w:szCs w:val="4"/>
              </w:rPr>
            </w:pPr>
            <w:r>
              <w:rPr>
                <w:sz w:val="4"/>
                <w:szCs w:val="4"/>
              </w:rPr>
            </w:r>
          </w:p>
        </w:tc>
        <w:tc>
          <w:tcPr>
            <w:tcW w:w="973" w:type="dxa"/>
            <w:tcBorders/>
            <w:shd w:fill="CCEEFF" w:val="clear"/>
          </w:tcPr>
          <w:p>
            <w:pPr>
              <w:pStyle w:val="TableContents"/>
              <w:spacing w:before="0" w:after="283"/>
              <w:rPr>
                <w:sz w:val="4"/>
                <w:szCs w:val="4"/>
              </w:rPr>
            </w:pPr>
            <w:r>
              <w:rPr>
                <w:sz w:val="4"/>
                <w:szCs w:val="4"/>
              </w:rPr>
            </w:r>
          </w:p>
        </w:tc>
        <w:tc>
          <w:tcPr>
            <w:tcW w:w="18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68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94" w:type="dxa"/>
            <w:tcBorders/>
            <w:shd w:fill="CCEEFF" w:val="clear"/>
          </w:tcPr>
          <w:p>
            <w:pPr>
              <w:pStyle w:val="TableContents"/>
              <w:spacing w:lineRule="atLeast" w:line="141" w:before="0" w:after="0"/>
              <w:rPr/>
            </w:pPr>
            <w:r>
              <w:rPr/>
              <w:t> </w:t>
            </w:r>
          </w:p>
        </w:tc>
        <w:tc>
          <w:tcPr>
            <w:tcW w:w="1006"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100</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86" w:type="dxa"/>
            <w:tcBorders/>
            <w:shd w:fill="CCEEFF" w:val="clear"/>
          </w:tcPr>
          <w:p>
            <w:pPr>
              <w:pStyle w:val="TableContents"/>
              <w:spacing w:lineRule="atLeast" w:line="141" w:before="0" w:after="0"/>
              <w:rPr/>
            </w:pPr>
            <w:r>
              <w:rPr/>
              <w:t> </w:t>
            </w:r>
          </w:p>
        </w:tc>
        <w:tc>
          <w:tcPr>
            <w:tcW w:w="110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43</w:t>
            </w:r>
          </w:p>
        </w:tc>
        <w:tc>
          <w:tcPr>
            <w:tcW w:w="11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tcPr>
          <w:p>
            <w:pPr>
              <w:pStyle w:val="TableContents"/>
              <w:spacing w:lineRule="atLeast" w:line="141" w:before="0" w:after="0"/>
              <w:rPr/>
            </w:pPr>
            <w:r>
              <w:rPr/>
              <w:t> </w:t>
            </w:r>
          </w:p>
        </w:tc>
        <w:tc>
          <w:tcPr>
            <w:tcW w:w="1138"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0.0</w:t>
            </w:r>
          </w:p>
        </w:tc>
        <w:tc>
          <w:tcPr>
            <w:tcW w:w="18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4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10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pBdr>
                <w:top w:val="single" w:sz="2" w:space="1" w:color="000000"/>
              </w:pBdr>
              <w:spacing w:before="0" w:after="0"/>
              <w:rPr/>
            </w:pPr>
            <w:r>
              <w:rPr/>
              <w:t> </w:t>
            </w:r>
          </w:p>
        </w:tc>
        <w:tc>
          <w:tcPr>
            <w:tcW w:w="100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pBdr>
                <w:top w:val="single" w:sz="2" w:space="1" w:color="000000"/>
              </w:pBdr>
              <w:spacing w:before="0" w:after="0"/>
              <w:rPr/>
            </w:pPr>
            <w:r>
              <w:rPr/>
              <w:t> </w:t>
            </w:r>
          </w:p>
        </w:tc>
        <w:tc>
          <w:tcPr>
            <w:tcW w:w="1104" w:type="dxa"/>
            <w:tcBorders/>
            <w:shd w:fill="auto" w:val="clear"/>
            <w:vAlign w:val="bottom"/>
          </w:tcPr>
          <w:p>
            <w:pPr>
              <w:pStyle w:val="TableContents"/>
              <w:pBdr>
                <w:top w:val="single" w:sz="2" w:space="1" w:color="000000"/>
              </w:pBdr>
              <w:spacing w:before="0" w:after="0"/>
              <w:rPr/>
            </w:pPr>
            <w:r>
              <w:rPr/>
              <w:t> </w:t>
            </w:r>
          </w:p>
        </w:tc>
        <w:tc>
          <w:tcPr>
            <w:tcW w:w="11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pBdr>
                <w:top w:val="single" w:sz="2" w:space="1" w:color="000000"/>
              </w:pBdr>
              <w:spacing w:before="0" w:after="0"/>
              <w:rPr/>
            </w:pPr>
            <w:r>
              <w:rPr/>
              <w:t> </w:t>
            </w:r>
          </w:p>
        </w:tc>
        <w:tc>
          <w:tcPr>
            <w:tcW w:w="1138" w:type="dxa"/>
            <w:tcBorders/>
            <w:shd w:fill="auto" w:val="clear"/>
            <w:vAlign w:val="bottom"/>
          </w:tcPr>
          <w:p>
            <w:pPr>
              <w:pStyle w:val="TableContents"/>
              <w:pBdr>
                <w:top w:val="single" w:sz="2" w:space="1" w:color="000000"/>
              </w:pBdr>
              <w:spacing w:before="0" w:after="0"/>
              <w:rPr/>
            </w:pPr>
            <w:r>
              <w:rPr/>
              <w:t> </w:t>
            </w:r>
          </w:p>
        </w:tc>
        <w:tc>
          <w:tcPr>
            <w:tcW w:w="185" w:type="dxa"/>
            <w:tcBorders/>
            <w:shd w:fill="auto" w:val="clear"/>
            <w:vAlign w:val="center"/>
          </w:tcPr>
          <w:p>
            <w:pPr>
              <w:pStyle w:val="TableContents"/>
              <w:spacing w:before="0" w:after="283"/>
              <w:rPr/>
            </w:pPr>
            <w:r>
              <w:rPr/>
              <w:t> </w:t>
            </w:r>
          </w:p>
        </w:tc>
      </w:tr>
      <w:tr>
        <w:trPr/>
        <w:tc>
          <w:tcPr>
            <w:tcW w:w="209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4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1" w:type="dxa"/>
            <w:tcBorders/>
            <w:shd w:fill="auto" w:val="clear"/>
          </w:tcPr>
          <w:p>
            <w:pPr>
              <w:pStyle w:val="TableContents"/>
              <w:spacing w:before="0" w:after="283"/>
              <w:rPr>
                <w:sz w:val="4"/>
                <w:szCs w:val="4"/>
              </w:rPr>
            </w:pPr>
            <w:r>
              <w:rPr>
                <w:sz w:val="4"/>
                <w:szCs w:val="4"/>
              </w:rPr>
            </w:r>
          </w:p>
        </w:tc>
        <w:tc>
          <w:tcPr>
            <w:tcW w:w="1084"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7" w:type="dxa"/>
            <w:tcBorders/>
            <w:shd w:fill="auto" w:val="clear"/>
          </w:tcPr>
          <w:p>
            <w:pPr>
              <w:pStyle w:val="TableContents"/>
              <w:spacing w:before="0" w:after="283"/>
              <w:rPr>
                <w:sz w:val="4"/>
                <w:szCs w:val="4"/>
              </w:rPr>
            </w:pPr>
            <w:r>
              <w:rPr>
                <w:sz w:val="4"/>
                <w:szCs w:val="4"/>
              </w:rPr>
            </w:r>
          </w:p>
        </w:tc>
        <w:tc>
          <w:tcPr>
            <w:tcW w:w="973" w:type="dxa"/>
            <w:tcBorders/>
            <w:shd w:fill="auto" w:val="clear"/>
          </w:tcPr>
          <w:p>
            <w:pPr>
              <w:pStyle w:val="TableContents"/>
              <w:spacing w:before="0" w:after="283"/>
              <w:rPr>
                <w:sz w:val="4"/>
                <w:szCs w:val="4"/>
              </w:rPr>
            </w:pPr>
            <w:r>
              <w:rPr>
                <w:sz w:val="4"/>
                <w:szCs w:val="4"/>
              </w:rPr>
            </w:r>
          </w:p>
        </w:tc>
        <w:tc>
          <w:tcPr>
            <w:tcW w:w="1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tcPr>
          <w:p>
            <w:pPr>
              <w:pStyle w:val="TableContents"/>
              <w:spacing w:lineRule="atLeast" w:line="141" w:before="0" w:after="0"/>
              <w:rPr/>
            </w:pPr>
            <w:r>
              <w:rPr/>
              <w:t> </w:t>
            </w:r>
          </w:p>
        </w:tc>
        <w:tc>
          <w:tcPr>
            <w:tcW w:w="1006"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21,942</w:t>
            </w:r>
          </w:p>
        </w:tc>
        <w:tc>
          <w:tcPr>
            <w:tcW w:w="6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tcPr>
          <w:p>
            <w:pPr>
              <w:pStyle w:val="TableContents"/>
              <w:spacing w:lineRule="atLeast" w:line="141" w:before="0" w:after="0"/>
              <w:rPr/>
            </w:pPr>
            <w:r>
              <w:rPr/>
              <w:t> </w:t>
            </w:r>
          </w:p>
        </w:tc>
        <w:tc>
          <w:tcPr>
            <w:tcW w:w="1104"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25,639</w:t>
            </w:r>
          </w:p>
        </w:tc>
        <w:tc>
          <w:tcPr>
            <w:tcW w:w="11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tcPr>
          <w:p>
            <w:pPr>
              <w:pStyle w:val="TableContents"/>
              <w:spacing w:lineRule="atLeast" w:line="141" w:before="0" w:after="0"/>
              <w:rPr/>
            </w:pPr>
            <w:r>
              <w:rPr/>
              <w:t> </w:t>
            </w:r>
          </w:p>
        </w:tc>
        <w:tc>
          <w:tcPr>
            <w:tcW w:w="1138"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1.9</w:t>
            </w:r>
          </w:p>
        </w:tc>
        <w:tc>
          <w:tcPr>
            <w:tcW w:w="18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4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10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pBdr>
                <w:top w:val="single" w:sz="2" w:space="1" w:color="000000"/>
              </w:pBdr>
              <w:spacing w:before="0" w:after="0"/>
              <w:rPr/>
            </w:pPr>
            <w:r>
              <w:rPr/>
              <w:t> </w:t>
            </w:r>
          </w:p>
        </w:tc>
        <w:tc>
          <w:tcPr>
            <w:tcW w:w="100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pBdr>
                <w:top w:val="single" w:sz="2" w:space="1" w:color="000000"/>
              </w:pBdr>
              <w:spacing w:before="0" w:after="0"/>
              <w:rPr/>
            </w:pPr>
            <w:r>
              <w:rPr/>
              <w:t> </w:t>
            </w:r>
          </w:p>
        </w:tc>
        <w:tc>
          <w:tcPr>
            <w:tcW w:w="1104" w:type="dxa"/>
            <w:tcBorders/>
            <w:shd w:fill="auto" w:val="clear"/>
            <w:vAlign w:val="bottom"/>
          </w:tcPr>
          <w:p>
            <w:pPr>
              <w:pStyle w:val="TableContents"/>
              <w:pBdr>
                <w:top w:val="single" w:sz="2" w:space="1" w:color="000000"/>
              </w:pBdr>
              <w:spacing w:before="0" w:after="0"/>
              <w:rPr/>
            </w:pPr>
            <w:r>
              <w:rPr/>
              <w:t> </w:t>
            </w:r>
          </w:p>
        </w:tc>
        <w:tc>
          <w:tcPr>
            <w:tcW w:w="11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pBdr>
                <w:top w:val="single" w:sz="2" w:space="1" w:color="000000"/>
              </w:pBdr>
              <w:spacing w:before="0" w:after="0"/>
              <w:rPr/>
            </w:pPr>
            <w:r>
              <w:rPr/>
              <w:t> </w:t>
            </w:r>
          </w:p>
        </w:tc>
        <w:tc>
          <w:tcPr>
            <w:tcW w:w="1138" w:type="dxa"/>
            <w:tcBorders/>
            <w:shd w:fill="auto" w:val="clear"/>
            <w:vAlign w:val="bottom"/>
          </w:tcPr>
          <w:p>
            <w:pPr>
              <w:pStyle w:val="TableContents"/>
              <w:pBdr>
                <w:top w:val="single" w:sz="2" w:space="1" w:color="000000"/>
              </w:pBdr>
              <w:spacing w:before="0" w:after="0"/>
              <w:rPr/>
            </w:pPr>
            <w:r>
              <w:rPr/>
              <w:t> </w:t>
            </w:r>
          </w:p>
        </w:tc>
        <w:tc>
          <w:tcPr>
            <w:tcW w:w="185" w:type="dxa"/>
            <w:tcBorders/>
            <w:shd w:fill="auto" w:val="clear"/>
            <w:vAlign w:val="center"/>
          </w:tcPr>
          <w:p>
            <w:pPr>
              <w:pStyle w:val="TableContents"/>
              <w:spacing w:before="0" w:after="283"/>
              <w:rPr/>
            </w:pPr>
            <w:r>
              <w:rPr/>
              <w:t> </w:t>
            </w:r>
          </w:p>
        </w:tc>
      </w:tr>
      <w:tr>
        <w:trPr/>
        <w:tc>
          <w:tcPr>
            <w:tcW w:w="2090" w:type="dxa"/>
            <w:tcBorders/>
            <w:shd w:fill="CCEEFF" w:val="clear"/>
          </w:tcPr>
          <w:p>
            <w:pPr>
              <w:pStyle w:val="TableContents"/>
              <w:spacing w:lineRule="atLeast" w:line="141" w:before="0" w:after="0"/>
              <w:rPr>
                <w:rFonts w:ascii="Times New Roman" w:hAnsi="Times New Roman"/>
                <w:b/>
                <w:sz w:val="15"/>
              </w:rPr>
            </w:pPr>
            <w:r>
              <w:rPr>
                <w:rFonts w:ascii="Times New Roman" w:hAnsi="Times New Roman"/>
                <w:b/>
                <w:sz w:val="15"/>
              </w:rPr>
              <w:t>Human Resource Support Services</w:t>
            </w:r>
          </w:p>
        </w:tc>
        <w:tc>
          <w:tcPr>
            <w:tcW w:w="60" w:type="dxa"/>
            <w:tcBorders/>
            <w:shd w:fill="CCEEFF" w:val="clear"/>
            <w:vAlign w:val="bottom"/>
          </w:tcPr>
          <w:p>
            <w:pPr>
              <w:pStyle w:val="TableContents"/>
              <w:spacing w:before="0" w:after="283"/>
              <w:rPr/>
            </w:pPr>
            <w:r>
              <w:rPr/>
              <w:t> </w:t>
            </w:r>
          </w:p>
        </w:tc>
        <w:tc>
          <w:tcPr>
            <w:tcW w:w="294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sz w:val="4"/>
                <w:szCs w:val="4"/>
              </w:rPr>
            </w:pPr>
            <w:r>
              <w:rPr>
                <w:sz w:val="4"/>
                <w:szCs w:val="4"/>
              </w:rPr>
            </w:r>
          </w:p>
        </w:tc>
        <w:tc>
          <w:tcPr>
            <w:tcW w:w="108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sz w:val="4"/>
                <w:szCs w:val="4"/>
              </w:rPr>
            </w:pPr>
            <w:r>
              <w:rPr>
                <w:sz w:val="4"/>
                <w:szCs w:val="4"/>
              </w:rPr>
            </w:r>
          </w:p>
        </w:tc>
        <w:tc>
          <w:tcPr>
            <w:tcW w:w="973" w:type="dxa"/>
            <w:tcBorders/>
            <w:shd w:fill="CCEEFF" w:val="clear"/>
            <w:vAlign w:val="bottom"/>
          </w:tcPr>
          <w:p>
            <w:pPr>
              <w:pStyle w:val="TableContents"/>
              <w:spacing w:before="0" w:after="283"/>
              <w:rPr>
                <w:sz w:val="4"/>
                <w:szCs w:val="4"/>
              </w:rPr>
            </w:pPr>
            <w:r>
              <w:rPr>
                <w:sz w:val="4"/>
                <w:szCs w:val="4"/>
              </w:rPr>
            </w:r>
          </w:p>
        </w:tc>
        <w:tc>
          <w:tcPr>
            <w:tcW w:w="18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68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sz w:val="4"/>
                <w:szCs w:val="4"/>
              </w:rPr>
            </w:pPr>
            <w:r>
              <w:rPr>
                <w:sz w:val="4"/>
                <w:szCs w:val="4"/>
              </w:rPr>
            </w:r>
          </w:p>
        </w:tc>
        <w:tc>
          <w:tcPr>
            <w:tcW w:w="100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sz w:val="4"/>
                <w:szCs w:val="4"/>
              </w:rPr>
            </w:pPr>
            <w:r>
              <w:rPr>
                <w:sz w:val="4"/>
                <w:szCs w:val="4"/>
              </w:rPr>
            </w:r>
          </w:p>
        </w:tc>
        <w:tc>
          <w:tcPr>
            <w:tcW w:w="1104" w:type="dxa"/>
            <w:tcBorders/>
            <w:shd w:fill="CCEEFF" w:val="clear"/>
            <w:vAlign w:val="bottom"/>
          </w:tcPr>
          <w:p>
            <w:pPr>
              <w:pStyle w:val="TableContents"/>
              <w:spacing w:before="0" w:after="283"/>
              <w:rPr>
                <w:sz w:val="4"/>
                <w:szCs w:val="4"/>
              </w:rPr>
            </w:pPr>
            <w:r>
              <w:rPr>
                <w:sz w:val="4"/>
                <w:szCs w:val="4"/>
              </w:rPr>
            </w:r>
          </w:p>
        </w:tc>
        <w:tc>
          <w:tcPr>
            <w:tcW w:w="11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sz w:val="4"/>
                <w:szCs w:val="4"/>
              </w:rPr>
            </w:pPr>
            <w:r>
              <w:rPr>
                <w:sz w:val="4"/>
                <w:szCs w:val="4"/>
              </w:rPr>
            </w:r>
          </w:p>
        </w:tc>
        <w:tc>
          <w:tcPr>
            <w:tcW w:w="1138" w:type="dxa"/>
            <w:tcBorders/>
            <w:shd w:fill="CCEEFF" w:val="clear"/>
            <w:vAlign w:val="bottom"/>
          </w:tcPr>
          <w:p>
            <w:pPr>
              <w:pStyle w:val="TableContents"/>
              <w:spacing w:before="0" w:after="283"/>
              <w:rPr>
                <w:sz w:val="4"/>
                <w:szCs w:val="4"/>
              </w:rPr>
            </w:pPr>
            <w:r>
              <w:rPr>
                <w:sz w:val="4"/>
                <w:szCs w:val="4"/>
              </w:rPr>
            </w:r>
          </w:p>
        </w:tc>
        <w:tc>
          <w:tcPr>
            <w:tcW w:w="185" w:type="dxa"/>
            <w:tcBorders/>
            <w:shd w:fill="CCEEFF" w:val="clear"/>
            <w:vAlign w:val="bottom"/>
          </w:tcPr>
          <w:p>
            <w:pPr>
              <w:pStyle w:val="TableContents"/>
              <w:spacing w:before="0" w:after="283"/>
              <w:rPr>
                <w:sz w:val="4"/>
                <w:szCs w:val="4"/>
              </w:rPr>
            </w:pPr>
            <w:r>
              <w:rPr>
                <w:sz w:val="4"/>
                <w:szCs w:val="4"/>
              </w:rPr>
            </w:r>
          </w:p>
        </w:tc>
      </w:tr>
      <w:tr>
        <w:trPr/>
        <w:tc>
          <w:tcPr>
            <w:tcW w:w="2090"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Axonify, Inc.(4)(12)(14)</w:t>
            </w:r>
          </w:p>
        </w:tc>
        <w:tc>
          <w:tcPr>
            <w:tcW w:w="60" w:type="dxa"/>
            <w:tcBorders/>
            <w:shd w:fill="auto" w:val="clear"/>
            <w:vAlign w:val="bottom"/>
          </w:tcPr>
          <w:p>
            <w:pPr>
              <w:pStyle w:val="TableContents"/>
              <w:spacing w:before="0" w:after="283"/>
              <w:rPr/>
            </w:pPr>
            <w:r>
              <w:rPr/>
              <w:t> </w:t>
            </w:r>
          </w:p>
        </w:tc>
        <w:tc>
          <w:tcPr>
            <w:tcW w:w="294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Class A-1 Units (3,780,000 units)</w:t>
            </w:r>
          </w:p>
        </w:tc>
        <w:tc>
          <w:tcPr>
            <w:tcW w:w="60" w:type="dxa"/>
            <w:tcBorders/>
            <w:shd w:fill="auto" w:val="clear"/>
            <w:vAlign w:val="bottom"/>
          </w:tcPr>
          <w:p>
            <w:pPr>
              <w:pStyle w:val="TableContents"/>
              <w:spacing w:before="0" w:after="283"/>
              <w:rPr/>
            </w:pPr>
            <w:r>
              <w:rPr/>
              <w:t> </w:t>
            </w:r>
          </w:p>
        </w:tc>
        <w:tc>
          <w:tcPr>
            <w:tcW w:w="91" w:type="dxa"/>
            <w:tcBorders/>
            <w:shd w:fill="auto" w:val="clear"/>
          </w:tcPr>
          <w:p>
            <w:pPr>
              <w:pStyle w:val="TableContents"/>
              <w:spacing w:lineRule="atLeast" w:line="141" w:before="0" w:after="0"/>
              <w:rPr/>
            </w:pPr>
            <w:r>
              <w:rPr/>
              <w:t> </w:t>
            </w:r>
          </w:p>
        </w:tc>
        <w:tc>
          <w:tcPr>
            <w:tcW w:w="1084"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5/5/2021</w:t>
            </w:r>
          </w:p>
        </w:tc>
        <w:tc>
          <w:tcPr>
            <w:tcW w:w="6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67" w:type="dxa"/>
            <w:tcBorders/>
            <w:shd w:fill="auto" w:val="clear"/>
          </w:tcPr>
          <w:p>
            <w:pPr>
              <w:pStyle w:val="TableContents"/>
              <w:spacing w:before="0" w:after="283"/>
              <w:rPr>
                <w:sz w:val="4"/>
                <w:szCs w:val="4"/>
              </w:rPr>
            </w:pPr>
            <w:r>
              <w:rPr>
                <w:sz w:val="4"/>
                <w:szCs w:val="4"/>
              </w:rPr>
            </w:r>
          </w:p>
        </w:tc>
        <w:tc>
          <w:tcPr>
            <w:tcW w:w="973" w:type="dxa"/>
            <w:tcBorders/>
            <w:shd w:fill="auto" w:val="clear"/>
          </w:tcPr>
          <w:p>
            <w:pPr>
              <w:pStyle w:val="TableContents"/>
              <w:spacing w:before="0" w:after="283"/>
              <w:rPr>
                <w:sz w:val="4"/>
                <w:szCs w:val="4"/>
              </w:rPr>
            </w:pPr>
            <w:r>
              <w:rPr>
                <w:sz w:val="4"/>
                <w:szCs w:val="4"/>
              </w:rPr>
            </w:r>
          </w:p>
        </w:tc>
        <w:tc>
          <w:tcPr>
            <w:tcW w:w="1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tcPr>
          <w:p>
            <w:pPr>
              <w:pStyle w:val="TableContents"/>
              <w:spacing w:lineRule="atLeast" w:line="141" w:before="0" w:after="0"/>
              <w:rPr/>
            </w:pPr>
            <w:r>
              <w:rPr/>
              <w:t> </w:t>
            </w:r>
          </w:p>
        </w:tc>
        <w:tc>
          <w:tcPr>
            <w:tcW w:w="1006"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3,780</w:t>
            </w:r>
          </w:p>
        </w:tc>
        <w:tc>
          <w:tcPr>
            <w:tcW w:w="6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tcPr>
          <w:p>
            <w:pPr>
              <w:pStyle w:val="TableContents"/>
              <w:spacing w:lineRule="atLeast" w:line="141" w:before="0" w:after="0"/>
              <w:rPr/>
            </w:pPr>
            <w:r>
              <w:rPr/>
              <w:t> </w:t>
            </w:r>
          </w:p>
        </w:tc>
        <w:tc>
          <w:tcPr>
            <w:tcW w:w="1104"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4,262</w:t>
            </w:r>
          </w:p>
        </w:tc>
        <w:tc>
          <w:tcPr>
            <w:tcW w:w="11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tcPr>
          <w:p>
            <w:pPr>
              <w:pStyle w:val="TableContents"/>
              <w:spacing w:lineRule="atLeast" w:line="141" w:before="0" w:after="0"/>
              <w:rPr/>
            </w:pPr>
            <w:r>
              <w:rPr/>
              <w:t> </w:t>
            </w:r>
          </w:p>
        </w:tc>
        <w:tc>
          <w:tcPr>
            <w:tcW w:w="1138"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0.3</w:t>
            </w:r>
          </w:p>
        </w:tc>
        <w:tc>
          <w:tcPr>
            <w:tcW w:w="18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ClearCompany, LLC(12)(14)</w:t>
            </w:r>
          </w:p>
        </w:tc>
        <w:tc>
          <w:tcPr>
            <w:tcW w:w="60" w:type="dxa"/>
            <w:tcBorders/>
            <w:shd w:fill="CCEEFF" w:val="clear"/>
            <w:vAlign w:val="bottom"/>
          </w:tcPr>
          <w:p>
            <w:pPr>
              <w:pStyle w:val="TableContents"/>
              <w:spacing w:before="0" w:after="283"/>
              <w:rPr/>
            </w:pPr>
            <w:r>
              <w:rPr/>
              <w:t> </w:t>
            </w:r>
          </w:p>
        </w:tc>
        <w:tc>
          <w:tcPr>
            <w:tcW w:w="294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Series A Preferred Units (1,429,228 units)</w:t>
            </w:r>
          </w:p>
        </w:tc>
        <w:tc>
          <w:tcPr>
            <w:tcW w:w="60" w:type="dxa"/>
            <w:tcBorders/>
            <w:shd w:fill="CCEEFF" w:val="clear"/>
            <w:vAlign w:val="bottom"/>
          </w:tcPr>
          <w:p>
            <w:pPr>
              <w:pStyle w:val="TableContents"/>
              <w:spacing w:before="0" w:after="283"/>
              <w:rPr/>
            </w:pPr>
            <w:r>
              <w:rPr/>
              <w:t> </w:t>
            </w:r>
          </w:p>
        </w:tc>
        <w:tc>
          <w:tcPr>
            <w:tcW w:w="91" w:type="dxa"/>
            <w:tcBorders/>
            <w:shd w:fill="CCEEFF" w:val="clear"/>
          </w:tcPr>
          <w:p>
            <w:pPr>
              <w:pStyle w:val="TableContents"/>
              <w:spacing w:lineRule="atLeast" w:line="141" w:before="0" w:after="0"/>
              <w:rPr/>
            </w:pPr>
            <w:r>
              <w:rPr/>
              <w:t> </w:t>
            </w:r>
          </w:p>
        </w:tc>
        <w:tc>
          <w:tcPr>
            <w:tcW w:w="108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8/24/2018</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67" w:type="dxa"/>
            <w:tcBorders/>
            <w:shd w:fill="CCEEFF" w:val="clear"/>
          </w:tcPr>
          <w:p>
            <w:pPr>
              <w:pStyle w:val="TableContents"/>
              <w:spacing w:before="0" w:after="283"/>
              <w:rPr>
                <w:sz w:val="4"/>
                <w:szCs w:val="4"/>
              </w:rPr>
            </w:pPr>
            <w:r>
              <w:rPr>
                <w:sz w:val="4"/>
                <w:szCs w:val="4"/>
              </w:rPr>
            </w:r>
          </w:p>
        </w:tc>
        <w:tc>
          <w:tcPr>
            <w:tcW w:w="973" w:type="dxa"/>
            <w:tcBorders/>
            <w:shd w:fill="CCEEFF" w:val="clear"/>
          </w:tcPr>
          <w:p>
            <w:pPr>
              <w:pStyle w:val="TableContents"/>
              <w:spacing w:before="0" w:after="283"/>
              <w:rPr>
                <w:sz w:val="4"/>
                <w:szCs w:val="4"/>
              </w:rPr>
            </w:pPr>
            <w:r>
              <w:rPr>
                <w:sz w:val="4"/>
                <w:szCs w:val="4"/>
              </w:rPr>
            </w:r>
          </w:p>
        </w:tc>
        <w:tc>
          <w:tcPr>
            <w:tcW w:w="18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68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94" w:type="dxa"/>
            <w:tcBorders/>
            <w:shd w:fill="CCEEFF" w:val="clear"/>
          </w:tcPr>
          <w:p>
            <w:pPr>
              <w:pStyle w:val="TableContents"/>
              <w:spacing w:lineRule="atLeast" w:line="141" w:before="0" w:after="0"/>
              <w:rPr/>
            </w:pPr>
            <w:r>
              <w:rPr/>
              <w:t> </w:t>
            </w:r>
          </w:p>
        </w:tc>
        <w:tc>
          <w:tcPr>
            <w:tcW w:w="1006"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2,014</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86" w:type="dxa"/>
            <w:tcBorders/>
            <w:shd w:fill="CCEEFF" w:val="clear"/>
          </w:tcPr>
          <w:p>
            <w:pPr>
              <w:pStyle w:val="TableContents"/>
              <w:spacing w:lineRule="atLeast" w:line="141" w:before="0" w:after="0"/>
              <w:rPr/>
            </w:pPr>
            <w:r>
              <w:rPr/>
              <w:t> </w:t>
            </w:r>
          </w:p>
        </w:tc>
        <w:tc>
          <w:tcPr>
            <w:tcW w:w="110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4,788</w:t>
            </w:r>
          </w:p>
        </w:tc>
        <w:tc>
          <w:tcPr>
            <w:tcW w:w="11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tcPr>
          <w:p>
            <w:pPr>
              <w:pStyle w:val="TableContents"/>
              <w:spacing w:lineRule="atLeast" w:line="141" w:before="0" w:after="0"/>
              <w:rPr/>
            </w:pPr>
            <w:r>
              <w:rPr/>
              <w:t> </w:t>
            </w:r>
          </w:p>
        </w:tc>
        <w:tc>
          <w:tcPr>
            <w:tcW w:w="1138"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0.4</w:t>
            </w:r>
          </w:p>
        </w:tc>
        <w:tc>
          <w:tcPr>
            <w:tcW w:w="18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DaySmart Holdings, LLC(12)(14)</w:t>
            </w:r>
          </w:p>
        </w:tc>
        <w:tc>
          <w:tcPr>
            <w:tcW w:w="60" w:type="dxa"/>
            <w:tcBorders/>
            <w:shd w:fill="auto" w:val="clear"/>
            <w:vAlign w:val="bottom"/>
          </w:tcPr>
          <w:p>
            <w:pPr>
              <w:pStyle w:val="TableContents"/>
              <w:spacing w:before="0" w:after="283"/>
              <w:rPr/>
            </w:pPr>
            <w:r>
              <w:rPr/>
              <w:t> </w:t>
            </w:r>
          </w:p>
        </w:tc>
        <w:tc>
          <w:tcPr>
            <w:tcW w:w="294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Class A Units (166,811 units)</w:t>
            </w:r>
          </w:p>
        </w:tc>
        <w:tc>
          <w:tcPr>
            <w:tcW w:w="60" w:type="dxa"/>
            <w:tcBorders/>
            <w:shd w:fill="auto" w:val="clear"/>
            <w:vAlign w:val="bottom"/>
          </w:tcPr>
          <w:p>
            <w:pPr>
              <w:pStyle w:val="TableContents"/>
              <w:spacing w:before="0" w:after="283"/>
              <w:rPr/>
            </w:pPr>
            <w:r>
              <w:rPr/>
              <w:t> </w:t>
            </w:r>
          </w:p>
        </w:tc>
        <w:tc>
          <w:tcPr>
            <w:tcW w:w="91" w:type="dxa"/>
            <w:tcBorders/>
            <w:shd w:fill="auto" w:val="clear"/>
          </w:tcPr>
          <w:p>
            <w:pPr>
              <w:pStyle w:val="TableContents"/>
              <w:spacing w:lineRule="atLeast" w:line="141" w:before="0" w:after="0"/>
              <w:rPr/>
            </w:pPr>
            <w:r>
              <w:rPr/>
              <w:t> </w:t>
            </w:r>
          </w:p>
        </w:tc>
        <w:tc>
          <w:tcPr>
            <w:tcW w:w="1084"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10/1/2019</w:t>
            </w:r>
          </w:p>
        </w:tc>
        <w:tc>
          <w:tcPr>
            <w:tcW w:w="6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67" w:type="dxa"/>
            <w:tcBorders/>
            <w:shd w:fill="auto" w:val="clear"/>
          </w:tcPr>
          <w:p>
            <w:pPr>
              <w:pStyle w:val="TableContents"/>
              <w:spacing w:before="0" w:after="283"/>
              <w:rPr>
                <w:sz w:val="4"/>
                <w:szCs w:val="4"/>
              </w:rPr>
            </w:pPr>
            <w:r>
              <w:rPr>
                <w:sz w:val="4"/>
                <w:szCs w:val="4"/>
              </w:rPr>
            </w:r>
          </w:p>
        </w:tc>
        <w:tc>
          <w:tcPr>
            <w:tcW w:w="973" w:type="dxa"/>
            <w:tcBorders/>
            <w:shd w:fill="auto" w:val="clear"/>
          </w:tcPr>
          <w:p>
            <w:pPr>
              <w:pStyle w:val="TableContents"/>
              <w:spacing w:before="0" w:after="283"/>
              <w:rPr>
                <w:sz w:val="4"/>
                <w:szCs w:val="4"/>
              </w:rPr>
            </w:pPr>
            <w:r>
              <w:rPr>
                <w:sz w:val="4"/>
                <w:szCs w:val="4"/>
              </w:rPr>
            </w:r>
          </w:p>
        </w:tc>
        <w:tc>
          <w:tcPr>
            <w:tcW w:w="1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tcPr>
          <w:p>
            <w:pPr>
              <w:pStyle w:val="TableContents"/>
              <w:spacing w:lineRule="atLeast" w:line="141" w:before="0" w:after="0"/>
              <w:rPr/>
            </w:pPr>
            <w:r>
              <w:rPr/>
              <w:t> </w:t>
            </w:r>
          </w:p>
        </w:tc>
        <w:tc>
          <w:tcPr>
            <w:tcW w:w="1006"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1,347</w:t>
            </w:r>
          </w:p>
        </w:tc>
        <w:tc>
          <w:tcPr>
            <w:tcW w:w="6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tcPr>
          <w:p>
            <w:pPr>
              <w:pStyle w:val="TableContents"/>
              <w:spacing w:lineRule="atLeast" w:line="141" w:before="0" w:after="0"/>
              <w:rPr/>
            </w:pPr>
            <w:r>
              <w:rPr/>
              <w:t> </w:t>
            </w:r>
          </w:p>
        </w:tc>
        <w:tc>
          <w:tcPr>
            <w:tcW w:w="1104"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1,845</w:t>
            </w:r>
          </w:p>
        </w:tc>
        <w:tc>
          <w:tcPr>
            <w:tcW w:w="11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tcPr>
          <w:p>
            <w:pPr>
              <w:pStyle w:val="TableContents"/>
              <w:spacing w:lineRule="atLeast" w:line="141" w:before="0" w:after="0"/>
              <w:rPr/>
            </w:pPr>
            <w:r>
              <w:rPr/>
              <w:t> </w:t>
            </w:r>
          </w:p>
        </w:tc>
        <w:tc>
          <w:tcPr>
            <w:tcW w:w="1138"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0.1</w:t>
            </w:r>
          </w:p>
        </w:tc>
        <w:tc>
          <w:tcPr>
            <w:tcW w:w="18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Employment Hero Holdings Pty Ltd.(4)(12)(13)</w:t>
            </w:r>
          </w:p>
        </w:tc>
        <w:tc>
          <w:tcPr>
            <w:tcW w:w="60" w:type="dxa"/>
            <w:tcBorders/>
            <w:shd w:fill="CCEEFF" w:val="clear"/>
            <w:vAlign w:val="bottom"/>
          </w:tcPr>
          <w:p>
            <w:pPr>
              <w:pStyle w:val="TableContents"/>
              <w:spacing w:before="0" w:after="283"/>
              <w:rPr/>
            </w:pPr>
            <w:r>
              <w:rPr/>
              <w:t> </w:t>
            </w:r>
          </w:p>
        </w:tc>
        <w:tc>
          <w:tcPr>
            <w:tcW w:w="294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Series E Preferred Shares (113,250 shares)</w:t>
            </w:r>
          </w:p>
        </w:tc>
        <w:tc>
          <w:tcPr>
            <w:tcW w:w="60" w:type="dxa"/>
            <w:tcBorders/>
            <w:shd w:fill="CCEEFF" w:val="clear"/>
            <w:vAlign w:val="bottom"/>
          </w:tcPr>
          <w:p>
            <w:pPr>
              <w:pStyle w:val="TableContents"/>
              <w:spacing w:before="0" w:after="283"/>
              <w:rPr/>
            </w:pPr>
            <w:r>
              <w:rPr/>
              <w:t> </w:t>
            </w:r>
          </w:p>
        </w:tc>
        <w:tc>
          <w:tcPr>
            <w:tcW w:w="91" w:type="dxa"/>
            <w:tcBorders/>
            <w:shd w:fill="CCEEFF" w:val="clear"/>
          </w:tcPr>
          <w:p>
            <w:pPr>
              <w:pStyle w:val="TableContents"/>
              <w:spacing w:lineRule="atLeast" w:line="141" w:before="0" w:after="0"/>
              <w:rPr/>
            </w:pPr>
            <w:r>
              <w:rPr/>
              <w:t> </w:t>
            </w:r>
          </w:p>
        </w:tc>
        <w:tc>
          <w:tcPr>
            <w:tcW w:w="108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3/1/2022</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67" w:type="dxa"/>
            <w:tcBorders/>
            <w:shd w:fill="CCEEFF" w:val="clear"/>
          </w:tcPr>
          <w:p>
            <w:pPr>
              <w:pStyle w:val="TableContents"/>
              <w:spacing w:before="0" w:after="283"/>
              <w:rPr>
                <w:sz w:val="4"/>
                <w:szCs w:val="4"/>
              </w:rPr>
            </w:pPr>
            <w:r>
              <w:rPr>
                <w:sz w:val="4"/>
                <w:szCs w:val="4"/>
              </w:rPr>
            </w:r>
          </w:p>
        </w:tc>
        <w:tc>
          <w:tcPr>
            <w:tcW w:w="973" w:type="dxa"/>
            <w:tcBorders/>
            <w:shd w:fill="CCEEFF" w:val="clear"/>
          </w:tcPr>
          <w:p>
            <w:pPr>
              <w:pStyle w:val="TableContents"/>
              <w:spacing w:before="0" w:after="283"/>
              <w:rPr>
                <w:sz w:val="4"/>
                <w:szCs w:val="4"/>
              </w:rPr>
            </w:pPr>
            <w:r>
              <w:rPr>
                <w:sz w:val="4"/>
                <w:szCs w:val="4"/>
              </w:rPr>
            </w:r>
          </w:p>
        </w:tc>
        <w:tc>
          <w:tcPr>
            <w:tcW w:w="18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68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94" w:type="dxa"/>
            <w:tcBorders/>
            <w:shd w:fill="CCEEFF" w:val="clear"/>
          </w:tcPr>
          <w:p>
            <w:pPr>
              <w:pStyle w:val="TableContents"/>
              <w:spacing w:lineRule="atLeast" w:line="141" w:before="0" w:after="0"/>
              <w:rPr/>
            </w:pPr>
            <w:r>
              <w:rPr/>
              <w:t> </w:t>
            </w:r>
          </w:p>
        </w:tc>
        <w:tc>
          <w:tcPr>
            <w:tcW w:w="1006"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2,134</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86" w:type="dxa"/>
            <w:tcBorders/>
            <w:shd w:fill="CCEEFF" w:val="clear"/>
          </w:tcPr>
          <w:p>
            <w:pPr>
              <w:pStyle w:val="TableContents"/>
              <w:spacing w:lineRule="atLeast" w:line="141" w:before="0" w:after="0"/>
              <w:rPr/>
            </w:pPr>
            <w:r>
              <w:rPr/>
              <w:t> </w:t>
            </w:r>
          </w:p>
          <w:p>
            <w:pPr>
              <w:pStyle w:val="TableContents"/>
              <w:spacing w:before="0" w:after="283"/>
              <w:rPr/>
            </w:pPr>
            <w:r>
              <w:rPr/>
            </w:r>
          </w:p>
        </w:tc>
        <w:tc>
          <w:tcPr>
            <w:tcW w:w="110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1,929</w:t>
            </w:r>
          </w:p>
          <w:p>
            <w:pPr>
              <w:pStyle w:val="TableContents"/>
              <w:rPr/>
            </w:pPr>
            <w:r>
              <w:rPr/>
            </w:r>
          </w:p>
          <w:p>
            <w:pPr>
              <w:pStyle w:val="TableContents"/>
              <w:spacing w:lineRule="atLeast" w:line="141" w:before="0" w:after="20"/>
              <w:jc w:val="right"/>
              <w:rPr>
                <w:rFonts w:ascii="Times New Roman" w:hAnsi="Times New Roman"/>
                <w:sz w:val="15"/>
              </w:rPr>
            </w:pPr>
            <w:r>
              <w:rPr>
                <w:rFonts w:ascii="Times New Roman" w:hAnsi="Times New Roman"/>
                <w:sz w:val="15"/>
              </w:rPr>
              <w:t>(AUD 3,000</w:t>
            </w:r>
          </w:p>
        </w:tc>
        <w:tc>
          <w:tcPr>
            <w:tcW w:w="110" w:type="dxa"/>
            <w:tcBorders/>
            <w:shd w:fill="CCEEFF" w:val="clear"/>
          </w:tcPr>
          <w:p>
            <w:pPr>
              <w:pStyle w:val="TableContents"/>
              <w:spacing w:lineRule="atLeast" w:line="141" w:before="0" w:after="0"/>
              <w:rPr/>
            </w:pPr>
            <w:r>
              <w:rPr/>
              <w:t> </w:t>
            </w:r>
          </w:p>
          <w:p>
            <w:pPr>
              <w:pStyle w:val="TableContents"/>
              <w:rPr/>
            </w:pPr>
            <w:r>
              <w:rPr/>
            </w:r>
          </w:p>
          <w:p>
            <w:pPr>
              <w:pStyle w:val="TableContents"/>
              <w:spacing w:lineRule="atLeast" w:line="141" w:before="0" w:after="20"/>
              <w:rPr>
                <w:rFonts w:ascii="Times New Roman" w:hAnsi="Times New Roman"/>
                <w:sz w:val="15"/>
              </w:rPr>
            </w:pPr>
            <w:r>
              <w:rPr>
                <w:rFonts w:ascii="Times New Roman" w:hAnsi="Times New Roman"/>
                <w:sz w:val="15"/>
              </w:rPr>
              <w:t>) </w:t>
            </w:r>
          </w:p>
        </w:tc>
        <w:tc>
          <w:tcPr>
            <w:tcW w:w="60" w:type="dxa"/>
            <w:tcBorders/>
            <w:shd w:fill="CCEEFF" w:val="clear"/>
            <w:vAlign w:val="bottom"/>
          </w:tcPr>
          <w:p>
            <w:pPr>
              <w:pStyle w:val="TableContents"/>
              <w:spacing w:before="0" w:after="283"/>
              <w:rPr/>
            </w:pPr>
            <w:r>
              <w:rPr/>
              <w:t> </w:t>
            </w:r>
          </w:p>
        </w:tc>
        <w:tc>
          <w:tcPr>
            <w:tcW w:w="187" w:type="dxa"/>
            <w:tcBorders/>
            <w:shd w:fill="CCEEFF" w:val="clear"/>
          </w:tcPr>
          <w:p>
            <w:pPr>
              <w:pStyle w:val="TableContents"/>
              <w:spacing w:lineRule="atLeast" w:line="141" w:before="0" w:after="0"/>
              <w:rPr/>
            </w:pPr>
            <w:r>
              <w:rPr/>
              <w:t> </w:t>
            </w:r>
          </w:p>
        </w:tc>
        <w:tc>
          <w:tcPr>
            <w:tcW w:w="1138"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0.1</w:t>
            </w:r>
          </w:p>
        </w:tc>
        <w:tc>
          <w:tcPr>
            <w:tcW w:w="18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4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10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pBdr>
                <w:top w:val="single" w:sz="2" w:space="1" w:color="000000"/>
              </w:pBdr>
              <w:spacing w:before="0" w:after="0"/>
              <w:rPr/>
            </w:pPr>
            <w:r>
              <w:rPr/>
              <w:t> </w:t>
            </w:r>
          </w:p>
        </w:tc>
        <w:tc>
          <w:tcPr>
            <w:tcW w:w="100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pBdr>
                <w:top w:val="single" w:sz="2" w:space="1" w:color="000000"/>
              </w:pBdr>
              <w:spacing w:before="0" w:after="0"/>
              <w:rPr/>
            </w:pPr>
            <w:r>
              <w:rPr/>
              <w:t> </w:t>
            </w:r>
          </w:p>
        </w:tc>
        <w:tc>
          <w:tcPr>
            <w:tcW w:w="1104" w:type="dxa"/>
            <w:tcBorders/>
            <w:shd w:fill="auto" w:val="clear"/>
            <w:vAlign w:val="bottom"/>
          </w:tcPr>
          <w:p>
            <w:pPr>
              <w:pStyle w:val="TableContents"/>
              <w:pBdr>
                <w:top w:val="single" w:sz="2" w:space="1" w:color="000000"/>
              </w:pBdr>
              <w:spacing w:before="0" w:after="0"/>
              <w:rPr/>
            </w:pPr>
            <w:r>
              <w:rPr/>
              <w:t> </w:t>
            </w:r>
          </w:p>
        </w:tc>
        <w:tc>
          <w:tcPr>
            <w:tcW w:w="11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pBdr>
                <w:top w:val="single" w:sz="2" w:space="1" w:color="000000"/>
              </w:pBdr>
              <w:spacing w:before="0" w:after="0"/>
              <w:rPr/>
            </w:pPr>
            <w:r>
              <w:rPr/>
              <w:t> </w:t>
            </w:r>
          </w:p>
        </w:tc>
        <w:tc>
          <w:tcPr>
            <w:tcW w:w="1138" w:type="dxa"/>
            <w:tcBorders/>
            <w:shd w:fill="auto" w:val="clear"/>
            <w:vAlign w:val="bottom"/>
          </w:tcPr>
          <w:p>
            <w:pPr>
              <w:pStyle w:val="TableContents"/>
              <w:pBdr>
                <w:top w:val="single" w:sz="2" w:space="1" w:color="000000"/>
              </w:pBdr>
              <w:spacing w:before="0" w:after="0"/>
              <w:rPr/>
            </w:pPr>
            <w:r>
              <w:rPr/>
              <w:t> </w:t>
            </w:r>
          </w:p>
        </w:tc>
        <w:tc>
          <w:tcPr>
            <w:tcW w:w="185" w:type="dxa"/>
            <w:tcBorders/>
            <w:shd w:fill="auto" w:val="clear"/>
            <w:vAlign w:val="center"/>
          </w:tcPr>
          <w:p>
            <w:pPr>
              <w:pStyle w:val="TableContents"/>
              <w:spacing w:before="0" w:after="283"/>
              <w:rPr/>
            </w:pPr>
            <w:r>
              <w:rPr/>
              <w:t> </w:t>
            </w:r>
          </w:p>
        </w:tc>
      </w:tr>
      <w:tr>
        <w:trPr/>
        <w:tc>
          <w:tcPr>
            <w:tcW w:w="209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4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1" w:type="dxa"/>
            <w:tcBorders/>
            <w:shd w:fill="auto" w:val="clear"/>
          </w:tcPr>
          <w:p>
            <w:pPr>
              <w:pStyle w:val="TableContents"/>
              <w:spacing w:before="0" w:after="283"/>
              <w:rPr>
                <w:sz w:val="4"/>
                <w:szCs w:val="4"/>
              </w:rPr>
            </w:pPr>
            <w:r>
              <w:rPr>
                <w:sz w:val="4"/>
                <w:szCs w:val="4"/>
              </w:rPr>
            </w:r>
          </w:p>
        </w:tc>
        <w:tc>
          <w:tcPr>
            <w:tcW w:w="1084"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7" w:type="dxa"/>
            <w:tcBorders/>
            <w:shd w:fill="auto" w:val="clear"/>
          </w:tcPr>
          <w:p>
            <w:pPr>
              <w:pStyle w:val="TableContents"/>
              <w:spacing w:before="0" w:after="283"/>
              <w:rPr>
                <w:sz w:val="4"/>
                <w:szCs w:val="4"/>
              </w:rPr>
            </w:pPr>
            <w:r>
              <w:rPr>
                <w:sz w:val="4"/>
                <w:szCs w:val="4"/>
              </w:rPr>
            </w:r>
          </w:p>
        </w:tc>
        <w:tc>
          <w:tcPr>
            <w:tcW w:w="973" w:type="dxa"/>
            <w:tcBorders/>
            <w:shd w:fill="auto" w:val="clear"/>
          </w:tcPr>
          <w:p>
            <w:pPr>
              <w:pStyle w:val="TableContents"/>
              <w:spacing w:before="0" w:after="283"/>
              <w:rPr>
                <w:sz w:val="4"/>
                <w:szCs w:val="4"/>
              </w:rPr>
            </w:pPr>
            <w:r>
              <w:rPr>
                <w:sz w:val="4"/>
                <w:szCs w:val="4"/>
              </w:rPr>
            </w:r>
          </w:p>
        </w:tc>
        <w:tc>
          <w:tcPr>
            <w:tcW w:w="1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tcPr>
          <w:p>
            <w:pPr>
              <w:pStyle w:val="TableContents"/>
              <w:spacing w:lineRule="atLeast" w:line="141" w:before="0" w:after="0"/>
              <w:rPr/>
            </w:pPr>
            <w:r>
              <w:rPr/>
              <w:t> </w:t>
            </w:r>
          </w:p>
        </w:tc>
        <w:tc>
          <w:tcPr>
            <w:tcW w:w="1006"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9,275</w:t>
            </w:r>
          </w:p>
        </w:tc>
        <w:tc>
          <w:tcPr>
            <w:tcW w:w="6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tcPr>
          <w:p>
            <w:pPr>
              <w:pStyle w:val="TableContents"/>
              <w:spacing w:lineRule="atLeast" w:line="141" w:before="0" w:after="0"/>
              <w:rPr/>
            </w:pPr>
            <w:r>
              <w:rPr/>
              <w:t> </w:t>
            </w:r>
          </w:p>
        </w:tc>
        <w:tc>
          <w:tcPr>
            <w:tcW w:w="1104"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12,824</w:t>
            </w:r>
          </w:p>
        </w:tc>
        <w:tc>
          <w:tcPr>
            <w:tcW w:w="11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tcPr>
          <w:p>
            <w:pPr>
              <w:pStyle w:val="TableContents"/>
              <w:spacing w:lineRule="atLeast" w:line="141" w:before="0" w:after="0"/>
              <w:rPr/>
            </w:pPr>
            <w:r>
              <w:rPr/>
              <w:t> </w:t>
            </w:r>
          </w:p>
        </w:tc>
        <w:tc>
          <w:tcPr>
            <w:tcW w:w="1138"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0.9</w:t>
            </w:r>
          </w:p>
        </w:tc>
        <w:tc>
          <w:tcPr>
            <w:tcW w:w="18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4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10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pBdr>
                <w:top w:val="single" w:sz="2" w:space="1" w:color="000000"/>
              </w:pBdr>
              <w:spacing w:before="0" w:after="0"/>
              <w:rPr/>
            </w:pPr>
            <w:r>
              <w:rPr/>
              <w:t> </w:t>
            </w:r>
          </w:p>
        </w:tc>
        <w:tc>
          <w:tcPr>
            <w:tcW w:w="100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pBdr>
                <w:top w:val="single" w:sz="2" w:space="1" w:color="000000"/>
              </w:pBdr>
              <w:spacing w:before="0" w:after="0"/>
              <w:rPr/>
            </w:pPr>
            <w:r>
              <w:rPr/>
              <w:t> </w:t>
            </w:r>
          </w:p>
        </w:tc>
        <w:tc>
          <w:tcPr>
            <w:tcW w:w="1104" w:type="dxa"/>
            <w:tcBorders/>
            <w:shd w:fill="auto" w:val="clear"/>
            <w:vAlign w:val="bottom"/>
          </w:tcPr>
          <w:p>
            <w:pPr>
              <w:pStyle w:val="TableContents"/>
              <w:pBdr>
                <w:top w:val="single" w:sz="2" w:space="1" w:color="000000"/>
              </w:pBdr>
              <w:spacing w:before="0" w:after="0"/>
              <w:rPr/>
            </w:pPr>
            <w:r>
              <w:rPr/>
              <w:t> </w:t>
            </w:r>
          </w:p>
        </w:tc>
        <w:tc>
          <w:tcPr>
            <w:tcW w:w="11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pBdr>
                <w:top w:val="single" w:sz="2" w:space="1" w:color="000000"/>
              </w:pBdr>
              <w:spacing w:before="0" w:after="0"/>
              <w:rPr/>
            </w:pPr>
            <w:r>
              <w:rPr/>
              <w:t> </w:t>
            </w:r>
          </w:p>
        </w:tc>
        <w:tc>
          <w:tcPr>
            <w:tcW w:w="1138" w:type="dxa"/>
            <w:tcBorders/>
            <w:shd w:fill="auto" w:val="clear"/>
            <w:vAlign w:val="bottom"/>
          </w:tcPr>
          <w:p>
            <w:pPr>
              <w:pStyle w:val="TableContents"/>
              <w:pBdr>
                <w:top w:val="single" w:sz="2" w:space="1" w:color="000000"/>
              </w:pBdr>
              <w:spacing w:before="0" w:after="0"/>
              <w:rPr/>
            </w:pPr>
            <w:r>
              <w:rPr/>
              <w:t> </w:t>
            </w:r>
          </w:p>
        </w:tc>
        <w:tc>
          <w:tcPr>
            <w:tcW w:w="185" w:type="dxa"/>
            <w:tcBorders/>
            <w:shd w:fill="auto" w:val="clear"/>
            <w:vAlign w:val="center"/>
          </w:tcPr>
          <w:p>
            <w:pPr>
              <w:pStyle w:val="TableContents"/>
              <w:spacing w:before="0" w:after="283"/>
              <w:rPr/>
            </w:pPr>
            <w:r>
              <w:rPr/>
              <w:t> </w:t>
            </w:r>
          </w:p>
        </w:tc>
      </w:tr>
      <w:tr>
        <w:trPr/>
        <w:tc>
          <w:tcPr>
            <w:tcW w:w="2090" w:type="dxa"/>
            <w:tcBorders/>
            <w:shd w:fill="CCEEFF" w:val="clear"/>
          </w:tcPr>
          <w:p>
            <w:pPr>
              <w:pStyle w:val="TableContents"/>
              <w:spacing w:lineRule="atLeast" w:line="141" w:before="0" w:after="0"/>
              <w:rPr>
                <w:rFonts w:ascii="Times New Roman" w:hAnsi="Times New Roman"/>
                <w:b/>
                <w:sz w:val="15"/>
              </w:rPr>
            </w:pPr>
            <w:r>
              <w:rPr>
                <w:rFonts w:ascii="Times New Roman" w:hAnsi="Times New Roman"/>
                <w:b/>
                <w:sz w:val="15"/>
              </w:rPr>
              <w:t>Internet Services</w:t>
            </w:r>
          </w:p>
        </w:tc>
        <w:tc>
          <w:tcPr>
            <w:tcW w:w="60" w:type="dxa"/>
            <w:tcBorders/>
            <w:shd w:fill="CCEEFF" w:val="clear"/>
            <w:vAlign w:val="bottom"/>
          </w:tcPr>
          <w:p>
            <w:pPr>
              <w:pStyle w:val="TableContents"/>
              <w:spacing w:before="0" w:after="283"/>
              <w:rPr/>
            </w:pPr>
            <w:r>
              <w:rPr/>
              <w:t> </w:t>
            </w:r>
          </w:p>
        </w:tc>
        <w:tc>
          <w:tcPr>
            <w:tcW w:w="294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sz w:val="4"/>
                <w:szCs w:val="4"/>
              </w:rPr>
            </w:pPr>
            <w:r>
              <w:rPr>
                <w:sz w:val="4"/>
                <w:szCs w:val="4"/>
              </w:rPr>
            </w:r>
          </w:p>
        </w:tc>
        <w:tc>
          <w:tcPr>
            <w:tcW w:w="108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sz w:val="4"/>
                <w:szCs w:val="4"/>
              </w:rPr>
            </w:pPr>
            <w:r>
              <w:rPr>
                <w:sz w:val="4"/>
                <w:szCs w:val="4"/>
              </w:rPr>
            </w:r>
          </w:p>
        </w:tc>
        <w:tc>
          <w:tcPr>
            <w:tcW w:w="973" w:type="dxa"/>
            <w:tcBorders/>
            <w:shd w:fill="CCEEFF" w:val="clear"/>
            <w:vAlign w:val="bottom"/>
          </w:tcPr>
          <w:p>
            <w:pPr>
              <w:pStyle w:val="TableContents"/>
              <w:spacing w:before="0" w:after="283"/>
              <w:rPr>
                <w:sz w:val="4"/>
                <w:szCs w:val="4"/>
              </w:rPr>
            </w:pPr>
            <w:r>
              <w:rPr>
                <w:sz w:val="4"/>
                <w:szCs w:val="4"/>
              </w:rPr>
            </w:r>
          </w:p>
        </w:tc>
        <w:tc>
          <w:tcPr>
            <w:tcW w:w="18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68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before="0" w:after="283"/>
              <w:rPr>
                <w:sz w:val="4"/>
                <w:szCs w:val="4"/>
              </w:rPr>
            </w:pPr>
            <w:r>
              <w:rPr>
                <w:sz w:val="4"/>
                <w:szCs w:val="4"/>
              </w:rPr>
            </w:r>
          </w:p>
        </w:tc>
        <w:tc>
          <w:tcPr>
            <w:tcW w:w="100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before="0" w:after="283"/>
              <w:rPr>
                <w:sz w:val="4"/>
                <w:szCs w:val="4"/>
              </w:rPr>
            </w:pPr>
            <w:r>
              <w:rPr>
                <w:sz w:val="4"/>
                <w:szCs w:val="4"/>
              </w:rPr>
            </w:r>
          </w:p>
        </w:tc>
        <w:tc>
          <w:tcPr>
            <w:tcW w:w="1104" w:type="dxa"/>
            <w:tcBorders/>
            <w:shd w:fill="CCEEFF" w:val="clear"/>
            <w:vAlign w:val="bottom"/>
          </w:tcPr>
          <w:p>
            <w:pPr>
              <w:pStyle w:val="TableContents"/>
              <w:spacing w:before="0" w:after="283"/>
              <w:rPr>
                <w:sz w:val="4"/>
                <w:szCs w:val="4"/>
              </w:rPr>
            </w:pPr>
            <w:r>
              <w:rPr>
                <w:sz w:val="4"/>
                <w:szCs w:val="4"/>
              </w:rPr>
            </w:r>
          </w:p>
        </w:tc>
        <w:tc>
          <w:tcPr>
            <w:tcW w:w="11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sz w:val="4"/>
                <w:szCs w:val="4"/>
              </w:rPr>
            </w:pPr>
            <w:r>
              <w:rPr>
                <w:sz w:val="4"/>
                <w:szCs w:val="4"/>
              </w:rPr>
            </w:r>
          </w:p>
        </w:tc>
        <w:tc>
          <w:tcPr>
            <w:tcW w:w="1138" w:type="dxa"/>
            <w:tcBorders/>
            <w:shd w:fill="CCEEFF" w:val="clear"/>
            <w:vAlign w:val="bottom"/>
          </w:tcPr>
          <w:p>
            <w:pPr>
              <w:pStyle w:val="TableContents"/>
              <w:spacing w:before="0" w:after="283"/>
              <w:rPr>
                <w:sz w:val="4"/>
                <w:szCs w:val="4"/>
              </w:rPr>
            </w:pPr>
            <w:r>
              <w:rPr>
                <w:sz w:val="4"/>
                <w:szCs w:val="4"/>
              </w:rPr>
            </w:r>
          </w:p>
        </w:tc>
        <w:tc>
          <w:tcPr>
            <w:tcW w:w="185" w:type="dxa"/>
            <w:tcBorders/>
            <w:shd w:fill="CCEEFF" w:val="clear"/>
            <w:vAlign w:val="bottom"/>
          </w:tcPr>
          <w:p>
            <w:pPr>
              <w:pStyle w:val="TableContents"/>
              <w:spacing w:before="0" w:after="283"/>
              <w:rPr>
                <w:sz w:val="4"/>
                <w:szCs w:val="4"/>
              </w:rPr>
            </w:pPr>
            <w:r>
              <w:rPr>
                <w:sz w:val="4"/>
                <w:szCs w:val="4"/>
              </w:rPr>
            </w:r>
          </w:p>
        </w:tc>
      </w:tr>
      <w:tr>
        <w:trPr/>
        <w:tc>
          <w:tcPr>
            <w:tcW w:w="2090"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 xml:space="preserve">Bayshore Intermediate #2, </w:t>
              <w:br/>
              <w:t>L.P.(12)(13)(14)</w:t>
            </w:r>
          </w:p>
        </w:tc>
        <w:tc>
          <w:tcPr>
            <w:tcW w:w="60" w:type="dxa"/>
            <w:tcBorders/>
            <w:shd w:fill="auto" w:val="clear"/>
            <w:vAlign w:val="bottom"/>
          </w:tcPr>
          <w:p>
            <w:pPr>
              <w:pStyle w:val="TableContents"/>
              <w:spacing w:before="0" w:after="283"/>
              <w:rPr/>
            </w:pPr>
            <w:r>
              <w:rPr/>
              <w:t> </w:t>
            </w:r>
          </w:p>
        </w:tc>
        <w:tc>
          <w:tcPr>
            <w:tcW w:w="2945" w:type="dxa"/>
            <w:tcBorders/>
            <w:shd w:fill="auto" w:val="clear"/>
            <w:vAlign w:val="bottom"/>
          </w:tcPr>
          <w:p>
            <w:pPr>
              <w:pStyle w:val="TableContents"/>
              <w:spacing w:lineRule="atLeast" w:line="141" w:before="0" w:after="0"/>
              <w:rPr>
                <w:rFonts w:ascii="Times New Roman" w:hAnsi="Times New Roman"/>
                <w:sz w:val="15"/>
              </w:rPr>
            </w:pPr>
            <w:r>
              <w:rPr>
                <w:rFonts w:ascii="Times New Roman" w:hAnsi="Times New Roman"/>
                <w:sz w:val="15"/>
              </w:rPr>
              <w:t>Common Units (12,330,709 units)</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lineRule="atLeast" w:line="141" w:before="0" w:after="0"/>
              <w:rPr/>
            </w:pPr>
            <w:r>
              <w:rPr/>
              <w:t> </w:t>
            </w:r>
          </w:p>
        </w:tc>
        <w:tc>
          <w:tcPr>
            <w:tcW w:w="1084" w:type="dxa"/>
            <w:tcBorders/>
            <w:shd w:fill="auto" w:val="clear"/>
            <w:vAlign w:val="bottom"/>
          </w:tcPr>
          <w:p>
            <w:pPr>
              <w:pStyle w:val="TableContents"/>
              <w:spacing w:lineRule="atLeast" w:line="141" w:before="0" w:after="0"/>
              <w:jc w:val="right"/>
              <w:rPr>
                <w:rFonts w:ascii="Times New Roman" w:hAnsi="Times New Roman"/>
                <w:sz w:val="15"/>
              </w:rPr>
            </w:pPr>
            <w:r>
              <w:rPr>
                <w:rFonts w:ascii="Times New Roman" w:hAnsi="Times New Roman"/>
                <w:sz w:val="15"/>
              </w:rPr>
              <w:t>10/1/2021</w:t>
            </w:r>
          </w:p>
        </w:tc>
        <w:tc>
          <w:tcPr>
            <w:tcW w:w="60" w:type="dxa"/>
            <w:tcBorders/>
            <w:shd w:fill="auto" w:val="clear"/>
            <w:vAlign w:val="bottom"/>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lineRule="atLeast" w:line="141" w:before="0" w:after="0"/>
              <w:rPr/>
            </w:pPr>
            <w:r>
              <w:rPr/>
              <w:t> </w:t>
            </w:r>
          </w:p>
        </w:tc>
        <w:tc>
          <w:tcPr>
            <w:tcW w:w="1006" w:type="dxa"/>
            <w:tcBorders/>
            <w:shd w:fill="auto" w:val="clear"/>
            <w:vAlign w:val="bottom"/>
          </w:tcPr>
          <w:p>
            <w:pPr>
              <w:pStyle w:val="TableContents"/>
              <w:spacing w:lineRule="atLeast" w:line="141" w:before="0" w:after="0"/>
              <w:jc w:val="right"/>
              <w:rPr>
                <w:rFonts w:ascii="Times New Roman" w:hAnsi="Times New Roman"/>
                <w:sz w:val="15"/>
              </w:rPr>
            </w:pPr>
            <w:r>
              <w:rPr>
                <w:rFonts w:ascii="Times New Roman" w:hAnsi="Times New Roman"/>
                <w:sz w:val="15"/>
              </w:rPr>
              <w:t>12,331</w:t>
            </w:r>
          </w:p>
        </w:tc>
        <w:tc>
          <w:tcPr>
            <w:tcW w:w="60" w:type="dxa"/>
            <w:tcBorders/>
            <w:shd w:fill="auto" w:val="clear"/>
            <w:vAlign w:val="bottom"/>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lineRule="atLeast" w:line="141" w:before="0" w:after="0"/>
              <w:rPr/>
            </w:pPr>
            <w:r>
              <w:rPr/>
              <w:t> </w:t>
            </w:r>
          </w:p>
        </w:tc>
        <w:tc>
          <w:tcPr>
            <w:tcW w:w="1104" w:type="dxa"/>
            <w:tcBorders/>
            <w:shd w:fill="auto" w:val="clear"/>
            <w:vAlign w:val="bottom"/>
          </w:tcPr>
          <w:p>
            <w:pPr>
              <w:pStyle w:val="TableContents"/>
              <w:spacing w:lineRule="atLeast" w:line="141" w:before="0" w:after="0"/>
              <w:jc w:val="right"/>
              <w:rPr>
                <w:rFonts w:ascii="Times New Roman" w:hAnsi="Times New Roman"/>
                <w:sz w:val="15"/>
              </w:rPr>
            </w:pPr>
            <w:r>
              <w:rPr>
                <w:rFonts w:ascii="Times New Roman" w:hAnsi="Times New Roman"/>
                <w:sz w:val="15"/>
              </w:rPr>
              <w:t>12,331</w:t>
            </w:r>
          </w:p>
        </w:tc>
        <w:tc>
          <w:tcPr>
            <w:tcW w:w="110" w:type="dxa"/>
            <w:tcBorders/>
            <w:shd w:fill="auto" w:val="clear"/>
            <w:vAlign w:val="bottom"/>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lineRule="atLeast" w:line="141" w:before="0" w:after="0"/>
              <w:rPr/>
            </w:pPr>
            <w:r>
              <w:rPr/>
              <w:t> </w:t>
            </w:r>
          </w:p>
        </w:tc>
        <w:tc>
          <w:tcPr>
            <w:tcW w:w="1138" w:type="dxa"/>
            <w:tcBorders/>
            <w:shd w:fill="auto" w:val="clear"/>
            <w:vAlign w:val="bottom"/>
          </w:tcPr>
          <w:p>
            <w:pPr>
              <w:pStyle w:val="TableContents"/>
              <w:spacing w:lineRule="atLeast" w:line="141" w:before="0" w:after="0"/>
              <w:jc w:val="right"/>
              <w:rPr>
                <w:rFonts w:ascii="Times New Roman" w:hAnsi="Times New Roman"/>
                <w:sz w:val="15"/>
              </w:rPr>
            </w:pPr>
            <w:r>
              <w:rPr>
                <w:rFonts w:ascii="Times New Roman" w:hAnsi="Times New Roman"/>
                <w:sz w:val="15"/>
              </w:rPr>
              <w:t>0.9</w:t>
            </w:r>
          </w:p>
        </w:tc>
        <w:tc>
          <w:tcPr>
            <w:tcW w:w="185" w:type="dxa"/>
            <w:tcBorders/>
            <w:shd w:fill="auto" w:val="clear"/>
            <w:vAlign w:val="bottom"/>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Lucidworks, Inc.(12)</w:t>
            </w:r>
          </w:p>
        </w:tc>
        <w:tc>
          <w:tcPr>
            <w:tcW w:w="60" w:type="dxa"/>
            <w:tcBorders/>
            <w:shd w:fill="CCEEFF" w:val="clear"/>
            <w:vAlign w:val="bottom"/>
          </w:tcPr>
          <w:p>
            <w:pPr>
              <w:pStyle w:val="TableContents"/>
              <w:spacing w:before="0" w:after="283"/>
              <w:rPr/>
            </w:pPr>
            <w:r>
              <w:rPr/>
              <w:t> </w:t>
            </w:r>
          </w:p>
        </w:tc>
        <w:tc>
          <w:tcPr>
            <w:tcW w:w="294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Series F Preferred Shares (199,054 shares)</w:t>
            </w:r>
          </w:p>
        </w:tc>
        <w:tc>
          <w:tcPr>
            <w:tcW w:w="60" w:type="dxa"/>
            <w:tcBorders/>
            <w:shd w:fill="CCEEFF" w:val="clear"/>
            <w:vAlign w:val="bottom"/>
          </w:tcPr>
          <w:p>
            <w:pPr>
              <w:pStyle w:val="TableContents"/>
              <w:spacing w:before="0" w:after="283"/>
              <w:rPr/>
            </w:pPr>
            <w:r>
              <w:rPr/>
              <w:t> </w:t>
            </w:r>
          </w:p>
        </w:tc>
        <w:tc>
          <w:tcPr>
            <w:tcW w:w="91" w:type="dxa"/>
            <w:tcBorders/>
            <w:shd w:fill="CCEEFF" w:val="clear"/>
          </w:tcPr>
          <w:p>
            <w:pPr>
              <w:pStyle w:val="TableContents"/>
              <w:spacing w:lineRule="atLeast" w:line="141" w:before="0" w:after="0"/>
              <w:rPr/>
            </w:pPr>
            <w:r>
              <w:rPr/>
              <w:t> </w:t>
            </w:r>
          </w:p>
        </w:tc>
        <w:tc>
          <w:tcPr>
            <w:tcW w:w="108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8/2/2019</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67" w:type="dxa"/>
            <w:tcBorders/>
            <w:shd w:fill="CCEEFF" w:val="clear"/>
          </w:tcPr>
          <w:p>
            <w:pPr>
              <w:pStyle w:val="TableContents"/>
              <w:spacing w:before="0" w:after="283"/>
              <w:rPr>
                <w:sz w:val="4"/>
                <w:szCs w:val="4"/>
              </w:rPr>
            </w:pPr>
            <w:r>
              <w:rPr>
                <w:sz w:val="4"/>
                <w:szCs w:val="4"/>
              </w:rPr>
            </w:r>
          </w:p>
        </w:tc>
        <w:tc>
          <w:tcPr>
            <w:tcW w:w="973" w:type="dxa"/>
            <w:tcBorders/>
            <w:shd w:fill="CCEEFF" w:val="clear"/>
          </w:tcPr>
          <w:p>
            <w:pPr>
              <w:pStyle w:val="TableContents"/>
              <w:spacing w:before="0" w:after="283"/>
              <w:rPr>
                <w:sz w:val="4"/>
                <w:szCs w:val="4"/>
              </w:rPr>
            </w:pPr>
            <w:r>
              <w:rPr>
                <w:sz w:val="4"/>
                <w:szCs w:val="4"/>
              </w:rPr>
            </w:r>
          </w:p>
        </w:tc>
        <w:tc>
          <w:tcPr>
            <w:tcW w:w="18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68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94" w:type="dxa"/>
            <w:tcBorders/>
            <w:shd w:fill="CCEEFF" w:val="clear"/>
          </w:tcPr>
          <w:p>
            <w:pPr>
              <w:pStyle w:val="TableContents"/>
              <w:spacing w:lineRule="atLeast" w:line="141" w:before="0" w:after="0"/>
              <w:rPr/>
            </w:pPr>
            <w:r>
              <w:rPr/>
              <w:t> </w:t>
            </w:r>
          </w:p>
        </w:tc>
        <w:tc>
          <w:tcPr>
            <w:tcW w:w="1006"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800</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86" w:type="dxa"/>
            <w:tcBorders/>
            <w:shd w:fill="CCEEFF" w:val="clear"/>
          </w:tcPr>
          <w:p>
            <w:pPr>
              <w:pStyle w:val="TableContents"/>
              <w:spacing w:lineRule="atLeast" w:line="141" w:before="0" w:after="0"/>
              <w:rPr/>
            </w:pPr>
            <w:r>
              <w:rPr/>
              <w:t> </w:t>
            </w:r>
          </w:p>
        </w:tc>
        <w:tc>
          <w:tcPr>
            <w:tcW w:w="110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842</w:t>
            </w:r>
          </w:p>
        </w:tc>
        <w:tc>
          <w:tcPr>
            <w:tcW w:w="11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tcPr>
          <w:p>
            <w:pPr>
              <w:pStyle w:val="TableContents"/>
              <w:spacing w:lineRule="atLeast" w:line="141" w:before="0" w:after="0"/>
              <w:rPr/>
            </w:pPr>
            <w:r>
              <w:rPr/>
              <w:t> </w:t>
            </w:r>
          </w:p>
        </w:tc>
        <w:tc>
          <w:tcPr>
            <w:tcW w:w="1138"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0.1</w:t>
            </w:r>
          </w:p>
        </w:tc>
        <w:tc>
          <w:tcPr>
            <w:tcW w:w="18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Piano Software, Inc.(12)(13)</w:t>
            </w:r>
          </w:p>
        </w:tc>
        <w:tc>
          <w:tcPr>
            <w:tcW w:w="60" w:type="dxa"/>
            <w:tcBorders/>
            <w:shd w:fill="auto" w:val="clear"/>
            <w:vAlign w:val="bottom"/>
          </w:tcPr>
          <w:p>
            <w:pPr>
              <w:pStyle w:val="TableContents"/>
              <w:spacing w:before="0" w:after="283"/>
              <w:rPr/>
            </w:pPr>
            <w:r>
              <w:rPr/>
              <w:t> </w:t>
            </w:r>
          </w:p>
        </w:tc>
        <w:tc>
          <w:tcPr>
            <w:tcW w:w="294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Series C-1 Preferred Shares (418,527 shares)</w:t>
            </w:r>
          </w:p>
        </w:tc>
        <w:tc>
          <w:tcPr>
            <w:tcW w:w="60" w:type="dxa"/>
            <w:tcBorders/>
            <w:shd w:fill="auto" w:val="clear"/>
            <w:vAlign w:val="bottom"/>
          </w:tcPr>
          <w:p>
            <w:pPr>
              <w:pStyle w:val="TableContents"/>
              <w:spacing w:before="0" w:after="283"/>
              <w:rPr/>
            </w:pPr>
            <w:r>
              <w:rPr/>
              <w:t> </w:t>
            </w:r>
          </w:p>
        </w:tc>
        <w:tc>
          <w:tcPr>
            <w:tcW w:w="91" w:type="dxa"/>
            <w:tcBorders/>
            <w:shd w:fill="auto" w:val="clear"/>
          </w:tcPr>
          <w:p>
            <w:pPr>
              <w:pStyle w:val="TableContents"/>
              <w:spacing w:lineRule="atLeast" w:line="141" w:before="0" w:after="0"/>
              <w:rPr/>
            </w:pPr>
            <w:r>
              <w:rPr/>
              <w:t> </w:t>
            </w:r>
          </w:p>
        </w:tc>
        <w:tc>
          <w:tcPr>
            <w:tcW w:w="1084"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12/22/2021</w:t>
            </w:r>
          </w:p>
        </w:tc>
        <w:tc>
          <w:tcPr>
            <w:tcW w:w="6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67" w:type="dxa"/>
            <w:tcBorders/>
            <w:shd w:fill="auto" w:val="clear"/>
          </w:tcPr>
          <w:p>
            <w:pPr>
              <w:pStyle w:val="TableContents"/>
              <w:spacing w:before="0" w:after="283"/>
              <w:rPr>
                <w:sz w:val="4"/>
                <w:szCs w:val="4"/>
              </w:rPr>
            </w:pPr>
            <w:r>
              <w:rPr>
                <w:sz w:val="4"/>
                <w:szCs w:val="4"/>
              </w:rPr>
            </w:r>
          </w:p>
        </w:tc>
        <w:tc>
          <w:tcPr>
            <w:tcW w:w="973" w:type="dxa"/>
            <w:tcBorders/>
            <w:shd w:fill="auto" w:val="clear"/>
          </w:tcPr>
          <w:p>
            <w:pPr>
              <w:pStyle w:val="TableContents"/>
              <w:spacing w:before="0" w:after="283"/>
              <w:rPr>
                <w:sz w:val="4"/>
                <w:szCs w:val="4"/>
              </w:rPr>
            </w:pPr>
            <w:r>
              <w:rPr>
                <w:sz w:val="4"/>
                <w:szCs w:val="4"/>
              </w:rPr>
            </w:r>
          </w:p>
        </w:tc>
        <w:tc>
          <w:tcPr>
            <w:tcW w:w="1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tcPr>
          <w:p>
            <w:pPr>
              <w:pStyle w:val="TableContents"/>
              <w:spacing w:lineRule="atLeast" w:line="141" w:before="0" w:after="0"/>
              <w:rPr/>
            </w:pPr>
            <w:r>
              <w:rPr/>
              <w:t> </w:t>
            </w:r>
          </w:p>
        </w:tc>
        <w:tc>
          <w:tcPr>
            <w:tcW w:w="1006"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3,000</w:t>
            </w:r>
          </w:p>
        </w:tc>
        <w:tc>
          <w:tcPr>
            <w:tcW w:w="6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tcPr>
          <w:p>
            <w:pPr>
              <w:pStyle w:val="TableContents"/>
              <w:spacing w:lineRule="atLeast" w:line="141" w:before="0" w:after="0"/>
              <w:rPr/>
            </w:pPr>
            <w:r>
              <w:rPr/>
              <w:t> </w:t>
            </w:r>
          </w:p>
        </w:tc>
        <w:tc>
          <w:tcPr>
            <w:tcW w:w="1104"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3,000</w:t>
            </w:r>
          </w:p>
        </w:tc>
        <w:tc>
          <w:tcPr>
            <w:tcW w:w="11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tcPr>
          <w:p>
            <w:pPr>
              <w:pStyle w:val="TableContents"/>
              <w:spacing w:lineRule="atLeast" w:line="141" w:before="0" w:after="0"/>
              <w:rPr/>
            </w:pPr>
            <w:r>
              <w:rPr/>
              <w:t> </w:t>
            </w:r>
          </w:p>
        </w:tc>
        <w:tc>
          <w:tcPr>
            <w:tcW w:w="1138"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0.2</w:t>
            </w:r>
          </w:p>
        </w:tc>
        <w:tc>
          <w:tcPr>
            <w:tcW w:w="18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4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10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pBdr>
                <w:top w:val="single" w:sz="2" w:space="1" w:color="000000"/>
              </w:pBdr>
              <w:spacing w:before="0" w:after="0"/>
              <w:rPr/>
            </w:pPr>
            <w:r>
              <w:rPr/>
              <w:t> </w:t>
            </w:r>
          </w:p>
        </w:tc>
        <w:tc>
          <w:tcPr>
            <w:tcW w:w="100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pBdr>
                <w:top w:val="single" w:sz="2" w:space="1" w:color="000000"/>
              </w:pBdr>
              <w:spacing w:before="0" w:after="0"/>
              <w:rPr/>
            </w:pPr>
            <w:r>
              <w:rPr/>
              <w:t> </w:t>
            </w:r>
          </w:p>
        </w:tc>
        <w:tc>
          <w:tcPr>
            <w:tcW w:w="1104" w:type="dxa"/>
            <w:tcBorders/>
            <w:shd w:fill="auto" w:val="clear"/>
            <w:vAlign w:val="bottom"/>
          </w:tcPr>
          <w:p>
            <w:pPr>
              <w:pStyle w:val="TableContents"/>
              <w:pBdr>
                <w:top w:val="single" w:sz="2" w:space="1" w:color="000000"/>
              </w:pBdr>
              <w:spacing w:before="0" w:after="0"/>
              <w:rPr/>
            </w:pPr>
            <w:r>
              <w:rPr/>
              <w:t> </w:t>
            </w:r>
          </w:p>
        </w:tc>
        <w:tc>
          <w:tcPr>
            <w:tcW w:w="11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pBdr>
                <w:top w:val="single" w:sz="2" w:space="1" w:color="000000"/>
              </w:pBdr>
              <w:spacing w:before="0" w:after="0"/>
              <w:rPr/>
            </w:pPr>
            <w:r>
              <w:rPr/>
              <w:t> </w:t>
            </w:r>
          </w:p>
        </w:tc>
        <w:tc>
          <w:tcPr>
            <w:tcW w:w="1138" w:type="dxa"/>
            <w:tcBorders/>
            <w:shd w:fill="auto" w:val="clear"/>
            <w:vAlign w:val="bottom"/>
          </w:tcPr>
          <w:p>
            <w:pPr>
              <w:pStyle w:val="TableContents"/>
              <w:pBdr>
                <w:top w:val="single" w:sz="2" w:space="1" w:color="000000"/>
              </w:pBdr>
              <w:spacing w:before="0" w:after="0"/>
              <w:rPr/>
            </w:pPr>
            <w:r>
              <w:rPr/>
              <w:t> </w:t>
            </w:r>
          </w:p>
        </w:tc>
        <w:tc>
          <w:tcPr>
            <w:tcW w:w="185" w:type="dxa"/>
            <w:tcBorders/>
            <w:shd w:fill="auto" w:val="clear"/>
            <w:vAlign w:val="center"/>
          </w:tcPr>
          <w:p>
            <w:pPr>
              <w:pStyle w:val="TableContents"/>
              <w:spacing w:before="0" w:after="283"/>
              <w:rPr/>
            </w:pPr>
            <w:r>
              <w:rPr/>
              <w:t> </w:t>
            </w:r>
          </w:p>
        </w:tc>
      </w:tr>
      <w:tr>
        <w:trPr/>
        <w:tc>
          <w:tcPr>
            <w:tcW w:w="209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94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91" w:type="dxa"/>
            <w:tcBorders/>
            <w:shd w:fill="CCEEFF" w:val="clear"/>
          </w:tcPr>
          <w:p>
            <w:pPr>
              <w:pStyle w:val="TableContents"/>
              <w:spacing w:before="0" w:after="283"/>
              <w:rPr>
                <w:sz w:val="4"/>
                <w:szCs w:val="4"/>
              </w:rPr>
            </w:pPr>
            <w:r>
              <w:rPr>
                <w:sz w:val="4"/>
                <w:szCs w:val="4"/>
              </w:rPr>
            </w:r>
          </w:p>
        </w:tc>
        <w:tc>
          <w:tcPr>
            <w:tcW w:w="1084" w:type="dxa"/>
            <w:tcBorders/>
            <w:shd w:fill="CCEEFF" w:val="clear"/>
          </w:tcPr>
          <w:p>
            <w:pPr>
              <w:pStyle w:val="TableContents"/>
              <w:spacing w:before="0" w:after="283"/>
              <w:rPr>
                <w:sz w:val="4"/>
                <w:szCs w:val="4"/>
              </w:rPr>
            </w:pPr>
            <w:r>
              <w:rPr>
                <w:sz w:val="4"/>
                <w:szCs w:val="4"/>
              </w:rPr>
            </w:r>
          </w:p>
        </w:tc>
        <w:tc>
          <w:tcPr>
            <w:tcW w:w="6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7" w:type="dxa"/>
            <w:tcBorders/>
            <w:shd w:fill="CCEEFF" w:val="clear"/>
          </w:tcPr>
          <w:p>
            <w:pPr>
              <w:pStyle w:val="TableContents"/>
              <w:spacing w:before="0" w:after="283"/>
              <w:rPr>
                <w:sz w:val="4"/>
                <w:szCs w:val="4"/>
              </w:rPr>
            </w:pPr>
            <w:r>
              <w:rPr>
                <w:sz w:val="4"/>
                <w:szCs w:val="4"/>
              </w:rPr>
            </w:r>
          </w:p>
        </w:tc>
        <w:tc>
          <w:tcPr>
            <w:tcW w:w="973" w:type="dxa"/>
            <w:tcBorders/>
            <w:shd w:fill="CCEEFF" w:val="clear"/>
          </w:tcPr>
          <w:p>
            <w:pPr>
              <w:pStyle w:val="TableContents"/>
              <w:spacing w:before="0" w:after="283"/>
              <w:rPr>
                <w:sz w:val="4"/>
                <w:szCs w:val="4"/>
              </w:rPr>
            </w:pPr>
            <w:r>
              <w:rPr>
                <w:sz w:val="4"/>
                <w:szCs w:val="4"/>
              </w:rPr>
            </w:r>
          </w:p>
        </w:tc>
        <w:tc>
          <w:tcPr>
            <w:tcW w:w="18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68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94" w:type="dxa"/>
            <w:tcBorders/>
            <w:shd w:fill="CCEEFF" w:val="clear"/>
          </w:tcPr>
          <w:p>
            <w:pPr>
              <w:pStyle w:val="TableContents"/>
              <w:spacing w:lineRule="atLeast" w:line="141" w:before="0" w:after="0"/>
              <w:rPr/>
            </w:pPr>
            <w:r>
              <w:rPr/>
              <w:t> </w:t>
            </w:r>
          </w:p>
        </w:tc>
        <w:tc>
          <w:tcPr>
            <w:tcW w:w="1006"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16,131</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86" w:type="dxa"/>
            <w:tcBorders/>
            <w:shd w:fill="CCEEFF" w:val="clear"/>
          </w:tcPr>
          <w:p>
            <w:pPr>
              <w:pStyle w:val="TableContents"/>
              <w:spacing w:lineRule="atLeast" w:line="141" w:before="0" w:after="0"/>
              <w:rPr/>
            </w:pPr>
            <w:r>
              <w:rPr/>
              <w:t> </w:t>
            </w:r>
          </w:p>
        </w:tc>
        <w:tc>
          <w:tcPr>
            <w:tcW w:w="110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16,173</w:t>
            </w:r>
          </w:p>
        </w:tc>
        <w:tc>
          <w:tcPr>
            <w:tcW w:w="11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tcPr>
          <w:p>
            <w:pPr>
              <w:pStyle w:val="TableContents"/>
              <w:spacing w:lineRule="atLeast" w:line="141" w:before="0" w:after="0"/>
              <w:rPr/>
            </w:pPr>
            <w:r>
              <w:rPr/>
              <w:t> </w:t>
            </w:r>
          </w:p>
        </w:tc>
        <w:tc>
          <w:tcPr>
            <w:tcW w:w="1138"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1.2</w:t>
            </w:r>
          </w:p>
        </w:tc>
        <w:tc>
          <w:tcPr>
            <w:tcW w:w="18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4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10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pBdr>
                <w:top w:val="single" w:sz="2" w:space="1" w:color="000000"/>
              </w:pBdr>
              <w:spacing w:before="0" w:after="0"/>
              <w:rPr/>
            </w:pPr>
            <w:r>
              <w:rPr/>
              <w:t> </w:t>
            </w:r>
          </w:p>
        </w:tc>
        <w:tc>
          <w:tcPr>
            <w:tcW w:w="100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pBdr>
                <w:top w:val="single" w:sz="2" w:space="1" w:color="000000"/>
              </w:pBdr>
              <w:spacing w:before="0" w:after="0"/>
              <w:rPr/>
            </w:pPr>
            <w:r>
              <w:rPr/>
              <w:t> </w:t>
            </w:r>
          </w:p>
        </w:tc>
        <w:tc>
          <w:tcPr>
            <w:tcW w:w="1104" w:type="dxa"/>
            <w:tcBorders/>
            <w:shd w:fill="auto" w:val="clear"/>
            <w:vAlign w:val="bottom"/>
          </w:tcPr>
          <w:p>
            <w:pPr>
              <w:pStyle w:val="TableContents"/>
              <w:pBdr>
                <w:top w:val="single" w:sz="2" w:space="1" w:color="000000"/>
              </w:pBdr>
              <w:spacing w:before="0" w:after="0"/>
              <w:rPr/>
            </w:pPr>
            <w:r>
              <w:rPr/>
              <w:t> </w:t>
            </w:r>
          </w:p>
        </w:tc>
        <w:tc>
          <w:tcPr>
            <w:tcW w:w="11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pBdr>
                <w:top w:val="single" w:sz="2" w:space="1" w:color="000000"/>
              </w:pBdr>
              <w:spacing w:before="0" w:after="0"/>
              <w:rPr/>
            </w:pPr>
            <w:r>
              <w:rPr/>
              <w:t> </w:t>
            </w:r>
          </w:p>
        </w:tc>
        <w:tc>
          <w:tcPr>
            <w:tcW w:w="1138" w:type="dxa"/>
            <w:tcBorders/>
            <w:shd w:fill="auto" w:val="clear"/>
            <w:vAlign w:val="bottom"/>
          </w:tcPr>
          <w:p>
            <w:pPr>
              <w:pStyle w:val="TableContents"/>
              <w:pBdr>
                <w:top w:val="single" w:sz="2" w:space="1" w:color="000000"/>
              </w:pBdr>
              <w:spacing w:before="0" w:after="0"/>
              <w:rPr/>
            </w:pPr>
            <w:r>
              <w:rPr/>
              <w:t> </w:t>
            </w:r>
          </w:p>
        </w:tc>
        <w:tc>
          <w:tcPr>
            <w:tcW w:w="185" w:type="dxa"/>
            <w:tcBorders/>
            <w:shd w:fill="auto" w:val="clear"/>
            <w:vAlign w:val="center"/>
          </w:tcPr>
          <w:p>
            <w:pPr>
              <w:pStyle w:val="TableContents"/>
              <w:spacing w:before="0" w:after="283"/>
              <w:rPr/>
            </w:pPr>
            <w:r>
              <w:rPr/>
              <w:t> </w:t>
            </w:r>
          </w:p>
        </w:tc>
      </w:tr>
      <w:tr>
        <w:trPr/>
        <w:tc>
          <w:tcPr>
            <w:tcW w:w="2090" w:type="dxa"/>
            <w:tcBorders/>
            <w:shd w:fill="auto" w:val="clear"/>
          </w:tcPr>
          <w:p>
            <w:pPr>
              <w:pStyle w:val="TableContents"/>
              <w:spacing w:lineRule="atLeast" w:line="141" w:before="0" w:after="0"/>
              <w:rPr>
                <w:rFonts w:ascii="Times New Roman" w:hAnsi="Times New Roman"/>
                <w:b/>
                <w:sz w:val="15"/>
              </w:rPr>
            </w:pPr>
            <w:r>
              <w:rPr>
                <w:rFonts w:ascii="Times New Roman" w:hAnsi="Times New Roman"/>
                <w:b/>
                <w:sz w:val="15"/>
              </w:rPr>
              <w:t>Marketing Services</w:t>
            </w:r>
          </w:p>
        </w:tc>
        <w:tc>
          <w:tcPr>
            <w:tcW w:w="60" w:type="dxa"/>
            <w:tcBorders/>
            <w:shd w:fill="auto" w:val="clear"/>
            <w:vAlign w:val="bottom"/>
          </w:tcPr>
          <w:p>
            <w:pPr>
              <w:pStyle w:val="TableContents"/>
              <w:spacing w:before="0" w:after="283"/>
              <w:rPr/>
            </w:pPr>
            <w:r>
              <w:rPr/>
              <w:t> </w:t>
            </w:r>
          </w:p>
        </w:tc>
        <w:tc>
          <w:tcPr>
            <w:tcW w:w="294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10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sz w:val="4"/>
                <w:szCs w:val="4"/>
              </w:rPr>
            </w:pPr>
            <w:r>
              <w:rPr>
                <w:sz w:val="4"/>
                <w:szCs w:val="4"/>
              </w:rPr>
            </w:r>
          </w:p>
        </w:tc>
        <w:tc>
          <w:tcPr>
            <w:tcW w:w="100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sz w:val="4"/>
                <w:szCs w:val="4"/>
              </w:rPr>
            </w:pPr>
            <w:r>
              <w:rPr>
                <w:sz w:val="4"/>
                <w:szCs w:val="4"/>
              </w:rPr>
            </w:r>
          </w:p>
        </w:tc>
        <w:tc>
          <w:tcPr>
            <w:tcW w:w="1104" w:type="dxa"/>
            <w:tcBorders/>
            <w:shd w:fill="auto" w:val="clear"/>
            <w:vAlign w:val="bottom"/>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sz w:val="4"/>
                <w:szCs w:val="4"/>
              </w:rPr>
            </w:pPr>
            <w:r>
              <w:rPr>
                <w:sz w:val="4"/>
                <w:szCs w:val="4"/>
              </w:rPr>
            </w:r>
          </w:p>
        </w:tc>
        <w:tc>
          <w:tcPr>
            <w:tcW w:w="1138"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r>
      <w:tr>
        <w:trPr/>
        <w:tc>
          <w:tcPr>
            <w:tcW w:w="2090"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Validity, Inc.(12)</w:t>
            </w:r>
          </w:p>
        </w:tc>
        <w:tc>
          <w:tcPr>
            <w:tcW w:w="60" w:type="dxa"/>
            <w:tcBorders/>
            <w:shd w:fill="CCEEFF" w:val="clear"/>
            <w:vAlign w:val="bottom"/>
          </w:tcPr>
          <w:p>
            <w:pPr>
              <w:pStyle w:val="TableContents"/>
              <w:spacing w:before="0" w:after="283"/>
              <w:rPr/>
            </w:pPr>
            <w:r>
              <w:rPr/>
              <w:t> </w:t>
            </w:r>
          </w:p>
        </w:tc>
        <w:tc>
          <w:tcPr>
            <w:tcW w:w="294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Series A Preferred Shares (3,840,000 shares)</w:t>
            </w:r>
          </w:p>
        </w:tc>
        <w:tc>
          <w:tcPr>
            <w:tcW w:w="60" w:type="dxa"/>
            <w:tcBorders/>
            <w:shd w:fill="CCEEFF" w:val="clear"/>
            <w:vAlign w:val="bottom"/>
          </w:tcPr>
          <w:p>
            <w:pPr>
              <w:pStyle w:val="TableContents"/>
              <w:spacing w:before="0" w:after="283"/>
              <w:rPr/>
            </w:pPr>
            <w:r>
              <w:rPr/>
              <w:t> </w:t>
            </w:r>
          </w:p>
        </w:tc>
        <w:tc>
          <w:tcPr>
            <w:tcW w:w="91" w:type="dxa"/>
            <w:tcBorders/>
            <w:shd w:fill="CCEEFF" w:val="clear"/>
          </w:tcPr>
          <w:p>
            <w:pPr>
              <w:pStyle w:val="TableContents"/>
              <w:spacing w:lineRule="atLeast" w:line="141" w:before="0" w:after="0"/>
              <w:rPr/>
            </w:pPr>
            <w:r>
              <w:rPr/>
              <w:t> </w:t>
            </w:r>
          </w:p>
        </w:tc>
        <w:tc>
          <w:tcPr>
            <w:tcW w:w="108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5/31/2018</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67" w:type="dxa"/>
            <w:tcBorders/>
            <w:shd w:fill="CCEEFF" w:val="clear"/>
          </w:tcPr>
          <w:p>
            <w:pPr>
              <w:pStyle w:val="TableContents"/>
              <w:spacing w:before="0" w:after="283"/>
              <w:rPr>
                <w:sz w:val="4"/>
                <w:szCs w:val="4"/>
              </w:rPr>
            </w:pPr>
            <w:r>
              <w:rPr>
                <w:sz w:val="4"/>
                <w:szCs w:val="4"/>
              </w:rPr>
            </w:r>
          </w:p>
        </w:tc>
        <w:tc>
          <w:tcPr>
            <w:tcW w:w="973" w:type="dxa"/>
            <w:tcBorders/>
            <w:shd w:fill="CCEEFF" w:val="clear"/>
          </w:tcPr>
          <w:p>
            <w:pPr>
              <w:pStyle w:val="TableContents"/>
              <w:spacing w:before="0" w:after="283"/>
              <w:rPr>
                <w:sz w:val="4"/>
                <w:szCs w:val="4"/>
              </w:rPr>
            </w:pPr>
            <w:r>
              <w:rPr>
                <w:sz w:val="4"/>
                <w:szCs w:val="4"/>
              </w:rPr>
            </w:r>
          </w:p>
        </w:tc>
        <w:tc>
          <w:tcPr>
            <w:tcW w:w="18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68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94" w:type="dxa"/>
            <w:tcBorders/>
            <w:shd w:fill="CCEEFF" w:val="clear"/>
          </w:tcPr>
          <w:p>
            <w:pPr>
              <w:pStyle w:val="TableContents"/>
              <w:spacing w:lineRule="atLeast" w:line="141" w:before="0" w:after="0"/>
              <w:rPr/>
            </w:pPr>
            <w:r>
              <w:rPr/>
              <w:t> </w:t>
            </w:r>
          </w:p>
        </w:tc>
        <w:tc>
          <w:tcPr>
            <w:tcW w:w="1006"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3,840</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86" w:type="dxa"/>
            <w:tcBorders/>
            <w:shd w:fill="CCEEFF" w:val="clear"/>
          </w:tcPr>
          <w:p>
            <w:pPr>
              <w:pStyle w:val="TableContents"/>
              <w:spacing w:lineRule="atLeast" w:line="141" w:before="0" w:after="0"/>
              <w:rPr/>
            </w:pPr>
            <w:r>
              <w:rPr/>
              <w:t> </w:t>
            </w:r>
          </w:p>
        </w:tc>
        <w:tc>
          <w:tcPr>
            <w:tcW w:w="110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11,520</w:t>
            </w:r>
          </w:p>
        </w:tc>
        <w:tc>
          <w:tcPr>
            <w:tcW w:w="11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tcPr>
          <w:p>
            <w:pPr>
              <w:pStyle w:val="TableContents"/>
              <w:spacing w:lineRule="atLeast" w:line="141" w:before="0" w:after="0"/>
              <w:rPr/>
            </w:pPr>
            <w:r>
              <w:rPr/>
              <w:t> </w:t>
            </w:r>
          </w:p>
        </w:tc>
        <w:tc>
          <w:tcPr>
            <w:tcW w:w="1138"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0.9</w:t>
            </w:r>
          </w:p>
        </w:tc>
        <w:tc>
          <w:tcPr>
            <w:tcW w:w="18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auto" w:val="clear"/>
          </w:tcPr>
          <w:p>
            <w:pPr>
              <w:pStyle w:val="TableContents"/>
              <w:spacing w:lineRule="atLeast" w:line="141" w:before="0" w:after="0"/>
              <w:rPr>
                <w:rFonts w:ascii="Times New Roman" w:hAnsi="Times New Roman"/>
                <w:b/>
                <w:sz w:val="15"/>
              </w:rPr>
            </w:pPr>
            <w:r>
              <w:rPr>
                <w:rFonts w:ascii="Times New Roman" w:hAnsi="Times New Roman"/>
                <w:b/>
                <w:sz w:val="15"/>
              </w:rPr>
              <w:t>Oil, Gas and Consumable Fuels</w:t>
            </w:r>
          </w:p>
        </w:tc>
        <w:tc>
          <w:tcPr>
            <w:tcW w:w="60" w:type="dxa"/>
            <w:tcBorders/>
            <w:shd w:fill="auto" w:val="clear"/>
            <w:vAlign w:val="bottom"/>
          </w:tcPr>
          <w:p>
            <w:pPr>
              <w:pStyle w:val="TableContents"/>
              <w:spacing w:before="0" w:after="283"/>
              <w:rPr/>
            </w:pPr>
            <w:r>
              <w:rPr/>
              <w:t> </w:t>
            </w:r>
          </w:p>
        </w:tc>
        <w:tc>
          <w:tcPr>
            <w:tcW w:w="294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10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sz w:val="4"/>
                <w:szCs w:val="4"/>
              </w:rPr>
            </w:pPr>
            <w:r>
              <w:rPr>
                <w:sz w:val="4"/>
                <w:szCs w:val="4"/>
              </w:rPr>
            </w:r>
          </w:p>
        </w:tc>
        <w:tc>
          <w:tcPr>
            <w:tcW w:w="100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sz w:val="4"/>
                <w:szCs w:val="4"/>
              </w:rPr>
            </w:pPr>
            <w:r>
              <w:rPr>
                <w:sz w:val="4"/>
                <w:szCs w:val="4"/>
              </w:rPr>
            </w:r>
          </w:p>
        </w:tc>
        <w:tc>
          <w:tcPr>
            <w:tcW w:w="1104" w:type="dxa"/>
            <w:tcBorders/>
            <w:shd w:fill="auto" w:val="clear"/>
            <w:vAlign w:val="bottom"/>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sz w:val="4"/>
                <w:szCs w:val="4"/>
              </w:rPr>
            </w:pPr>
            <w:r>
              <w:rPr>
                <w:sz w:val="4"/>
                <w:szCs w:val="4"/>
              </w:rPr>
            </w:r>
          </w:p>
        </w:tc>
        <w:tc>
          <w:tcPr>
            <w:tcW w:w="1138"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r>
      <w:tr>
        <w:trPr/>
        <w:tc>
          <w:tcPr>
            <w:tcW w:w="2090"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Murchison Oil and Gas,</w:t>
              <w:br/>
              <w:t>LLC(13)(14)</w:t>
            </w:r>
          </w:p>
        </w:tc>
        <w:tc>
          <w:tcPr>
            <w:tcW w:w="60" w:type="dxa"/>
            <w:tcBorders/>
            <w:shd w:fill="CCEEFF" w:val="clear"/>
            <w:vAlign w:val="bottom"/>
          </w:tcPr>
          <w:p>
            <w:pPr>
              <w:pStyle w:val="TableContents"/>
              <w:spacing w:before="0" w:after="283"/>
              <w:rPr/>
            </w:pPr>
            <w:r>
              <w:rPr/>
              <w:t> </w:t>
            </w:r>
          </w:p>
        </w:tc>
        <w:tc>
          <w:tcPr>
            <w:tcW w:w="2945" w:type="dxa"/>
            <w:tcBorders/>
            <w:shd w:fill="CCEEFF" w:val="clear"/>
            <w:vAlign w:val="bottom"/>
          </w:tcPr>
          <w:p>
            <w:pPr>
              <w:pStyle w:val="TableContents"/>
              <w:spacing w:lineRule="atLeast" w:line="141" w:before="0" w:after="0"/>
              <w:rPr>
                <w:rFonts w:ascii="Times New Roman" w:hAnsi="Times New Roman"/>
                <w:sz w:val="15"/>
              </w:rPr>
            </w:pPr>
            <w:r>
              <w:rPr>
                <w:rFonts w:ascii="Times New Roman" w:hAnsi="Times New Roman"/>
                <w:sz w:val="15"/>
              </w:rPr>
              <w:t>13,355 Preferred Units</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lineRule="atLeast" w:line="141" w:before="0" w:after="0"/>
              <w:rPr/>
            </w:pPr>
            <w:r>
              <w:rPr/>
              <w:t> </w:t>
            </w:r>
          </w:p>
        </w:tc>
        <w:tc>
          <w:tcPr>
            <w:tcW w:w="1084" w:type="dxa"/>
            <w:tcBorders/>
            <w:shd w:fill="CCEEFF" w:val="clear"/>
            <w:vAlign w:val="bottom"/>
          </w:tcPr>
          <w:p>
            <w:pPr>
              <w:pStyle w:val="TableContents"/>
              <w:spacing w:lineRule="atLeast" w:line="141" w:before="0" w:after="0"/>
              <w:jc w:val="right"/>
              <w:rPr>
                <w:rFonts w:ascii="Times New Roman" w:hAnsi="Times New Roman"/>
                <w:sz w:val="15"/>
              </w:rPr>
            </w:pPr>
            <w:r>
              <w:rPr>
                <w:rFonts w:ascii="Times New Roman" w:hAnsi="Times New Roman"/>
                <w:sz w:val="15"/>
              </w:rPr>
              <w:t>6/30/2022</w:t>
            </w:r>
          </w:p>
        </w:tc>
        <w:tc>
          <w:tcPr>
            <w:tcW w:w="60" w:type="dxa"/>
            <w:tcBorders/>
            <w:shd w:fill="CCEEFF" w:val="clear"/>
            <w:vAlign w:val="bottom"/>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67" w:type="dxa"/>
            <w:tcBorders/>
            <w:shd w:fill="CCEEFF" w:val="clear"/>
            <w:vAlign w:val="bottom"/>
          </w:tcPr>
          <w:p>
            <w:pPr>
              <w:pStyle w:val="TableContents"/>
              <w:spacing w:before="0" w:after="283"/>
              <w:rPr>
                <w:sz w:val="4"/>
                <w:szCs w:val="4"/>
              </w:rPr>
            </w:pPr>
            <w:r>
              <w:rPr>
                <w:sz w:val="4"/>
                <w:szCs w:val="4"/>
              </w:rPr>
            </w:r>
          </w:p>
        </w:tc>
        <w:tc>
          <w:tcPr>
            <w:tcW w:w="973" w:type="dxa"/>
            <w:tcBorders/>
            <w:shd w:fill="CCEEFF" w:val="clear"/>
            <w:vAlign w:val="bottom"/>
          </w:tcPr>
          <w:p>
            <w:pPr>
              <w:pStyle w:val="TableContents"/>
              <w:spacing w:before="0" w:after="283"/>
              <w:rPr>
                <w:sz w:val="4"/>
                <w:szCs w:val="4"/>
              </w:rPr>
            </w:pPr>
            <w:r>
              <w:rPr>
                <w:sz w:val="4"/>
                <w:szCs w:val="4"/>
              </w:rPr>
            </w:r>
          </w:p>
        </w:tc>
        <w:tc>
          <w:tcPr>
            <w:tcW w:w="18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68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94" w:type="dxa"/>
            <w:tcBorders/>
            <w:shd w:fill="CCEEFF" w:val="clear"/>
            <w:vAlign w:val="bottom"/>
          </w:tcPr>
          <w:p>
            <w:pPr>
              <w:pStyle w:val="TableContents"/>
              <w:spacing w:lineRule="atLeast" w:line="141" w:before="0" w:after="0"/>
              <w:rPr/>
            </w:pPr>
            <w:r>
              <w:rPr/>
              <w:t> </w:t>
            </w:r>
          </w:p>
        </w:tc>
        <w:tc>
          <w:tcPr>
            <w:tcW w:w="1006" w:type="dxa"/>
            <w:tcBorders/>
            <w:shd w:fill="CCEEFF" w:val="clear"/>
            <w:vAlign w:val="bottom"/>
          </w:tcPr>
          <w:p>
            <w:pPr>
              <w:pStyle w:val="TableContents"/>
              <w:spacing w:lineRule="atLeast" w:line="141" w:before="0" w:after="0"/>
              <w:jc w:val="right"/>
              <w:rPr>
                <w:rFonts w:ascii="Times New Roman" w:hAnsi="Times New Roman"/>
                <w:sz w:val="15"/>
              </w:rPr>
            </w:pPr>
            <w:r>
              <w:rPr>
                <w:rFonts w:ascii="Times New Roman" w:hAnsi="Times New Roman"/>
                <w:sz w:val="15"/>
              </w:rPr>
              <w:t>13,355</w:t>
            </w:r>
          </w:p>
        </w:tc>
        <w:tc>
          <w:tcPr>
            <w:tcW w:w="60" w:type="dxa"/>
            <w:tcBorders/>
            <w:shd w:fill="CCEEFF" w:val="clear"/>
            <w:vAlign w:val="bottom"/>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86" w:type="dxa"/>
            <w:tcBorders/>
            <w:shd w:fill="CCEEFF" w:val="clear"/>
            <w:vAlign w:val="bottom"/>
          </w:tcPr>
          <w:p>
            <w:pPr>
              <w:pStyle w:val="TableContents"/>
              <w:spacing w:lineRule="atLeast" w:line="141" w:before="0" w:after="0"/>
              <w:rPr/>
            </w:pPr>
            <w:r>
              <w:rPr/>
              <w:t> </w:t>
            </w:r>
          </w:p>
        </w:tc>
        <w:tc>
          <w:tcPr>
            <w:tcW w:w="1104" w:type="dxa"/>
            <w:tcBorders/>
            <w:shd w:fill="CCEEFF" w:val="clear"/>
            <w:vAlign w:val="bottom"/>
          </w:tcPr>
          <w:p>
            <w:pPr>
              <w:pStyle w:val="TableContents"/>
              <w:spacing w:lineRule="atLeast" w:line="141" w:before="0" w:after="0"/>
              <w:jc w:val="right"/>
              <w:rPr>
                <w:rFonts w:ascii="Times New Roman" w:hAnsi="Times New Roman"/>
                <w:sz w:val="15"/>
              </w:rPr>
            </w:pPr>
            <w:r>
              <w:rPr>
                <w:rFonts w:ascii="Times New Roman" w:hAnsi="Times New Roman"/>
                <w:sz w:val="15"/>
              </w:rPr>
              <w:t>13,355</w:t>
            </w:r>
          </w:p>
        </w:tc>
        <w:tc>
          <w:tcPr>
            <w:tcW w:w="110" w:type="dxa"/>
            <w:tcBorders/>
            <w:shd w:fill="CCEEFF" w:val="clear"/>
            <w:vAlign w:val="bottom"/>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lineRule="atLeast" w:line="141" w:before="0" w:after="0"/>
              <w:rPr/>
            </w:pPr>
            <w:r>
              <w:rPr/>
              <w:t> </w:t>
            </w:r>
          </w:p>
        </w:tc>
        <w:tc>
          <w:tcPr>
            <w:tcW w:w="1138" w:type="dxa"/>
            <w:tcBorders/>
            <w:shd w:fill="CCEEFF" w:val="clear"/>
            <w:vAlign w:val="bottom"/>
          </w:tcPr>
          <w:p>
            <w:pPr>
              <w:pStyle w:val="TableContents"/>
              <w:spacing w:lineRule="atLeast" w:line="141" w:before="0" w:after="0"/>
              <w:jc w:val="right"/>
              <w:rPr>
                <w:rFonts w:ascii="Times New Roman" w:hAnsi="Times New Roman"/>
                <w:sz w:val="15"/>
              </w:rPr>
            </w:pPr>
            <w:r>
              <w:rPr>
                <w:rFonts w:ascii="Times New Roman" w:hAnsi="Times New Roman"/>
                <w:sz w:val="15"/>
              </w:rPr>
              <w:t>1.0</w:t>
            </w:r>
          </w:p>
        </w:tc>
        <w:tc>
          <w:tcPr>
            <w:tcW w:w="185" w:type="dxa"/>
            <w:tcBorders/>
            <w:shd w:fill="CCEEFF" w:val="clear"/>
            <w:vAlign w:val="bottom"/>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TRP Assets, LLC(12)(13)(14)</w:t>
            </w:r>
          </w:p>
        </w:tc>
        <w:tc>
          <w:tcPr>
            <w:tcW w:w="60" w:type="dxa"/>
            <w:tcBorders/>
            <w:shd w:fill="auto" w:val="clear"/>
            <w:vAlign w:val="bottom"/>
          </w:tcPr>
          <w:p>
            <w:pPr>
              <w:pStyle w:val="TableContents"/>
              <w:spacing w:before="0" w:after="283"/>
              <w:rPr/>
            </w:pPr>
            <w:r>
              <w:rPr/>
              <w:t> </w:t>
            </w:r>
          </w:p>
        </w:tc>
        <w:tc>
          <w:tcPr>
            <w:tcW w:w="294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Partnership Interest (1.89% ownership)</w:t>
            </w:r>
          </w:p>
        </w:tc>
        <w:tc>
          <w:tcPr>
            <w:tcW w:w="60" w:type="dxa"/>
            <w:tcBorders/>
            <w:shd w:fill="auto" w:val="clear"/>
            <w:vAlign w:val="bottom"/>
          </w:tcPr>
          <w:p>
            <w:pPr>
              <w:pStyle w:val="TableContents"/>
              <w:spacing w:before="0" w:after="283"/>
              <w:rPr/>
            </w:pPr>
            <w:r>
              <w:rPr/>
              <w:t> </w:t>
            </w:r>
          </w:p>
        </w:tc>
        <w:tc>
          <w:tcPr>
            <w:tcW w:w="91" w:type="dxa"/>
            <w:tcBorders/>
            <w:shd w:fill="auto" w:val="clear"/>
          </w:tcPr>
          <w:p>
            <w:pPr>
              <w:pStyle w:val="TableContents"/>
              <w:spacing w:lineRule="atLeast" w:line="141" w:before="0" w:after="0"/>
              <w:rPr/>
            </w:pPr>
            <w:r>
              <w:rPr/>
              <w:t> </w:t>
            </w:r>
          </w:p>
        </w:tc>
        <w:tc>
          <w:tcPr>
            <w:tcW w:w="1084"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8/25/2022</w:t>
            </w:r>
          </w:p>
        </w:tc>
        <w:tc>
          <w:tcPr>
            <w:tcW w:w="6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67" w:type="dxa"/>
            <w:tcBorders/>
            <w:shd w:fill="auto" w:val="clear"/>
          </w:tcPr>
          <w:p>
            <w:pPr>
              <w:pStyle w:val="TableContents"/>
              <w:spacing w:before="0" w:after="283"/>
              <w:rPr>
                <w:sz w:val="4"/>
                <w:szCs w:val="4"/>
              </w:rPr>
            </w:pPr>
            <w:r>
              <w:rPr>
                <w:sz w:val="4"/>
                <w:szCs w:val="4"/>
              </w:rPr>
            </w:r>
          </w:p>
        </w:tc>
        <w:tc>
          <w:tcPr>
            <w:tcW w:w="973" w:type="dxa"/>
            <w:tcBorders/>
            <w:shd w:fill="auto" w:val="clear"/>
          </w:tcPr>
          <w:p>
            <w:pPr>
              <w:pStyle w:val="TableContents"/>
              <w:spacing w:before="0" w:after="283"/>
              <w:rPr>
                <w:sz w:val="4"/>
                <w:szCs w:val="4"/>
              </w:rPr>
            </w:pPr>
            <w:r>
              <w:rPr>
                <w:sz w:val="4"/>
                <w:szCs w:val="4"/>
              </w:rPr>
            </w:r>
          </w:p>
        </w:tc>
        <w:tc>
          <w:tcPr>
            <w:tcW w:w="1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tcPr>
          <w:p>
            <w:pPr>
              <w:pStyle w:val="TableContents"/>
              <w:spacing w:lineRule="atLeast" w:line="141" w:before="0" w:after="0"/>
              <w:rPr/>
            </w:pPr>
            <w:r>
              <w:rPr/>
              <w:t> </w:t>
            </w:r>
          </w:p>
        </w:tc>
        <w:tc>
          <w:tcPr>
            <w:tcW w:w="1006"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8,058</w:t>
            </w:r>
          </w:p>
        </w:tc>
        <w:tc>
          <w:tcPr>
            <w:tcW w:w="6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tcPr>
          <w:p>
            <w:pPr>
              <w:pStyle w:val="TableContents"/>
              <w:spacing w:lineRule="atLeast" w:line="141" w:before="0" w:after="0"/>
              <w:rPr/>
            </w:pPr>
            <w:r>
              <w:rPr/>
              <w:t> </w:t>
            </w:r>
          </w:p>
        </w:tc>
        <w:tc>
          <w:tcPr>
            <w:tcW w:w="1104"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8,058</w:t>
            </w:r>
          </w:p>
        </w:tc>
        <w:tc>
          <w:tcPr>
            <w:tcW w:w="11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tcPr>
          <w:p>
            <w:pPr>
              <w:pStyle w:val="TableContents"/>
              <w:spacing w:lineRule="atLeast" w:line="141" w:before="0" w:after="0"/>
              <w:rPr/>
            </w:pPr>
            <w:r>
              <w:rPr/>
              <w:t> </w:t>
            </w:r>
          </w:p>
        </w:tc>
        <w:tc>
          <w:tcPr>
            <w:tcW w:w="1138"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0.6</w:t>
            </w:r>
          </w:p>
        </w:tc>
        <w:tc>
          <w:tcPr>
            <w:tcW w:w="18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4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10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pBdr>
                <w:top w:val="single" w:sz="2" w:space="1" w:color="000000"/>
              </w:pBdr>
              <w:spacing w:before="0" w:after="0"/>
              <w:rPr/>
            </w:pPr>
            <w:r>
              <w:rPr/>
              <w:t> </w:t>
            </w:r>
          </w:p>
        </w:tc>
        <w:tc>
          <w:tcPr>
            <w:tcW w:w="100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pBdr>
                <w:top w:val="single" w:sz="2" w:space="1" w:color="000000"/>
              </w:pBdr>
              <w:spacing w:before="0" w:after="0"/>
              <w:rPr/>
            </w:pPr>
            <w:r>
              <w:rPr/>
              <w:t> </w:t>
            </w:r>
          </w:p>
        </w:tc>
        <w:tc>
          <w:tcPr>
            <w:tcW w:w="1104" w:type="dxa"/>
            <w:tcBorders/>
            <w:shd w:fill="auto" w:val="clear"/>
            <w:vAlign w:val="bottom"/>
          </w:tcPr>
          <w:p>
            <w:pPr>
              <w:pStyle w:val="TableContents"/>
              <w:pBdr>
                <w:top w:val="single" w:sz="2" w:space="1" w:color="000000"/>
              </w:pBdr>
              <w:spacing w:before="0" w:after="0"/>
              <w:rPr/>
            </w:pPr>
            <w:r>
              <w:rPr/>
              <w:t> </w:t>
            </w:r>
          </w:p>
        </w:tc>
        <w:tc>
          <w:tcPr>
            <w:tcW w:w="11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pBdr>
                <w:top w:val="single" w:sz="2" w:space="1" w:color="000000"/>
              </w:pBdr>
              <w:spacing w:before="0" w:after="0"/>
              <w:rPr/>
            </w:pPr>
            <w:r>
              <w:rPr/>
              <w:t> </w:t>
            </w:r>
          </w:p>
        </w:tc>
        <w:tc>
          <w:tcPr>
            <w:tcW w:w="1138" w:type="dxa"/>
            <w:tcBorders/>
            <w:shd w:fill="auto" w:val="clear"/>
            <w:vAlign w:val="bottom"/>
          </w:tcPr>
          <w:p>
            <w:pPr>
              <w:pStyle w:val="TableContents"/>
              <w:pBdr>
                <w:top w:val="single" w:sz="2" w:space="1" w:color="000000"/>
              </w:pBdr>
              <w:spacing w:before="0" w:after="0"/>
              <w:rPr/>
            </w:pPr>
            <w:r>
              <w:rPr/>
              <w:t> </w:t>
            </w:r>
          </w:p>
        </w:tc>
        <w:tc>
          <w:tcPr>
            <w:tcW w:w="185" w:type="dxa"/>
            <w:tcBorders/>
            <w:shd w:fill="auto" w:val="clear"/>
            <w:vAlign w:val="center"/>
          </w:tcPr>
          <w:p>
            <w:pPr>
              <w:pStyle w:val="TableContents"/>
              <w:spacing w:before="0" w:after="283"/>
              <w:rPr/>
            </w:pPr>
            <w:r>
              <w:rPr/>
              <w:t> </w:t>
            </w:r>
          </w:p>
        </w:tc>
      </w:tr>
      <w:tr>
        <w:trPr/>
        <w:tc>
          <w:tcPr>
            <w:tcW w:w="209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94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91" w:type="dxa"/>
            <w:tcBorders/>
            <w:shd w:fill="CCEEFF" w:val="clear"/>
          </w:tcPr>
          <w:p>
            <w:pPr>
              <w:pStyle w:val="TableContents"/>
              <w:spacing w:before="0" w:after="283"/>
              <w:rPr>
                <w:sz w:val="4"/>
                <w:szCs w:val="4"/>
              </w:rPr>
            </w:pPr>
            <w:r>
              <w:rPr>
                <w:sz w:val="4"/>
                <w:szCs w:val="4"/>
              </w:rPr>
            </w:r>
          </w:p>
        </w:tc>
        <w:tc>
          <w:tcPr>
            <w:tcW w:w="1084" w:type="dxa"/>
            <w:tcBorders/>
            <w:shd w:fill="CCEEFF" w:val="clear"/>
          </w:tcPr>
          <w:p>
            <w:pPr>
              <w:pStyle w:val="TableContents"/>
              <w:spacing w:before="0" w:after="283"/>
              <w:rPr>
                <w:sz w:val="4"/>
                <w:szCs w:val="4"/>
              </w:rPr>
            </w:pPr>
            <w:r>
              <w:rPr>
                <w:sz w:val="4"/>
                <w:szCs w:val="4"/>
              </w:rPr>
            </w:r>
          </w:p>
        </w:tc>
        <w:tc>
          <w:tcPr>
            <w:tcW w:w="6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7" w:type="dxa"/>
            <w:tcBorders/>
            <w:shd w:fill="CCEEFF" w:val="clear"/>
          </w:tcPr>
          <w:p>
            <w:pPr>
              <w:pStyle w:val="TableContents"/>
              <w:spacing w:before="0" w:after="283"/>
              <w:rPr>
                <w:sz w:val="4"/>
                <w:szCs w:val="4"/>
              </w:rPr>
            </w:pPr>
            <w:r>
              <w:rPr>
                <w:sz w:val="4"/>
                <w:szCs w:val="4"/>
              </w:rPr>
            </w:r>
          </w:p>
        </w:tc>
        <w:tc>
          <w:tcPr>
            <w:tcW w:w="973" w:type="dxa"/>
            <w:tcBorders/>
            <w:shd w:fill="CCEEFF" w:val="clear"/>
          </w:tcPr>
          <w:p>
            <w:pPr>
              <w:pStyle w:val="TableContents"/>
              <w:spacing w:before="0" w:after="283"/>
              <w:rPr>
                <w:sz w:val="4"/>
                <w:szCs w:val="4"/>
              </w:rPr>
            </w:pPr>
            <w:r>
              <w:rPr>
                <w:sz w:val="4"/>
                <w:szCs w:val="4"/>
              </w:rPr>
            </w:r>
          </w:p>
        </w:tc>
        <w:tc>
          <w:tcPr>
            <w:tcW w:w="18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68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94" w:type="dxa"/>
            <w:tcBorders/>
            <w:shd w:fill="CCEEFF" w:val="clear"/>
          </w:tcPr>
          <w:p>
            <w:pPr>
              <w:pStyle w:val="TableContents"/>
              <w:spacing w:lineRule="atLeast" w:line="141" w:before="0" w:after="0"/>
              <w:rPr/>
            </w:pPr>
            <w:r>
              <w:rPr/>
              <w:t> </w:t>
            </w:r>
          </w:p>
        </w:tc>
        <w:tc>
          <w:tcPr>
            <w:tcW w:w="1006"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21,413</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86" w:type="dxa"/>
            <w:tcBorders/>
            <w:shd w:fill="CCEEFF" w:val="clear"/>
          </w:tcPr>
          <w:p>
            <w:pPr>
              <w:pStyle w:val="TableContents"/>
              <w:spacing w:lineRule="atLeast" w:line="141" w:before="0" w:after="0"/>
              <w:rPr/>
            </w:pPr>
            <w:r>
              <w:rPr/>
              <w:t> </w:t>
            </w:r>
          </w:p>
        </w:tc>
        <w:tc>
          <w:tcPr>
            <w:tcW w:w="110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21,413</w:t>
            </w:r>
          </w:p>
        </w:tc>
        <w:tc>
          <w:tcPr>
            <w:tcW w:w="11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tcPr>
          <w:p>
            <w:pPr>
              <w:pStyle w:val="TableContents"/>
              <w:spacing w:lineRule="atLeast" w:line="141" w:before="0" w:after="0"/>
              <w:rPr/>
            </w:pPr>
            <w:r>
              <w:rPr/>
              <w:t> </w:t>
            </w:r>
          </w:p>
        </w:tc>
        <w:tc>
          <w:tcPr>
            <w:tcW w:w="1138"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1.6</w:t>
            </w:r>
          </w:p>
        </w:tc>
        <w:tc>
          <w:tcPr>
            <w:tcW w:w="18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4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10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pBdr>
                <w:top w:val="single" w:sz="2" w:space="1" w:color="000000"/>
              </w:pBdr>
              <w:spacing w:before="0" w:after="0"/>
              <w:rPr/>
            </w:pPr>
            <w:r>
              <w:rPr/>
              <w:t> </w:t>
            </w:r>
          </w:p>
        </w:tc>
        <w:tc>
          <w:tcPr>
            <w:tcW w:w="100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pBdr>
                <w:top w:val="single" w:sz="2" w:space="1" w:color="000000"/>
              </w:pBdr>
              <w:spacing w:before="0" w:after="0"/>
              <w:rPr/>
            </w:pPr>
            <w:r>
              <w:rPr/>
              <w:t> </w:t>
            </w:r>
          </w:p>
        </w:tc>
        <w:tc>
          <w:tcPr>
            <w:tcW w:w="1104" w:type="dxa"/>
            <w:tcBorders/>
            <w:shd w:fill="auto" w:val="clear"/>
            <w:vAlign w:val="bottom"/>
          </w:tcPr>
          <w:p>
            <w:pPr>
              <w:pStyle w:val="TableContents"/>
              <w:pBdr>
                <w:top w:val="single" w:sz="2" w:space="1" w:color="000000"/>
              </w:pBdr>
              <w:spacing w:before="0" w:after="0"/>
              <w:rPr/>
            </w:pPr>
            <w:r>
              <w:rPr/>
              <w:t> </w:t>
            </w:r>
          </w:p>
        </w:tc>
        <w:tc>
          <w:tcPr>
            <w:tcW w:w="11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pBdr>
                <w:top w:val="single" w:sz="2" w:space="1" w:color="000000"/>
              </w:pBdr>
              <w:spacing w:before="0" w:after="0"/>
              <w:rPr/>
            </w:pPr>
            <w:r>
              <w:rPr/>
              <w:t> </w:t>
            </w:r>
          </w:p>
        </w:tc>
        <w:tc>
          <w:tcPr>
            <w:tcW w:w="1138" w:type="dxa"/>
            <w:tcBorders/>
            <w:shd w:fill="auto" w:val="clear"/>
            <w:vAlign w:val="bottom"/>
          </w:tcPr>
          <w:p>
            <w:pPr>
              <w:pStyle w:val="TableContents"/>
              <w:pBdr>
                <w:top w:val="single" w:sz="2" w:space="1" w:color="000000"/>
              </w:pBdr>
              <w:spacing w:before="0" w:after="0"/>
              <w:rPr/>
            </w:pPr>
            <w:r>
              <w:rPr/>
              <w:t> </w:t>
            </w:r>
          </w:p>
        </w:tc>
        <w:tc>
          <w:tcPr>
            <w:tcW w:w="185" w:type="dxa"/>
            <w:tcBorders/>
            <w:shd w:fill="auto" w:val="clear"/>
            <w:vAlign w:val="center"/>
          </w:tcPr>
          <w:p>
            <w:pPr>
              <w:pStyle w:val="TableContents"/>
              <w:spacing w:before="0" w:after="283"/>
              <w:rPr/>
            </w:pPr>
            <w:r>
              <w:rPr/>
              <w:t> </w:t>
            </w:r>
          </w:p>
        </w:tc>
      </w:tr>
      <w:tr>
        <w:trPr/>
        <w:tc>
          <w:tcPr>
            <w:tcW w:w="2090" w:type="dxa"/>
            <w:tcBorders/>
            <w:shd w:fill="auto" w:val="clear"/>
          </w:tcPr>
          <w:p>
            <w:pPr>
              <w:pStyle w:val="TableContents"/>
              <w:spacing w:lineRule="atLeast" w:line="141" w:before="0" w:after="0"/>
              <w:rPr>
                <w:rFonts w:ascii="Times New Roman" w:hAnsi="Times New Roman"/>
                <w:b/>
                <w:sz w:val="15"/>
              </w:rPr>
            </w:pPr>
            <w:r>
              <w:rPr>
                <w:rFonts w:ascii="Times New Roman" w:hAnsi="Times New Roman"/>
                <w:b/>
                <w:sz w:val="15"/>
              </w:rPr>
              <w:t>Pharmaceuticals</w:t>
            </w:r>
          </w:p>
        </w:tc>
        <w:tc>
          <w:tcPr>
            <w:tcW w:w="60" w:type="dxa"/>
            <w:tcBorders/>
            <w:shd w:fill="auto" w:val="clear"/>
            <w:vAlign w:val="bottom"/>
          </w:tcPr>
          <w:p>
            <w:pPr>
              <w:pStyle w:val="TableContents"/>
              <w:spacing w:before="0" w:after="283"/>
              <w:rPr/>
            </w:pPr>
            <w:r>
              <w:rPr/>
              <w:t> </w:t>
            </w:r>
          </w:p>
        </w:tc>
        <w:tc>
          <w:tcPr>
            <w:tcW w:w="294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10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spacing w:before="0" w:after="283"/>
              <w:rPr>
                <w:sz w:val="4"/>
                <w:szCs w:val="4"/>
              </w:rPr>
            </w:pPr>
            <w:r>
              <w:rPr>
                <w:sz w:val="4"/>
                <w:szCs w:val="4"/>
              </w:rPr>
            </w:r>
          </w:p>
        </w:tc>
        <w:tc>
          <w:tcPr>
            <w:tcW w:w="100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spacing w:before="0" w:after="283"/>
              <w:rPr>
                <w:sz w:val="4"/>
                <w:szCs w:val="4"/>
              </w:rPr>
            </w:pPr>
            <w:r>
              <w:rPr>
                <w:sz w:val="4"/>
                <w:szCs w:val="4"/>
              </w:rPr>
            </w:r>
          </w:p>
        </w:tc>
        <w:tc>
          <w:tcPr>
            <w:tcW w:w="1104" w:type="dxa"/>
            <w:tcBorders/>
            <w:shd w:fill="auto" w:val="clear"/>
            <w:vAlign w:val="bottom"/>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before="0" w:after="283"/>
              <w:rPr>
                <w:sz w:val="4"/>
                <w:szCs w:val="4"/>
              </w:rPr>
            </w:pPr>
            <w:r>
              <w:rPr>
                <w:sz w:val="4"/>
                <w:szCs w:val="4"/>
              </w:rPr>
            </w:r>
          </w:p>
        </w:tc>
        <w:tc>
          <w:tcPr>
            <w:tcW w:w="1138"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r>
      <w:tr>
        <w:trPr/>
        <w:tc>
          <w:tcPr>
            <w:tcW w:w="2090"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TherapeuticsMD, Inc.(12)(13)</w:t>
            </w:r>
          </w:p>
        </w:tc>
        <w:tc>
          <w:tcPr>
            <w:tcW w:w="60" w:type="dxa"/>
            <w:tcBorders/>
            <w:shd w:fill="CCEEFF" w:val="clear"/>
            <w:vAlign w:val="bottom"/>
          </w:tcPr>
          <w:p>
            <w:pPr>
              <w:pStyle w:val="TableContents"/>
              <w:spacing w:before="0" w:after="283"/>
              <w:rPr/>
            </w:pPr>
            <w:r>
              <w:rPr/>
              <w:t> </w:t>
            </w:r>
          </w:p>
        </w:tc>
        <w:tc>
          <w:tcPr>
            <w:tcW w:w="294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759,317 Warrants</w:t>
            </w:r>
          </w:p>
        </w:tc>
        <w:tc>
          <w:tcPr>
            <w:tcW w:w="60" w:type="dxa"/>
            <w:tcBorders/>
            <w:shd w:fill="CCEEFF" w:val="clear"/>
            <w:vAlign w:val="bottom"/>
          </w:tcPr>
          <w:p>
            <w:pPr>
              <w:pStyle w:val="TableContents"/>
              <w:spacing w:before="0" w:after="283"/>
              <w:rPr/>
            </w:pPr>
            <w:r>
              <w:rPr/>
              <w:t> </w:t>
            </w:r>
          </w:p>
        </w:tc>
        <w:tc>
          <w:tcPr>
            <w:tcW w:w="91" w:type="dxa"/>
            <w:tcBorders/>
            <w:shd w:fill="CCEEFF" w:val="clear"/>
          </w:tcPr>
          <w:p>
            <w:pPr>
              <w:pStyle w:val="TableContents"/>
              <w:spacing w:lineRule="atLeast" w:line="141" w:before="0" w:after="0"/>
              <w:rPr/>
            </w:pPr>
            <w:r>
              <w:rPr/>
              <w:t> </w:t>
            </w:r>
          </w:p>
        </w:tc>
        <w:tc>
          <w:tcPr>
            <w:tcW w:w="108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8/5/2020</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67" w:type="dxa"/>
            <w:tcBorders/>
            <w:shd w:fill="CCEEFF" w:val="clear"/>
          </w:tcPr>
          <w:p>
            <w:pPr>
              <w:pStyle w:val="TableContents"/>
              <w:spacing w:before="0" w:after="283"/>
              <w:rPr>
                <w:sz w:val="4"/>
                <w:szCs w:val="4"/>
              </w:rPr>
            </w:pPr>
            <w:r>
              <w:rPr>
                <w:sz w:val="4"/>
                <w:szCs w:val="4"/>
              </w:rPr>
            </w:r>
          </w:p>
        </w:tc>
        <w:tc>
          <w:tcPr>
            <w:tcW w:w="973" w:type="dxa"/>
            <w:tcBorders/>
            <w:shd w:fill="CCEEFF" w:val="clear"/>
          </w:tcPr>
          <w:p>
            <w:pPr>
              <w:pStyle w:val="TableContents"/>
              <w:spacing w:before="0" w:after="283"/>
              <w:rPr>
                <w:sz w:val="4"/>
                <w:szCs w:val="4"/>
              </w:rPr>
            </w:pPr>
            <w:r>
              <w:rPr>
                <w:sz w:val="4"/>
                <w:szCs w:val="4"/>
              </w:rPr>
            </w:r>
          </w:p>
        </w:tc>
        <w:tc>
          <w:tcPr>
            <w:tcW w:w="18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68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94" w:type="dxa"/>
            <w:tcBorders/>
            <w:shd w:fill="CCEEFF" w:val="clear"/>
          </w:tcPr>
          <w:p>
            <w:pPr>
              <w:pStyle w:val="TableContents"/>
              <w:spacing w:lineRule="atLeast" w:line="141" w:before="0" w:after="0"/>
              <w:rPr/>
            </w:pPr>
            <w:r>
              <w:rPr/>
              <w:t> </w:t>
            </w:r>
          </w:p>
        </w:tc>
        <w:tc>
          <w:tcPr>
            <w:tcW w:w="1006"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1,326</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86" w:type="dxa"/>
            <w:tcBorders/>
            <w:shd w:fill="CCEEFF" w:val="clear"/>
          </w:tcPr>
          <w:p>
            <w:pPr>
              <w:pStyle w:val="TableContents"/>
              <w:spacing w:lineRule="atLeast" w:line="141" w:before="0" w:after="0"/>
              <w:rPr/>
            </w:pPr>
            <w:r>
              <w:rPr/>
              <w:t> </w:t>
            </w:r>
          </w:p>
        </w:tc>
        <w:tc>
          <w:tcPr>
            <w:tcW w:w="110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402</w:t>
            </w:r>
          </w:p>
        </w:tc>
        <w:tc>
          <w:tcPr>
            <w:tcW w:w="11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tcPr>
          <w:p>
            <w:pPr>
              <w:pStyle w:val="TableContents"/>
              <w:spacing w:lineRule="atLeast" w:line="141" w:before="0" w:after="0"/>
              <w:rPr/>
            </w:pPr>
            <w:r>
              <w:rPr/>
              <w:t> </w:t>
            </w:r>
          </w:p>
        </w:tc>
        <w:tc>
          <w:tcPr>
            <w:tcW w:w="1138"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0.0</w:t>
            </w:r>
          </w:p>
        </w:tc>
        <w:tc>
          <w:tcPr>
            <w:tcW w:w="18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auto" w:val="clear"/>
          </w:tcPr>
          <w:p>
            <w:pPr>
              <w:pStyle w:val="TableContents"/>
              <w:spacing w:lineRule="atLeast" w:line="141" w:before="0" w:after="0"/>
              <w:rPr>
                <w:rFonts w:ascii="Times New Roman" w:hAnsi="Times New Roman"/>
                <w:b/>
                <w:sz w:val="15"/>
              </w:rPr>
            </w:pPr>
            <w:r>
              <w:rPr>
                <w:rFonts w:ascii="Times New Roman" w:hAnsi="Times New Roman"/>
                <w:b/>
                <w:sz w:val="15"/>
              </w:rPr>
              <w:t>Retail and Consumer Products</w:t>
            </w:r>
          </w:p>
        </w:tc>
        <w:tc>
          <w:tcPr>
            <w:tcW w:w="60" w:type="dxa"/>
            <w:tcBorders/>
            <w:shd w:fill="auto" w:val="clear"/>
            <w:vAlign w:val="bottom"/>
          </w:tcPr>
          <w:p>
            <w:pPr>
              <w:pStyle w:val="TableContents"/>
              <w:spacing w:before="0" w:after="283"/>
              <w:rPr/>
            </w:pPr>
            <w:r>
              <w:rPr/>
              <w:t> </w:t>
            </w:r>
          </w:p>
        </w:tc>
        <w:tc>
          <w:tcPr>
            <w:tcW w:w="294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1" w:type="dxa"/>
            <w:tcBorders/>
            <w:shd w:fill="auto" w:val="clear"/>
          </w:tcPr>
          <w:p>
            <w:pPr>
              <w:pStyle w:val="TableContents"/>
              <w:spacing w:before="0" w:after="283"/>
              <w:rPr>
                <w:sz w:val="4"/>
                <w:szCs w:val="4"/>
              </w:rPr>
            </w:pPr>
            <w:r>
              <w:rPr>
                <w:sz w:val="4"/>
                <w:szCs w:val="4"/>
              </w:rPr>
            </w:r>
          </w:p>
        </w:tc>
        <w:tc>
          <w:tcPr>
            <w:tcW w:w="1084"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7" w:type="dxa"/>
            <w:tcBorders/>
            <w:shd w:fill="auto" w:val="clear"/>
          </w:tcPr>
          <w:p>
            <w:pPr>
              <w:pStyle w:val="TableContents"/>
              <w:spacing w:before="0" w:after="283"/>
              <w:rPr>
                <w:sz w:val="4"/>
                <w:szCs w:val="4"/>
              </w:rPr>
            </w:pPr>
            <w:r>
              <w:rPr>
                <w:sz w:val="4"/>
                <w:szCs w:val="4"/>
              </w:rPr>
            </w:r>
          </w:p>
        </w:tc>
        <w:tc>
          <w:tcPr>
            <w:tcW w:w="973" w:type="dxa"/>
            <w:tcBorders/>
            <w:shd w:fill="auto" w:val="clear"/>
          </w:tcPr>
          <w:p>
            <w:pPr>
              <w:pStyle w:val="TableContents"/>
              <w:spacing w:before="0" w:after="283"/>
              <w:rPr>
                <w:sz w:val="4"/>
                <w:szCs w:val="4"/>
              </w:rPr>
            </w:pPr>
            <w:r>
              <w:rPr>
                <w:sz w:val="4"/>
                <w:szCs w:val="4"/>
              </w:rPr>
            </w:r>
          </w:p>
        </w:tc>
        <w:tc>
          <w:tcPr>
            <w:tcW w:w="1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tcPr>
          <w:p>
            <w:pPr>
              <w:pStyle w:val="TableContents"/>
              <w:spacing w:before="0" w:after="283"/>
              <w:rPr>
                <w:sz w:val="4"/>
                <w:szCs w:val="4"/>
              </w:rPr>
            </w:pPr>
            <w:r>
              <w:rPr>
                <w:sz w:val="4"/>
                <w:szCs w:val="4"/>
              </w:rPr>
            </w:r>
          </w:p>
        </w:tc>
        <w:tc>
          <w:tcPr>
            <w:tcW w:w="1006" w:type="dxa"/>
            <w:tcBorders/>
            <w:shd w:fill="auto" w:val="clear"/>
          </w:tcPr>
          <w:p>
            <w:pPr>
              <w:pStyle w:val="TableContents"/>
              <w:spacing w:before="0" w:after="283"/>
              <w:rPr>
                <w:sz w:val="4"/>
                <w:szCs w:val="4"/>
              </w:rPr>
            </w:pPr>
            <w:r>
              <w:rPr>
                <w:sz w:val="4"/>
                <w:szCs w:val="4"/>
              </w:rPr>
            </w:r>
          </w:p>
        </w:tc>
        <w:tc>
          <w:tcPr>
            <w:tcW w:w="6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6" w:type="dxa"/>
            <w:tcBorders/>
            <w:shd w:fill="auto" w:val="clear"/>
          </w:tcPr>
          <w:p>
            <w:pPr>
              <w:pStyle w:val="TableContents"/>
              <w:spacing w:before="0" w:after="283"/>
              <w:rPr>
                <w:sz w:val="4"/>
                <w:szCs w:val="4"/>
              </w:rPr>
            </w:pPr>
            <w:r>
              <w:rPr>
                <w:sz w:val="4"/>
                <w:szCs w:val="4"/>
              </w:rPr>
            </w:r>
          </w:p>
        </w:tc>
        <w:tc>
          <w:tcPr>
            <w:tcW w:w="1104" w:type="dxa"/>
            <w:tcBorders/>
            <w:shd w:fill="auto" w:val="clear"/>
          </w:tcPr>
          <w:p>
            <w:pPr>
              <w:pStyle w:val="TableContents"/>
              <w:spacing w:before="0" w:after="283"/>
              <w:rPr>
                <w:sz w:val="4"/>
                <w:szCs w:val="4"/>
              </w:rPr>
            </w:pPr>
            <w:r>
              <w:rPr>
                <w:sz w:val="4"/>
                <w:szCs w:val="4"/>
              </w:rPr>
            </w:r>
          </w:p>
        </w:tc>
        <w:tc>
          <w:tcPr>
            <w:tcW w:w="110"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87" w:type="dxa"/>
            <w:tcBorders/>
            <w:shd w:fill="auto" w:val="clear"/>
          </w:tcPr>
          <w:p>
            <w:pPr>
              <w:pStyle w:val="TableContents"/>
              <w:spacing w:before="0" w:after="283"/>
              <w:rPr>
                <w:sz w:val="4"/>
                <w:szCs w:val="4"/>
              </w:rPr>
            </w:pPr>
            <w:r>
              <w:rPr>
                <w:sz w:val="4"/>
                <w:szCs w:val="4"/>
              </w:rPr>
            </w:r>
          </w:p>
        </w:tc>
        <w:tc>
          <w:tcPr>
            <w:tcW w:w="1138" w:type="dxa"/>
            <w:tcBorders/>
            <w:shd w:fill="auto" w:val="clear"/>
          </w:tcPr>
          <w:p>
            <w:pPr>
              <w:pStyle w:val="TableContents"/>
              <w:spacing w:before="0" w:after="283"/>
              <w:rPr>
                <w:sz w:val="4"/>
                <w:szCs w:val="4"/>
              </w:rPr>
            </w:pPr>
            <w:r>
              <w:rPr>
                <w:sz w:val="4"/>
                <w:szCs w:val="4"/>
              </w:rPr>
            </w:r>
          </w:p>
        </w:tc>
        <w:tc>
          <w:tcPr>
            <w:tcW w:w="185" w:type="dxa"/>
            <w:tcBorders/>
            <w:shd w:fill="auto" w:val="clear"/>
          </w:tcPr>
          <w:p>
            <w:pPr>
              <w:pStyle w:val="TableContents"/>
              <w:spacing w:before="0" w:after="283"/>
              <w:rPr>
                <w:sz w:val="4"/>
                <w:szCs w:val="4"/>
              </w:rPr>
            </w:pPr>
            <w:r>
              <w:rPr>
                <w:sz w:val="4"/>
                <w:szCs w:val="4"/>
              </w:rPr>
            </w:r>
          </w:p>
        </w:tc>
      </w:tr>
      <w:tr>
        <w:trPr/>
        <w:tc>
          <w:tcPr>
            <w:tcW w:w="2090"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American Achievement, Corp.(12)</w:t>
            </w:r>
          </w:p>
        </w:tc>
        <w:tc>
          <w:tcPr>
            <w:tcW w:w="60" w:type="dxa"/>
            <w:tcBorders/>
            <w:shd w:fill="CCEEFF" w:val="clear"/>
            <w:vAlign w:val="bottom"/>
          </w:tcPr>
          <w:p>
            <w:pPr>
              <w:pStyle w:val="TableContents"/>
              <w:spacing w:before="0" w:after="283"/>
              <w:rPr/>
            </w:pPr>
            <w:r>
              <w:rPr/>
              <w:t> </w:t>
            </w:r>
          </w:p>
        </w:tc>
        <w:tc>
          <w:tcPr>
            <w:tcW w:w="294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Class A Units (687 units)</w:t>
            </w:r>
          </w:p>
        </w:tc>
        <w:tc>
          <w:tcPr>
            <w:tcW w:w="60" w:type="dxa"/>
            <w:tcBorders/>
            <w:shd w:fill="CCEEFF" w:val="clear"/>
            <w:vAlign w:val="bottom"/>
          </w:tcPr>
          <w:p>
            <w:pPr>
              <w:pStyle w:val="TableContents"/>
              <w:spacing w:before="0" w:after="283"/>
              <w:rPr/>
            </w:pPr>
            <w:r>
              <w:rPr/>
              <w:t> </w:t>
            </w:r>
          </w:p>
        </w:tc>
        <w:tc>
          <w:tcPr>
            <w:tcW w:w="91" w:type="dxa"/>
            <w:tcBorders/>
            <w:shd w:fill="CCEEFF" w:val="clear"/>
          </w:tcPr>
          <w:p>
            <w:pPr>
              <w:pStyle w:val="TableContents"/>
              <w:spacing w:lineRule="atLeast" w:line="141" w:before="0" w:after="0"/>
              <w:rPr/>
            </w:pPr>
            <w:r>
              <w:rPr/>
              <w:t> </w:t>
            </w:r>
          </w:p>
        </w:tc>
        <w:tc>
          <w:tcPr>
            <w:tcW w:w="108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3/16/2021</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67" w:type="dxa"/>
            <w:tcBorders/>
            <w:shd w:fill="CCEEFF" w:val="clear"/>
          </w:tcPr>
          <w:p>
            <w:pPr>
              <w:pStyle w:val="TableContents"/>
              <w:spacing w:before="0" w:after="283"/>
              <w:rPr>
                <w:sz w:val="4"/>
                <w:szCs w:val="4"/>
              </w:rPr>
            </w:pPr>
            <w:r>
              <w:rPr>
                <w:sz w:val="4"/>
                <w:szCs w:val="4"/>
              </w:rPr>
            </w:r>
          </w:p>
        </w:tc>
        <w:tc>
          <w:tcPr>
            <w:tcW w:w="973" w:type="dxa"/>
            <w:tcBorders/>
            <w:shd w:fill="CCEEFF" w:val="clear"/>
          </w:tcPr>
          <w:p>
            <w:pPr>
              <w:pStyle w:val="TableContents"/>
              <w:spacing w:before="0" w:after="283"/>
              <w:rPr>
                <w:sz w:val="4"/>
                <w:szCs w:val="4"/>
              </w:rPr>
            </w:pPr>
            <w:r>
              <w:rPr>
                <w:sz w:val="4"/>
                <w:szCs w:val="4"/>
              </w:rPr>
            </w:r>
          </w:p>
        </w:tc>
        <w:tc>
          <w:tcPr>
            <w:tcW w:w="18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68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94" w:type="dxa"/>
            <w:tcBorders/>
            <w:shd w:fill="CCEEFF" w:val="clear"/>
          </w:tcPr>
          <w:p>
            <w:pPr>
              <w:pStyle w:val="TableContents"/>
              <w:spacing w:lineRule="atLeast" w:line="141" w:before="0" w:after="0"/>
              <w:rPr/>
            </w:pPr>
            <w:r>
              <w:rPr/>
              <w:t> </w:t>
            </w:r>
          </w:p>
        </w:tc>
        <w:tc>
          <w:tcPr>
            <w:tcW w:w="1006"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  </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86" w:type="dxa"/>
            <w:tcBorders/>
            <w:shd w:fill="CCEEFF" w:val="clear"/>
          </w:tcPr>
          <w:p>
            <w:pPr>
              <w:pStyle w:val="TableContents"/>
              <w:spacing w:lineRule="atLeast" w:line="141" w:before="0" w:after="0"/>
              <w:rPr/>
            </w:pPr>
            <w:r>
              <w:rPr/>
              <w:t> </w:t>
            </w:r>
          </w:p>
        </w:tc>
        <w:tc>
          <w:tcPr>
            <w:tcW w:w="110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50</w:t>
            </w:r>
          </w:p>
        </w:tc>
        <w:tc>
          <w:tcPr>
            <w:tcW w:w="11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tcPr>
          <w:p>
            <w:pPr>
              <w:pStyle w:val="TableContents"/>
              <w:spacing w:lineRule="atLeast" w:line="141" w:before="0" w:after="0"/>
              <w:rPr/>
            </w:pPr>
            <w:r>
              <w:rPr/>
              <w:t> </w:t>
            </w:r>
          </w:p>
        </w:tc>
        <w:tc>
          <w:tcPr>
            <w:tcW w:w="1138"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0.0</w:t>
            </w:r>
          </w:p>
        </w:tc>
        <w:tc>
          <w:tcPr>
            <w:tcW w:w="18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Copper Bidco, LLC(10)</w:t>
            </w:r>
          </w:p>
        </w:tc>
        <w:tc>
          <w:tcPr>
            <w:tcW w:w="60" w:type="dxa"/>
            <w:tcBorders/>
            <w:shd w:fill="auto" w:val="clear"/>
            <w:vAlign w:val="bottom"/>
          </w:tcPr>
          <w:p>
            <w:pPr>
              <w:pStyle w:val="TableContents"/>
              <w:spacing w:before="0" w:after="283"/>
              <w:rPr/>
            </w:pPr>
            <w:r>
              <w:rPr/>
              <w:t> </w:t>
            </w:r>
          </w:p>
        </w:tc>
        <w:tc>
          <w:tcPr>
            <w:tcW w:w="294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Trust Certificates (132,928 Certificates)</w:t>
            </w:r>
          </w:p>
        </w:tc>
        <w:tc>
          <w:tcPr>
            <w:tcW w:w="60" w:type="dxa"/>
            <w:tcBorders/>
            <w:shd w:fill="auto" w:val="clear"/>
            <w:vAlign w:val="bottom"/>
          </w:tcPr>
          <w:p>
            <w:pPr>
              <w:pStyle w:val="TableContents"/>
              <w:spacing w:before="0" w:after="283"/>
              <w:rPr/>
            </w:pPr>
            <w:r>
              <w:rPr/>
              <w:t> </w:t>
            </w:r>
          </w:p>
        </w:tc>
        <w:tc>
          <w:tcPr>
            <w:tcW w:w="91" w:type="dxa"/>
            <w:tcBorders/>
            <w:shd w:fill="auto" w:val="clear"/>
          </w:tcPr>
          <w:p>
            <w:pPr>
              <w:pStyle w:val="TableContents"/>
              <w:spacing w:lineRule="atLeast" w:line="141" w:before="0" w:after="0"/>
              <w:rPr/>
            </w:pPr>
            <w:r>
              <w:rPr/>
              <w:t> </w:t>
            </w:r>
          </w:p>
        </w:tc>
        <w:tc>
          <w:tcPr>
            <w:tcW w:w="1084"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12/7/2020</w:t>
            </w:r>
          </w:p>
        </w:tc>
        <w:tc>
          <w:tcPr>
            <w:tcW w:w="6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67" w:type="dxa"/>
            <w:tcBorders/>
            <w:shd w:fill="auto" w:val="clear"/>
          </w:tcPr>
          <w:p>
            <w:pPr>
              <w:pStyle w:val="TableContents"/>
              <w:spacing w:before="0" w:after="283"/>
              <w:rPr>
                <w:sz w:val="4"/>
                <w:szCs w:val="4"/>
              </w:rPr>
            </w:pPr>
            <w:r>
              <w:rPr>
                <w:sz w:val="4"/>
                <w:szCs w:val="4"/>
              </w:rPr>
            </w:r>
          </w:p>
        </w:tc>
        <w:tc>
          <w:tcPr>
            <w:tcW w:w="973" w:type="dxa"/>
            <w:tcBorders/>
            <w:shd w:fill="auto" w:val="clear"/>
          </w:tcPr>
          <w:p>
            <w:pPr>
              <w:pStyle w:val="TableContents"/>
              <w:spacing w:before="0" w:after="283"/>
              <w:rPr>
                <w:sz w:val="4"/>
                <w:szCs w:val="4"/>
              </w:rPr>
            </w:pPr>
            <w:r>
              <w:rPr>
                <w:sz w:val="4"/>
                <w:szCs w:val="4"/>
              </w:rPr>
            </w:r>
          </w:p>
        </w:tc>
        <w:tc>
          <w:tcPr>
            <w:tcW w:w="1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tcPr>
          <w:p>
            <w:pPr>
              <w:pStyle w:val="TableContents"/>
              <w:spacing w:lineRule="atLeast" w:line="141" w:before="0" w:after="0"/>
              <w:rPr/>
            </w:pPr>
            <w:r>
              <w:rPr/>
              <w:t> </w:t>
            </w:r>
          </w:p>
        </w:tc>
        <w:tc>
          <w:tcPr>
            <w:tcW w:w="1006"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  </w:t>
            </w:r>
          </w:p>
        </w:tc>
        <w:tc>
          <w:tcPr>
            <w:tcW w:w="6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tcPr>
          <w:p>
            <w:pPr>
              <w:pStyle w:val="TableContents"/>
              <w:spacing w:lineRule="atLeast" w:line="141" w:before="0" w:after="0"/>
              <w:rPr/>
            </w:pPr>
            <w:r>
              <w:rPr/>
              <w:t> </w:t>
            </w:r>
          </w:p>
        </w:tc>
        <w:tc>
          <w:tcPr>
            <w:tcW w:w="1104"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798</w:t>
            </w:r>
          </w:p>
        </w:tc>
        <w:tc>
          <w:tcPr>
            <w:tcW w:w="11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tcPr>
          <w:p>
            <w:pPr>
              <w:pStyle w:val="TableContents"/>
              <w:spacing w:lineRule="atLeast" w:line="141" w:before="0" w:after="0"/>
              <w:rPr/>
            </w:pPr>
            <w:r>
              <w:rPr/>
              <w:t> </w:t>
            </w:r>
          </w:p>
        </w:tc>
        <w:tc>
          <w:tcPr>
            <w:tcW w:w="1138"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0.1</w:t>
            </w:r>
          </w:p>
        </w:tc>
        <w:tc>
          <w:tcPr>
            <w:tcW w:w="18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94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Trust Certificates (996,958 Certificates)</w:t>
            </w:r>
          </w:p>
        </w:tc>
        <w:tc>
          <w:tcPr>
            <w:tcW w:w="60" w:type="dxa"/>
            <w:tcBorders/>
            <w:shd w:fill="CCEEFF" w:val="clear"/>
            <w:vAlign w:val="bottom"/>
          </w:tcPr>
          <w:p>
            <w:pPr>
              <w:pStyle w:val="TableContents"/>
              <w:spacing w:before="0" w:after="283"/>
              <w:rPr/>
            </w:pPr>
            <w:r>
              <w:rPr/>
              <w:t> </w:t>
            </w:r>
          </w:p>
        </w:tc>
        <w:tc>
          <w:tcPr>
            <w:tcW w:w="91" w:type="dxa"/>
            <w:tcBorders/>
            <w:shd w:fill="CCEEFF" w:val="clear"/>
          </w:tcPr>
          <w:p>
            <w:pPr>
              <w:pStyle w:val="TableContents"/>
              <w:spacing w:lineRule="atLeast" w:line="141" w:before="0" w:after="0"/>
              <w:rPr/>
            </w:pPr>
            <w:r>
              <w:rPr/>
              <w:t> </w:t>
            </w:r>
          </w:p>
        </w:tc>
        <w:tc>
          <w:tcPr>
            <w:tcW w:w="108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1/30/2021</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67" w:type="dxa"/>
            <w:tcBorders/>
            <w:shd w:fill="CCEEFF" w:val="clear"/>
          </w:tcPr>
          <w:p>
            <w:pPr>
              <w:pStyle w:val="TableContents"/>
              <w:spacing w:before="0" w:after="283"/>
              <w:rPr>
                <w:sz w:val="4"/>
                <w:szCs w:val="4"/>
              </w:rPr>
            </w:pPr>
            <w:r>
              <w:rPr>
                <w:sz w:val="4"/>
                <w:szCs w:val="4"/>
              </w:rPr>
            </w:r>
          </w:p>
        </w:tc>
        <w:tc>
          <w:tcPr>
            <w:tcW w:w="973" w:type="dxa"/>
            <w:tcBorders/>
            <w:shd w:fill="CCEEFF" w:val="clear"/>
          </w:tcPr>
          <w:p>
            <w:pPr>
              <w:pStyle w:val="TableContents"/>
              <w:spacing w:before="0" w:after="283"/>
              <w:rPr>
                <w:sz w:val="4"/>
                <w:szCs w:val="4"/>
              </w:rPr>
            </w:pPr>
            <w:r>
              <w:rPr>
                <w:sz w:val="4"/>
                <w:szCs w:val="4"/>
              </w:rPr>
            </w:r>
          </w:p>
        </w:tc>
        <w:tc>
          <w:tcPr>
            <w:tcW w:w="18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68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94" w:type="dxa"/>
            <w:tcBorders/>
            <w:shd w:fill="CCEEFF" w:val="clear"/>
          </w:tcPr>
          <w:p>
            <w:pPr>
              <w:pStyle w:val="TableContents"/>
              <w:spacing w:lineRule="atLeast" w:line="141" w:before="0" w:after="0"/>
              <w:rPr/>
            </w:pPr>
            <w:r>
              <w:rPr/>
              <w:t> </w:t>
            </w:r>
          </w:p>
        </w:tc>
        <w:tc>
          <w:tcPr>
            <w:tcW w:w="1006"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4,148</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86" w:type="dxa"/>
            <w:tcBorders/>
            <w:shd w:fill="CCEEFF" w:val="clear"/>
          </w:tcPr>
          <w:p>
            <w:pPr>
              <w:pStyle w:val="TableContents"/>
              <w:spacing w:lineRule="atLeast" w:line="141" w:before="0" w:after="0"/>
              <w:rPr/>
            </w:pPr>
            <w:r>
              <w:rPr/>
              <w:t> </w:t>
            </w:r>
          </w:p>
        </w:tc>
        <w:tc>
          <w:tcPr>
            <w:tcW w:w="110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13,309</w:t>
            </w:r>
          </w:p>
        </w:tc>
        <w:tc>
          <w:tcPr>
            <w:tcW w:w="11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tcPr>
          <w:p>
            <w:pPr>
              <w:pStyle w:val="TableContents"/>
              <w:spacing w:lineRule="atLeast" w:line="141" w:before="0" w:after="0"/>
              <w:rPr/>
            </w:pPr>
            <w:r>
              <w:rPr/>
              <w:t> </w:t>
            </w:r>
          </w:p>
        </w:tc>
        <w:tc>
          <w:tcPr>
            <w:tcW w:w="1138"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1.0</w:t>
            </w:r>
          </w:p>
        </w:tc>
        <w:tc>
          <w:tcPr>
            <w:tcW w:w="18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Neuintel, LLC(12)(13)(14)</w:t>
            </w:r>
          </w:p>
        </w:tc>
        <w:tc>
          <w:tcPr>
            <w:tcW w:w="60" w:type="dxa"/>
            <w:tcBorders/>
            <w:shd w:fill="auto" w:val="clear"/>
            <w:vAlign w:val="bottom"/>
          </w:tcPr>
          <w:p>
            <w:pPr>
              <w:pStyle w:val="TableContents"/>
              <w:spacing w:before="0" w:after="283"/>
              <w:rPr/>
            </w:pPr>
            <w:r>
              <w:rPr/>
              <w:t> </w:t>
            </w:r>
          </w:p>
        </w:tc>
        <w:tc>
          <w:tcPr>
            <w:tcW w:w="294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Class A Units (1,176,494 units)</w:t>
            </w:r>
          </w:p>
        </w:tc>
        <w:tc>
          <w:tcPr>
            <w:tcW w:w="60" w:type="dxa"/>
            <w:tcBorders/>
            <w:shd w:fill="auto" w:val="clear"/>
            <w:vAlign w:val="bottom"/>
          </w:tcPr>
          <w:p>
            <w:pPr>
              <w:pStyle w:val="TableContents"/>
              <w:spacing w:before="0" w:after="283"/>
              <w:rPr/>
            </w:pPr>
            <w:r>
              <w:rPr/>
              <w:t> </w:t>
            </w:r>
          </w:p>
        </w:tc>
        <w:tc>
          <w:tcPr>
            <w:tcW w:w="91" w:type="dxa"/>
            <w:tcBorders/>
            <w:shd w:fill="auto" w:val="clear"/>
          </w:tcPr>
          <w:p>
            <w:pPr>
              <w:pStyle w:val="TableContents"/>
              <w:spacing w:lineRule="atLeast" w:line="141" w:before="0" w:after="0"/>
              <w:rPr/>
            </w:pPr>
            <w:r>
              <w:rPr/>
              <w:t> </w:t>
            </w:r>
          </w:p>
        </w:tc>
        <w:tc>
          <w:tcPr>
            <w:tcW w:w="1084"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12/21/2021</w:t>
            </w:r>
          </w:p>
        </w:tc>
        <w:tc>
          <w:tcPr>
            <w:tcW w:w="6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67" w:type="dxa"/>
            <w:tcBorders/>
            <w:shd w:fill="auto" w:val="clear"/>
          </w:tcPr>
          <w:p>
            <w:pPr>
              <w:pStyle w:val="TableContents"/>
              <w:spacing w:before="0" w:after="283"/>
              <w:rPr>
                <w:sz w:val="4"/>
                <w:szCs w:val="4"/>
              </w:rPr>
            </w:pPr>
            <w:r>
              <w:rPr>
                <w:sz w:val="4"/>
                <w:szCs w:val="4"/>
              </w:rPr>
            </w:r>
          </w:p>
        </w:tc>
        <w:tc>
          <w:tcPr>
            <w:tcW w:w="973" w:type="dxa"/>
            <w:tcBorders/>
            <w:shd w:fill="auto" w:val="clear"/>
          </w:tcPr>
          <w:p>
            <w:pPr>
              <w:pStyle w:val="TableContents"/>
              <w:spacing w:before="0" w:after="283"/>
              <w:rPr>
                <w:sz w:val="4"/>
                <w:szCs w:val="4"/>
              </w:rPr>
            </w:pPr>
            <w:r>
              <w:rPr>
                <w:sz w:val="4"/>
                <w:szCs w:val="4"/>
              </w:rPr>
            </w:r>
          </w:p>
        </w:tc>
        <w:tc>
          <w:tcPr>
            <w:tcW w:w="1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tcPr>
          <w:p>
            <w:pPr>
              <w:pStyle w:val="TableContents"/>
              <w:spacing w:lineRule="atLeast" w:line="141" w:before="0" w:after="0"/>
              <w:rPr/>
            </w:pPr>
            <w:r>
              <w:rPr/>
              <w:t> </w:t>
            </w:r>
          </w:p>
        </w:tc>
        <w:tc>
          <w:tcPr>
            <w:tcW w:w="1006"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3,000</w:t>
            </w:r>
          </w:p>
        </w:tc>
        <w:tc>
          <w:tcPr>
            <w:tcW w:w="6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tcPr>
          <w:p>
            <w:pPr>
              <w:pStyle w:val="TableContents"/>
              <w:spacing w:lineRule="atLeast" w:line="141" w:before="0" w:after="0"/>
              <w:rPr/>
            </w:pPr>
            <w:r>
              <w:rPr/>
              <w:t> </w:t>
            </w:r>
          </w:p>
        </w:tc>
        <w:tc>
          <w:tcPr>
            <w:tcW w:w="1104"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2,618</w:t>
            </w:r>
          </w:p>
        </w:tc>
        <w:tc>
          <w:tcPr>
            <w:tcW w:w="110" w:type="dxa"/>
            <w:tcBorders/>
            <w:shd w:fill="auto" w:val="clear"/>
          </w:tcPr>
          <w:p>
            <w:pPr>
              <w:pStyle w:val="TableContents"/>
              <w:spacing w:lineRule="atLeast" w:line="141"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tcPr>
          <w:p>
            <w:pPr>
              <w:pStyle w:val="TableContents"/>
              <w:spacing w:lineRule="atLeast" w:line="141" w:before="0" w:after="0"/>
              <w:rPr/>
            </w:pPr>
            <w:r>
              <w:rPr/>
              <w:t> </w:t>
            </w:r>
          </w:p>
        </w:tc>
        <w:tc>
          <w:tcPr>
            <w:tcW w:w="1138" w:type="dxa"/>
            <w:tcBorders/>
            <w:shd w:fill="auto" w:val="clear"/>
          </w:tcPr>
          <w:p>
            <w:pPr>
              <w:pStyle w:val="TableContents"/>
              <w:spacing w:lineRule="atLeast" w:line="141" w:before="0" w:after="0"/>
              <w:jc w:val="right"/>
              <w:rPr>
                <w:rFonts w:ascii="Times New Roman" w:hAnsi="Times New Roman"/>
                <w:sz w:val="15"/>
              </w:rPr>
            </w:pPr>
            <w:r>
              <w:rPr>
                <w:rFonts w:ascii="Times New Roman" w:hAnsi="Times New Roman"/>
                <w:sz w:val="15"/>
              </w:rPr>
              <w:t>0.2</w:t>
            </w:r>
          </w:p>
        </w:tc>
        <w:tc>
          <w:tcPr>
            <w:tcW w:w="18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4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10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pBdr>
                <w:top w:val="single" w:sz="2" w:space="1" w:color="000000"/>
              </w:pBdr>
              <w:spacing w:before="0" w:after="0"/>
              <w:rPr/>
            </w:pPr>
            <w:r>
              <w:rPr/>
              <w:t> </w:t>
            </w:r>
          </w:p>
        </w:tc>
        <w:tc>
          <w:tcPr>
            <w:tcW w:w="100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pBdr>
                <w:top w:val="single" w:sz="2" w:space="1" w:color="000000"/>
              </w:pBdr>
              <w:spacing w:before="0" w:after="0"/>
              <w:rPr/>
            </w:pPr>
            <w:r>
              <w:rPr/>
              <w:t> </w:t>
            </w:r>
          </w:p>
        </w:tc>
        <w:tc>
          <w:tcPr>
            <w:tcW w:w="1104" w:type="dxa"/>
            <w:tcBorders/>
            <w:shd w:fill="auto" w:val="clear"/>
            <w:vAlign w:val="bottom"/>
          </w:tcPr>
          <w:p>
            <w:pPr>
              <w:pStyle w:val="TableContents"/>
              <w:pBdr>
                <w:top w:val="single" w:sz="2" w:space="1" w:color="000000"/>
              </w:pBdr>
              <w:spacing w:before="0" w:after="0"/>
              <w:rPr/>
            </w:pPr>
            <w:r>
              <w:rPr/>
              <w:t> </w:t>
            </w:r>
          </w:p>
        </w:tc>
        <w:tc>
          <w:tcPr>
            <w:tcW w:w="11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pBdr>
                <w:top w:val="single" w:sz="2" w:space="1" w:color="000000"/>
              </w:pBdr>
              <w:spacing w:before="0" w:after="0"/>
              <w:rPr/>
            </w:pPr>
            <w:r>
              <w:rPr/>
              <w:t> </w:t>
            </w:r>
          </w:p>
        </w:tc>
        <w:tc>
          <w:tcPr>
            <w:tcW w:w="1138" w:type="dxa"/>
            <w:tcBorders/>
            <w:shd w:fill="auto" w:val="clear"/>
            <w:vAlign w:val="bottom"/>
          </w:tcPr>
          <w:p>
            <w:pPr>
              <w:pStyle w:val="TableContents"/>
              <w:pBdr>
                <w:top w:val="single" w:sz="2" w:space="1" w:color="000000"/>
              </w:pBdr>
              <w:spacing w:before="0" w:after="0"/>
              <w:rPr/>
            </w:pPr>
            <w:r>
              <w:rPr/>
              <w:t> </w:t>
            </w:r>
          </w:p>
        </w:tc>
        <w:tc>
          <w:tcPr>
            <w:tcW w:w="185" w:type="dxa"/>
            <w:tcBorders/>
            <w:shd w:fill="auto" w:val="clear"/>
            <w:vAlign w:val="center"/>
          </w:tcPr>
          <w:p>
            <w:pPr>
              <w:pStyle w:val="TableContents"/>
              <w:spacing w:before="0" w:after="283"/>
              <w:rPr/>
            </w:pPr>
            <w:r>
              <w:rPr/>
              <w:t> </w:t>
            </w:r>
          </w:p>
        </w:tc>
      </w:tr>
      <w:tr>
        <w:trPr/>
        <w:tc>
          <w:tcPr>
            <w:tcW w:w="209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94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91" w:type="dxa"/>
            <w:tcBorders/>
            <w:shd w:fill="CCEEFF" w:val="clear"/>
          </w:tcPr>
          <w:p>
            <w:pPr>
              <w:pStyle w:val="TableContents"/>
              <w:spacing w:before="0" w:after="283"/>
              <w:rPr>
                <w:sz w:val="4"/>
                <w:szCs w:val="4"/>
              </w:rPr>
            </w:pPr>
            <w:r>
              <w:rPr>
                <w:sz w:val="4"/>
                <w:szCs w:val="4"/>
              </w:rPr>
            </w:r>
          </w:p>
        </w:tc>
        <w:tc>
          <w:tcPr>
            <w:tcW w:w="1084" w:type="dxa"/>
            <w:tcBorders/>
            <w:shd w:fill="CCEEFF" w:val="clear"/>
          </w:tcPr>
          <w:p>
            <w:pPr>
              <w:pStyle w:val="TableContents"/>
              <w:spacing w:before="0" w:after="283"/>
              <w:rPr>
                <w:sz w:val="4"/>
                <w:szCs w:val="4"/>
              </w:rPr>
            </w:pPr>
            <w:r>
              <w:rPr>
                <w:sz w:val="4"/>
                <w:szCs w:val="4"/>
              </w:rPr>
            </w:r>
          </w:p>
        </w:tc>
        <w:tc>
          <w:tcPr>
            <w:tcW w:w="60"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67" w:type="dxa"/>
            <w:tcBorders/>
            <w:shd w:fill="CCEEFF" w:val="clear"/>
          </w:tcPr>
          <w:p>
            <w:pPr>
              <w:pStyle w:val="TableContents"/>
              <w:spacing w:before="0" w:after="283"/>
              <w:rPr>
                <w:sz w:val="4"/>
                <w:szCs w:val="4"/>
              </w:rPr>
            </w:pPr>
            <w:r>
              <w:rPr>
                <w:sz w:val="4"/>
                <w:szCs w:val="4"/>
              </w:rPr>
            </w:r>
          </w:p>
        </w:tc>
        <w:tc>
          <w:tcPr>
            <w:tcW w:w="973" w:type="dxa"/>
            <w:tcBorders/>
            <w:shd w:fill="CCEEFF" w:val="clear"/>
          </w:tcPr>
          <w:p>
            <w:pPr>
              <w:pStyle w:val="TableContents"/>
              <w:spacing w:before="0" w:after="283"/>
              <w:rPr>
                <w:sz w:val="4"/>
                <w:szCs w:val="4"/>
              </w:rPr>
            </w:pPr>
            <w:r>
              <w:rPr>
                <w:sz w:val="4"/>
                <w:szCs w:val="4"/>
              </w:rPr>
            </w:r>
          </w:p>
        </w:tc>
        <w:tc>
          <w:tcPr>
            <w:tcW w:w="18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68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94" w:type="dxa"/>
            <w:tcBorders/>
            <w:shd w:fill="CCEEFF" w:val="clear"/>
          </w:tcPr>
          <w:p>
            <w:pPr>
              <w:pStyle w:val="TableContents"/>
              <w:spacing w:lineRule="atLeast" w:line="141" w:before="0" w:after="0"/>
              <w:rPr/>
            </w:pPr>
            <w:r>
              <w:rPr/>
              <w:t> </w:t>
            </w:r>
          </w:p>
        </w:tc>
        <w:tc>
          <w:tcPr>
            <w:tcW w:w="1006"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7,148</w:t>
            </w:r>
          </w:p>
        </w:tc>
        <w:tc>
          <w:tcPr>
            <w:tcW w:w="6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86" w:type="dxa"/>
            <w:tcBorders/>
            <w:shd w:fill="CCEEFF" w:val="clear"/>
          </w:tcPr>
          <w:p>
            <w:pPr>
              <w:pStyle w:val="TableContents"/>
              <w:spacing w:lineRule="atLeast" w:line="141" w:before="0" w:after="0"/>
              <w:rPr/>
            </w:pPr>
            <w:r>
              <w:rPr/>
              <w:t> </w:t>
            </w:r>
          </w:p>
        </w:tc>
        <w:tc>
          <w:tcPr>
            <w:tcW w:w="1104"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16,775</w:t>
            </w:r>
          </w:p>
        </w:tc>
        <w:tc>
          <w:tcPr>
            <w:tcW w:w="110" w:type="dxa"/>
            <w:tcBorders/>
            <w:shd w:fill="CCEEFF" w:val="clear"/>
          </w:tcPr>
          <w:p>
            <w:pPr>
              <w:pStyle w:val="TableContents"/>
              <w:spacing w:lineRule="atLeast" w:line="141"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tcPr>
          <w:p>
            <w:pPr>
              <w:pStyle w:val="TableContents"/>
              <w:spacing w:lineRule="atLeast" w:line="141" w:before="0" w:after="0"/>
              <w:rPr/>
            </w:pPr>
            <w:r>
              <w:rPr/>
              <w:t> </w:t>
            </w:r>
          </w:p>
        </w:tc>
        <w:tc>
          <w:tcPr>
            <w:tcW w:w="1138" w:type="dxa"/>
            <w:tcBorders/>
            <w:shd w:fill="CCEEFF" w:val="clear"/>
          </w:tcPr>
          <w:p>
            <w:pPr>
              <w:pStyle w:val="TableContents"/>
              <w:spacing w:lineRule="atLeast" w:line="141" w:before="0" w:after="0"/>
              <w:jc w:val="right"/>
              <w:rPr>
                <w:rFonts w:ascii="Times New Roman" w:hAnsi="Times New Roman"/>
                <w:sz w:val="15"/>
              </w:rPr>
            </w:pPr>
            <w:r>
              <w:rPr>
                <w:rFonts w:ascii="Times New Roman" w:hAnsi="Times New Roman"/>
                <w:sz w:val="15"/>
              </w:rPr>
              <w:t>1.3</w:t>
            </w:r>
          </w:p>
        </w:tc>
        <w:tc>
          <w:tcPr>
            <w:tcW w:w="18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 </w:t>
            </w:r>
          </w:p>
        </w:tc>
      </w:tr>
      <w:tr>
        <w:trPr/>
        <w:tc>
          <w:tcPr>
            <w:tcW w:w="209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94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10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7" w:type="dxa"/>
            <w:tcBorders/>
            <w:shd w:fill="auto" w:val="clear"/>
            <w:vAlign w:val="bottom"/>
          </w:tcPr>
          <w:p>
            <w:pPr>
              <w:pStyle w:val="TableContents"/>
              <w:spacing w:before="0" w:after="283"/>
              <w:rPr>
                <w:sz w:val="4"/>
                <w:szCs w:val="4"/>
              </w:rPr>
            </w:pPr>
            <w:r>
              <w:rPr>
                <w:sz w:val="4"/>
                <w:szCs w:val="4"/>
              </w:rPr>
            </w:r>
          </w:p>
        </w:tc>
        <w:tc>
          <w:tcPr>
            <w:tcW w:w="973"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6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4" w:type="dxa"/>
            <w:tcBorders/>
            <w:shd w:fill="auto" w:val="clear"/>
            <w:vAlign w:val="bottom"/>
          </w:tcPr>
          <w:p>
            <w:pPr>
              <w:pStyle w:val="TableContents"/>
              <w:pBdr>
                <w:top w:val="single" w:sz="2" w:space="1" w:color="000000"/>
              </w:pBdr>
              <w:spacing w:before="0" w:after="0"/>
              <w:rPr/>
            </w:pPr>
            <w:r>
              <w:rPr/>
              <w:t> </w:t>
            </w:r>
          </w:p>
        </w:tc>
        <w:tc>
          <w:tcPr>
            <w:tcW w:w="100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 w:type="dxa"/>
            <w:tcBorders/>
            <w:shd w:fill="auto" w:val="clear"/>
            <w:vAlign w:val="bottom"/>
          </w:tcPr>
          <w:p>
            <w:pPr>
              <w:pStyle w:val="TableContents"/>
              <w:pBdr>
                <w:top w:val="single" w:sz="2" w:space="1" w:color="000000"/>
              </w:pBdr>
              <w:spacing w:before="0" w:after="0"/>
              <w:rPr/>
            </w:pPr>
            <w:r>
              <w:rPr/>
              <w:t> </w:t>
            </w:r>
          </w:p>
        </w:tc>
        <w:tc>
          <w:tcPr>
            <w:tcW w:w="1104" w:type="dxa"/>
            <w:tcBorders/>
            <w:shd w:fill="auto" w:val="clear"/>
            <w:vAlign w:val="bottom"/>
          </w:tcPr>
          <w:p>
            <w:pPr>
              <w:pStyle w:val="TableContents"/>
              <w:pBdr>
                <w:top w:val="single" w:sz="2" w:space="1" w:color="000000"/>
              </w:pBdr>
              <w:spacing w:before="0" w:after="0"/>
              <w:rPr/>
            </w:pPr>
            <w:r>
              <w:rPr/>
              <w:t> </w:t>
            </w:r>
          </w:p>
        </w:tc>
        <w:tc>
          <w:tcPr>
            <w:tcW w:w="11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pBdr>
                <w:top w:val="single" w:sz="2" w:space="1" w:color="000000"/>
              </w:pBdr>
              <w:spacing w:before="0" w:after="0"/>
              <w:rPr/>
            </w:pPr>
            <w:r>
              <w:rPr/>
              <w:t> </w:t>
            </w:r>
          </w:p>
        </w:tc>
        <w:tc>
          <w:tcPr>
            <w:tcW w:w="1138" w:type="dxa"/>
            <w:tcBorders/>
            <w:shd w:fill="auto" w:val="clear"/>
            <w:vAlign w:val="bottom"/>
          </w:tcPr>
          <w:p>
            <w:pPr>
              <w:pStyle w:val="TableContents"/>
              <w:pBdr>
                <w:top w:val="single" w:sz="2" w:space="1" w:color="000000"/>
              </w:pBdr>
              <w:spacing w:before="0" w:after="0"/>
              <w:rPr/>
            </w:pPr>
            <w:r>
              <w:rPr/>
              <w:t> </w:t>
            </w:r>
          </w:p>
        </w:tc>
        <w:tc>
          <w:tcPr>
            <w:tcW w:w="185"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11765" w:type="dxa"/>
        <w:jc w:val="center"/>
        <w:tblInd w:w="0" w:type="dxa"/>
        <w:tblCellMar>
          <w:top w:w="0" w:type="dxa"/>
          <w:left w:w="0" w:type="dxa"/>
          <w:bottom w:w="0" w:type="dxa"/>
          <w:right w:w="0" w:type="dxa"/>
        </w:tblCellMar>
      </w:tblPr>
      <w:tblGrid>
        <w:gridCol w:w="1415"/>
        <w:gridCol w:w="60"/>
        <w:gridCol w:w="2765"/>
        <w:gridCol w:w="60"/>
        <w:gridCol w:w="91"/>
        <w:gridCol w:w="1084"/>
        <w:gridCol w:w="60"/>
        <w:gridCol w:w="60"/>
        <w:gridCol w:w="100"/>
        <w:gridCol w:w="940"/>
        <w:gridCol w:w="185"/>
        <w:gridCol w:w="60"/>
        <w:gridCol w:w="785"/>
        <w:gridCol w:w="60"/>
        <w:gridCol w:w="143"/>
        <w:gridCol w:w="957"/>
        <w:gridCol w:w="60"/>
        <w:gridCol w:w="60"/>
        <w:gridCol w:w="154"/>
        <w:gridCol w:w="1036"/>
        <w:gridCol w:w="60"/>
        <w:gridCol w:w="60"/>
        <w:gridCol w:w="187"/>
        <w:gridCol w:w="1138"/>
        <w:gridCol w:w="185"/>
      </w:tblGrid>
      <w:tr>
        <w:trPr/>
        <w:tc>
          <w:tcPr>
            <w:tcW w:w="141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76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91"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95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r>
      <w:tr>
        <w:trPr/>
        <w:tc>
          <w:tcPr>
            <w:tcW w:w="1415" w:type="dxa"/>
            <w:tcBorders/>
            <w:shd w:fill="auto" w:val="clear"/>
            <w:vAlign w:val="bottom"/>
          </w:tcPr>
          <w:p>
            <w:pPr>
              <w:pStyle w:val="TableContents"/>
              <w:pBdr>
                <w:bottom w:val="single" w:sz="8" w:space="1" w:color="000000"/>
              </w:pBdr>
              <w:spacing w:before="0" w:after="0"/>
              <w:rPr>
                <w:rFonts w:ascii="Times New Roman" w:hAnsi="Times New Roman"/>
                <w:b/>
                <w:sz w:val="14"/>
              </w:rPr>
            </w:pPr>
            <w:r>
              <w:rPr>
                <w:rFonts w:ascii="Times New Roman" w:hAnsi="Times New Roman"/>
                <w:b/>
                <w:sz w:val="14"/>
              </w:rPr>
              <w:t>Company(1)(6)</w:t>
            </w:r>
          </w:p>
        </w:tc>
        <w:tc>
          <w:tcPr>
            <w:tcW w:w="60" w:type="dxa"/>
            <w:tcBorders/>
            <w:shd w:fill="auto" w:val="clear"/>
            <w:vAlign w:val="bottom"/>
          </w:tcPr>
          <w:p>
            <w:pPr>
              <w:pStyle w:val="TableContents"/>
              <w:spacing w:before="0" w:after="283"/>
              <w:rPr/>
            </w:pPr>
            <w:r>
              <w:rPr/>
              <w:t> </w:t>
            </w:r>
          </w:p>
        </w:tc>
        <w:tc>
          <w:tcPr>
            <w:tcW w:w="2765"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4"/>
              </w:rPr>
            </w:pPr>
            <w:r>
              <w:rPr>
                <w:rFonts w:ascii="Times New Roman" w:hAnsi="Times New Roman"/>
                <w:b/>
                <w:sz w:val="14"/>
              </w:rPr>
              <w:t>Investment</w:t>
            </w:r>
          </w:p>
        </w:tc>
        <w:tc>
          <w:tcPr>
            <w:tcW w:w="60" w:type="dxa"/>
            <w:tcBorders/>
            <w:shd w:fill="auto" w:val="clear"/>
            <w:vAlign w:val="bottom"/>
          </w:tcPr>
          <w:p>
            <w:pPr>
              <w:pStyle w:val="TableContents"/>
              <w:spacing w:before="0" w:after="283"/>
              <w:rPr/>
            </w:pPr>
            <w:r>
              <w:rPr/>
              <w:t> </w:t>
            </w:r>
          </w:p>
        </w:tc>
        <w:tc>
          <w:tcPr>
            <w:tcW w:w="11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Initial</w:t>
              <w:br/>
              <w:t>Acquisition</w:t>
              <w:br/>
              <w:t>Date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Reference</w:t>
              <w:br/>
              <w:t>Rate and</w:t>
              <w:br/>
              <w:t>Spread</w:t>
            </w:r>
          </w:p>
        </w:tc>
        <w:tc>
          <w:tcPr>
            <w:tcW w:w="18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5"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4"/>
              </w:rPr>
            </w:pPr>
            <w:r>
              <w:rPr>
                <w:rFonts w:ascii="Times New Roman" w:hAnsi="Times New Roman"/>
                <w:b/>
                <w:sz w:val="14"/>
              </w:rPr>
              <w:t>Interest Rate</w:t>
            </w:r>
          </w:p>
        </w:tc>
        <w:tc>
          <w:tcPr>
            <w:tcW w:w="60" w:type="dxa"/>
            <w:tcBorders/>
            <w:shd w:fill="auto" w:val="clear"/>
            <w:vAlign w:val="bottom"/>
          </w:tcPr>
          <w:p>
            <w:pPr>
              <w:pStyle w:val="TableContents"/>
              <w:spacing w:before="0" w:after="283"/>
              <w:rPr/>
            </w:pPr>
            <w:r>
              <w:rPr/>
              <w:t> </w:t>
            </w:r>
          </w:p>
        </w:tc>
        <w:tc>
          <w:tcPr>
            <w:tcW w:w="11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Amortized</w:t>
              <w:br/>
              <w:t>Cost(2)(8)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1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Fair Value(9)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2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Percentage</w:t>
              <w:br/>
              <w:t>of Net Assets</w:t>
            </w:r>
          </w:p>
        </w:tc>
        <w:tc>
          <w:tcPr>
            <w:tcW w:w="185" w:type="dxa"/>
            <w:tcBorders/>
            <w:shd w:fill="auto" w:val="clear"/>
            <w:vAlign w:val="bottom"/>
          </w:tcPr>
          <w:p>
            <w:pPr>
              <w:pStyle w:val="TableContents"/>
              <w:spacing w:before="0" w:after="283"/>
              <w:rPr/>
            </w:pPr>
            <w:r>
              <w:rPr/>
              <w:t> </w:t>
            </w:r>
          </w:p>
        </w:tc>
      </w:tr>
      <w:tr>
        <w:trPr/>
        <w:tc>
          <w:tcPr>
            <w:tcW w:w="1415" w:type="dxa"/>
            <w:tcBorders/>
            <w:shd w:fill="CCEEFF" w:val="clear"/>
          </w:tcPr>
          <w:p>
            <w:pPr>
              <w:pStyle w:val="TableContents"/>
              <w:spacing w:lineRule="atLeast" w:line="141" w:before="0" w:after="0"/>
              <w:rPr>
                <w:rFonts w:ascii="Times New Roman" w:hAnsi="Times New Roman"/>
                <w:b/>
                <w:sz w:val="15"/>
              </w:rPr>
            </w:pPr>
            <w:r>
              <w:rPr>
                <w:rFonts w:ascii="Times New Roman" w:hAnsi="Times New Roman"/>
                <w:b/>
                <w:sz w:val="15"/>
              </w:rPr>
              <w:t>Structured Products</w:t>
            </w:r>
          </w:p>
        </w:tc>
        <w:tc>
          <w:tcPr>
            <w:tcW w:w="60" w:type="dxa"/>
            <w:tcBorders/>
            <w:shd w:fill="CCEEFF" w:val="clear"/>
            <w:vAlign w:val="bottom"/>
          </w:tcPr>
          <w:p>
            <w:pPr>
              <w:pStyle w:val="TableContents"/>
              <w:spacing w:before="0" w:after="283"/>
              <w:rPr/>
            </w:pPr>
            <w:r>
              <w:rPr/>
              <w:t> </w:t>
            </w:r>
          </w:p>
        </w:tc>
        <w:tc>
          <w:tcPr>
            <w:tcW w:w="276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sz w:val="4"/>
                <w:szCs w:val="4"/>
              </w:rPr>
            </w:pPr>
            <w:r>
              <w:rPr>
                <w:sz w:val="4"/>
                <w:szCs w:val="4"/>
              </w:rPr>
            </w:r>
          </w:p>
        </w:tc>
        <w:tc>
          <w:tcPr>
            <w:tcW w:w="108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sz w:val="4"/>
                <w:szCs w:val="4"/>
              </w:rPr>
            </w:pPr>
            <w:r>
              <w:rPr>
                <w:sz w:val="4"/>
                <w:szCs w:val="4"/>
              </w:rPr>
            </w:r>
          </w:p>
        </w:tc>
        <w:tc>
          <w:tcPr>
            <w:tcW w:w="940" w:type="dxa"/>
            <w:tcBorders/>
            <w:shd w:fill="CCEEFF" w:val="clear"/>
            <w:vAlign w:val="bottom"/>
          </w:tcPr>
          <w:p>
            <w:pPr>
              <w:pStyle w:val="TableContents"/>
              <w:spacing w:before="0" w:after="283"/>
              <w:rPr>
                <w:sz w:val="4"/>
                <w:szCs w:val="4"/>
              </w:rPr>
            </w:pPr>
            <w:r>
              <w:rPr>
                <w:sz w:val="4"/>
                <w:szCs w:val="4"/>
              </w:rPr>
            </w:r>
          </w:p>
        </w:tc>
        <w:tc>
          <w:tcPr>
            <w:tcW w:w="18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before="0" w:after="283"/>
              <w:rPr>
                <w:sz w:val="4"/>
                <w:szCs w:val="4"/>
              </w:rPr>
            </w:pPr>
            <w:r>
              <w:rPr>
                <w:sz w:val="4"/>
                <w:szCs w:val="4"/>
              </w:rPr>
            </w:r>
          </w:p>
        </w:tc>
        <w:tc>
          <w:tcPr>
            <w:tcW w:w="957"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before="0" w:after="283"/>
              <w:rPr>
                <w:sz w:val="4"/>
                <w:szCs w:val="4"/>
              </w:rPr>
            </w:pPr>
            <w:r>
              <w:rPr>
                <w:sz w:val="4"/>
                <w:szCs w:val="4"/>
              </w:rPr>
            </w:r>
          </w:p>
        </w:tc>
        <w:tc>
          <w:tcPr>
            <w:tcW w:w="1036"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before="0" w:after="283"/>
              <w:rPr>
                <w:sz w:val="4"/>
                <w:szCs w:val="4"/>
              </w:rPr>
            </w:pPr>
            <w:r>
              <w:rPr>
                <w:sz w:val="4"/>
                <w:szCs w:val="4"/>
              </w:rPr>
            </w:r>
          </w:p>
        </w:tc>
        <w:tc>
          <w:tcPr>
            <w:tcW w:w="1138" w:type="dxa"/>
            <w:tcBorders/>
            <w:shd w:fill="CCEEFF" w:val="clear"/>
            <w:vAlign w:val="bottom"/>
          </w:tcPr>
          <w:p>
            <w:pPr>
              <w:pStyle w:val="TableContents"/>
              <w:spacing w:before="0" w:after="283"/>
              <w:rPr>
                <w:sz w:val="4"/>
                <w:szCs w:val="4"/>
              </w:rPr>
            </w:pPr>
            <w:r>
              <w:rPr>
                <w:sz w:val="4"/>
                <w:szCs w:val="4"/>
              </w:rPr>
            </w:r>
          </w:p>
        </w:tc>
        <w:tc>
          <w:tcPr>
            <w:tcW w:w="185" w:type="dxa"/>
            <w:tcBorders/>
            <w:shd w:fill="CCEEFF" w:val="clear"/>
            <w:vAlign w:val="bottom"/>
          </w:tcPr>
          <w:p>
            <w:pPr>
              <w:pStyle w:val="TableContents"/>
              <w:spacing w:before="0" w:after="283"/>
              <w:rPr>
                <w:sz w:val="4"/>
                <w:szCs w:val="4"/>
              </w:rPr>
            </w:pPr>
            <w:r>
              <w:rPr>
                <w:sz w:val="4"/>
                <w:szCs w:val="4"/>
              </w:rPr>
            </w:r>
          </w:p>
        </w:tc>
      </w:tr>
      <w:tr>
        <w:trPr/>
        <w:tc>
          <w:tcPr>
            <w:tcW w:w="141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 xml:space="preserve">Allegro CLO Ltd, </w:t>
              <w:br/>
              <w:t>Series 2018-1A,(3)(4)(10)</w:t>
            </w:r>
          </w:p>
        </w:tc>
        <w:tc>
          <w:tcPr>
            <w:tcW w:w="60" w:type="dxa"/>
            <w:tcBorders/>
            <w:shd w:fill="auto" w:val="clear"/>
            <w:vAlign w:val="bottom"/>
          </w:tcPr>
          <w:p>
            <w:pPr>
              <w:pStyle w:val="TableContents"/>
              <w:spacing w:before="0" w:after="283"/>
              <w:rPr/>
            </w:pPr>
            <w:r>
              <w:rPr/>
              <w:t> </w:t>
            </w:r>
          </w:p>
        </w:tc>
        <w:tc>
          <w:tcPr>
            <w:tcW w:w="276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Structured Product ($1,000 par, due 6/2031)</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lineRule="atLeast" w:line="160" w:before="0" w:after="0"/>
              <w:rPr/>
            </w:pPr>
            <w:r>
              <w:rPr/>
              <w:t> </w:t>
            </w:r>
          </w:p>
        </w:tc>
        <w:tc>
          <w:tcPr>
            <w:tcW w:w="1084"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5/26/2022</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lineRule="atLeast" w:line="160" w:before="0" w:after="0"/>
              <w:rPr/>
            </w:pPr>
            <w:r>
              <w:rPr/>
              <w:t> </w:t>
            </w:r>
          </w:p>
        </w:tc>
        <w:tc>
          <w:tcPr>
            <w:tcW w:w="940"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L + 2.85</w:t>
            </w:r>
          </w:p>
        </w:tc>
        <w:tc>
          <w:tcPr>
            <w:tcW w:w="18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c>
          <w:tcPr>
            <w:tcW w:w="60"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5.36%</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lineRule="atLeast" w:line="160" w:before="0" w:after="0"/>
              <w:rPr/>
            </w:pPr>
            <w:r>
              <w:rPr/>
              <w:t> </w:t>
            </w:r>
          </w:p>
        </w:tc>
        <w:tc>
          <w:tcPr>
            <w:tcW w:w="957"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907</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lineRule="atLeast" w:line="160" w:before="0" w:after="0"/>
              <w:rPr/>
            </w:pPr>
            <w:r>
              <w:rPr/>
              <w:t> </w:t>
            </w:r>
          </w:p>
        </w:tc>
        <w:tc>
          <w:tcPr>
            <w:tcW w:w="1036"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856</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lineRule="atLeast" w:line="160" w:before="0" w:after="0"/>
              <w:rPr/>
            </w:pPr>
            <w:r>
              <w:rPr/>
              <w:t> </w:t>
            </w:r>
          </w:p>
        </w:tc>
        <w:tc>
          <w:tcPr>
            <w:tcW w:w="1138"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0.1</w:t>
            </w:r>
          </w:p>
        </w:tc>
        <w:tc>
          <w:tcPr>
            <w:tcW w:w="18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r>
      <w:tr>
        <w:trPr/>
        <w:tc>
          <w:tcPr>
            <w:tcW w:w="141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 xml:space="preserve">American Money Management Corp </w:t>
              <w:br/>
              <w:t>CLO Ltd, Series 2016-18A(3)(4)(10)</w:t>
            </w:r>
          </w:p>
        </w:tc>
        <w:tc>
          <w:tcPr>
            <w:tcW w:w="60" w:type="dxa"/>
            <w:tcBorders/>
            <w:shd w:fill="CCEEFF" w:val="clear"/>
            <w:vAlign w:val="bottom"/>
          </w:tcPr>
          <w:p>
            <w:pPr>
              <w:pStyle w:val="TableContents"/>
              <w:spacing w:before="0" w:after="283"/>
              <w:rPr/>
            </w:pPr>
            <w:r>
              <w:rPr/>
              <w:t> </w:t>
            </w:r>
          </w:p>
        </w:tc>
        <w:tc>
          <w:tcPr>
            <w:tcW w:w="276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Structured Product ($1,500 par, due 5/2031)</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lineRule="atLeast" w:line="160" w:before="0" w:after="0"/>
              <w:rPr/>
            </w:pPr>
            <w:r>
              <w:rPr/>
              <w:t> </w:t>
            </w:r>
          </w:p>
        </w:tc>
        <w:tc>
          <w:tcPr>
            <w:tcW w:w="1084"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6/22/2022</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lineRule="atLeast" w:line="160" w:before="0" w:after="0"/>
              <w:rPr/>
            </w:pPr>
            <w:r>
              <w:rPr/>
              <w:t> </w:t>
            </w:r>
          </w:p>
        </w:tc>
        <w:tc>
          <w:tcPr>
            <w:tcW w:w="940"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L + 3.05</w:t>
            </w:r>
          </w:p>
        </w:tc>
        <w:tc>
          <w:tcPr>
            <w:tcW w:w="18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c>
          <w:tcPr>
            <w:tcW w:w="60"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6.06%</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lineRule="atLeast" w:line="160" w:before="0" w:after="0"/>
              <w:rPr/>
            </w:pPr>
            <w:r>
              <w:rPr/>
              <w:t> </w:t>
            </w:r>
          </w:p>
        </w:tc>
        <w:tc>
          <w:tcPr>
            <w:tcW w:w="957"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1,344</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lineRule="atLeast" w:line="160" w:before="0" w:after="0"/>
              <w:rPr/>
            </w:pPr>
            <w:r>
              <w:rPr/>
              <w:t> </w:t>
            </w:r>
          </w:p>
        </w:tc>
        <w:tc>
          <w:tcPr>
            <w:tcW w:w="1036"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1,302</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lineRule="atLeast" w:line="160" w:before="0" w:after="0"/>
              <w:rPr/>
            </w:pPr>
            <w:r>
              <w:rPr/>
              <w:t> </w:t>
            </w:r>
          </w:p>
        </w:tc>
        <w:tc>
          <w:tcPr>
            <w:tcW w:w="1138"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0.1</w:t>
            </w:r>
          </w:p>
        </w:tc>
        <w:tc>
          <w:tcPr>
            <w:tcW w:w="18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r>
      <w:tr>
        <w:trPr/>
        <w:tc>
          <w:tcPr>
            <w:tcW w:w="141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Ares CLO Ltd,</w:t>
              <w:br/>
              <w:t>Series 2021-59A(3)(4)(10)</w:t>
            </w:r>
          </w:p>
        </w:tc>
        <w:tc>
          <w:tcPr>
            <w:tcW w:w="60" w:type="dxa"/>
            <w:tcBorders/>
            <w:shd w:fill="auto" w:val="clear"/>
            <w:vAlign w:val="bottom"/>
          </w:tcPr>
          <w:p>
            <w:pPr>
              <w:pStyle w:val="TableContents"/>
              <w:spacing w:before="0" w:after="283"/>
              <w:rPr/>
            </w:pPr>
            <w:r>
              <w:rPr/>
              <w:t> </w:t>
            </w:r>
          </w:p>
        </w:tc>
        <w:tc>
          <w:tcPr>
            <w:tcW w:w="276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Structured Product ($1,000 par, due 4/2034)</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lineRule="atLeast" w:line="160" w:before="0" w:after="0"/>
              <w:rPr/>
            </w:pPr>
            <w:r>
              <w:rPr/>
              <w:t> </w:t>
            </w:r>
          </w:p>
        </w:tc>
        <w:tc>
          <w:tcPr>
            <w:tcW w:w="1084"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6/23/2022</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lineRule="atLeast" w:line="160" w:before="0" w:after="0"/>
              <w:rPr/>
            </w:pPr>
            <w:r>
              <w:rPr/>
              <w:t> </w:t>
            </w:r>
          </w:p>
        </w:tc>
        <w:tc>
          <w:tcPr>
            <w:tcW w:w="940"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L + 6.25</w:t>
            </w:r>
          </w:p>
        </w:tc>
        <w:tc>
          <w:tcPr>
            <w:tcW w:w="18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c>
          <w:tcPr>
            <w:tcW w:w="60"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9.03%</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lineRule="atLeast" w:line="160" w:before="0" w:after="0"/>
              <w:rPr/>
            </w:pPr>
            <w:r>
              <w:rPr/>
              <w:t> </w:t>
            </w:r>
          </w:p>
        </w:tc>
        <w:tc>
          <w:tcPr>
            <w:tcW w:w="957"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893</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lineRule="atLeast" w:line="160" w:before="0" w:after="0"/>
              <w:rPr/>
            </w:pPr>
            <w:r>
              <w:rPr/>
              <w:t> </w:t>
            </w:r>
          </w:p>
        </w:tc>
        <w:tc>
          <w:tcPr>
            <w:tcW w:w="1036"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837</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lineRule="atLeast" w:line="160" w:before="0" w:after="0"/>
              <w:rPr/>
            </w:pPr>
            <w:r>
              <w:rPr/>
              <w:t> </w:t>
            </w:r>
          </w:p>
        </w:tc>
        <w:tc>
          <w:tcPr>
            <w:tcW w:w="1138"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0.1</w:t>
            </w:r>
          </w:p>
        </w:tc>
        <w:tc>
          <w:tcPr>
            <w:tcW w:w="18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r>
      <w:tr>
        <w:trPr/>
        <w:tc>
          <w:tcPr>
            <w:tcW w:w="141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 xml:space="preserve">Ares Loan Funding I Ltd, </w:t>
              <w:br/>
              <w:t>Series 2021-ALFA, Class E(3)(4)(10)</w:t>
            </w:r>
          </w:p>
        </w:tc>
        <w:tc>
          <w:tcPr>
            <w:tcW w:w="60" w:type="dxa"/>
            <w:tcBorders/>
            <w:shd w:fill="CCEEFF" w:val="clear"/>
            <w:vAlign w:val="bottom"/>
          </w:tcPr>
          <w:p>
            <w:pPr>
              <w:pStyle w:val="TableContents"/>
              <w:spacing w:before="0" w:after="283"/>
              <w:rPr/>
            </w:pPr>
            <w:r>
              <w:rPr/>
              <w:t> </w:t>
            </w:r>
          </w:p>
        </w:tc>
        <w:tc>
          <w:tcPr>
            <w:tcW w:w="276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Structured Product ($1,000 par, due 10/2034)</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lineRule="atLeast" w:line="160" w:before="0" w:after="0"/>
              <w:rPr/>
            </w:pPr>
            <w:r>
              <w:rPr/>
              <w:t> </w:t>
            </w:r>
          </w:p>
        </w:tc>
        <w:tc>
          <w:tcPr>
            <w:tcW w:w="1084"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6/24/2022</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lineRule="atLeast" w:line="160" w:before="0" w:after="0"/>
              <w:rPr/>
            </w:pPr>
            <w:r>
              <w:rPr/>
              <w:t> </w:t>
            </w:r>
          </w:p>
        </w:tc>
        <w:tc>
          <w:tcPr>
            <w:tcW w:w="940"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L + 6.70</w:t>
            </w:r>
          </w:p>
        </w:tc>
        <w:tc>
          <w:tcPr>
            <w:tcW w:w="18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c>
          <w:tcPr>
            <w:tcW w:w="60"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9.21%</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lineRule="atLeast" w:line="160" w:before="0" w:after="0"/>
              <w:rPr/>
            </w:pPr>
            <w:r>
              <w:rPr/>
              <w:t> </w:t>
            </w:r>
          </w:p>
        </w:tc>
        <w:tc>
          <w:tcPr>
            <w:tcW w:w="957"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909</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lineRule="atLeast" w:line="160" w:before="0" w:after="0"/>
              <w:rPr/>
            </w:pPr>
            <w:r>
              <w:rPr/>
              <w:t> </w:t>
            </w:r>
          </w:p>
        </w:tc>
        <w:tc>
          <w:tcPr>
            <w:tcW w:w="1036"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867</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lineRule="atLeast" w:line="160" w:before="0" w:after="0"/>
              <w:rPr/>
            </w:pPr>
            <w:r>
              <w:rPr/>
              <w:t> </w:t>
            </w:r>
          </w:p>
        </w:tc>
        <w:tc>
          <w:tcPr>
            <w:tcW w:w="1138"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0.1</w:t>
            </w:r>
          </w:p>
        </w:tc>
        <w:tc>
          <w:tcPr>
            <w:tcW w:w="18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r>
      <w:tr>
        <w:trPr/>
        <w:tc>
          <w:tcPr>
            <w:tcW w:w="141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 xml:space="preserve">Bain Capital Credit CLO Ltd, </w:t>
              <w:br/>
              <w:t>Series 2018-1A(3)(4)(10)</w:t>
            </w:r>
          </w:p>
        </w:tc>
        <w:tc>
          <w:tcPr>
            <w:tcW w:w="60" w:type="dxa"/>
            <w:tcBorders/>
            <w:shd w:fill="auto" w:val="clear"/>
            <w:vAlign w:val="bottom"/>
          </w:tcPr>
          <w:p>
            <w:pPr>
              <w:pStyle w:val="TableContents"/>
              <w:spacing w:before="0" w:after="283"/>
              <w:rPr/>
            </w:pPr>
            <w:r>
              <w:rPr/>
              <w:t> </w:t>
            </w:r>
          </w:p>
        </w:tc>
        <w:tc>
          <w:tcPr>
            <w:tcW w:w="276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Structured Product ($500 par, due 4/2031)</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lineRule="atLeast" w:line="160" w:before="0" w:after="0"/>
              <w:rPr/>
            </w:pPr>
            <w:r>
              <w:rPr/>
              <w:t> </w:t>
            </w:r>
          </w:p>
        </w:tc>
        <w:tc>
          <w:tcPr>
            <w:tcW w:w="1084"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10/15/2020</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lineRule="atLeast" w:line="160" w:before="0" w:after="0"/>
              <w:rPr/>
            </w:pPr>
            <w:r>
              <w:rPr/>
              <w:t> </w:t>
            </w:r>
          </w:p>
        </w:tc>
        <w:tc>
          <w:tcPr>
            <w:tcW w:w="940"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L + 5.35</w:t>
            </w:r>
          </w:p>
        </w:tc>
        <w:tc>
          <w:tcPr>
            <w:tcW w:w="18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c>
          <w:tcPr>
            <w:tcW w:w="60"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8.13%</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lineRule="atLeast" w:line="160" w:before="0" w:after="0"/>
              <w:rPr/>
            </w:pPr>
            <w:r>
              <w:rPr/>
              <w:t> </w:t>
            </w:r>
          </w:p>
        </w:tc>
        <w:tc>
          <w:tcPr>
            <w:tcW w:w="957"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422</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lineRule="atLeast" w:line="160" w:before="0" w:after="0"/>
              <w:rPr/>
            </w:pPr>
            <w:r>
              <w:rPr/>
              <w:t> </w:t>
            </w:r>
          </w:p>
        </w:tc>
        <w:tc>
          <w:tcPr>
            <w:tcW w:w="1036"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381</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lineRule="atLeast" w:line="160" w:before="0" w:after="0"/>
              <w:rPr/>
            </w:pPr>
            <w:r>
              <w:rPr/>
              <w:t> </w:t>
            </w:r>
          </w:p>
        </w:tc>
        <w:tc>
          <w:tcPr>
            <w:tcW w:w="1138"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0.0</w:t>
            </w:r>
          </w:p>
        </w:tc>
        <w:tc>
          <w:tcPr>
            <w:tcW w:w="18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r>
      <w:tr>
        <w:trPr/>
        <w:tc>
          <w:tcPr>
            <w:tcW w:w="141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 xml:space="preserve">Battalion CLO Ltd, </w:t>
              <w:br/>
              <w:t>Series 2021-21A(3)(4)(10)</w:t>
            </w:r>
          </w:p>
        </w:tc>
        <w:tc>
          <w:tcPr>
            <w:tcW w:w="60" w:type="dxa"/>
            <w:tcBorders/>
            <w:shd w:fill="CCEEFF" w:val="clear"/>
            <w:vAlign w:val="bottom"/>
          </w:tcPr>
          <w:p>
            <w:pPr>
              <w:pStyle w:val="TableContents"/>
              <w:spacing w:before="0" w:after="283"/>
              <w:rPr/>
            </w:pPr>
            <w:r>
              <w:rPr/>
              <w:t> </w:t>
            </w:r>
          </w:p>
        </w:tc>
        <w:tc>
          <w:tcPr>
            <w:tcW w:w="276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Structured Product ($1,300 par, due 7/2034)</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lineRule="atLeast" w:line="160" w:before="0" w:after="0"/>
              <w:rPr/>
            </w:pPr>
            <w:r>
              <w:rPr/>
              <w:t> </w:t>
            </w:r>
          </w:p>
        </w:tc>
        <w:tc>
          <w:tcPr>
            <w:tcW w:w="1084"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7/13/2022</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lineRule="atLeast" w:line="160" w:before="0" w:after="0"/>
              <w:rPr/>
            </w:pPr>
            <w:r>
              <w:rPr/>
              <w:t> </w:t>
            </w:r>
          </w:p>
        </w:tc>
        <w:tc>
          <w:tcPr>
            <w:tcW w:w="940"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L + 3.30</w:t>
            </w:r>
          </w:p>
        </w:tc>
        <w:tc>
          <w:tcPr>
            <w:tcW w:w="18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c>
          <w:tcPr>
            <w:tcW w:w="60"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5.81%</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lineRule="atLeast" w:line="160" w:before="0" w:after="0"/>
              <w:rPr/>
            </w:pPr>
            <w:r>
              <w:rPr/>
              <w:t> </w:t>
            </w:r>
          </w:p>
        </w:tc>
        <w:tc>
          <w:tcPr>
            <w:tcW w:w="957"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1,143</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lineRule="atLeast" w:line="160" w:before="0" w:after="0"/>
              <w:rPr/>
            </w:pPr>
            <w:r>
              <w:rPr/>
              <w:t> </w:t>
            </w:r>
          </w:p>
        </w:tc>
        <w:tc>
          <w:tcPr>
            <w:tcW w:w="1036"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1,140</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lineRule="atLeast" w:line="160" w:before="0" w:after="0"/>
              <w:rPr/>
            </w:pPr>
            <w:r>
              <w:rPr/>
              <w:t> </w:t>
            </w:r>
          </w:p>
        </w:tc>
        <w:tc>
          <w:tcPr>
            <w:tcW w:w="1138"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0.1</w:t>
            </w:r>
          </w:p>
        </w:tc>
        <w:tc>
          <w:tcPr>
            <w:tcW w:w="18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r>
      <w:tr>
        <w:trPr/>
        <w:tc>
          <w:tcPr>
            <w:tcW w:w="141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 xml:space="preserve">Benefit Street Partners CLO Ltd, </w:t>
              <w:br/>
              <w:t>Series 2015-6BR(3)(4)(10)</w:t>
            </w:r>
          </w:p>
        </w:tc>
        <w:tc>
          <w:tcPr>
            <w:tcW w:w="60" w:type="dxa"/>
            <w:tcBorders/>
            <w:shd w:fill="auto" w:val="clear"/>
            <w:vAlign w:val="bottom"/>
          </w:tcPr>
          <w:p>
            <w:pPr>
              <w:pStyle w:val="TableContents"/>
              <w:spacing w:before="0" w:after="283"/>
              <w:rPr/>
            </w:pPr>
            <w:r>
              <w:rPr/>
              <w:t> </w:t>
            </w:r>
          </w:p>
        </w:tc>
        <w:tc>
          <w:tcPr>
            <w:tcW w:w="276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Structured Product ($2,500 par, due 7/2034)</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lineRule="atLeast" w:line="160" w:before="0" w:after="0"/>
              <w:rPr/>
            </w:pPr>
            <w:r>
              <w:rPr/>
              <w:t> </w:t>
            </w:r>
          </w:p>
        </w:tc>
        <w:tc>
          <w:tcPr>
            <w:tcW w:w="1084"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7/13/2022</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lineRule="atLeast" w:line="160" w:before="0" w:after="0"/>
              <w:rPr/>
            </w:pPr>
            <w:r>
              <w:rPr/>
              <w:t> </w:t>
            </w:r>
          </w:p>
        </w:tc>
        <w:tc>
          <w:tcPr>
            <w:tcW w:w="940"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L + 3.85</w:t>
            </w:r>
          </w:p>
        </w:tc>
        <w:tc>
          <w:tcPr>
            <w:tcW w:w="18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c>
          <w:tcPr>
            <w:tcW w:w="60"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6.56%</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lineRule="atLeast" w:line="160" w:before="0" w:after="0"/>
              <w:rPr/>
            </w:pPr>
            <w:r>
              <w:rPr/>
              <w:t> </w:t>
            </w:r>
          </w:p>
        </w:tc>
        <w:tc>
          <w:tcPr>
            <w:tcW w:w="957"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2,157</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lineRule="atLeast" w:line="160" w:before="0" w:after="0"/>
              <w:rPr/>
            </w:pPr>
            <w:r>
              <w:rPr/>
              <w:t> </w:t>
            </w:r>
          </w:p>
        </w:tc>
        <w:tc>
          <w:tcPr>
            <w:tcW w:w="1036"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2,220</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lineRule="atLeast" w:line="160" w:before="0" w:after="0"/>
              <w:rPr/>
            </w:pPr>
            <w:r>
              <w:rPr/>
              <w:t> </w:t>
            </w:r>
          </w:p>
        </w:tc>
        <w:tc>
          <w:tcPr>
            <w:tcW w:w="1138"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0.2</w:t>
            </w:r>
          </w:p>
        </w:tc>
        <w:tc>
          <w:tcPr>
            <w:tcW w:w="18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r>
      <w:tr>
        <w:trPr/>
        <w:tc>
          <w:tcPr>
            <w:tcW w:w="141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 xml:space="preserve">Benefit Street Partners CLO Ltd, </w:t>
              <w:br/>
              <w:t>Series 2015-8A(3)(4)(10)</w:t>
            </w:r>
          </w:p>
        </w:tc>
        <w:tc>
          <w:tcPr>
            <w:tcW w:w="60" w:type="dxa"/>
            <w:tcBorders/>
            <w:shd w:fill="CCEEFF" w:val="clear"/>
            <w:vAlign w:val="bottom"/>
          </w:tcPr>
          <w:p>
            <w:pPr>
              <w:pStyle w:val="TableContents"/>
              <w:spacing w:before="0" w:after="283"/>
              <w:rPr/>
            </w:pPr>
            <w:r>
              <w:rPr/>
              <w:t> </w:t>
            </w:r>
          </w:p>
        </w:tc>
        <w:tc>
          <w:tcPr>
            <w:tcW w:w="276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Structured Product ($1,425 par, due 1/2031)</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lineRule="atLeast" w:line="160" w:before="0" w:after="0"/>
              <w:rPr/>
            </w:pPr>
            <w:r>
              <w:rPr/>
              <w:t> </w:t>
            </w:r>
          </w:p>
        </w:tc>
        <w:tc>
          <w:tcPr>
            <w:tcW w:w="1084"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9/13/2022</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lineRule="atLeast" w:line="160" w:before="0" w:after="0"/>
              <w:rPr/>
            </w:pPr>
            <w:r>
              <w:rPr/>
              <w:t> </w:t>
            </w:r>
          </w:p>
        </w:tc>
        <w:tc>
          <w:tcPr>
            <w:tcW w:w="940"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L + 2.75</w:t>
            </w:r>
          </w:p>
        </w:tc>
        <w:tc>
          <w:tcPr>
            <w:tcW w:w="18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c>
          <w:tcPr>
            <w:tcW w:w="60"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5.46%</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lineRule="atLeast" w:line="160" w:before="0" w:after="0"/>
              <w:rPr/>
            </w:pPr>
            <w:r>
              <w:rPr/>
              <w:t> </w:t>
            </w:r>
          </w:p>
        </w:tc>
        <w:tc>
          <w:tcPr>
            <w:tcW w:w="957"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1,258</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lineRule="atLeast" w:line="160" w:before="0" w:after="0"/>
              <w:rPr/>
            </w:pPr>
            <w:r>
              <w:rPr/>
              <w:t> </w:t>
            </w:r>
          </w:p>
        </w:tc>
        <w:tc>
          <w:tcPr>
            <w:tcW w:w="1036"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1,219</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lineRule="atLeast" w:line="160" w:before="0" w:after="0"/>
              <w:rPr/>
            </w:pPr>
            <w:r>
              <w:rPr/>
              <w:t> </w:t>
            </w:r>
          </w:p>
        </w:tc>
        <w:tc>
          <w:tcPr>
            <w:tcW w:w="1138"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0.1</w:t>
            </w:r>
          </w:p>
        </w:tc>
        <w:tc>
          <w:tcPr>
            <w:tcW w:w="18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r>
      <w:tr>
        <w:trPr/>
        <w:tc>
          <w:tcPr>
            <w:tcW w:w="141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 xml:space="preserve">Carlyle Global Market Strategies </w:t>
              <w:br/>
              <w:t>CLO Ltd, Series 2014-4RA(3)(4)(10)</w:t>
            </w:r>
          </w:p>
        </w:tc>
        <w:tc>
          <w:tcPr>
            <w:tcW w:w="60" w:type="dxa"/>
            <w:tcBorders/>
            <w:shd w:fill="auto" w:val="clear"/>
            <w:vAlign w:val="bottom"/>
          </w:tcPr>
          <w:p>
            <w:pPr>
              <w:pStyle w:val="TableContents"/>
              <w:spacing w:before="0" w:after="283"/>
              <w:rPr/>
            </w:pPr>
            <w:r>
              <w:rPr/>
              <w:t> </w:t>
            </w:r>
          </w:p>
        </w:tc>
        <w:tc>
          <w:tcPr>
            <w:tcW w:w="276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Structured Product ($1,000 par, due 7/2030)</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lineRule="atLeast" w:line="160" w:before="0" w:after="0"/>
              <w:rPr/>
            </w:pPr>
            <w:r>
              <w:rPr/>
              <w:t> </w:t>
            </w:r>
          </w:p>
        </w:tc>
        <w:tc>
          <w:tcPr>
            <w:tcW w:w="1084"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5/26/2022</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lineRule="atLeast" w:line="160" w:before="0" w:after="0"/>
              <w:rPr/>
            </w:pPr>
            <w:r>
              <w:rPr/>
              <w:t> </w:t>
            </w:r>
          </w:p>
        </w:tc>
        <w:tc>
          <w:tcPr>
            <w:tcW w:w="940"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L + 2.90</w:t>
            </w:r>
          </w:p>
        </w:tc>
        <w:tc>
          <w:tcPr>
            <w:tcW w:w="18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c>
          <w:tcPr>
            <w:tcW w:w="60"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5.41%</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lineRule="atLeast" w:line="160" w:before="0" w:after="0"/>
              <w:rPr/>
            </w:pPr>
            <w:r>
              <w:rPr/>
              <w:t> </w:t>
            </w:r>
          </w:p>
        </w:tc>
        <w:tc>
          <w:tcPr>
            <w:tcW w:w="957"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887</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lineRule="atLeast" w:line="160" w:before="0" w:after="0"/>
              <w:rPr/>
            </w:pPr>
            <w:r>
              <w:rPr/>
              <w:t> </w:t>
            </w:r>
          </w:p>
        </w:tc>
        <w:tc>
          <w:tcPr>
            <w:tcW w:w="1036"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850</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lineRule="atLeast" w:line="160" w:before="0" w:after="0"/>
              <w:rPr/>
            </w:pPr>
            <w:r>
              <w:rPr/>
              <w:t> </w:t>
            </w:r>
          </w:p>
        </w:tc>
        <w:tc>
          <w:tcPr>
            <w:tcW w:w="1138"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0.1</w:t>
            </w:r>
          </w:p>
        </w:tc>
        <w:tc>
          <w:tcPr>
            <w:tcW w:w="18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r>
      <w:tr>
        <w:trPr/>
        <w:tc>
          <w:tcPr>
            <w:tcW w:w="141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 xml:space="preserve">Carlyle Global Market Strategies </w:t>
              <w:br/>
              <w:t>CLO Ltd, Series 2018-1A(3)(4)(10)</w:t>
            </w:r>
          </w:p>
        </w:tc>
        <w:tc>
          <w:tcPr>
            <w:tcW w:w="60" w:type="dxa"/>
            <w:tcBorders/>
            <w:shd w:fill="CCEEFF" w:val="clear"/>
            <w:vAlign w:val="bottom"/>
          </w:tcPr>
          <w:p>
            <w:pPr>
              <w:pStyle w:val="TableContents"/>
              <w:spacing w:before="0" w:after="283"/>
              <w:rPr/>
            </w:pPr>
            <w:r>
              <w:rPr/>
              <w:t> </w:t>
            </w:r>
          </w:p>
        </w:tc>
        <w:tc>
          <w:tcPr>
            <w:tcW w:w="276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Structured Product ($1,550 par, due 4/2031)</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lineRule="atLeast" w:line="160" w:before="0" w:after="0"/>
              <w:rPr/>
            </w:pPr>
            <w:r>
              <w:rPr/>
              <w:t> </w:t>
            </w:r>
          </w:p>
        </w:tc>
        <w:tc>
          <w:tcPr>
            <w:tcW w:w="1084"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8/11/2020</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lineRule="atLeast" w:line="160" w:before="0" w:after="0"/>
              <w:rPr/>
            </w:pPr>
            <w:r>
              <w:rPr/>
              <w:t> </w:t>
            </w:r>
          </w:p>
        </w:tc>
        <w:tc>
          <w:tcPr>
            <w:tcW w:w="940"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L + 5.75</w:t>
            </w:r>
          </w:p>
        </w:tc>
        <w:tc>
          <w:tcPr>
            <w:tcW w:w="18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c>
          <w:tcPr>
            <w:tcW w:w="60"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8.46%</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lineRule="atLeast" w:line="160" w:before="0" w:after="0"/>
              <w:rPr/>
            </w:pPr>
            <w:r>
              <w:rPr/>
              <w:t> </w:t>
            </w:r>
          </w:p>
        </w:tc>
        <w:tc>
          <w:tcPr>
            <w:tcW w:w="957"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1,241</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lineRule="atLeast" w:line="160" w:before="0" w:after="0"/>
              <w:rPr/>
            </w:pPr>
            <w:r>
              <w:rPr/>
              <w:t> </w:t>
            </w:r>
          </w:p>
        </w:tc>
        <w:tc>
          <w:tcPr>
            <w:tcW w:w="1036"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1,201</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lineRule="atLeast" w:line="160" w:before="0" w:after="0"/>
              <w:rPr/>
            </w:pPr>
            <w:r>
              <w:rPr/>
              <w:t> </w:t>
            </w:r>
          </w:p>
        </w:tc>
        <w:tc>
          <w:tcPr>
            <w:tcW w:w="1138"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0.1</w:t>
            </w:r>
          </w:p>
        </w:tc>
        <w:tc>
          <w:tcPr>
            <w:tcW w:w="18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r>
      <w:tr>
        <w:trPr/>
        <w:tc>
          <w:tcPr>
            <w:tcW w:w="141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 xml:space="preserve">Carlyle Global Market Strategies </w:t>
              <w:br/>
              <w:t>CLO Ltd, Series 2017-4A(3)(4)(10)</w:t>
            </w:r>
          </w:p>
        </w:tc>
        <w:tc>
          <w:tcPr>
            <w:tcW w:w="60" w:type="dxa"/>
            <w:tcBorders/>
            <w:shd w:fill="auto" w:val="clear"/>
            <w:vAlign w:val="bottom"/>
          </w:tcPr>
          <w:p>
            <w:pPr>
              <w:pStyle w:val="TableContents"/>
              <w:spacing w:before="0" w:after="283"/>
              <w:rPr/>
            </w:pPr>
            <w:r>
              <w:rPr/>
              <w:t> </w:t>
            </w:r>
          </w:p>
        </w:tc>
        <w:tc>
          <w:tcPr>
            <w:tcW w:w="276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Structured Product ($4,150 par, due 1/2030)</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lineRule="atLeast" w:line="160" w:before="0" w:after="0"/>
              <w:rPr/>
            </w:pPr>
            <w:r>
              <w:rPr/>
              <w:t> </w:t>
            </w:r>
          </w:p>
        </w:tc>
        <w:tc>
          <w:tcPr>
            <w:tcW w:w="1084"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9/3/2020</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lineRule="atLeast" w:line="160" w:before="0" w:after="0"/>
              <w:rPr/>
            </w:pPr>
            <w:r>
              <w:rPr/>
              <w:t> </w:t>
            </w:r>
          </w:p>
        </w:tc>
        <w:tc>
          <w:tcPr>
            <w:tcW w:w="940"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L + 6.15</w:t>
            </w:r>
          </w:p>
        </w:tc>
        <w:tc>
          <w:tcPr>
            <w:tcW w:w="18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c>
          <w:tcPr>
            <w:tcW w:w="60"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8.66%</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lineRule="atLeast" w:line="160" w:before="0" w:after="0"/>
              <w:rPr/>
            </w:pPr>
            <w:r>
              <w:rPr/>
              <w:t> </w:t>
            </w:r>
          </w:p>
        </w:tc>
        <w:tc>
          <w:tcPr>
            <w:tcW w:w="957"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3,498</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lineRule="atLeast" w:line="160" w:before="0" w:after="0"/>
              <w:rPr/>
            </w:pPr>
            <w:r>
              <w:rPr/>
              <w:t> </w:t>
            </w:r>
          </w:p>
        </w:tc>
        <w:tc>
          <w:tcPr>
            <w:tcW w:w="1036"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3,275</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lineRule="atLeast" w:line="160" w:before="0" w:after="0"/>
              <w:rPr/>
            </w:pPr>
            <w:r>
              <w:rPr/>
              <w:t> </w:t>
            </w:r>
          </w:p>
        </w:tc>
        <w:tc>
          <w:tcPr>
            <w:tcW w:w="1138"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0.2</w:t>
            </w:r>
          </w:p>
        </w:tc>
        <w:tc>
          <w:tcPr>
            <w:tcW w:w="18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r>
      <w:tr>
        <w:trPr/>
        <w:tc>
          <w:tcPr>
            <w:tcW w:w="141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CarVal CLO III Ltd,</w:t>
              <w:br/>
              <w:t>Series 2019-2A(3)(4)(10)</w:t>
            </w:r>
          </w:p>
        </w:tc>
        <w:tc>
          <w:tcPr>
            <w:tcW w:w="60" w:type="dxa"/>
            <w:tcBorders/>
            <w:shd w:fill="CCEEFF" w:val="clear"/>
            <w:vAlign w:val="bottom"/>
          </w:tcPr>
          <w:p>
            <w:pPr>
              <w:pStyle w:val="TableContents"/>
              <w:spacing w:before="0" w:after="283"/>
              <w:rPr/>
            </w:pPr>
            <w:r>
              <w:rPr/>
              <w:t> </w:t>
            </w:r>
          </w:p>
        </w:tc>
        <w:tc>
          <w:tcPr>
            <w:tcW w:w="276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Structured Product ($1,000 par, due 7/2032)</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lineRule="atLeast" w:line="160" w:before="0" w:after="0"/>
              <w:rPr/>
            </w:pPr>
            <w:r>
              <w:rPr/>
              <w:t> </w:t>
            </w:r>
          </w:p>
        </w:tc>
        <w:tc>
          <w:tcPr>
            <w:tcW w:w="1084"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6/30/2022</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lineRule="atLeast" w:line="160" w:before="0" w:after="0"/>
              <w:rPr/>
            </w:pPr>
            <w:r>
              <w:rPr/>
              <w:t> </w:t>
            </w:r>
          </w:p>
        </w:tc>
        <w:tc>
          <w:tcPr>
            <w:tcW w:w="940"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L + 6.44</w:t>
            </w:r>
          </w:p>
        </w:tc>
        <w:tc>
          <w:tcPr>
            <w:tcW w:w="18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c>
          <w:tcPr>
            <w:tcW w:w="60"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9.15%</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lineRule="atLeast" w:line="160" w:before="0" w:after="0"/>
              <w:rPr/>
            </w:pPr>
            <w:r>
              <w:rPr/>
              <w:t> </w:t>
            </w:r>
          </w:p>
        </w:tc>
        <w:tc>
          <w:tcPr>
            <w:tcW w:w="957"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882</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lineRule="atLeast" w:line="160" w:before="0" w:after="0"/>
              <w:rPr/>
            </w:pPr>
            <w:r>
              <w:rPr/>
              <w:t> </w:t>
            </w:r>
          </w:p>
        </w:tc>
        <w:tc>
          <w:tcPr>
            <w:tcW w:w="1036"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833</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lineRule="atLeast" w:line="160" w:before="0" w:after="0"/>
              <w:rPr/>
            </w:pPr>
            <w:r>
              <w:rPr/>
              <w:t> </w:t>
            </w:r>
          </w:p>
        </w:tc>
        <w:tc>
          <w:tcPr>
            <w:tcW w:w="1138"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0.1</w:t>
            </w:r>
          </w:p>
        </w:tc>
        <w:tc>
          <w:tcPr>
            <w:tcW w:w="18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r>
      <w:tr>
        <w:trPr/>
        <w:tc>
          <w:tcPr>
            <w:tcW w:w="141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 xml:space="preserve">Cedar Funding CLO Ltd, </w:t>
              <w:br/>
              <w:t>Series 2018-7A(3)(4)(10)</w:t>
            </w:r>
          </w:p>
        </w:tc>
        <w:tc>
          <w:tcPr>
            <w:tcW w:w="60" w:type="dxa"/>
            <w:tcBorders/>
            <w:shd w:fill="auto" w:val="clear"/>
            <w:vAlign w:val="bottom"/>
          </w:tcPr>
          <w:p>
            <w:pPr>
              <w:pStyle w:val="TableContents"/>
              <w:spacing w:before="0" w:after="283"/>
              <w:rPr/>
            </w:pPr>
            <w:r>
              <w:rPr/>
              <w:t> </w:t>
            </w:r>
          </w:p>
        </w:tc>
        <w:tc>
          <w:tcPr>
            <w:tcW w:w="276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Structured Product ($1,000 par, due 1/2031)</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lineRule="atLeast" w:line="160" w:before="0" w:after="0"/>
              <w:rPr/>
            </w:pPr>
            <w:r>
              <w:rPr/>
              <w:t> </w:t>
            </w:r>
          </w:p>
        </w:tc>
        <w:tc>
          <w:tcPr>
            <w:tcW w:w="1084"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7/21/2022</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lineRule="atLeast" w:line="160" w:before="0" w:after="0"/>
              <w:rPr/>
            </w:pPr>
            <w:r>
              <w:rPr/>
              <w:t> </w:t>
            </w:r>
          </w:p>
        </w:tc>
        <w:tc>
          <w:tcPr>
            <w:tcW w:w="940"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L + 4.55</w:t>
            </w:r>
          </w:p>
        </w:tc>
        <w:tc>
          <w:tcPr>
            <w:tcW w:w="18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c>
          <w:tcPr>
            <w:tcW w:w="60"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7.26%</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lineRule="atLeast" w:line="160" w:before="0" w:after="0"/>
              <w:rPr/>
            </w:pPr>
            <w:r>
              <w:rPr/>
              <w:t> </w:t>
            </w:r>
          </w:p>
        </w:tc>
        <w:tc>
          <w:tcPr>
            <w:tcW w:w="957"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851</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lineRule="atLeast" w:line="160" w:before="0" w:after="0"/>
              <w:rPr/>
            </w:pPr>
            <w:r>
              <w:rPr/>
              <w:t> </w:t>
            </w:r>
          </w:p>
        </w:tc>
        <w:tc>
          <w:tcPr>
            <w:tcW w:w="1036"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784</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lineRule="atLeast" w:line="160" w:before="0" w:after="0"/>
              <w:rPr/>
            </w:pPr>
            <w:r>
              <w:rPr/>
              <w:t> </w:t>
            </w:r>
          </w:p>
        </w:tc>
        <w:tc>
          <w:tcPr>
            <w:tcW w:w="1138"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0.0</w:t>
            </w:r>
          </w:p>
        </w:tc>
        <w:tc>
          <w:tcPr>
            <w:tcW w:w="18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r>
      <w:tr>
        <w:trPr/>
        <w:tc>
          <w:tcPr>
            <w:tcW w:w="141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CIFC CLO Ltd,</w:t>
              <w:br/>
              <w:t>Series 2018-3A(3)(4)(10)</w:t>
            </w:r>
          </w:p>
        </w:tc>
        <w:tc>
          <w:tcPr>
            <w:tcW w:w="60" w:type="dxa"/>
            <w:tcBorders/>
            <w:shd w:fill="CCEEFF" w:val="clear"/>
            <w:vAlign w:val="bottom"/>
          </w:tcPr>
          <w:p>
            <w:pPr>
              <w:pStyle w:val="TableContents"/>
              <w:spacing w:before="0" w:after="283"/>
              <w:rPr/>
            </w:pPr>
            <w:r>
              <w:rPr/>
              <w:t> </w:t>
            </w:r>
          </w:p>
        </w:tc>
        <w:tc>
          <w:tcPr>
            <w:tcW w:w="276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Structured Product ($1,000 par, due 7/2031)</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lineRule="atLeast" w:line="160" w:before="0" w:after="0"/>
              <w:rPr/>
            </w:pPr>
            <w:r>
              <w:rPr/>
              <w:t> </w:t>
            </w:r>
          </w:p>
        </w:tc>
        <w:tc>
          <w:tcPr>
            <w:tcW w:w="1084"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6/16/2022</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lineRule="atLeast" w:line="160" w:before="0" w:after="0"/>
              <w:rPr/>
            </w:pPr>
            <w:r>
              <w:rPr/>
              <w:t> </w:t>
            </w:r>
          </w:p>
        </w:tc>
        <w:tc>
          <w:tcPr>
            <w:tcW w:w="940"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L + 5.50</w:t>
            </w:r>
          </w:p>
        </w:tc>
        <w:tc>
          <w:tcPr>
            <w:tcW w:w="18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c>
          <w:tcPr>
            <w:tcW w:w="60"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8.24%</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lineRule="atLeast" w:line="160" w:before="0" w:after="0"/>
              <w:rPr/>
            </w:pPr>
            <w:r>
              <w:rPr/>
              <w:t> </w:t>
            </w:r>
          </w:p>
        </w:tc>
        <w:tc>
          <w:tcPr>
            <w:tcW w:w="957"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895</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lineRule="atLeast" w:line="160" w:before="0" w:after="0"/>
              <w:rPr/>
            </w:pPr>
            <w:r>
              <w:rPr/>
              <w:t> </w:t>
            </w:r>
          </w:p>
        </w:tc>
        <w:tc>
          <w:tcPr>
            <w:tcW w:w="1036"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833</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lineRule="atLeast" w:line="160" w:before="0" w:after="0"/>
              <w:rPr/>
            </w:pPr>
            <w:r>
              <w:rPr/>
              <w:t> </w:t>
            </w:r>
          </w:p>
        </w:tc>
        <w:tc>
          <w:tcPr>
            <w:tcW w:w="1138"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0.1</w:t>
            </w:r>
          </w:p>
        </w:tc>
        <w:tc>
          <w:tcPr>
            <w:tcW w:w="18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r>
      <w:tr>
        <w:trPr/>
        <w:tc>
          <w:tcPr>
            <w:tcW w:w="141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CIFC CLO Ltd,</w:t>
              <w:br/>
              <w:t>Series 2021-4A(3)(4)(10)</w:t>
            </w:r>
          </w:p>
        </w:tc>
        <w:tc>
          <w:tcPr>
            <w:tcW w:w="60" w:type="dxa"/>
            <w:tcBorders/>
            <w:shd w:fill="auto" w:val="clear"/>
            <w:vAlign w:val="bottom"/>
          </w:tcPr>
          <w:p>
            <w:pPr>
              <w:pStyle w:val="TableContents"/>
              <w:spacing w:before="0" w:after="283"/>
              <w:rPr/>
            </w:pPr>
            <w:r>
              <w:rPr/>
              <w:t> </w:t>
            </w:r>
          </w:p>
        </w:tc>
        <w:tc>
          <w:tcPr>
            <w:tcW w:w="276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Structured Product ($1,000 par, due 7/2033)</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lineRule="atLeast" w:line="160" w:before="0" w:after="0"/>
              <w:rPr/>
            </w:pPr>
            <w:r>
              <w:rPr/>
              <w:t> </w:t>
            </w:r>
          </w:p>
        </w:tc>
        <w:tc>
          <w:tcPr>
            <w:tcW w:w="1084"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7/14/2022</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lineRule="atLeast" w:line="160" w:before="0" w:after="0"/>
              <w:rPr/>
            </w:pPr>
            <w:r>
              <w:rPr/>
              <w:t> </w:t>
            </w:r>
          </w:p>
        </w:tc>
        <w:tc>
          <w:tcPr>
            <w:tcW w:w="940"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L + 6.00</w:t>
            </w:r>
          </w:p>
        </w:tc>
        <w:tc>
          <w:tcPr>
            <w:tcW w:w="18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c>
          <w:tcPr>
            <w:tcW w:w="60"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8.51%</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lineRule="atLeast" w:line="160" w:before="0" w:after="0"/>
              <w:rPr/>
            </w:pPr>
            <w:r>
              <w:rPr/>
              <w:t> </w:t>
            </w:r>
          </w:p>
        </w:tc>
        <w:tc>
          <w:tcPr>
            <w:tcW w:w="957"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874</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lineRule="atLeast" w:line="160" w:before="0" w:after="0"/>
              <w:rPr/>
            </w:pPr>
            <w:r>
              <w:rPr/>
              <w:t> </w:t>
            </w:r>
          </w:p>
        </w:tc>
        <w:tc>
          <w:tcPr>
            <w:tcW w:w="1036"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850</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lineRule="atLeast" w:line="160" w:before="0" w:after="0"/>
              <w:rPr/>
            </w:pPr>
            <w:r>
              <w:rPr/>
              <w:t> </w:t>
            </w:r>
          </w:p>
        </w:tc>
        <w:tc>
          <w:tcPr>
            <w:tcW w:w="1138"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0.1</w:t>
            </w:r>
          </w:p>
        </w:tc>
        <w:tc>
          <w:tcPr>
            <w:tcW w:w="18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r>
      <w:tr>
        <w:trPr/>
        <w:tc>
          <w:tcPr>
            <w:tcW w:w="141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 xml:space="preserve">Crown Point CLO Ltd, </w:t>
              <w:br/>
              <w:t>Series 2021-10A(3)(4)(10)</w:t>
            </w:r>
          </w:p>
        </w:tc>
        <w:tc>
          <w:tcPr>
            <w:tcW w:w="60" w:type="dxa"/>
            <w:tcBorders/>
            <w:shd w:fill="CCEEFF" w:val="clear"/>
            <w:vAlign w:val="bottom"/>
          </w:tcPr>
          <w:p>
            <w:pPr>
              <w:pStyle w:val="TableContents"/>
              <w:spacing w:before="0" w:after="283"/>
              <w:rPr/>
            </w:pPr>
            <w:r>
              <w:rPr/>
              <w:t> </w:t>
            </w:r>
          </w:p>
        </w:tc>
        <w:tc>
          <w:tcPr>
            <w:tcW w:w="276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Structured Product ($1,000 par, due 7/2034)</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lineRule="atLeast" w:line="160" w:before="0" w:after="0"/>
              <w:rPr/>
            </w:pPr>
            <w:r>
              <w:rPr/>
              <w:t> </w:t>
            </w:r>
          </w:p>
        </w:tc>
        <w:tc>
          <w:tcPr>
            <w:tcW w:w="1084"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6/14/2022</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lineRule="atLeast" w:line="160" w:before="0" w:after="0"/>
              <w:rPr/>
            </w:pPr>
            <w:r>
              <w:rPr/>
              <w:t> </w:t>
            </w:r>
          </w:p>
        </w:tc>
        <w:tc>
          <w:tcPr>
            <w:tcW w:w="940"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L + 6.85</w:t>
            </w:r>
          </w:p>
        </w:tc>
        <w:tc>
          <w:tcPr>
            <w:tcW w:w="18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c>
          <w:tcPr>
            <w:tcW w:w="60"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9.56%</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lineRule="atLeast" w:line="160" w:before="0" w:after="0"/>
              <w:rPr/>
            </w:pPr>
            <w:r>
              <w:rPr/>
              <w:t> </w:t>
            </w:r>
          </w:p>
        </w:tc>
        <w:tc>
          <w:tcPr>
            <w:tcW w:w="957"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899</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lineRule="atLeast" w:line="160" w:before="0" w:after="0"/>
              <w:rPr/>
            </w:pPr>
            <w:r>
              <w:rPr/>
              <w:t> </w:t>
            </w:r>
          </w:p>
        </w:tc>
        <w:tc>
          <w:tcPr>
            <w:tcW w:w="1036"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835</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lineRule="atLeast" w:line="160" w:before="0" w:after="0"/>
              <w:rPr/>
            </w:pPr>
            <w:r>
              <w:rPr/>
              <w:t> </w:t>
            </w:r>
          </w:p>
        </w:tc>
        <w:tc>
          <w:tcPr>
            <w:tcW w:w="1138"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0.1</w:t>
            </w:r>
          </w:p>
        </w:tc>
        <w:tc>
          <w:tcPr>
            <w:tcW w:w="18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r>
      <w:tr>
        <w:trPr/>
        <w:tc>
          <w:tcPr>
            <w:tcW w:w="141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 xml:space="preserve">Dryden Senior Loan Fund, </w:t>
              <w:br/>
              <w:t>Series 2018-55A(3)(4)(10)</w:t>
            </w:r>
          </w:p>
        </w:tc>
        <w:tc>
          <w:tcPr>
            <w:tcW w:w="60" w:type="dxa"/>
            <w:tcBorders/>
            <w:shd w:fill="auto" w:val="clear"/>
            <w:vAlign w:val="bottom"/>
          </w:tcPr>
          <w:p>
            <w:pPr>
              <w:pStyle w:val="TableContents"/>
              <w:spacing w:before="0" w:after="283"/>
              <w:rPr/>
            </w:pPr>
            <w:r>
              <w:rPr/>
              <w:t> </w:t>
            </w:r>
          </w:p>
        </w:tc>
        <w:tc>
          <w:tcPr>
            <w:tcW w:w="276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Structured Product ($1,000 par, due 4/2031)</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lineRule="atLeast" w:line="160" w:before="0" w:after="0"/>
              <w:rPr/>
            </w:pPr>
            <w:r>
              <w:rPr/>
              <w:t> </w:t>
            </w:r>
          </w:p>
        </w:tc>
        <w:tc>
          <w:tcPr>
            <w:tcW w:w="1084"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7/25/2022</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lineRule="atLeast" w:line="160" w:before="0" w:after="0"/>
              <w:rPr/>
            </w:pPr>
            <w:r>
              <w:rPr/>
              <w:t> </w:t>
            </w:r>
          </w:p>
        </w:tc>
        <w:tc>
          <w:tcPr>
            <w:tcW w:w="940"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L + 2.85</w:t>
            </w:r>
          </w:p>
        </w:tc>
        <w:tc>
          <w:tcPr>
            <w:tcW w:w="18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c>
          <w:tcPr>
            <w:tcW w:w="60"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5.36%</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lineRule="atLeast" w:line="160" w:before="0" w:after="0"/>
              <w:rPr/>
            </w:pPr>
            <w:r>
              <w:rPr/>
              <w:t> </w:t>
            </w:r>
          </w:p>
        </w:tc>
        <w:tc>
          <w:tcPr>
            <w:tcW w:w="957"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893</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lineRule="atLeast" w:line="160" w:before="0" w:after="0"/>
              <w:rPr/>
            </w:pPr>
            <w:r>
              <w:rPr/>
              <w:t> </w:t>
            </w:r>
          </w:p>
        </w:tc>
        <w:tc>
          <w:tcPr>
            <w:tcW w:w="1036"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860</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lineRule="atLeast" w:line="160" w:before="0" w:after="0"/>
              <w:rPr/>
            </w:pPr>
            <w:r>
              <w:rPr/>
              <w:t> </w:t>
            </w:r>
          </w:p>
        </w:tc>
        <w:tc>
          <w:tcPr>
            <w:tcW w:w="1138"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0.1</w:t>
            </w:r>
          </w:p>
        </w:tc>
        <w:tc>
          <w:tcPr>
            <w:tcW w:w="18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r>
      <w:tr>
        <w:trPr/>
        <w:tc>
          <w:tcPr>
            <w:tcW w:w="141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 xml:space="preserve">Dryden Senior Loan Fund, </w:t>
              <w:br/>
              <w:t>Series 2020-86A(3)(4)(10)</w:t>
            </w:r>
          </w:p>
        </w:tc>
        <w:tc>
          <w:tcPr>
            <w:tcW w:w="60" w:type="dxa"/>
            <w:tcBorders/>
            <w:shd w:fill="CCEEFF" w:val="clear"/>
            <w:vAlign w:val="bottom"/>
          </w:tcPr>
          <w:p>
            <w:pPr>
              <w:pStyle w:val="TableContents"/>
              <w:spacing w:before="0" w:after="283"/>
              <w:rPr/>
            </w:pPr>
            <w:r>
              <w:rPr/>
              <w:t> </w:t>
            </w:r>
          </w:p>
        </w:tc>
        <w:tc>
          <w:tcPr>
            <w:tcW w:w="276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Structured Product ($1,500 par, due 7/2034)</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lineRule="atLeast" w:line="160" w:before="0" w:after="0"/>
              <w:rPr/>
            </w:pPr>
            <w:r>
              <w:rPr/>
              <w:t> </w:t>
            </w:r>
          </w:p>
        </w:tc>
        <w:tc>
          <w:tcPr>
            <w:tcW w:w="1084"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8/17/2022</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lineRule="atLeast" w:line="160" w:before="0" w:after="0"/>
              <w:rPr/>
            </w:pPr>
            <w:r>
              <w:rPr/>
              <w:t> </w:t>
            </w:r>
          </w:p>
        </w:tc>
        <w:tc>
          <w:tcPr>
            <w:tcW w:w="940"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L + 6.50</w:t>
            </w:r>
          </w:p>
        </w:tc>
        <w:tc>
          <w:tcPr>
            <w:tcW w:w="18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c>
          <w:tcPr>
            <w:tcW w:w="60"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9.24%</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lineRule="atLeast" w:line="160" w:before="0" w:after="0"/>
              <w:rPr/>
            </w:pPr>
            <w:r>
              <w:rPr/>
              <w:t> </w:t>
            </w:r>
          </w:p>
        </w:tc>
        <w:tc>
          <w:tcPr>
            <w:tcW w:w="957"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1,403</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lineRule="atLeast" w:line="160" w:before="0" w:after="0"/>
              <w:rPr/>
            </w:pPr>
            <w:r>
              <w:rPr/>
              <w:t> </w:t>
            </w:r>
          </w:p>
        </w:tc>
        <w:tc>
          <w:tcPr>
            <w:tcW w:w="1036"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1,230</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lineRule="atLeast" w:line="160" w:before="0" w:after="0"/>
              <w:rPr/>
            </w:pPr>
            <w:r>
              <w:rPr/>
              <w:t> </w:t>
            </w:r>
          </w:p>
        </w:tc>
        <w:tc>
          <w:tcPr>
            <w:tcW w:w="1138"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0.1</w:t>
            </w:r>
          </w:p>
        </w:tc>
        <w:tc>
          <w:tcPr>
            <w:tcW w:w="18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r>
      <w:tr>
        <w:trPr/>
        <w:tc>
          <w:tcPr>
            <w:tcW w:w="141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Eaton CLO Ltd,</w:t>
              <w:br/>
              <w:t>Series 2015-1A(3)(4)(10)</w:t>
            </w:r>
          </w:p>
        </w:tc>
        <w:tc>
          <w:tcPr>
            <w:tcW w:w="60" w:type="dxa"/>
            <w:tcBorders/>
            <w:shd w:fill="auto" w:val="clear"/>
            <w:vAlign w:val="bottom"/>
          </w:tcPr>
          <w:p>
            <w:pPr>
              <w:pStyle w:val="TableContents"/>
              <w:spacing w:before="0" w:after="283"/>
              <w:rPr/>
            </w:pPr>
            <w:r>
              <w:rPr/>
              <w:t> </w:t>
            </w:r>
          </w:p>
        </w:tc>
        <w:tc>
          <w:tcPr>
            <w:tcW w:w="276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Structured Product ($2,500 par, due 1/2030)</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lineRule="atLeast" w:line="160" w:before="0" w:after="0"/>
              <w:rPr/>
            </w:pPr>
            <w:r>
              <w:rPr/>
              <w:t> </w:t>
            </w:r>
          </w:p>
        </w:tc>
        <w:tc>
          <w:tcPr>
            <w:tcW w:w="1084"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6/23/2022</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lineRule="atLeast" w:line="160" w:before="0" w:after="0"/>
              <w:rPr/>
            </w:pPr>
            <w:r>
              <w:rPr/>
              <w:t> </w:t>
            </w:r>
          </w:p>
        </w:tc>
        <w:tc>
          <w:tcPr>
            <w:tcW w:w="940"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L + 2.50</w:t>
            </w:r>
          </w:p>
        </w:tc>
        <w:tc>
          <w:tcPr>
            <w:tcW w:w="18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c>
          <w:tcPr>
            <w:tcW w:w="60"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5.21%</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lineRule="atLeast" w:line="160" w:before="0" w:after="0"/>
              <w:rPr/>
            </w:pPr>
            <w:r>
              <w:rPr/>
              <w:t> </w:t>
            </w:r>
          </w:p>
        </w:tc>
        <w:tc>
          <w:tcPr>
            <w:tcW w:w="957"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2,181</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lineRule="atLeast" w:line="160" w:before="0" w:after="0"/>
              <w:rPr/>
            </w:pPr>
            <w:r>
              <w:rPr/>
              <w:t> </w:t>
            </w:r>
          </w:p>
        </w:tc>
        <w:tc>
          <w:tcPr>
            <w:tcW w:w="1036"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2,172</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lineRule="atLeast" w:line="160" w:before="0" w:after="0"/>
              <w:rPr/>
            </w:pPr>
            <w:r>
              <w:rPr/>
              <w:t> </w:t>
            </w:r>
          </w:p>
        </w:tc>
        <w:tc>
          <w:tcPr>
            <w:tcW w:w="1138"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0.2</w:t>
            </w:r>
          </w:p>
        </w:tc>
        <w:tc>
          <w:tcPr>
            <w:tcW w:w="18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r>
      <w:tr>
        <w:trPr/>
        <w:tc>
          <w:tcPr>
            <w:tcW w:w="141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Eaton CLO Ltd,</w:t>
              <w:br/>
              <w:t>Series 2020-1A(3)(4)(10)</w:t>
            </w:r>
          </w:p>
        </w:tc>
        <w:tc>
          <w:tcPr>
            <w:tcW w:w="60" w:type="dxa"/>
            <w:tcBorders/>
            <w:shd w:fill="CCEEFF" w:val="clear"/>
            <w:vAlign w:val="bottom"/>
          </w:tcPr>
          <w:p>
            <w:pPr>
              <w:pStyle w:val="TableContents"/>
              <w:spacing w:before="0" w:after="283"/>
              <w:rPr/>
            </w:pPr>
            <w:r>
              <w:rPr/>
              <w:t> </w:t>
            </w:r>
          </w:p>
        </w:tc>
        <w:tc>
          <w:tcPr>
            <w:tcW w:w="276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Structured Product ($1,000 par, due 10/2034)</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lineRule="atLeast" w:line="160" w:before="0" w:after="0"/>
              <w:rPr/>
            </w:pPr>
            <w:r>
              <w:rPr/>
              <w:t> </w:t>
            </w:r>
          </w:p>
        </w:tc>
        <w:tc>
          <w:tcPr>
            <w:tcW w:w="1084"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8/11/2022</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lineRule="atLeast" w:line="160" w:before="0" w:after="0"/>
              <w:rPr/>
            </w:pPr>
            <w:r>
              <w:rPr/>
              <w:t> </w:t>
            </w:r>
          </w:p>
        </w:tc>
        <w:tc>
          <w:tcPr>
            <w:tcW w:w="940"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L + 6.25</w:t>
            </w:r>
          </w:p>
        </w:tc>
        <w:tc>
          <w:tcPr>
            <w:tcW w:w="18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c>
          <w:tcPr>
            <w:tcW w:w="60"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8.76%</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lineRule="atLeast" w:line="160" w:before="0" w:after="0"/>
              <w:rPr/>
            </w:pPr>
            <w:r>
              <w:rPr/>
              <w:t> </w:t>
            </w:r>
          </w:p>
        </w:tc>
        <w:tc>
          <w:tcPr>
            <w:tcW w:w="957"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928</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lineRule="atLeast" w:line="160" w:before="0" w:after="0"/>
              <w:rPr/>
            </w:pPr>
            <w:r>
              <w:rPr/>
              <w:t> </w:t>
            </w:r>
          </w:p>
        </w:tc>
        <w:tc>
          <w:tcPr>
            <w:tcW w:w="1036"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837</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lineRule="atLeast" w:line="160" w:before="0" w:after="0"/>
              <w:rPr/>
            </w:pPr>
            <w:r>
              <w:rPr/>
              <w:t> </w:t>
            </w:r>
          </w:p>
        </w:tc>
        <w:tc>
          <w:tcPr>
            <w:tcW w:w="1138"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0.1</w:t>
            </w:r>
          </w:p>
        </w:tc>
        <w:tc>
          <w:tcPr>
            <w:tcW w:w="18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r>
      <w:tr>
        <w:trPr/>
        <w:tc>
          <w:tcPr>
            <w:tcW w:w="141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 xml:space="preserve">GoldenTree CLO Ltd, </w:t>
              <w:br/>
              <w:t>Series 2020-7A(3)(4)(10)</w:t>
            </w:r>
          </w:p>
        </w:tc>
        <w:tc>
          <w:tcPr>
            <w:tcW w:w="60" w:type="dxa"/>
            <w:tcBorders/>
            <w:shd w:fill="auto" w:val="clear"/>
            <w:vAlign w:val="bottom"/>
          </w:tcPr>
          <w:p>
            <w:pPr>
              <w:pStyle w:val="TableContents"/>
              <w:spacing w:before="0" w:after="283"/>
              <w:rPr/>
            </w:pPr>
            <w:r>
              <w:rPr/>
              <w:t> </w:t>
            </w:r>
          </w:p>
        </w:tc>
        <w:tc>
          <w:tcPr>
            <w:tcW w:w="276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Structured Product ($1,000 par, due 4/2034)</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lineRule="atLeast" w:line="160" w:before="0" w:after="0"/>
              <w:rPr/>
            </w:pPr>
            <w:r>
              <w:rPr/>
              <w:t> </w:t>
            </w:r>
          </w:p>
        </w:tc>
        <w:tc>
          <w:tcPr>
            <w:tcW w:w="1084"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6/17/2022</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lineRule="atLeast" w:line="160" w:before="0" w:after="0"/>
              <w:rPr/>
            </w:pPr>
            <w:r>
              <w:rPr/>
              <w:t> </w:t>
            </w:r>
          </w:p>
        </w:tc>
        <w:tc>
          <w:tcPr>
            <w:tcW w:w="940"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L + 6.50</w:t>
            </w:r>
          </w:p>
        </w:tc>
        <w:tc>
          <w:tcPr>
            <w:tcW w:w="18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c>
          <w:tcPr>
            <w:tcW w:w="60"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9.21%</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lineRule="atLeast" w:line="160" w:before="0" w:after="0"/>
              <w:rPr/>
            </w:pPr>
            <w:r>
              <w:rPr/>
              <w:t> </w:t>
            </w:r>
          </w:p>
        </w:tc>
        <w:tc>
          <w:tcPr>
            <w:tcW w:w="957"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916</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lineRule="atLeast" w:line="160" w:before="0" w:after="0"/>
              <w:rPr/>
            </w:pPr>
            <w:r>
              <w:rPr/>
              <w:t> </w:t>
            </w:r>
          </w:p>
        </w:tc>
        <w:tc>
          <w:tcPr>
            <w:tcW w:w="1036"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871</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lineRule="atLeast" w:line="160" w:before="0" w:after="0"/>
              <w:rPr/>
            </w:pPr>
            <w:r>
              <w:rPr/>
              <w:t> </w:t>
            </w:r>
          </w:p>
        </w:tc>
        <w:tc>
          <w:tcPr>
            <w:tcW w:w="1138"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0.1</w:t>
            </w:r>
          </w:p>
        </w:tc>
        <w:tc>
          <w:tcPr>
            <w:tcW w:w="18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r>
      <w:tr>
        <w:trPr/>
        <w:tc>
          <w:tcPr>
            <w:tcW w:w="141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 xml:space="preserve">Gulf Stream Meridian, </w:t>
              <w:br/>
              <w:t>Series 2021-4A(3)(4)(10)</w:t>
            </w:r>
          </w:p>
        </w:tc>
        <w:tc>
          <w:tcPr>
            <w:tcW w:w="60" w:type="dxa"/>
            <w:tcBorders/>
            <w:shd w:fill="CCEEFF" w:val="clear"/>
            <w:vAlign w:val="bottom"/>
          </w:tcPr>
          <w:p>
            <w:pPr>
              <w:pStyle w:val="TableContents"/>
              <w:spacing w:before="0" w:after="283"/>
              <w:rPr/>
            </w:pPr>
            <w:r>
              <w:rPr/>
              <w:t> </w:t>
            </w:r>
          </w:p>
        </w:tc>
        <w:tc>
          <w:tcPr>
            <w:tcW w:w="276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Structured Product ($1,015 par, due 7/2036)</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lineRule="atLeast" w:line="160" w:before="0" w:after="0"/>
              <w:rPr/>
            </w:pPr>
            <w:r>
              <w:rPr/>
              <w:t> </w:t>
            </w:r>
          </w:p>
        </w:tc>
        <w:tc>
          <w:tcPr>
            <w:tcW w:w="1084"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6/3/2022</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lineRule="atLeast" w:line="160" w:before="0" w:after="0"/>
              <w:rPr/>
            </w:pPr>
            <w:r>
              <w:rPr/>
              <w:t> </w:t>
            </w:r>
          </w:p>
        </w:tc>
        <w:tc>
          <w:tcPr>
            <w:tcW w:w="940"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L + 6.35</w:t>
            </w:r>
          </w:p>
        </w:tc>
        <w:tc>
          <w:tcPr>
            <w:tcW w:w="18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c>
          <w:tcPr>
            <w:tcW w:w="60"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8.86%</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lineRule="atLeast" w:line="160" w:before="0" w:after="0"/>
              <w:rPr/>
            </w:pPr>
            <w:r>
              <w:rPr/>
              <w:t> </w:t>
            </w:r>
          </w:p>
        </w:tc>
        <w:tc>
          <w:tcPr>
            <w:tcW w:w="957"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931</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lineRule="atLeast" w:line="160" w:before="0" w:after="0"/>
              <w:rPr/>
            </w:pPr>
            <w:r>
              <w:rPr/>
              <w:t> </w:t>
            </w:r>
          </w:p>
        </w:tc>
        <w:tc>
          <w:tcPr>
            <w:tcW w:w="1036"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838</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lineRule="atLeast" w:line="160" w:before="0" w:after="0"/>
              <w:rPr/>
            </w:pPr>
            <w:r>
              <w:rPr/>
              <w:t> </w:t>
            </w:r>
          </w:p>
        </w:tc>
        <w:tc>
          <w:tcPr>
            <w:tcW w:w="1138"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0.1</w:t>
            </w:r>
          </w:p>
        </w:tc>
        <w:tc>
          <w:tcPr>
            <w:tcW w:w="18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r>
      <w:tr>
        <w:trPr/>
        <w:tc>
          <w:tcPr>
            <w:tcW w:w="141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 xml:space="preserve">Gulf Stream Meridian, </w:t>
              <w:br/>
              <w:t>Series 2021-6A(3)(4)(10)</w:t>
            </w:r>
          </w:p>
        </w:tc>
        <w:tc>
          <w:tcPr>
            <w:tcW w:w="60" w:type="dxa"/>
            <w:tcBorders/>
            <w:shd w:fill="auto" w:val="clear"/>
            <w:vAlign w:val="bottom"/>
          </w:tcPr>
          <w:p>
            <w:pPr>
              <w:pStyle w:val="TableContents"/>
              <w:spacing w:before="0" w:after="283"/>
              <w:rPr/>
            </w:pPr>
            <w:r>
              <w:rPr/>
              <w:t> </w:t>
            </w:r>
          </w:p>
        </w:tc>
        <w:tc>
          <w:tcPr>
            <w:tcW w:w="276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Structured Product ($2,000 par, due 1/2037)</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lineRule="atLeast" w:line="160" w:before="0" w:after="0"/>
              <w:rPr/>
            </w:pPr>
            <w:r>
              <w:rPr/>
              <w:t> </w:t>
            </w:r>
          </w:p>
        </w:tc>
        <w:tc>
          <w:tcPr>
            <w:tcW w:w="1084"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9/12/2022</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lineRule="atLeast" w:line="160" w:before="0" w:after="0"/>
              <w:rPr/>
            </w:pPr>
            <w:r>
              <w:rPr/>
              <w:t> </w:t>
            </w:r>
          </w:p>
        </w:tc>
        <w:tc>
          <w:tcPr>
            <w:tcW w:w="940"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L + 6.36</w:t>
            </w:r>
          </w:p>
        </w:tc>
        <w:tc>
          <w:tcPr>
            <w:tcW w:w="18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c>
          <w:tcPr>
            <w:tcW w:w="60"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8.87%</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lineRule="atLeast" w:line="160" w:before="0" w:after="0"/>
              <w:rPr/>
            </w:pPr>
            <w:r>
              <w:rPr/>
              <w:t> </w:t>
            </w:r>
          </w:p>
        </w:tc>
        <w:tc>
          <w:tcPr>
            <w:tcW w:w="957"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1,780</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lineRule="atLeast" w:line="160" w:before="0" w:after="0"/>
              <w:rPr/>
            </w:pPr>
            <w:r>
              <w:rPr/>
              <w:t> </w:t>
            </w:r>
          </w:p>
        </w:tc>
        <w:tc>
          <w:tcPr>
            <w:tcW w:w="1036"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1,654</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lineRule="atLeast" w:line="160" w:before="0" w:after="0"/>
              <w:rPr/>
            </w:pPr>
            <w:r>
              <w:rPr/>
              <w:t> </w:t>
            </w:r>
          </w:p>
        </w:tc>
        <w:tc>
          <w:tcPr>
            <w:tcW w:w="1138"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0.1</w:t>
            </w:r>
          </w:p>
        </w:tc>
        <w:tc>
          <w:tcPr>
            <w:tcW w:w="18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r>
      <w:tr>
        <w:trPr/>
        <w:tc>
          <w:tcPr>
            <w:tcW w:w="141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 xml:space="preserve">Jefferson Mill CLO Ltd, </w:t>
              <w:br/>
              <w:t>Series 2015-1A(3)(4)(10)</w:t>
            </w:r>
          </w:p>
        </w:tc>
        <w:tc>
          <w:tcPr>
            <w:tcW w:w="60" w:type="dxa"/>
            <w:tcBorders/>
            <w:shd w:fill="CCEEFF" w:val="clear"/>
            <w:vAlign w:val="bottom"/>
          </w:tcPr>
          <w:p>
            <w:pPr>
              <w:pStyle w:val="TableContents"/>
              <w:spacing w:before="0" w:after="283"/>
              <w:rPr/>
            </w:pPr>
            <w:r>
              <w:rPr/>
              <w:t> </w:t>
            </w:r>
          </w:p>
        </w:tc>
        <w:tc>
          <w:tcPr>
            <w:tcW w:w="276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Structured Product ($1,000 par, due 10/2031)</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lineRule="atLeast" w:line="160" w:before="0" w:after="0"/>
              <w:rPr/>
            </w:pPr>
            <w:r>
              <w:rPr/>
              <w:t> </w:t>
            </w:r>
          </w:p>
        </w:tc>
        <w:tc>
          <w:tcPr>
            <w:tcW w:w="1084"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5/23/2022</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lineRule="atLeast" w:line="160" w:before="0" w:after="0"/>
              <w:rPr/>
            </w:pPr>
            <w:r>
              <w:rPr/>
              <w:t> </w:t>
            </w:r>
          </w:p>
        </w:tc>
        <w:tc>
          <w:tcPr>
            <w:tcW w:w="940"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L + 3.55</w:t>
            </w:r>
          </w:p>
        </w:tc>
        <w:tc>
          <w:tcPr>
            <w:tcW w:w="18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c>
          <w:tcPr>
            <w:tcW w:w="60"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6.26%</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lineRule="atLeast" w:line="160" w:before="0" w:after="0"/>
              <w:rPr/>
            </w:pPr>
            <w:r>
              <w:rPr/>
              <w:t> </w:t>
            </w:r>
          </w:p>
        </w:tc>
        <w:tc>
          <w:tcPr>
            <w:tcW w:w="957"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898</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lineRule="atLeast" w:line="160" w:before="0" w:after="0"/>
              <w:rPr/>
            </w:pPr>
            <w:r>
              <w:rPr/>
              <w:t> </w:t>
            </w:r>
          </w:p>
        </w:tc>
        <w:tc>
          <w:tcPr>
            <w:tcW w:w="1036"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842</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lineRule="atLeast" w:line="160" w:before="0" w:after="0"/>
              <w:rPr/>
            </w:pPr>
            <w:r>
              <w:rPr/>
              <w:t> </w:t>
            </w:r>
          </w:p>
        </w:tc>
        <w:tc>
          <w:tcPr>
            <w:tcW w:w="1138"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0.1</w:t>
            </w:r>
          </w:p>
        </w:tc>
        <w:tc>
          <w:tcPr>
            <w:tcW w:w="18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r>
      <w:tr>
        <w:trPr/>
        <w:tc>
          <w:tcPr>
            <w:tcW w:w="141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KKR CLO Ltd, 49A(3)(4)(10)</w:t>
            </w:r>
          </w:p>
        </w:tc>
        <w:tc>
          <w:tcPr>
            <w:tcW w:w="60" w:type="dxa"/>
            <w:tcBorders/>
            <w:shd w:fill="auto" w:val="clear"/>
            <w:vAlign w:val="bottom"/>
          </w:tcPr>
          <w:p>
            <w:pPr>
              <w:pStyle w:val="TableContents"/>
              <w:spacing w:before="0" w:after="283"/>
              <w:rPr/>
            </w:pPr>
            <w:r>
              <w:rPr/>
              <w:t> </w:t>
            </w:r>
          </w:p>
        </w:tc>
        <w:tc>
          <w:tcPr>
            <w:tcW w:w="276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Structured Product ($1,000 par, due 7/2035)</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lineRule="atLeast" w:line="160" w:before="0" w:after="0"/>
              <w:rPr/>
            </w:pPr>
            <w:r>
              <w:rPr/>
              <w:t> </w:t>
            </w:r>
          </w:p>
        </w:tc>
        <w:tc>
          <w:tcPr>
            <w:tcW w:w="1084"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6/2/2022</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lineRule="atLeast" w:line="160" w:before="0" w:after="0"/>
              <w:rPr/>
            </w:pPr>
            <w:r>
              <w:rPr/>
              <w:t> </w:t>
            </w:r>
          </w:p>
        </w:tc>
        <w:tc>
          <w:tcPr>
            <w:tcW w:w="940"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L + 8.00</w:t>
            </w:r>
          </w:p>
        </w:tc>
        <w:tc>
          <w:tcPr>
            <w:tcW w:w="18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c>
          <w:tcPr>
            <w:tcW w:w="60"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10.17%</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lineRule="atLeast" w:line="160" w:before="0" w:after="0"/>
              <w:rPr/>
            </w:pPr>
            <w:r>
              <w:rPr/>
              <w:t> </w:t>
            </w:r>
          </w:p>
        </w:tc>
        <w:tc>
          <w:tcPr>
            <w:tcW w:w="957"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961</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lineRule="atLeast" w:line="160" w:before="0" w:after="0"/>
              <w:rPr/>
            </w:pPr>
            <w:r>
              <w:rPr/>
              <w:t> </w:t>
            </w:r>
          </w:p>
        </w:tc>
        <w:tc>
          <w:tcPr>
            <w:tcW w:w="1036"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917</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lineRule="atLeast" w:line="160" w:before="0" w:after="0"/>
              <w:rPr/>
            </w:pPr>
            <w:r>
              <w:rPr/>
              <w:t> </w:t>
            </w:r>
          </w:p>
        </w:tc>
        <w:tc>
          <w:tcPr>
            <w:tcW w:w="1138"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0.1</w:t>
            </w:r>
          </w:p>
        </w:tc>
        <w:tc>
          <w:tcPr>
            <w:tcW w:w="18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r>
      <w:tr>
        <w:trPr/>
        <w:tc>
          <w:tcPr>
            <w:tcW w:w="141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 xml:space="preserve">Madison Park CLO, </w:t>
              <w:br/>
              <w:t>Series 2018-28A(3)(4)(10)</w:t>
            </w:r>
          </w:p>
        </w:tc>
        <w:tc>
          <w:tcPr>
            <w:tcW w:w="60" w:type="dxa"/>
            <w:tcBorders/>
            <w:shd w:fill="CCEEFF" w:val="clear"/>
            <w:vAlign w:val="bottom"/>
          </w:tcPr>
          <w:p>
            <w:pPr>
              <w:pStyle w:val="TableContents"/>
              <w:spacing w:before="0" w:after="283"/>
              <w:rPr/>
            </w:pPr>
            <w:r>
              <w:rPr/>
              <w:t> </w:t>
            </w:r>
          </w:p>
        </w:tc>
        <w:tc>
          <w:tcPr>
            <w:tcW w:w="276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Structured Product ($1,000 par, due 7/2030)</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lineRule="atLeast" w:line="160" w:before="0" w:after="0"/>
              <w:rPr/>
            </w:pPr>
            <w:r>
              <w:rPr/>
              <w:t> </w:t>
            </w:r>
          </w:p>
        </w:tc>
        <w:tc>
          <w:tcPr>
            <w:tcW w:w="1084"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6/28/2022</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lineRule="atLeast" w:line="160" w:before="0" w:after="0"/>
              <w:rPr/>
            </w:pPr>
            <w:r>
              <w:rPr/>
              <w:t> </w:t>
            </w:r>
          </w:p>
        </w:tc>
        <w:tc>
          <w:tcPr>
            <w:tcW w:w="940"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L + 5.25</w:t>
            </w:r>
          </w:p>
        </w:tc>
        <w:tc>
          <w:tcPr>
            <w:tcW w:w="18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c>
          <w:tcPr>
            <w:tcW w:w="60"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7.76%</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lineRule="atLeast" w:line="160" w:before="0" w:after="0"/>
              <w:rPr/>
            </w:pPr>
            <w:r>
              <w:rPr/>
              <w:t> </w:t>
            </w:r>
          </w:p>
        </w:tc>
        <w:tc>
          <w:tcPr>
            <w:tcW w:w="957"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873</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lineRule="atLeast" w:line="160" w:before="0" w:after="0"/>
              <w:rPr/>
            </w:pPr>
            <w:r>
              <w:rPr/>
              <w:t> </w:t>
            </w:r>
          </w:p>
        </w:tc>
        <w:tc>
          <w:tcPr>
            <w:tcW w:w="1036"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829</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lineRule="atLeast" w:line="160" w:before="0" w:after="0"/>
              <w:rPr/>
            </w:pPr>
            <w:r>
              <w:rPr/>
              <w:t> </w:t>
            </w:r>
          </w:p>
        </w:tc>
        <w:tc>
          <w:tcPr>
            <w:tcW w:w="1138"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0.1</w:t>
            </w:r>
          </w:p>
        </w:tc>
        <w:tc>
          <w:tcPr>
            <w:tcW w:w="18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r>
      <w:tr>
        <w:trPr/>
        <w:tc>
          <w:tcPr>
            <w:tcW w:w="141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 xml:space="preserve">Magnetite CLO Ltd, </w:t>
              <w:br/>
              <w:t>Series 2021-30A(3)(4)(10)</w:t>
            </w:r>
          </w:p>
        </w:tc>
        <w:tc>
          <w:tcPr>
            <w:tcW w:w="60" w:type="dxa"/>
            <w:tcBorders/>
            <w:shd w:fill="auto" w:val="clear"/>
            <w:vAlign w:val="bottom"/>
          </w:tcPr>
          <w:p>
            <w:pPr>
              <w:pStyle w:val="TableContents"/>
              <w:spacing w:before="0" w:after="283"/>
              <w:rPr/>
            </w:pPr>
            <w:r>
              <w:rPr/>
              <w:t> </w:t>
            </w:r>
          </w:p>
        </w:tc>
        <w:tc>
          <w:tcPr>
            <w:tcW w:w="276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Structured Product ($1,000 par, due 10/2034)</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lineRule="atLeast" w:line="160" w:before="0" w:after="0"/>
              <w:rPr/>
            </w:pPr>
            <w:r>
              <w:rPr/>
              <w:t> </w:t>
            </w:r>
          </w:p>
        </w:tc>
        <w:tc>
          <w:tcPr>
            <w:tcW w:w="1084"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6/13/2022</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lineRule="atLeast" w:line="160" w:before="0" w:after="0"/>
              <w:rPr/>
            </w:pPr>
            <w:r>
              <w:rPr/>
              <w:t> </w:t>
            </w:r>
          </w:p>
        </w:tc>
        <w:tc>
          <w:tcPr>
            <w:tcW w:w="940"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L + 6.20</w:t>
            </w:r>
          </w:p>
        </w:tc>
        <w:tc>
          <w:tcPr>
            <w:tcW w:w="18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c>
          <w:tcPr>
            <w:tcW w:w="60"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8.98%</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lineRule="atLeast" w:line="160" w:before="0" w:after="0"/>
              <w:rPr/>
            </w:pPr>
            <w:r>
              <w:rPr/>
              <w:t> </w:t>
            </w:r>
          </w:p>
        </w:tc>
        <w:tc>
          <w:tcPr>
            <w:tcW w:w="957"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916</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lineRule="atLeast" w:line="160" w:before="0" w:after="0"/>
              <w:rPr/>
            </w:pPr>
            <w:r>
              <w:rPr/>
              <w:t> </w:t>
            </w:r>
          </w:p>
        </w:tc>
        <w:tc>
          <w:tcPr>
            <w:tcW w:w="1036"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864</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lineRule="atLeast" w:line="160" w:before="0" w:after="0"/>
              <w:rPr/>
            </w:pPr>
            <w:r>
              <w:rPr/>
              <w:t> </w:t>
            </w:r>
          </w:p>
        </w:tc>
        <w:tc>
          <w:tcPr>
            <w:tcW w:w="1138"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0.1</w:t>
            </w:r>
          </w:p>
        </w:tc>
        <w:tc>
          <w:tcPr>
            <w:tcW w:w="18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r>
      <w:tr>
        <w:trPr/>
        <w:tc>
          <w:tcPr>
            <w:tcW w:w="141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 xml:space="preserve">MidOcean Credit CLO Ltd, </w:t>
              <w:br/>
              <w:t>Series 2016-6A(3)(4)(10)</w:t>
            </w:r>
          </w:p>
        </w:tc>
        <w:tc>
          <w:tcPr>
            <w:tcW w:w="60" w:type="dxa"/>
            <w:tcBorders/>
            <w:shd w:fill="CCEEFF" w:val="clear"/>
            <w:vAlign w:val="bottom"/>
          </w:tcPr>
          <w:p>
            <w:pPr>
              <w:pStyle w:val="TableContents"/>
              <w:spacing w:before="0" w:after="283"/>
              <w:rPr/>
            </w:pPr>
            <w:r>
              <w:rPr/>
              <w:t> </w:t>
            </w:r>
          </w:p>
        </w:tc>
        <w:tc>
          <w:tcPr>
            <w:tcW w:w="276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Structured Product ($3,500 par, due 4/2033)</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lineRule="atLeast" w:line="160" w:before="0" w:after="0"/>
              <w:rPr/>
            </w:pPr>
            <w:r>
              <w:rPr/>
              <w:t> </w:t>
            </w:r>
          </w:p>
        </w:tc>
        <w:tc>
          <w:tcPr>
            <w:tcW w:w="1084"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5/23/2022</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lineRule="atLeast" w:line="160" w:before="0" w:after="0"/>
              <w:rPr/>
            </w:pPr>
            <w:r>
              <w:rPr/>
              <w:t> </w:t>
            </w:r>
          </w:p>
        </w:tc>
        <w:tc>
          <w:tcPr>
            <w:tcW w:w="940"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L + 3.52</w:t>
            </w:r>
          </w:p>
        </w:tc>
        <w:tc>
          <w:tcPr>
            <w:tcW w:w="18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c>
          <w:tcPr>
            <w:tcW w:w="60"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6.23%</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lineRule="atLeast" w:line="160" w:before="0" w:after="0"/>
              <w:rPr/>
            </w:pPr>
            <w:r>
              <w:rPr/>
              <w:t> </w:t>
            </w:r>
          </w:p>
        </w:tc>
        <w:tc>
          <w:tcPr>
            <w:tcW w:w="957"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3,145</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lineRule="atLeast" w:line="160" w:before="0" w:after="0"/>
              <w:rPr/>
            </w:pPr>
            <w:r>
              <w:rPr/>
              <w:t> </w:t>
            </w:r>
          </w:p>
        </w:tc>
        <w:tc>
          <w:tcPr>
            <w:tcW w:w="1036"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2,919</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lineRule="atLeast" w:line="160" w:before="0" w:after="0"/>
              <w:rPr/>
            </w:pPr>
            <w:r>
              <w:rPr/>
              <w:t> </w:t>
            </w:r>
          </w:p>
        </w:tc>
        <w:tc>
          <w:tcPr>
            <w:tcW w:w="1138"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0.2</w:t>
            </w:r>
          </w:p>
        </w:tc>
        <w:tc>
          <w:tcPr>
            <w:tcW w:w="18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r>
      <w:tr>
        <w:trPr/>
        <w:tc>
          <w:tcPr>
            <w:tcW w:w="141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 xml:space="preserve">MidOcean Credit CLO Ltd, </w:t>
              <w:br/>
              <w:t>Series 2018-9A(3)(4)(10)</w:t>
            </w:r>
          </w:p>
        </w:tc>
        <w:tc>
          <w:tcPr>
            <w:tcW w:w="60" w:type="dxa"/>
            <w:tcBorders/>
            <w:shd w:fill="auto" w:val="clear"/>
            <w:vAlign w:val="bottom"/>
          </w:tcPr>
          <w:p>
            <w:pPr>
              <w:pStyle w:val="TableContents"/>
              <w:spacing w:before="0" w:after="283"/>
              <w:rPr/>
            </w:pPr>
            <w:r>
              <w:rPr/>
              <w:t> </w:t>
            </w:r>
          </w:p>
        </w:tc>
        <w:tc>
          <w:tcPr>
            <w:tcW w:w="276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Structured Product ($1,100 par, due 7/2031)</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lineRule="atLeast" w:line="160" w:before="0" w:after="0"/>
              <w:rPr/>
            </w:pPr>
            <w:r>
              <w:rPr/>
              <w:t> </w:t>
            </w:r>
          </w:p>
        </w:tc>
        <w:tc>
          <w:tcPr>
            <w:tcW w:w="1084"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6/1/2022</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lineRule="atLeast" w:line="160" w:before="0" w:after="0"/>
              <w:rPr/>
            </w:pPr>
            <w:r>
              <w:rPr/>
              <w:t> </w:t>
            </w:r>
          </w:p>
        </w:tc>
        <w:tc>
          <w:tcPr>
            <w:tcW w:w="940"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L + 6.05</w:t>
            </w:r>
          </w:p>
        </w:tc>
        <w:tc>
          <w:tcPr>
            <w:tcW w:w="18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c>
          <w:tcPr>
            <w:tcW w:w="60"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8.76%</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lineRule="atLeast" w:line="160" w:before="0" w:after="0"/>
              <w:rPr/>
            </w:pPr>
            <w:r>
              <w:rPr/>
              <w:t> </w:t>
            </w:r>
          </w:p>
        </w:tc>
        <w:tc>
          <w:tcPr>
            <w:tcW w:w="957"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957</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lineRule="atLeast" w:line="160" w:before="0" w:after="0"/>
              <w:rPr/>
            </w:pPr>
            <w:r>
              <w:rPr/>
              <w:t> </w:t>
            </w:r>
          </w:p>
        </w:tc>
        <w:tc>
          <w:tcPr>
            <w:tcW w:w="1036"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818</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lineRule="atLeast" w:line="160" w:before="0" w:after="0"/>
              <w:rPr/>
            </w:pPr>
            <w:r>
              <w:rPr/>
              <w:t> </w:t>
            </w:r>
          </w:p>
        </w:tc>
        <w:tc>
          <w:tcPr>
            <w:tcW w:w="1138"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0.0</w:t>
            </w:r>
          </w:p>
        </w:tc>
        <w:tc>
          <w:tcPr>
            <w:tcW w:w="18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r>
      <w:tr>
        <w:trPr/>
        <w:tc>
          <w:tcPr>
            <w:tcW w:w="141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 xml:space="preserve">Octagon 57 LLC, </w:t>
              <w:br/>
              <w:t>Series 2021-1A(3)(4)(10)</w:t>
            </w:r>
          </w:p>
        </w:tc>
        <w:tc>
          <w:tcPr>
            <w:tcW w:w="60" w:type="dxa"/>
            <w:tcBorders/>
            <w:shd w:fill="CCEEFF" w:val="clear"/>
            <w:vAlign w:val="bottom"/>
          </w:tcPr>
          <w:p>
            <w:pPr>
              <w:pStyle w:val="TableContents"/>
              <w:spacing w:before="0" w:after="283"/>
              <w:rPr/>
            </w:pPr>
            <w:r>
              <w:rPr/>
              <w:t> </w:t>
            </w:r>
          </w:p>
        </w:tc>
        <w:tc>
          <w:tcPr>
            <w:tcW w:w="276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Structured Product ($1,000 par, due 10/2034)</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lineRule="atLeast" w:line="160" w:before="0" w:after="0"/>
              <w:rPr/>
            </w:pPr>
            <w:r>
              <w:rPr/>
              <w:t> </w:t>
            </w:r>
          </w:p>
        </w:tc>
        <w:tc>
          <w:tcPr>
            <w:tcW w:w="1084"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5/24/2022</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lineRule="atLeast" w:line="160" w:before="0" w:after="0"/>
              <w:rPr/>
            </w:pPr>
            <w:r>
              <w:rPr/>
              <w:t> </w:t>
            </w:r>
          </w:p>
        </w:tc>
        <w:tc>
          <w:tcPr>
            <w:tcW w:w="940"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L + 6.60</w:t>
            </w:r>
          </w:p>
        </w:tc>
        <w:tc>
          <w:tcPr>
            <w:tcW w:w="18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c>
          <w:tcPr>
            <w:tcW w:w="60"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9.11%</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lineRule="atLeast" w:line="160" w:before="0" w:after="0"/>
              <w:rPr/>
            </w:pPr>
            <w:r>
              <w:rPr/>
              <w:t> </w:t>
            </w:r>
          </w:p>
        </w:tc>
        <w:tc>
          <w:tcPr>
            <w:tcW w:w="957"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916</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lineRule="atLeast" w:line="160" w:before="0" w:after="0"/>
              <w:rPr/>
            </w:pPr>
            <w:r>
              <w:rPr/>
              <w:t> </w:t>
            </w:r>
          </w:p>
        </w:tc>
        <w:tc>
          <w:tcPr>
            <w:tcW w:w="1036"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852</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lineRule="atLeast" w:line="160" w:before="0" w:after="0"/>
              <w:rPr/>
            </w:pPr>
            <w:r>
              <w:rPr/>
              <w:t> </w:t>
            </w:r>
          </w:p>
        </w:tc>
        <w:tc>
          <w:tcPr>
            <w:tcW w:w="1138"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0.1</w:t>
            </w:r>
          </w:p>
        </w:tc>
        <w:tc>
          <w:tcPr>
            <w:tcW w:w="18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r>
      <w:tr>
        <w:trPr/>
        <w:tc>
          <w:tcPr>
            <w:tcW w:w="141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 xml:space="preserve">Octagon Investment Partners 18 Ltd, </w:t>
              <w:br/>
              <w:t>Series 2018-18A(3)(4)(10)</w:t>
            </w:r>
          </w:p>
        </w:tc>
        <w:tc>
          <w:tcPr>
            <w:tcW w:w="60" w:type="dxa"/>
            <w:tcBorders/>
            <w:shd w:fill="auto" w:val="clear"/>
            <w:vAlign w:val="bottom"/>
          </w:tcPr>
          <w:p>
            <w:pPr>
              <w:pStyle w:val="TableContents"/>
              <w:spacing w:before="0" w:after="283"/>
              <w:rPr/>
            </w:pPr>
            <w:r>
              <w:rPr/>
              <w:t> </w:t>
            </w:r>
          </w:p>
        </w:tc>
        <w:tc>
          <w:tcPr>
            <w:tcW w:w="276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Structured Product ($1,000 par, due 4/2031)</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lineRule="atLeast" w:line="160" w:before="0" w:after="0"/>
              <w:rPr/>
            </w:pPr>
            <w:r>
              <w:rPr/>
              <w:t> </w:t>
            </w:r>
          </w:p>
        </w:tc>
        <w:tc>
          <w:tcPr>
            <w:tcW w:w="1084"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7/26/2022</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lineRule="atLeast" w:line="160" w:before="0" w:after="0"/>
              <w:rPr/>
            </w:pPr>
            <w:r>
              <w:rPr/>
              <w:t> </w:t>
            </w:r>
          </w:p>
        </w:tc>
        <w:tc>
          <w:tcPr>
            <w:tcW w:w="940"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L + 2.70</w:t>
            </w:r>
          </w:p>
        </w:tc>
        <w:tc>
          <w:tcPr>
            <w:tcW w:w="18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c>
          <w:tcPr>
            <w:tcW w:w="60"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5.44%</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lineRule="atLeast" w:line="160" w:before="0" w:after="0"/>
              <w:rPr/>
            </w:pPr>
            <w:r>
              <w:rPr/>
              <w:t> </w:t>
            </w:r>
          </w:p>
        </w:tc>
        <w:tc>
          <w:tcPr>
            <w:tcW w:w="957"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885</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lineRule="atLeast" w:line="160" w:before="0" w:after="0"/>
              <w:rPr/>
            </w:pPr>
            <w:r>
              <w:rPr/>
              <w:t> </w:t>
            </w:r>
          </w:p>
        </w:tc>
        <w:tc>
          <w:tcPr>
            <w:tcW w:w="1036"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856</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lineRule="atLeast" w:line="160" w:before="0" w:after="0"/>
              <w:rPr/>
            </w:pPr>
            <w:r>
              <w:rPr/>
              <w:t> </w:t>
            </w:r>
          </w:p>
        </w:tc>
        <w:tc>
          <w:tcPr>
            <w:tcW w:w="1138"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0.1</w:t>
            </w:r>
          </w:p>
        </w:tc>
        <w:tc>
          <w:tcPr>
            <w:tcW w:w="18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r>
      <w:tr>
        <w:trPr/>
        <w:tc>
          <w:tcPr>
            <w:tcW w:w="141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 xml:space="preserve">Octagon Investment Partners 38 Ltd, </w:t>
              <w:br/>
              <w:t>Series 2018-1A(3)(4)(10)</w:t>
            </w:r>
          </w:p>
        </w:tc>
        <w:tc>
          <w:tcPr>
            <w:tcW w:w="60" w:type="dxa"/>
            <w:tcBorders/>
            <w:shd w:fill="CCEEFF" w:val="clear"/>
            <w:vAlign w:val="bottom"/>
          </w:tcPr>
          <w:p>
            <w:pPr>
              <w:pStyle w:val="TableContents"/>
              <w:spacing w:before="0" w:after="283"/>
              <w:rPr/>
            </w:pPr>
            <w:r>
              <w:rPr/>
              <w:t> </w:t>
            </w:r>
          </w:p>
        </w:tc>
        <w:tc>
          <w:tcPr>
            <w:tcW w:w="276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Structured Product ($2,800 par, due 7/2030)</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lineRule="atLeast" w:line="160" w:before="0" w:after="0"/>
              <w:rPr/>
            </w:pPr>
            <w:r>
              <w:rPr/>
              <w:t> </w:t>
            </w:r>
          </w:p>
        </w:tc>
        <w:tc>
          <w:tcPr>
            <w:tcW w:w="1084"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9/20/2022</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lineRule="atLeast" w:line="160" w:before="0" w:after="0"/>
              <w:rPr/>
            </w:pPr>
            <w:r>
              <w:rPr/>
              <w:t> </w:t>
            </w:r>
          </w:p>
        </w:tc>
        <w:tc>
          <w:tcPr>
            <w:tcW w:w="940"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L + 2.95</w:t>
            </w:r>
          </w:p>
        </w:tc>
        <w:tc>
          <w:tcPr>
            <w:tcW w:w="18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c>
          <w:tcPr>
            <w:tcW w:w="60"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5.66%</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lineRule="atLeast" w:line="160" w:before="0" w:after="0"/>
              <w:rPr/>
            </w:pPr>
            <w:r>
              <w:rPr/>
              <w:t> </w:t>
            </w:r>
          </w:p>
        </w:tc>
        <w:tc>
          <w:tcPr>
            <w:tcW w:w="957"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2,438</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lineRule="atLeast" w:line="160" w:before="0" w:after="0"/>
              <w:rPr/>
            </w:pPr>
            <w:r>
              <w:rPr/>
              <w:t> </w:t>
            </w:r>
          </w:p>
        </w:tc>
        <w:tc>
          <w:tcPr>
            <w:tcW w:w="1036"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2,430</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lineRule="atLeast" w:line="160" w:before="0" w:after="0"/>
              <w:rPr/>
            </w:pPr>
            <w:r>
              <w:rPr/>
              <w:t> </w:t>
            </w:r>
          </w:p>
        </w:tc>
        <w:tc>
          <w:tcPr>
            <w:tcW w:w="1138"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0.2</w:t>
            </w:r>
          </w:p>
        </w:tc>
        <w:tc>
          <w:tcPr>
            <w:tcW w:w="18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r>
      <w:tr>
        <w:trPr/>
        <w:tc>
          <w:tcPr>
            <w:tcW w:w="141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 xml:space="preserve">Park Avenue Institutional Advisers </w:t>
              <w:br/>
              <w:t>CLO Ltd, Series 2018-1A(3)(4)(10)</w:t>
            </w:r>
          </w:p>
        </w:tc>
        <w:tc>
          <w:tcPr>
            <w:tcW w:w="60" w:type="dxa"/>
            <w:tcBorders/>
            <w:shd w:fill="auto" w:val="clear"/>
            <w:vAlign w:val="bottom"/>
          </w:tcPr>
          <w:p>
            <w:pPr>
              <w:pStyle w:val="TableContents"/>
              <w:spacing w:before="0" w:after="283"/>
              <w:rPr/>
            </w:pPr>
            <w:r>
              <w:rPr/>
              <w:t> </w:t>
            </w:r>
          </w:p>
        </w:tc>
        <w:tc>
          <w:tcPr>
            <w:tcW w:w="276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Structured Product ($1,000 par, due 10/2031)</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lineRule="atLeast" w:line="160" w:before="0" w:after="0"/>
              <w:rPr/>
            </w:pPr>
            <w:r>
              <w:rPr/>
              <w:t> </w:t>
            </w:r>
          </w:p>
        </w:tc>
        <w:tc>
          <w:tcPr>
            <w:tcW w:w="1084"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9/23/2022</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lineRule="atLeast" w:line="160" w:before="0" w:after="0"/>
              <w:rPr/>
            </w:pPr>
            <w:r>
              <w:rPr/>
              <w:t> </w:t>
            </w:r>
          </w:p>
        </w:tc>
        <w:tc>
          <w:tcPr>
            <w:tcW w:w="940"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L + 3.33</w:t>
            </w:r>
          </w:p>
        </w:tc>
        <w:tc>
          <w:tcPr>
            <w:tcW w:w="18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c>
          <w:tcPr>
            <w:tcW w:w="60"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6.04%</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lineRule="atLeast" w:line="160" w:before="0" w:after="0"/>
              <w:rPr/>
            </w:pPr>
            <w:r>
              <w:rPr/>
              <w:t> </w:t>
            </w:r>
          </w:p>
        </w:tc>
        <w:tc>
          <w:tcPr>
            <w:tcW w:w="957"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857</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lineRule="atLeast" w:line="160" w:before="0" w:after="0"/>
              <w:rPr/>
            </w:pPr>
            <w:r>
              <w:rPr/>
              <w:t> </w:t>
            </w:r>
          </w:p>
        </w:tc>
        <w:tc>
          <w:tcPr>
            <w:tcW w:w="1036"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856</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lineRule="atLeast" w:line="160" w:before="0" w:after="0"/>
              <w:rPr/>
            </w:pPr>
            <w:r>
              <w:rPr/>
              <w:t> </w:t>
            </w:r>
          </w:p>
        </w:tc>
        <w:tc>
          <w:tcPr>
            <w:tcW w:w="1138"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0.1</w:t>
            </w:r>
          </w:p>
        </w:tc>
        <w:tc>
          <w:tcPr>
            <w:tcW w:w="18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r>
      <w:tr>
        <w:trPr/>
        <w:tc>
          <w:tcPr>
            <w:tcW w:w="141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Pikes Peak CLO,</w:t>
              <w:br/>
              <w:t>Series 2021-9A(3)(4)(10)</w:t>
            </w:r>
          </w:p>
        </w:tc>
        <w:tc>
          <w:tcPr>
            <w:tcW w:w="60" w:type="dxa"/>
            <w:tcBorders/>
            <w:shd w:fill="CCEEFF" w:val="clear"/>
            <w:vAlign w:val="bottom"/>
          </w:tcPr>
          <w:p>
            <w:pPr>
              <w:pStyle w:val="TableContents"/>
              <w:spacing w:before="0" w:after="283"/>
              <w:rPr/>
            </w:pPr>
            <w:r>
              <w:rPr/>
              <w:t> </w:t>
            </w:r>
          </w:p>
        </w:tc>
        <w:tc>
          <w:tcPr>
            <w:tcW w:w="276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Structured Product ($2,000 par, due 10/2034)</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lineRule="atLeast" w:line="160" w:before="0" w:after="0"/>
              <w:rPr/>
            </w:pPr>
            <w:r>
              <w:rPr/>
              <w:t> </w:t>
            </w:r>
          </w:p>
        </w:tc>
        <w:tc>
          <w:tcPr>
            <w:tcW w:w="1084"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8/31/2022</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lineRule="atLeast" w:line="160" w:before="0" w:after="0"/>
              <w:rPr/>
            </w:pPr>
            <w:r>
              <w:rPr/>
              <w:t> </w:t>
            </w:r>
          </w:p>
        </w:tc>
        <w:tc>
          <w:tcPr>
            <w:tcW w:w="940"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L + 6.58</w:t>
            </w:r>
          </w:p>
        </w:tc>
        <w:tc>
          <w:tcPr>
            <w:tcW w:w="18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c>
          <w:tcPr>
            <w:tcW w:w="60"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9.35%</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lineRule="atLeast" w:line="160" w:before="0" w:after="0"/>
              <w:rPr/>
            </w:pPr>
            <w:r>
              <w:rPr/>
              <w:t> </w:t>
            </w:r>
          </w:p>
        </w:tc>
        <w:tc>
          <w:tcPr>
            <w:tcW w:w="957"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1,778</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lineRule="atLeast" w:line="160" w:before="0" w:after="0"/>
              <w:rPr/>
            </w:pPr>
            <w:r>
              <w:rPr/>
              <w:t> </w:t>
            </w:r>
          </w:p>
        </w:tc>
        <w:tc>
          <w:tcPr>
            <w:tcW w:w="1036"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1,679</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lineRule="atLeast" w:line="160" w:before="0" w:after="0"/>
              <w:rPr/>
            </w:pPr>
            <w:r>
              <w:rPr/>
              <w:t> </w:t>
            </w:r>
          </w:p>
        </w:tc>
        <w:tc>
          <w:tcPr>
            <w:tcW w:w="1138"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0.1</w:t>
            </w:r>
          </w:p>
        </w:tc>
        <w:tc>
          <w:tcPr>
            <w:tcW w:w="18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r>
      <w:tr>
        <w:trPr/>
        <w:tc>
          <w:tcPr>
            <w:tcW w:w="141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RR Ltd, Series 2020-8A(3)(4)(10)</w:t>
            </w:r>
          </w:p>
        </w:tc>
        <w:tc>
          <w:tcPr>
            <w:tcW w:w="60" w:type="dxa"/>
            <w:tcBorders/>
            <w:shd w:fill="auto" w:val="clear"/>
            <w:vAlign w:val="bottom"/>
          </w:tcPr>
          <w:p>
            <w:pPr>
              <w:pStyle w:val="TableContents"/>
              <w:spacing w:before="0" w:after="283"/>
              <w:rPr/>
            </w:pPr>
            <w:r>
              <w:rPr/>
              <w:t> </w:t>
            </w:r>
          </w:p>
        </w:tc>
        <w:tc>
          <w:tcPr>
            <w:tcW w:w="276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Structured Product ($1,000 par, due 4/2033)</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lineRule="atLeast" w:line="160" w:before="0" w:after="0"/>
              <w:rPr/>
            </w:pPr>
            <w:r>
              <w:rPr/>
              <w:t> </w:t>
            </w:r>
          </w:p>
        </w:tc>
        <w:tc>
          <w:tcPr>
            <w:tcW w:w="1084"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8/22/2022</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lineRule="atLeast" w:line="160" w:before="0" w:after="0"/>
              <w:rPr/>
            </w:pPr>
            <w:r>
              <w:rPr/>
              <w:t> </w:t>
            </w:r>
          </w:p>
        </w:tc>
        <w:tc>
          <w:tcPr>
            <w:tcW w:w="940"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L + 6.40</w:t>
            </w:r>
          </w:p>
        </w:tc>
        <w:tc>
          <w:tcPr>
            <w:tcW w:w="18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c>
          <w:tcPr>
            <w:tcW w:w="60"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8.91%</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lineRule="atLeast" w:line="160" w:before="0" w:after="0"/>
              <w:rPr/>
            </w:pPr>
            <w:r>
              <w:rPr/>
              <w:t> </w:t>
            </w:r>
          </w:p>
        </w:tc>
        <w:tc>
          <w:tcPr>
            <w:tcW w:w="957"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919</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lineRule="atLeast" w:line="160" w:before="0" w:after="0"/>
              <w:rPr/>
            </w:pPr>
            <w:r>
              <w:rPr/>
              <w:t> </w:t>
            </w:r>
          </w:p>
        </w:tc>
        <w:tc>
          <w:tcPr>
            <w:tcW w:w="1036"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862</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lineRule="atLeast" w:line="160" w:before="0" w:after="0"/>
              <w:rPr/>
            </w:pPr>
            <w:r>
              <w:rPr/>
              <w:t> </w:t>
            </w:r>
          </w:p>
        </w:tc>
        <w:tc>
          <w:tcPr>
            <w:tcW w:w="1138"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0.1</w:t>
            </w:r>
          </w:p>
        </w:tc>
        <w:tc>
          <w:tcPr>
            <w:tcW w:w="18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r>
      <w:tr>
        <w:trPr/>
        <w:tc>
          <w:tcPr>
            <w:tcW w:w="141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 xml:space="preserve">Shackelton CLO Ltd, </w:t>
              <w:br/>
              <w:t>Series 2015-7RA(3)(4)(10)</w:t>
            </w:r>
          </w:p>
        </w:tc>
        <w:tc>
          <w:tcPr>
            <w:tcW w:w="60" w:type="dxa"/>
            <w:tcBorders/>
            <w:shd w:fill="CCEEFF" w:val="clear"/>
            <w:vAlign w:val="bottom"/>
          </w:tcPr>
          <w:p>
            <w:pPr>
              <w:pStyle w:val="TableContents"/>
              <w:spacing w:before="0" w:after="283"/>
              <w:rPr/>
            </w:pPr>
            <w:r>
              <w:rPr/>
              <w:t> </w:t>
            </w:r>
          </w:p>
        </w:tc>
        <w:tc>
          <w:tcPr>
            <w:tcW w:w="276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Structured Product ($1,000 par, due 7/2031)</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lineRule="atLeast" w:line="160" w:before="0" w:after="0"/>
              <w:rPr/>
            </w:pPr>
            <w:r>
              <w:rPr/>
              <w:t> </w:t>
            </w:r>
          </w:p>
        </w:tc>
        <w:tc>
          <w:tcPr>
            <w:tcW w:w="1084"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5/23/2022</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lineRule="atLeast" w:line="160" w:before="0" w:after="0"/>
              <w:rPr/>
            </w:pPr>
            <w:r>
              <w:rPr/>
              <w:t> </w:t>
            </w:r>
          </w:p>
        </w:tc>
        <w:tc>
          <w:tcPr>
            <w:tcW w:w="940"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L + 3.33</w:t>
            </w:r>
          </w:p>
        </w:tc>
        <w:tc>
          <w:tcPr>
            <w:tcW w:w="18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c>
          <w:tcPr>
            <w:tcW w:w="60"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5.84%</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lineRule="atLeast" w:line="160" w:before="0" w:after="0"/>
              <w:rPr/>
            </w:pPr>
            <w:r>
              <w:rPr/>
              <w:t> </w:t>
            </w:r>
          </w:p>
        </w:tc>
        <w:tc>
          <w:tcPr>
            <w:tcW w:w="957"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888</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lineRule="atLeast" w:line="160" w:before="0" w:after="0"/>
              <w:rPr/>
            </w:pPr>
            <w:r>
              <w:rPr/>
              <w:t> </w:t>
            </w:r>
          </w:p>
        </w:tc>
        <w:tc>
          <w:tcPr>
            <w:tcW w:w="1036"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845</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lineRule="atLeast" w:line="160" w:before="0" w:after="0"/>
              <w:rPr/>
            </w:pPr>
            <w:r>
              <w:rPr/>
              <w:t> </w:t>
            </w:r>
          </w:p>
        </w:tc>
        <w:tc>
          <w:tcPr>
            <w:tcW w:w="1138"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0.1</w:t>
            </w:r>
          </w:p>
        </w:tc>
        <w:tc>
          <w:tcPr>
            <w:tcW w:w="18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r>
      <w:tr>
        <w:trPr/>
        <w:tc>
          <w:tcPr>
            <w:tcW w:w="141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 xml:space="preserve">Signal Peak CLO LLC, </w:t>
              <w:br/>
              <w:t>Series 2018-5A(3)(4)(10)</w:t>
            </w:r>
          </w:p>
        </w:tc>
        <w:tc>
          <w:tcPr>
            <w:tcW w:w="60" w:type="dxa"/>
            <w:tcBorders/>
            <w:shd w:fill="auto" w:val="clear"/>
            <w:vAlign w:val="bottom"/>
          </w:tcPr>
          <w:p>
            <w:pPr>
              <w:pStyle w:val="TableContents"/>
              <w:spacing w:before="0" w:after="283"/>
              <w:rPr/>
            </w:pPr>
            <w:r>
              <w:rPr/>
              <w:t> </w:t>
            </w:r>
          </w:p>
        </w:tc>
        <w:tc>
          <w:tcPr>
            <w:tcW w:w="276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Structured Product ($1,000 par, due 4/2031)</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lineRule="atLeast" w:line="160" w:before="0" w:after="0"/>
              <w:rPr/>
            </w:pPr>
            <w:r>
              <w:rPr/>
              <w:t> </w:t>
            </w:r>
          </w:p>
        </w:tc>
        <w:tc>
          <w:tcPr>
            <w:tcW w:w="1084"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8/9/2022</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lineRule="atLeast" w:line="160" w:before="0" w:after="0"/>
              <w:rPr/>
            </w:pPr>
            <w:r>
              <w:rPr/>
              <w:t> </w:t>
            </w:r>
          </w:p>
        </w:tc>
        <w:tc>
          <w:tcPr>
            <w:tcW w:w="940"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L + 5.65</w:t>
            </w:r>
          </w:p>
        </w:tc>
        <w:tc>
          <w:tcPr>
            <w:tcW w:w="18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c>
          <w:tcPr>
            <w:tcW w:w="60"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8.43%</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lineRule="atLeast" w:line="160" w:before="0" w:after="0"/>
              <w:rPr/>
            </w:pPr>
            <w:r>
              <w:rPr/>
              <w:t> </w:t>
            </w:r>
          </w:p>
        </w:tc>
        <w:tc>
          <w:tcPr>
            <w:tcW w:w="957"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888</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lineRule="atLeast" w:line="160" w:before="0" w:after="0"/>
              <w:rPr/>
            </w:pPr>
            <w:r>
              <w:rPr/>
              <w:t> </w:t>
            </w:r>
          </w:p>
        </w:tc>
        <w:tc>
          <w:tcPr>
            <w:tcW w:w="1036"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829</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lineRule="atLeast" w:line="160" w:before="0" w:after="0"/>
              <w:rPr/>
            </w:pPr>
            <w:r>
              <w:rPr/>
              <w:t> </w:t>
            </w:r>
          </w:p>
        </w:tc>
        <w:tc>
          <w:tcPr>
            <w:tcW w:w="1138"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0.1</w:t>
            </w:r>
          </w:p>
        </w:tc>
        <w:tc>
          <w:tcPr>
            <w:tcW w:w="18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r>
      <w:tr>
        <w:trPr/>
        <w:tc>
          <w:tcPr>
            <w:tcW w:w="141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 xml:space="preserve">Southwick Park CLO Ltd, </w:t>
              <w:br/>
              <w:t>Series 2019-4A(3)(4)(10)</w:t>
            </w:r>
          </w:p>
        </w:tc>
        <w:tc>
          <w:tcPr>
            <w:tcW w:w="60" w:type="dxa"/>
            <w:tcBorders/>
            <w:shd w:fill="CCEEFF" w:val="clear"/>
            <w:vAlign w:val="bottom"/>
          </w:tcPr>
          <w:p>
            <w:pPr>
              <w:pStyle w:val="TableContents"/>
              <w:spacing w:before="0" w:after="283"/>
              <w:rPr/>
            </w:pPr>
            <w:r>
              <w:rPr/>
              <w:t> </w:t>
            </w:r>
          </w:p>
        </w:tc>
        <w:tc>
          <w:tcPr>
            <w:tcW w:w="276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Structured Product ($1,000 par, due 7/2032)</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lineRule="atLeast" w:line="160" w:before="0" w:after="0"/>
              <w:rPr/>
            </w:pPr>
            <w:r>
              <w:rPr/>
              <w:t> </w:t>
            </w:r>
          </w:p>
        </w:tc>
        <w:tc>
          <w:tcPr>
            <w:tcW w:w="1084"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5/25/2022</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lineRule="atLeast" w:line="160" w:before="0" w:after="0"/>
              <w:rPr/>
            </w:pPr>
            <w:r>
              <w:rPr/>
              <w:t> </w:t>
            </w:r>
          </w:p>
        </w:tc>
        <w:tc>
          <w:tcPr>
            <w:tcW w:w="940"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L + 6.25</w:t>
            </w:r>
          </w:p>
        </w:tc>
        <w:tc>
          <w:tcPr>
            <w:tcW w:w="18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c>
          <w:tcPr>
            <w:tcW w:w="60"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8.96%</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lineRule="atLeast" w:line="160" w:before="0" w:after="0"/>
              <w:rPr/>
            </w:pPr>
            <w:r>
              <w:rPr/>
              <w:t> </w:t>
            </w:r>
          </w:p>
        </w:tc>
        <w:tc>
          <w:tcPr>
            <w:tcW w:w="957"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927</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lineRule="atLeast" w:line="160" w:before="0" w:after="0"/>
              <w:rPr/>
            </w:pPr>
            <w:r>
              <w:rPr/>
              <w:t> </w:t>
            </w:r>
          </w:p>
        </w:tc>
        <w:tc>
          <w:tcPr>
            <w:tcW w:w="1036"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843</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lineRule="atLeast" w:line="160" w:before="0" w:after="0"/>
              <w:rPr/>
            </w:pPr>
            <w:r>
              <w:rPr/>
              <w:t> </w:t>
            </w:r>
          </w:p>
        </w:tc>
        <w:tc>
          <w:tcPr>
            <w:tcW w:w="1138"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0.1</w:t>
            </w:r>
          </w:p>
        </w:tc>
        <w:tc>
          <w:tcPr>
            <w:tcW w:w="18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r>
      <w:tr>
        <w:trPr/>
        <w:tc>
          <w:tcPr>
            <w:tcW w:w="141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 xml:space="preserve">Stewart Park CLO Ltd, </w:t>
              <w:br/>
              <w:t>Series 2015-1A(3)(4)(10)</w:t>
            </w:r>
          </w:p>
        </w:tc>
        <w:tc>
          <w:tcPr>
            <w:tcW w:w="60" w:type="dxa"/>
            <w:tcBorders/>
            <w:shd w:fill="auto" w:val="clear"/>
            <w:vAlign w:val="bottom"/>
          </w:tcPr>
          <w:p>
            <w:pPr>
              <w:pStyle w:val="TableContents"/>
              <w:spacing w:before="0" w:after="283"/>
              <w:rPr/>
            </w:pPr>
            <w:r>
              <w:rPr/>
              <w:t> </w:t>
            </w:r>
          </w:p>
        </w:tc>
        <w:tc>
          <w:tcPr>
            <w:tcW w:w="276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Structured Product ($1,000 par, due 1/2030)</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lineRule="atLeast" w:line="160" w:before="0" w:after="0"/>
              <w:rPr/>
            </w:pPr>
            <w:r>
              <w:rPr/>
              <w:t> </w:t>
            </w:r>
          </w:p>
        </w:tc>
        <w:tc>
          <w:tcPr>
            <w:tcW w:w="1084"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7/25/2022</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lineRule="atLeast" w:line="160" w:before="0" w:after="0"/>
              <w:rPr/>
            </w:pPr>
            <w:r>
              <w:rPr/>
              <w:t> </w:t>
            </w:r>
          </w:p>
        </w:tc>
        <w:tc>
          <w:tcPr>
            <w:tcW w:w="940"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L + 2.60</w:t>
            </w:r>
          </w:p>
        </w:tc>
        <w:tc>
          <w:tcPr>
            <w:tcW w:w="18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c>
          <w:tcPr>
            <w:tcW w:w="60"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5.11%</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lineRule="atLeast" w:line="160" w:before="0" w:after="0"/>
              <w:rPr/>
            </w:pPr>
            <w:r>
              <w:rPr/>
              <w:t> </w:t>
            </w:r>
          </w:p>
        </w:tc>
        <w:tc>
          <w:tcPr>
            <w:tcW w:w="957"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889</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lineRule="atLeast" w:line="160" w:before="0" w:after="0"/>
              <w:rPr/>
            </w:pPr>
            <w:r>
              <w:rPr/>
              <w:t> </w:t>
            </w:r>
          </w:p>
        </w:tc>
        <w:tc>
          <w:tcPr>
            <w:tcW w:w="1036"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865</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lineRule="atLeast" w:line="160" w:before="0" w:after="0"/>
              <w:rPr/>
            </w:pPr>
            <w:r>
              <w:rPr/>
              <w:t> </w:t>
            </w:r>
          </w:p>
        </w:tc>
        <w:tc>
          <w:tcPr>
            <w:tcW w:w="1138"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0.1</w:t>
            </w:r>
          </w:p>
        </w:tc>
        <w:tc>
          <w:tcPr>
            <w:tcW w:w="18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r>
      <w:tr>
        <w:trPr/>
        <w:tc>
          <w:tcPr>
            <w:tcW w:w="141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Voya CLO Ltd,</w:t>
              <w:br/>
              <w:t>Series 2018-3A(3)(4)(10)</w:t>
            </w:r>
          </w:p>
        </w:tc>
        <w:tc>
          <w:tcPr>
            <w:tcW w:w="60" w:type="dxa"/>
            <w:tcBorders/>
            <w:shd w:fill="CCEEFF" w:val="clear"/>
            <w:vAlign w:val="bottom"/>
          </w:tcPr>
          <w:p>
            <w:pPr>
              <w:pStyle w:val="TableContents"/>
              <w:spacing w:before="0" w:after="283"/>
              <w:rPr/>
            </w:pPr>
            <w:r>
              <w:rPr/>
              <w:t> </w:t>
            </w:r>
          </w:p>
        </w:tc>
        <w:tc>
          <w:tcPr>
            <w:tcW w:w="276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Structured Product ($2,750 par, due 10/2031)</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lineRule="atLeast" w:line="160" w:before="0" w:after="0"/>
              <w:rPr/>
            </w:pPr>
            <w:r>
              <w:rPr/>
              <w:t> </w:t>
            </w:r>
          </w:p>
        </w:tc>
        <w:tc>
          <w:tcPr>
            <w:tcW w:w="1084"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6/22/2022</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lineRule="atLeast" w:line="160" w:before="0" w:after="0"/>
              <w:rPr/>
            </w:pPr>
            <w:r>
              <w:rPr/>
              <w:t> </w:t>
            </w:r>
          </w:p>
        </w:tc>
        <w:tc>
          <w:tcPr>
            <w:tcW w:w="940"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L + 5.75</w:t>
            </w:r>
          </w:p>
        </w:tc>
        <w:tc>
          <w:tcPr>
            <w:tcW w:w="18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c>
          <w:tcPr>
            <w:tcW w:w="60"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8.26%</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lineRule="atLeast" w:line="160" w:before="0" w:after="0"/>
              <w:rPr/>
            </w:pPr>
            <w:r>
              <w:rPr/>
              <w:t> </w:t>
            </w:r>
          </w:p>
        </w:tc>
        <w:tc>
          <w:tcPr>
            <w:tcW w:w="957"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2,369</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lineRule="atLeast" w:line="160" w:before="0" w:after="0"/>
              <w:rPr/>
            </w:pPr>
            <w:r>
              <w:rPr/>
              <w:t> </w:t>
            </w:r>
          </w:p>
        </w:tc>
        <w:tc>
          <w:tcPr>
            <w:tcW w:w="1036"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2,151</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lineRule="atLeast" w:line="160" w:before="0" w:after="0"/>
              <w:rPr/>
            </w:pPr>
            <w:r>
              <w:rPr/>
              <w:t> </w:t>
            </w:r>
          </w:p>
        </w:tc>
        <w:tc>
          <w:tcPr>
            <w:tcW w:w="1138"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0.1</w:t>
            </w:r>
          </w:p>
        </w:tc>
        <w:tc>
          <w:tcPr>
            <w:tcW w:w="18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r>
      <w:tr>
        <w:trPr/>
        <w:tc>
          <w:tcPr>
            <w:tcW w:w="141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 xml:space="preserve">Whitebox CLO I Ltd, </w:t>
              <w:br/>
              <w:t>Series 2020-2A(3)(4)(10)</w:t>
            </w:r>
          </w:p>
        </w:tc>
        <w:tc>
          <w:tcPr>
            <w:tcW w:w="60" w:type="dxa"/>
            <w:tcBorders/>
            <w:shd w:fill="auto" w:val="clear"/>
            <w:vAlign w:val="bottom"/>
          </w:tcPr>
          <w:p>
            <w:pPr>
              <w:pStyle w:val="TableContents"/>
              <w:spacing w:before="0" w:after="283"/>
              <w:rPr/>
            </w:pPr>
            <w:r>
              <w:rPr/>
              <w:t> </w:t>
            </w:r>
          </w:p>
        </w:tc>
        <w:tc>
          <w:tcPr>
            <w:tcW w:w="276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Structured Product ($1,125 par, due 10/2034)</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lineRule="atLeast" w:line="160" w:before="0" w:after="0"/>
              <w:rPr/>
            </w:pPr>
            <w:r>
              <w:rPr/>
              <w:t> </w:t>
            </w:r>
          </w:p>
        </w:tc>
        <w:tc>
          <w:tcPr>
            <w:tcW w:w="1084"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7/12/2022</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lineRule="atLeast" w:line="160" w:before="0" w:after="0"/>
              <w:rPr/>
            </w:pPr>
            <w:r>
              <w:rPr/>
              <w:t> </w:t>
            </w:r>
          </w:p>
        </w:tc>
        <w:tc>
          <w:tcPr>
            <w:tcW w:w="940"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L + 3.35</w:t>
            </w:r>
          </w:p>
        </w:tc>
        <w:tc>
          <w:tcPr>
            <w:tcW w:w="18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c>
          <w:tcPr>
            <w:tcW w:w="60"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6.13%</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lineRule="atLeast" w:line="160" w:before="0" w:after="0"/>
              <w:rPr/>
            </w:pPr>
            <w:r>
              <w:rPr/>
              <w:t> </w:t>
            </w:r>
          </w:p>
        </w:tc>
        <w:tc>
          <w:tcPr>
            <w:tcW w:w="957"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1,003</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lineRule="atLeast" w:line="160" w:before="0" w:after="0"/>
              <w:rPr/>
            </w:pPr>
            <w:r>
              <w:rPr/>
              <w:t> </w:t>
            </w:r>
          </w:p>
        </w:tc>
        <w:tc>
          <w:tcPr>
            <w:tcW w:w="1036"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1,021</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lineRule="atLeast" w:line="160" w:before="0" w:after="0"/>
              <w:rPr/>
            </w:pPr>
            <w:r>
              <w:rPr/>
              <w:t> </w:t>
            </w:r>
          </w:p>
        </w:tc>
        <w:tc>
          <w:tcPr>
            <w:tcW w:w="1138"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0.1</w:t>
            </w:r>
          </w:p>
        </w:tc>
        <w:tc>
          <w:tcPr>
            <w:tcW w:w="18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r>
      <w:tr>
        <w:trPr/>
        <w:tc>
          <w:tcPr>
            <w:tcW w:w="1415" w:type="dxa"/>
            <w:tcBorders/>
            <w:shd w:fill="CCEEFF" w:val="clear"/>
          </w:tcPr>
          <w:p>
            <w:pPr>
              <w:pStyle w:val="TableContents"/>
              <w:spacing w:lineRule="atLeast" w:line="141" w:before="0" w:after="0"/>
              <w:rPr>
                <w:rFonts w:ascii="Times New Roman" w:hAnsi="Times New Roman"/>
                <w:sz w:val="15"/>
              </w:rPr>
            </w:pPr>
            <w:r>
              <w:rPr>
                <w:rFonts w:ascii="Times New Roman" w:hAnsi="Times New Roman"/>
                <w:sz w:val="15"/>
              </w:rPr>
              <w:t xml:space="preserve">Wind River CLO Ltd, </w:t>
              <w:br/>
              <w:t>Series 2014-2A(3)(4)(10)</w:t>
            </w:r>
          </w:p>
        </w:tc>
        <w:tc>
          <w:tcPr>
            <w:tcW w:w="60" w:type="dxa"/>
            <w:tcBorders/>
            <w:shd w:fill="CCEEFF" w:val="clear"/>
            <w:vAlign w:val="bottom"/>
          </w:tcPr>
          <w:p>
            <w:pPr>
              <w:pStyle w:val="TableContents"/>
              <w:spacing w:before="0" w:after="283"/>
              <w:rPr/>
            </w:pPr>
            <w:r>
              <w:rPr/>
              <w:t> </w:t>
            </w:r>
          </w:p>
        </w:tc>
        <w:tc>
          <w:tcPr>
            <w:tcW w:w="276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Structured Product ($1,500 par, due 1/2031)</w:t>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lineRule="atLeast" w:line="160" w:before="0" w:after="0"/>
              <w:rPr/>
            </w:pPr>
            <w:r>
              <w:rPr/>
              <w:t> </w:t>
            </w:r>
          </w:p>
        </w:tc>
        <w:tc>
          <w:tcPr>
            <w:tcW w:w="1084"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6/23/2022</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lineRule="atLeast" w:line="160" w:before="0" w:after="0"/>
              <w:rPr/>
            </w:pPr>
            <w:r>
              <w:rPr/>
              <w:t> </w:t>
            </w:r>
          </w:p>
        </w:tc>
        <w:tc>
          <w:tcPr>
            <w:tcW w:w="940"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L + 2.90</w:t>
            </w:r>
          </w:p>
        </w:tc>
        <w:tc>
          <w:tcPr>
            <w:tcW w:w="18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c>
          <w:tcPr>
            <w:tcW w:w="60"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5.41%</w:t>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lineRule="atLeast" w:line="160" w:before="0" w:after="0"/>
              <w:rPr/>
            </w:pPr>
            <w:r>
              <w:rPr/>
              <w:t> </w:t>
            </w:r>
          </w:p>
        </w:tc>
        <w:tc>
          <w:tcPr>
            <w:tcW w:w="957"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1,330</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lineRule="atLeast" w:line="160" w:before="0" w:after="0"/>
              <w:rPr/>
            </w:pPr>
            <w:r>
              <w:rPr/>
              <w:t> </w:t>
            </w:r>
          </w:p>
        </w:tc>
        <w:tc>
          <w:tcPr>
            <w:tcW w:w="1036"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1,290</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lineRule="atLeast" w:line="160" w:before="0" w:after="0"/>
              <w:rPr/>
            </w:pPr>
            <w:r>
              <w:rPr/>
              <w:t> </w:t>
            </w:r>
          </w:p>
        </w:tc>
        <w:tc>
          <w:tcPr>
            <w:tcW w:w="1138"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0.0</w:t>
            </w:r>
          </w:p>
        </w:tc>
        <w:tc>
          <w:tcPr>
            <w:tcW w:w="18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r>
      <w:tr>
        <w:trPr/>
        <w:tc>
          <w:tcPr>
            <w:tcW w:w="1415" w:type="dxa"/>
            <w:tcBorders/>
            <w:shd w:fill="auto" w:val="clear"/>
          </w:tcPr>
          <w:p>
            <w:pPr>
              <w:pStyle w:val="TableContents"/>
              <w:spacing w:lineRule="atLeast" w:line="141" w:before="0" w:after="0"/>
              <w:rPr>
                <w:rFonts w:ascii="Times New Roman" w:hAnsi="Times New Roman"/>
                <w:sz w:val="15"/>
              </w:rPr>
            </w:pPr>
            <w:r>
              <w:rPr>
                <w:rFonts w:ascii="Times New Roman" w:hAnsi="Times New Roman"/>
                <w:sz w:val="15"/>
              </w:rPr>
              <w:t xml:space="preserve">Wind River CLO Ltd, </w:t>
              <w:br/>
              <w:t>Series 2017-1A(3)(4)(10)</w:t>
            </w:r>
          </w:p>
        </w:tc>
        <w:tc>
          <w:tcPr>
            <w:tcW w:w="60" w:type="dxa"/>
            <w:tcBorders/>
            <w:shd w:fill="auto" w:val="clear"/>
            <w:vAlign w:val="bottom"/>
          </w:tcPr>
          <w:p>
            <w:pPr>
              <w:pStyle w:val="TableContents"/>
              <w:spacing w:before="0" w:after="283"/>
              <w:rPr/>
            </w:pPr>
            <w:r>
              <w:rPr/>
              <w:t> </w:t>
            </w:r>
          </w:p>
        </w:tc>
        <w:tc>
          <w:tcPr>
            <w:tcW w:w="276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Structured Product ($3,000 par, due 4/2036)</w:t>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lineRule="atLeast" w:line="160" w:before="0" w:after="0"/>
              <w:rPr/>
            </w:pPr>
            <w:r>
              <w:rPr/>
              <w:t> </w:t>
            </w:r>
          </w:p>
        </w:tc>
        <w:tc>
          <w:tcPr>
            <w:tcW w:w="1084"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7/14/2022</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lineRule="atLeast" w:line="160" w:before="0" w:after="0"/>
              <w:rPr/>
            </w:pPr>
            <w:r>
              <w:rPr/>
              <w:t> </w:t>
            </w:r>
          </w:p>
        </w:tc>
        <w:tc>
          <w:tcPr>
            <w:tcW w:w="940"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L + 3.72</w:t>
            </w:r>
          </w:p>
        </w:tc>
        <w:tc>
          <w:tcPr>
            <w:tcW w:w="18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c>
          <w:tcPr>
            <w:tcW w:w="60"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6.46%</w:t>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lineRule="atLeast" w:line="160" w:before="0" w:after="0"/>
              <w:rPr/>
            </w:pPr>
            <w:r>
              <w:rPr/>
              <w:t> </w:t>
            </w:r>
          </w:p>
        </w:tc>
        <w:tc>
          <w:tcPr>
            <w:tcW w:w="957"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2,591</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lineRule="atLeast" w:line="160" w:before="0" w:after="0"/>
              <w:rPr/>
            </w:pPr>
            <w:r>
              <w:rPr/>
              <w:t> </w:t>
            </w:r>
          </w:p>
        </w:tc>
        <w:tc>
          <w:tcPr>
            <w:tcW w:w="1036"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2,649</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lineRule="atLeast" w:line="160" w:before="0" w:after="0"/>
              <w:rPr/>
            </w:pPr>
            <w:r>
              <w:rPr/>
              <w:t> </w:t>
            </w:r>
          </w:p>
        </w:tc>
        <w:tc>
          <w:tcPr>
            <w:tcW w:w="1138"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0.1</w:t>
            </w:r>
          </w:p>
        </w:tc>
        <w:tc>
          <w:tcPr>
            <w:tcW w:w="18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r>
      <w:tr>
        <w:trPr/>
        <w:tc>
          <w:tcPr>
            <w:tcW w:w="14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76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10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sz w:val="4"/>
                <w:szCs w:val="4"/>
              </w:rPr>
            </w:pPr>
            <w:r>
              <w:rPr>
                <w:sz w:val="4"/>
                <w:szCs w:val="4"/>
              </w:rPr>
            </w:r>
          </w:p>
        </w:tc>
        <w:tc>
          <w:tcPr>
            <w:tcW w:w="940"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0"/>
              <w:rPr/>
            </w:pPr>
            <w:r>
              <w:rPr/>
              <w:t> </w:t>
            </w:r>
          </w:p>
        </w:tc>
        <w:tc>
          <w:tcPr>
            <w:tcW w:w="95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pBdr>
                <w:top w:val="single" w:sz="2" w:space="1" w:color="000000"/>
              </w:pBdr>
              <w:spacing w:before="0" w:after="0"/>
              <w:rPr/>
            </w:pPr>
            <w:r>
              <w:rPr/>
              <w:t> </w:t>
            </w:r>
          </w:p>
        </w:tc>
        <w:tc>
          <w:tcPr>
            <w:tcW w:w="103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pBdr>
                <w:top w:val="single" w:sz="2" w:space="1" w:color="000000"/>
              </w:pBdr>
              <w:spacing w:before="0" w:after="0"/>
              <w:rPr/>
            </w:pPr>
            <w:r>
              <w:rPr/>
              <w:t> </w:t>
            </w:r>
          </w:p>
        </w:tc>
        <w:tc>
          <w:tcPr>
            <w:tcW w:w="1138" w:type="dxa"/>
            <w:tcBorders/>
            <w:shd w:fill="auto" w:val="clear"/>
            <w:vAlign w:val="bottom"/>
          </w:tcPr>
          <w:p>
            <w:pPr>
              <w:pStyle w:val="TableContents"/>
              <w:pBdr>
                <w:top w:val="single" w:sz="2" w:space="1" w:color="000000"/>
              </w:pBdr>
              <w:spacing w:before="0" w:after="0"/>
              <w:rPr/>
            </w:pPr>
            <w:r>
              <w:rPr/>
              <w:t> </w:t>
            </w:r>
          </w:p>
        </w:tc>
        <w:tc>
          <w:tcPr>
            <w:tcW w:w="185" w:type="dxa"/>
            <w:tcBorders/>
            <w:shd w:fill="auto" w:val="clear"/>
            <w:vAlign w:val="center"/>
          </w:tcPr>
          <w:p>
            <w:pPr>
              <w:pStyle w:val="TableContents"/>
              <w:spacing w:before="0" w:after="283"/>
              <w:rPr/>
            </w:pPr>
            <w:r>
              <w:rPr/>
              <w:t> </w:t>
            </w:r>
          </w:p>
        </w:tc>
      </w:tr>
      <w:tr>
        <w:trPr/>
        <w:tc>
          <w:tcPr>
            <w:tcW w:w="1415" w:type="dxa"/>
            <w:tcBorders/>
            <w:shd w:fill="CCEEFF" w:val="clear"/>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276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sz w:val="4"/>
                <w:szCs w:val="4"/>
              </w:rPr>
            </w:pPr>
            <w:r>
              <w:rPr>
                <w:sz w:val="4"/>
                <w:szCs w:val="4"/>
              </w:rPr>
            </w:r>
          </w:p>
        </w:tc>
        <w:tc>
          <w:tcPr>
            <w:tcW w:w="108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sz w:val="4"/>
                <w:szCs w:val="4"/>
              </w:rPr>
            </w:pPr>
            <w:r>
              <w:rPr>
                <w:sz w:val="4"/>
                <w:szCs w:val="4"/>
              </w:rPr>
            </w:r>
          </w:p>
        </w:tc>
        <w:tc>
          <w:tcPr>
            <w:tcW w:w="940" w:type="dxa"/>
            <w:tcBorders/>
            <w:shd w:fill="CCEEFF" w:val="clear"/>
            <w:vAlign w:val="bottom"/>
          </w:tcPr>
          <w:p>
            <w:pPr>
              <w:pStyle w:val="TableContents"/>
              <w:spacing w:before="0" w:after="283"/>
              <w:rPr>
                <w:sz w:val="4"/>
                <w:szCs w:val="4"/>
              </w:rPr>
            </w:pPr>
            <w:r>
              <w:rPr>
                <w:sz w:val="4"/>
                <w:szCs w:val="4"/>
              </w:rPr>
            </w:r>
          </w:p>
        </w:tc>
        <w:tc>
          <w:tcPr>
            <w:tcW w:w="18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lineRule="atLeast" w:line="160" w:before="0" w:after="0"/>
              <w:rPr/>
            </w:pPr>
            <w:r>
              <w:rPr/>
              <w:t> </w:t>
            </w:r>
          </w:p>
        </w:tc>
        <w:tc>
          <w:tcPr>
            <w:tcW w:w="957"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54,520</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lineRule="atLeast" w:line="160" w:before="0" w:after="0"/>
              <w:rPr/>
            </w:pPr>
            <w:r>
              <w:rPr/>
              <w:t> </w:t>
            </w:r>
          </w:p>
        </w:tc>
        <w:tc>
          <w:tcPr>
            <w:tcW w:w="1036"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51,962</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lineRule="atLeast" w:line="160" w:before="0" w:after="0"/>
              <w:rPr/>
            </w:pPr>
            <w:r>
              <w:rPr/>
              <w:t> </w:t>
            </w:r>
          </w:p>
        </w:tc>
        <w:tc>
          <w:tcPr>
            <w:tcW w:w="1138"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4.4</w:t>
            </w:r>
          </w:p>
        </w:tc>
        <w:tc>
          <w:tcPr>
            <w:tcW w:w="18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r>
      <w:tr>
        <w:trPr/>
        <w:tc>
          <w:tcPr>
            <w:tcW w:w="14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76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10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sz w:val="4"/>
                <w:szCs w:val="4"/>
              </w:rPr>
            </w:pPr>
            <w:r>
              <w:rPr>
                <w:sz w:val="4"/>
                <w:szCs w:val="4"/>
              </w:rPr>
            </w:r>
          </w:p>
        </w:tc>
        <w:tc>
          <w:tcPr>
            <w:tcW w:w="940"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0"/>
              <w:rPr/>
            </w:pPr>
            <w:r>
              <w:rPr/>
              <w:t> </w:t>
            </w:r>
          </w:p>
        </w:tc>
        <w:tc>
          <w:tcPr>
            <w:tcW w:w="95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pBdr>
                <w:top w:val="single" w:sz="2" w:space="1" w:color="000000"/>
              </w:pBdr>
              <w:spacing w:before="0" w:after="0"/>
              <w:rPr/>
            </w:pPr>
            <w:r>
              <w:rPr/>
              <w:t> </w:t>
            </w:r>
          </w:p>
        </w:tc>
        <w:tc>
          <w:tcPr>
            <w:tcW w:w="103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pBdr>
                <w:top w:val="single" w:sz="2" w:space="1" w:color="000000"/>
              </w:pBdr>
              <w:spacing w:before="0" w:after="0"/>
              <w:rPr/>
            </w:pPr>
            <w:r>
              <w:rPr/>
              <w:t> </w:t>
            </w:r>
          </w:p>
        </w:tc>
        <w:tc>
          <w:tcPr>
            <w:tcW w:w="1138" w:type="dxa"/>
            <w:tcBorders/>
            <w:shd w:fill="auto" w:val="clear"/>
            <w:vAlign w:val="bottom"/>
          </w:tcPr>
          <w:p>
            <w:pPr>
              <w:pStyle w:val="TableContents"/>
              <w:pBdr>
                <w:top w:val="single" w:sz="2" w:space="1" w:color="000000"/>
              </w:pBdr>
              <w:spacing w:before="0" w:after="0"/>
              <w:rPr/>
            </w:pPr>
            <w:r>
              <w:rPr/>
              <w:t> </w:t>
            </w:r>
          </w:p>
        </w:tc>
        <w:tc>
          <w:tcPr>
            <w:tcW w:w="185" w:type="dxa"/>
            <w:tcBorders/>
            <w:shd w:fill="auto" w:val="clear"/>
            <w:vAlign w:val="center"/>
          </w:tcPr>
          <w:p>
            <w:pPr>
              <w:pStyle w:val="TableContents"/>
              <w:spacing w:before="0" w:after="283"/>
              <w:rPr/>
            </w:pPr>
            <w:r>
              <w:rPr/>
              <w:t> </w:t>
            </w:r>
          </w:p>
        </w:tc>
      </w:tr>
      <w:tr>
        <w:trPr/>
        <w:tc>
          <w:tcPr>
            <w:tcW w:w="1415" w:type="dxa"/>
            <w:tcBorders/>
            <w:shd w:fill="auto" w:val="clear"/>
          </w:tcPr>
          <w:p>
            <w:pPr>
              <w:pStyle w:val="TableContents"/>
              <w:spacing w:lineRule="atLeast" w:line="160" w:before="0" w:after="0"/>
              <w:rPr>
                <w:rFonts w:ascii="Times New Roman" w:hAnsi="Times New Roman"/>
                <w:b/>
                <w:sz w:val="15"/>
              </w:rPr>
            </w:pPr>
            <w:r>
              <w:rPr>
                <w:rFonts w:ascii="Times New Roman" w:hAnsi="Times New Roman"/>
                <w:b/>
                <w:sz w:val="15"/>
              </w:rPr>
              <w:t xml:space="preserve">Total Equity and Other </w:t>
              <w:br/>
              <w:t>Investments</w:t>
            </w:r>
          </w:p>
        </w:tc>
        <w:tc>
          <w:tcPr>
            <w:tcW w:w="60" w:type="dxa"/>
            <w:tcBorders/>
            <w:shd w:fill="auto" w:val="clear"/>
            <w:vAlign w:val="bottom"/>
          </w:tcPr>
          <w:p>
            <w:pPr>
              <w:pStyle w:val="TableContents"/>
              <w:spacing w:before="0" w:after="283"/>
              <w:rPr/>
            </w:pPr>
            <w:r>
              <w:rPr/>
              <w:t> </w:t>
            </w:r>
          </w:p>
        </w:tc>
        <w:tc>
          <w:tcPr>
            <w:tcW w:w="276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10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sz w:val="4"/>
                <w:szCs w:val="4"/>
              </w:rPr>
            </w:pPr>
            <w:r>
              <w:rPr>
                <w:sz w:val="4"/>
                <w:szCs w:val="4"/>
              </w:rPr>
            </w:r>
          </w:p>
        </w:tc>
        <w:tc>
          <w:tcPr>
            <w:tcW w:w="940"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spacing w:lineRule="atLeast" w:line="160" w:before="0" w:after="0"/>
              <w:rPr/>
            </w:pPr>
            <w:r>
              <w:rPr/>
              <w:t> </w:t>
            </w:r>
          </w:p>
        </w:tc>
        <w:tc>
          <w:tcPr>
            <w:tcW w:w="957"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193,718</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spacing w:lineRule="atLeast" w:line="160" w:before="0" w:after="0"/>
              <w:rPr/>
            </w:pPr>
            <w:r>
              <w:rPr/>
              <w:t> </w:t>
            </w:r>
          </w:p>
        </w:tc>
        <w:tc>
          <w:tcPr>
            <w:tcW w:w="1036"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216,311</w:t>
            </w:r>
          </w:p>
        </w:tc>
        <w:tc>
          <w:tcPr>
            <w:tcW w:w="60" w:type="dxa"/>
            <w:tcBorders/>
            <w:shd w:fill="auto" w:val="clear"/>
            <w:vAlign w:val="bottom"/>
          </w:tcPr>
          <w:p>
            <w:pPr>
              <w:pStyle w:val="TableContents"/>
              <w:spacing w:lineRule="atLeast" w:line="160" w:before="0" w:after="0"/>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spacing w:lineRule="atLeast" w:line="160" w:before="0" w:after="0"/>
              <w:rPr/>
            </w:pPr>
            <w:r>
              <w:rPr/>
              <w:t> </w:t>
            </w:r>
          </w:p>
        </w:tc>
        <w:tc>
          <w:tcPr>
            <w:tcW w:w="1138" w:type="dxa"/>
            <w:tcBorders/>
            <w:shd w:fill="auto"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16.4</w:t>
            </w:r>
          </w:p>
        </w:tc>
        <w:tc>
          <w:tcPr>
            <w:tcW w:w="185" w:type="dxa"/>
            <w:tcBorders/>
            <w:shd w:fill="auto"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r>
      <w:tr>
        <w:trPr/>
        <w:tc>
          <w:tcPr>
            <w:tcW w:w="14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76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10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sz w:val="4"/>
                <w:szCs w:val="4"/>
              </w:rPr>
            </w:pPr>
            <w:r>
              <w:rPr>
                <w:sz w:val="4"/>
                <w:szCs w:val="4"/>
              </w:rPr>
            </w:r>
          </w:p>
        </w:tc>
        <w:tc>
          <w:tcPr>
            <w:tcW w:w="940"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single" w:sz="2" w:space="1" w:color="000000"/>
              </w:pBdr>
              <w:spacing w:before="0" w:after="0"/>
              <w:rPr/>
            </w:pPr>
            <w:r>
              <w:rPr/>
              <w:t> </w:t>
            </w:r>
          </w:p>
        </w:tc>
        <w:tc>
          <w:tcPr>
            <w:tcW w:w="95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pBdr>
                <w:top w:val="single" w:sz="2" w:space="1" w:color="000000"/>
              </w:pBdr>
              <w:spacing w:before="0" w:after="0"/>
              <w:rPr/>
            </w:pPr>
            <w:r>
              <w:rPr/>
              <w:t> </w:t>
            </w:r>
          </w:p>
        </w:tc>
        <w:tc>
          <w:tcPr>
            <w:tcW w:w="103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pBdr>
                <w:top w:val="single" w:sz="2" w:space="1" w:color="000000"/>
              </w:pBdr>
              <w:spacing w:before="0" w:after="0"/>
              <w:rPr/>
            </w:pPr>
            <w:r>
              <w:rPr/>
              <w:t> </w:t>
            </w:r>
          </w:p>
        </w:tc>
        <w:tc>
          <w:tcPr>
            <w:tcW w:w="1138" w:type="dxa"/>
            <w:tcBorders/>
            <w:shd w:fill="auto" w:val="clear"/>
            <w:vAlign w:val="bottom"/>
          </w:tcPr>
          <w:p>
            <w:pPr>
              <w:pStyle w:val="TableContents"/>
              <w:pBdr>
                <w:top w:val="single" w:sz="2" w:space="1" w:color="000000"/>
              </w:pBdr>
              <w:spacing w:before="0" w:after="0"/>
              <w:rPr/>
            </w:pPr>
            <w:r>
              <w:rPr/>
              <w:t> </w:t>
            </w:r>
          </w:p>
        </w:tc>
        <w:tc>
          <w:tcPr>
            <w:tcW w:w="185" w:type="dxa"/>
            <w:tcBorders/>
            <w:shd w:fill="auto" w:val="clear"/>
            <w:vAlign w:val="center"/>
          </w:tcPr>
          <w:p>
            <w:pPr>
              <w:pStyle w:val="TableContents"/>
              <w:spacing w:before="0" w:after="283"/>
              <w:rPr/>
            </w:pPr>
            <w:r>
              <w:rPr/>
              <w:t> </w:t>
            </w:r>
          </w:p>
        </w:tc>
      </w:tr>
      <w:tr>
        <w:trPr/>
        <w:tc>
          <w:tcPr>
            <w:tcW w:w="1415" w:type="dxa"/>
            <w:tcBorders/>
            <w:shd w:fill="CCEEFF" w:val="clear"/>
          </w:tcPr>
          <w:p>
            <w:pPr>
              <w:pStyle w:val="TableContents"/>
              <w:spacing w:lineRule="atLeast" w:line="160" w:before="0" w:after="0"/>
              <w:rPr>
                <w:rFonts w:ascii="Times New Roman" w:hAnsi="Times New Roman"/>
                <w:b/>
                <w:sz w:val="15"/>
              </w:rPr>
            </w:pPr>
            <w:r>
              <w:rPr>
                <w:rFonts w:ascii="Times New Roman" w:hAnsi="Times New Roman"/>
                <w:b/>
                <w:sz w:val="15"/>
              </w:rPr>
              <w:t>Total Investments</w:t>
            </w:r>
          </w:p>
        </w:tc>
        <w:tc>
          <w:tcPr>
            <w:tcW w:w="60" w:type="dxa"/>
            <w:tcBorders/>
            <w:shd w:fill="CCEEFF" w:val="clear"/>
            <w:vAlign w:val="bottom"/>
          </w:tcPr>
          <w:p>
            <w:pPr>
              <w:pStyle w:val="TableContents"/>
              <w:spacing w:before="0" w:after="283"/>
              <w:rPr/>
            </w:pPr>
            <w:r>
              <w:rPr/>
              <w:t> </w:t>
            </w:r>
          </w:p>
        </w:tc>
        <w:tc>
          <w:tcPr>
            <w:tcW w:w="276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91" w:type="dxa"/>
            <w:tcBorders/>
            <w:shd w:fill="CCEEFF" w:val="clear"/>
            <w:vAlign w:val="bottom"/>
          </w:tcPr>
          <w:p>
            <w:pPr>
              <w:pStyle w:val="TableContents"/>
              <w:spacing w:before="0" w:after="283"/>
              <w:rPr>
                <w:sz w:val="4"/>
                <w:szCs w:val="4"/>
              </w:rPr>
            </w:pPr>
            <w:r>
              <w:rPr>
                <w:sz w:val="4"/>
                <w:szCs w:val="4"/>
              </w:rPr>
            </w:r>
          </w:p>
        </w:tc>
        <w:tc>
          <w:tcPr>
            <w:tcW w:w="1084"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sz w:val="4"/>
                <w:szCs w:val="4"/>
              </w:rPr>
            </w:pPr>
            <w:r>
              <w:rPr>
                <w:sz w:val="4"/>
                <w:szCs w:val="4"/>
              </w:rPr>
            </w:r>
          </w:p>
        </w:tc>
        <w:tc>
          <w:tcPr>
            <w:tcW w:w="940" w:type="dxa"/>
            <w:tcBorders/>
            <w:shd w:fill="CCEEFF" w:val="clear"/>
            <w:vAlign w:val="bottom"/>
          </w:tcPr>
          <w:p>
            <w:pPr>
              <w:pStyle w:val="TableContents"/>
              <w:spacing w:before="0" w:after="283"/>
              <w:rPr>
                <w:sz w:val="4"/>
                <w:szCs w:val="4"/>
              </w:rPr>
            </w:pPr>
            <w:r>
              <w:rPr>
                <w:sz w:val="4"/>
                <w:szCs w:val="4"/>
              </w:rPr>
            </w:r>
          </w:p>
        </w:tc>
        <w:tc>
          <w:tcPr>
            <w:tcW w:w="18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8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3"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w:t>
            </w:r>
          </w:p>
        </w:tc>
        <w:tc>
          <w:tcPr>
            <w:tcW w:w="957"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2,792,773</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54"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w:t>
            </w:r>
          </w:p>
        </w:tc>
        <w:tc>
          <w:tcPr>
            <w:tcW w:w="1036"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2,806,063</w:t>
            </w:r>
          </w:p>
        </w:tc>
        <w:tc>
          <w:tcPr>
            <w:tcW w:w="60" w:type="dxa"/>
            <w:tcBorders/>
            <w:shd w:fill="CCEEFF" w:val="clear"/>
            <w:vAlign w:val="bottom"/>
          </w:tcPr>
          <w:p>
            <w:pPr>
              <w:pStyle w:val="TableContents"/>
              <w:spacing w:lineRule="atLeast" w:line="160" w:before="0" w:after="0"/>
              <w:rPr/>
            </w:pPr>
            <w:r>
              <w:rPr/>
              <w:t> </w:t>
            </w:r>
          </w:p>
        </w:tc>
        <w:tc>
          <w:tcPr>
            <w:tcW w:w="60" w:type="dxa"/>
            <w:tcBorders/>
            <w:shd w:fill="CCEEFF" w:val="clear"/>
            <w:vAlign w:val="bottom"/>
          </w:tcPr>
          <w:p>
            <w:pPr>
              <w:pStyle w:val="TableContents"/>
              <w:spacing w:before="0" w:after="283"/>
              <w:rPr/>
            </w:pPr>
            <w:r>
              <w:rPr/>
              <w:t> </w:t>
            </w:r>
          </w:p>
        </w:tc>
        <w:tc>
          <w:tcPr>
            <w:tcW w:w="187" w:type="dxa"/>
            <w:tcBorders/>
            <w:shd w:fill="CCEEFF" w:val="clear"/>
            <w:vAlign w:val="bottom"/>
          </w:tcPr>
          <w:p>
            <w:pPr>
              <w:pStyle w:val="TableContents"/>
              <w:spacing w:lineRule="atLeast" w:line="160" w:before="0" w:after="0"/>
              <w:rPr/>
            </w:pPr>
            <w:r>
              <w:rPr/>
              <w:t> </w:t>
            </w:r>
          </w:p>
        </w:tc>
        <w:tc>
          <w:tcPr>
            <w:tcW w:w="1138" w:type="dxa"/>
            <w:tcBorders/>
            <w:shd w:fill="CCEEFF" w:val="clear"/>
            <w:vAlign w:val="bottom"/>
          </w:tcPr>
          <w:p>
            <w:pPr>
              <w:pStyle w:val="TableContents"/>
              <w:spacing w:lineRule="atLeast" w:line="160" w:before="0" w:after="0"/>
              <w:jc w:val="right"/>
              <w:rPr>
                <w:rFonts w:ascii="Times New Roman" w:hAnsi="Times New Roman"/>
                <w:sz w:val="15"/>
              </w:rPr>
            </w:pPr>
            <w:r>
              <w:rPr>
                <w:rFonts w:ascii="Times New Roman" w:hAnsi="Times New Roman"/>
                <w:sz w:val="15"/>
              </w:rPr>
              <w:t>211.2</w:t>
            </w:r>
          </w:p>
        </w:tc>
        <w:tc>
          <w:tcPr>
            <w:tcW w:w="185" w:type="dxa"/>
            <w:tcBorders/>
            <w:shd w:fill="CCEEFF" w:val="clear"/>
            <w:vAlign w:val="bottom"/>
          </w:tcPr>
          <w:p>
            <w:pPr>
              <w:pStyle w:val="TableContents"/>
              <w:spacing w:lineRule="atLeast" w:line="160" w:before="0" w:after="0"/>
              <w:rPr>
                <w:rFonts w:ascii="Times New Roman" w:hAnsi="Times New Roman"/>
                <w:sz w:val="15"/>
              </w:rPr>
            </w:pPr>
            <w:r>
              <w:rPr>
                <w:rFonts w:ascii="Times New Roman" w:hAnsi="Times New Roman"/>
                <w:sz w:val="15"/>
              </w:rPr>
              <w:t>% </w:t>
            </w:r>
          </w:p>
        </w:tc>
      </w:tr>
      <w:tr>
        <w:trPr/>
        <w:tc>
          <w:tcPr>
            <w:tcW w:w="141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76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91" w:type="dxa"/>
            <w:tcBorders/>
            <w:shd w:fill="auto" w:val="clear"/>
            <w:vAlign w:val="bottom"/>
          </w:tcPr>
          <w:p>
            <w:pPr>
              <w:pStyle w:val="TableContents"/>
              <w:spacing w:before="0" w:after="283"/>
              <w:rPr>
                <w:sz w:val="4"/>
                <w:szCs w:val="4"/>
              </w:rPr>
            </w:pPr>
            <w:r>
              <w:rPr>
                <w:sz w:val="4"/>
                <w:szCs w:val="4"/>
              </w:rPr>
            </w:r>
          </w:p>
        </w:tc>
        <w:tc>
          <w:tcPr>
            <w:tcW w:w="1084"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sz w:val="4"/>
                <w:szCs w:val="4"/>
              </w:rPr>
            </w:pPr>
            <w:r>
              <w:rPr>
                <w:sz w:val="4"/>
                <w:szCs w:val="4"/>
              </w:rPr>
            </w:r>
          </w:p>
        </w:tc>
        <w:tc>
          <w:tcPr>
            <w:tcW w:w="940" w:type="dxa"/>
            <w:tcBorders/>
            <w:shd w:fill="auto" w:val="clear"/>
            <w:vAlign w:val="bottom"/>
          </w:tcPr>
          <w:p>
            <w:pPr>
              <w:pStyle w:val="TableContents"/>
              <w:spacing w:before="0" w:after="283"/>
              <w:rPr>
                <w:sz w:val="4"/>
                <w:szCs w:val="4"/>
              </w:rPr>
            </w:pPr>
            <w:r>
              <w:rPr>
                <w:sz w:val="4"/>
                <w:szCs w:val="4"/>
              </w:rPr>
            </w:r>
          </w:p>
        </w:tc>
        <w:tc>
          <w:tcPr>
            <w:tcW w:w="1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3" w:type="dxa"/>
            <w:tcBorders/>
            <w:shd w:fill="auto" w:val="clear"/>
            <w:vAlign w:val="bottom"/>
          </w:tcPr>
          <w:p>
            <w:pPr>
              <w:pStyle w:val="TableContents"/>
              <w:pBdr>
                <w:top w:val="double" w:sz="6" w:space="1" w:color="000000"/>
              </w:pBdr>
              <w:spacing w:before="0" w:after="0"/>
              <w:rPr/>
            </w:pPr>
            <w:r>
              <w:rPr/>
              <w:t> </w:t>
            </w:r>
          </w:p>
        </w:tc>
        <w:tc>
          <w:tcPr>
            <w:tcW w:w="957"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4" w:type="dxa"/>
            <w:tcBorders/>
            <w:shd w:fill="auto" w:val="clear"/>
            <w:vAlign w:val="bottom"/>
          </w:tcPr>
          <w:p>
            <w:pPr>
              <w:pStyle w:val="TableContents"/>
              <w:pBdr>
                <w:top w:val="double" w:sz="6" w:space="1" w:color="000000"/>
              </w:pBdr>
              <w:spacing w:before="0" w:after="0"/>
              <w:rPr/>
            </w:pPr>
            <w:r>
              <w:rPr/>
              <w:t> </w:t>
            </w:r>
          </w:p>
        </w:tc>
        <w:tc>
          <w:tcPr>
            <w:tcW w:w="1036"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87" w:type="dxa"/>
            <w:tcBorders/>
            <w:shd w:fill="auto" w:val="clear"/>
            <w:vAlign w:val="bottom"/>
          </w:tcPr>
          <w:p>
            <w:pPr>
              <w:pStyle w:val="TableContents"/>
              <w:pBdr>
                <w:top w:val="double" w:sz="6" w:space="1" w:color="000000"/>
              </w:pBdr>
              <w:spacing w:before="0" w:after="0"/>
              <w:rPr/>
            </w:pPr>
            <w:r>
              <w:rPr/>
              <w:t> </w:t>
            </w:r>
          </w:p>
        </w:tc>
        <w:tc>
          <w:tcPr>
            <w:tcW w:w="1138" w:type="dxa"/>
            <w:tcBorders/>
            <w:shd w:fill="auto" w:val="clear"/>
            <w:vAlign w:val="bottom"/>
          </w:tcPr>
          <w:p>
            <w:pPr>
              <w:pStyle w:val="TableContents"/>
              <w:pBdr>
                <w:top w:val="double" w:sz="6" w:space="1" w:color="000000"/>
              </w:pBdr>
              <w:spacing w:before="0" w:after="0"/>
              <w:rPr/>
            </w:pPr>
            <w:r>
              <w:rPr/>
              <w:t> </w:t>
            </w:r>
          </w:p>
        </w:tc>
        <w:tc>
          <w:tcPr>
            <w:tcW w:w="185"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31"/>
        <w:gridCol w:w="61"/>
        <w:gridCol w:w="1040"/>
        <w:gridCol w:w="61"/>
        <w:gridCol w:w="1040"/>
        <w:gridCol w:w="61"/>
        <w:gridCol w:w="85"/>
        <w:gridCol w:w="1391"/>
        <w:gridCol w:w="60"/>
        <w:gridCol w:w="60"/>
        <w:gridCol w:w="140"/>
        <w:gridCol w:w="800"/>
        <w:gridCol w:w="60"/>
        <w:gridCol w:w="120"/>
        <w:gridCol w:w="140"/>
        <w:gridCol w:w="755"/>
        <w:gridCol w:w="155"/>
        <w:gridCol w:w="61"/>
        <w:gridCol w:w="256"/>
        <w:gridCol w:w="1024"/>
        <w:gridCol w:w="60"/>
        <w:gridCol w:w="60"/>
        <w:gridCol w:w="237"/>
        <w:gridCol w:w="1284"/>
        <w:gridCol w:w="163"/>
      </w:tblGrid>
      <w:tr>
        <w:trPr/>
        <w:tc>
          <w:tcPr>
            <w:tcW w:w="1031"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1040"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139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2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128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103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8950" w:type="dxa"/>
            <w:gridSpan w:val="22"/>
            <w:tcBorders>
              <w:bottom w:val="single" w:sz="8" w:space="0" w:color="000000"/>
            </w:tcBorders>
            <w:shd w:fill="auto" w:val="clear"/>
            <w:tcMar>
              <w:bottom w:w="28" w:type="dxa"/>
            </w:tcMar>
            <w:vAlign w:val="bottom"/>
          </w:tcPr>
          <w:p>
            <w:pPr>
              <w:pStyle w:val="TableContents"/>
              <w:spacing w:before="0" w:after="283"/>
              <w:jc w:val="center"/>
              <w:rPr>
                <w:b/>
              </w:rPr>
            </w:pPr>
            <w:r>
              <w:rPr>
                <w:b/>
              </w:rPr>
              <w:t>Interest Rate Swaps as of September 30, 2022</w:t>
            </w:r>
          </w:p>
        </w:tc>
        <w:tc>
          <w:tcPr>
            <w:tcW w:w="163" w:type="dxa"/>
            <w:tcBorders/>
            <w:shd w:fill="auto" w:val="clear"/>
            <w:vAlign w:val="bottom"/>
          </w:tcPr>
          <w:p>
            <w:pPr>
              <w:pStyle w:val="TableContents"/>
              <w:spacing w:before="0" w:after="283"/>
              <w:rPr/>
            </w:pPr>
            <w:r>
              <w:rPr/>
              <w:t> </w:t>
            </w:r>
          </w:p>
        </w:tc>
      </w:tr>
      <w:tr>
        <w:trPr/>
        <w:tc>
          <w:tcPr>
            <w:tcW w:w="1031"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040" w:type="dxa"/>
            <w:tcBorders>
              <w:bottom w:val="single" w:sz="8" w:space="0" w:color="000000"/>
            </w:tcBorders>
            <w:shd w:fill="auto" w:val="clear"/>
            <w:tcMar>
              <w:bottom w:w="28" w:type="dxa"/>
            </w:tcMar>
            <w:vAlign w:val="bottom"/>
          </w:tcPr>
          <w:p>
            <w:pPr>
              <w:pStyle w:val="TableContents"/>
              <w:spacing w:before="0" w:after="283"/>
              <w:jc w:val="center"/>
              <w:rPr>
                <w:b/>
              </w:rPr>
            </w:pPr>
            <w:r>
              <w:rPr>
                <w:b/>
              </w:rPr>
              <w:t>Company</w:t>
              <w:br/>
              <w:t>Receives</w:t>
            </w:r>
          </w:p>
        </w:tc>
        <w:tc>
          <w:tcPr>
            <w:tcW w:w="61" w:type="dxa"/>
            <w:tcBorders/>
            <w:shd w:fill="auto" w:val="clear"/>
            <w:vAlign w:val="bottom"/>
          </w:tcPr>
          <w:p>
            <w:pPr>
              <w:pStyle w:val="TableContents"/>
              <w:spacing w:before="0" w:after="283"/>
              <w:rPr/>
            </w:pPr>
            <w:r>
              <w:rPr/>
              <w:t> </w:t>
            </w:r>
          </w:p>
        </w:tc>
        <w:tc>
          <w:tcPr>
            <w:tcW w:w="1040" w:type="dxa"/>
            <w:tcBorders>
              <w:bottom w:val="single" w:sz="8" w:space="0" w:color="000000"/>
            </w:tcBorders>
            <w:shd w:fill="auto" w:val="clear"/>
            <w:tcMar>
              <w:bottom w:w="28" w:type="dxa"/>
            </w:tcMar>
            <w:vAlign w:val="bottom"/>
          </w:tcPr>
          <w:p>
            <w:pPr>
              <w:pStyle w:val="TableContents"/>
              <w:spacing w:before="0" w:after="283"/>
              <w:jc w:val="center"/>
              <w:rPr>
                <w:b/>
              </w:rPr>
            </w:pPr>
            <w:r>
              <w:rPr>
                <w:b/>
              </w:rPr>
              <w:t>Company</w:t>
              <w:br/>
              <w:t>Pays</w:t>
            </w:r>
          </w:p>
        </w:tc>
        <w:tc>
          <w:tcPr>
            <w:tcW w:w="61" w:type="dxa"/>
            <w:tcBorders/>
            <w:shd w:fill="auto" w:val="clear"/>
            <w:vAlign w:val="bottom"/>
          </w:tcPr>
          <w:p>
            <w:pPr>
              <w:pStyle w:val="TableContents"/>
              <w:spacing w:before="0" w:after="283"/>
              <w:rPr/>
            </w:pPr>
            <w:r>
              <w:rPr/>
              <w:t> </w:t>
            </w:r>
          </w:p>
        </w:tc>
        <w:tc>
          <w:tcPr>
            <w:tcW w:w="1476"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Maturity Date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Notional</w:t>
              <w:br/>
              <w:t>Amount</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89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Fair</w:t>
              <w:br/>
              <w:t>Market</w:t>
              <w:br/>
              <w:t>Value</w:t>
            </w:r>
          </w:p>
        </w:tc>
        <w:tc>
          <w:tcPr>
            <w:tcW w:w="155"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128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Upfront</w:t>
              <w:br/>
              <w:t>(Payments) /</w:t>
              <w:br/>
              <w:t>Receipts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21"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Change in</w:t>
              <w:br/>
              <w:t>Unrealized</w:t>
              <w:br/>
              <w:t>Gains / (Losses)</w:t>
            </w:r>
          </w:p>
        </w:tc>
        <w:tc>
          <w:tcPr>
            <w:tcW w:w="163" w:type="dxa"/>
            <w:tcBorders/>
            <w:shd w:fill="auto" w:val="clear"/>
            <w:vAlign w:val="bottom"/>
          </w:tcPr>
          <w:p>
            <w:pPr>
              <w:pStyle w:val="TableContents"/>
              <w:spacing w:before="0" w:after="283"/>
              <w:rPr/>
            </w:pPr>
            <w:r>
              <w:rPr/>
              <w:t> </w:t>
            </w:r>
          </w:p>
        </w:tc>
      </w:tr>
      <w:tr>
        <w:trPr/>
        <w:tc>
          <w:tcPr>
            <w:tcW w:w="1031" w:type="dxa"/>
            <w:tcBorders/>
            <w:shd w:fill="CCEEFF" w:val="clear"/>
          </w:tcPr>
          <w:p>
            <w:pPr>
              <w:pStyle w:val="TableContents"/>
              <w:spacing w:before="0" w:after="0"/>
              <w:rPr>
                <w:rFonts w:ascii="Times New Roman" w:hAnsi="Times New Roman"/>
                <w:sz w:val="20"/>
              </w:rPr>
            </w:pPr>
            <w:r>
              <w:rPr>
                <w:rFonts w:ascii="Times New Roman" w:hAnsi="Times New Roman"/>
                <w:sz w:val="20"/>
              </w:rPr>
              <w:t>Interest rate swap(a)</w:t>
            </w:r>
          </w:p>
        </w:tc>
        <w:tc>
          <w:tcPr>
            <w:tcW w:w="61" w:type="dxa"/>
            <w:tcBorders/>
            <w:shd w:fill="CCEEFF" w:val="clear"/>
            <w:vAlign w:val="bottom"/>
          </w:tcPr>
          <w:p>
            <w:pPr>
              <w:pStyle w:val="TableContents"/>
              <w:spacing w:before="0" w:after="283"/>
              <w:rPr/>
            </w:pPr>
            <w:r>
              <w:rPr/>
              <w:t> </w:t>
            </w:r>
          </w:p>
        </w:tc>
        <w:tc>
          <w:tcPr>
            <w:tcW w:w="1040" w:type="dxa"/>
            <w:tcBorders/>
            <w:shd w:fill="CCEEFF" w:val="clear"/>
            <w:vAlign w:val="bottom"/>
          </w:tcPr>
          <w:p>
            <w:pPr>
              <w:pStyle w:val="TableContents"/>
              <w:spacing w:before="0" w:after="283"/>
              <w:jc w:val="center"/>
              <w:rPr/>
            </w:pPr>
            <w:r>
              <w:rPr/>
              <w:t>4.50%</w:t>
            </w:r>
          </w:p>
        </w:tc>
        <w:tc>
          <w:tcPr>
            <w:tcW w:w="61" w:type="dxa"/>
            <w:tcBorders/>
            <w:shd w:fill="CCEEFF" w:val="clear"/>
            <w:vAlign w:val="bottom"/>
          </w:tcPr>
          <w:p>
            <w:pPr>
              <w:pStyle w:val="TableContents"/>
              <w:spacing w:before="0" w:after="283"/>
              <w:rPr/>
            </w:pPr>
            <w:r>
              <w:rPr/>
              <w:t> </w:t>
            </w:r>
          </w:p>
        </w:tc>
        <w:tc>
          <w:tcPr>
            <w:tcW w:w="1040" w:type="dxa"/>
            <w:tcBorders/>
            <w:shd w:fill="CCEEFF" w:val="clear"/>
            <w:vAlign w:val="bottom"/>
          </w:tcPr>
          <w:p>
            <w:pPr>
              <w:pStyle w:val="TableContents"/>
              <w:spacing w:before="0" w:after="283"/>
              <w:jc w:val="center"/>
              <w:rPr/>
            </w:pPr>
            <w:r>
              <w:rPr/>
              <w:t>L + 1.99%</w:t>
            </w:r>
          </w:p>
        </w:tc>
        <w:tc>
          <w:tcPr>
            <w:tcW w:w="61"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391" w:type="dxa"/>
            <w:tcBorders/>
            <w:shd w:fill="CCEEFF" w:val="clear"/>
            <w:vAlign w:val="bottom"/>
          </w:tcPr>
          <w:p>
            <w:pPr>
              <w:pStyle w:val="TableContents"/>
              <w:spacing w:before="0" w:after="283"/>
              <w:jc w:val="right"/>
              <w:rPr/>
            </w:pPr>
            <w:r>
              <w:rPr/>
              <w:t>1/22/2023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800" w:type="dxa"/>
            <w:tcBorders/>
            <w:shd w:fill="CCEEFF" w:val="clear"/>
            <w:vAlign w:val="bottom"/>
          </w:tcPr>
          <w:p>
            <w:pPr>
              <w:pStyle w:val="TableContents"/>
              <w:spacing w:before="0" w:after="283"/>
              <w:jc w:val="right"/>
              <w:rPr/>
            </w:pPr>
            <w:r>
              <w:rPr/>
              <w:t>150,000</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755" w:type="dxa"/>
            <w:tcBorders/>
            <w:shd w:fill="CCEEFF" w:val="clear"/>
            <w:vAlign w:val="bottom"/>
          </w:tcPr>
          <w:p>
            <w:pPr>
              <w:pStyle w:val="TableContents"/>
              <w:spacing w:before="0" w:after="283"/>
              <w:jc w:val="right"/>
              <w:rPr/>
            </w:pPr>
            <w:r>
              <w:rPr/>
              <w:t>(668</w:t>
            </w:r>
          </w:p>
        </w:tc>
        <w:tc>
          <w:tcPr>
            <w:tcW w:w="155"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w:t>
            </w:r>
          </w:p>
        </w:tc>
        <w:tc>
          <w:tcPr>
            <w:tcW w:w="10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w:t>
            </w:r>
          </w:p>
        </w:tc>
        <w:tc>
          <w:tcPr>
            <w:tcW w:w="1284" w:type="dxa"/>
            <w:tcBorders/>
            <w:shd w:fill="CCEEFF" w:val="clear"/>
            <w:vAlign w:val="bottom"/>
          </w:tcPr>
          <w:p>
            <w:pPr>
              <w:pStyle w:val="TableContents"/>
              <w:spacing w:before="0" w:after="283"/>
              <w:jc w:val="right"/>
              <w:rPr/>
            </w:pPr>
            <w:r>
              <w:rPr/>
              <w:t>(3,729</w:t>
            </w:r>
          </w:p>
        </w:tc>
        <w:tc>
          <w:tcPr>
            <w:tcW w:w="163" w:type="dxa"/>
            <w:tcBorders/>
            <w:shd w:fill="CCEEFF" w:val="clear"/>
            <w:vAlign w:val="bottom"/>
          </w:tcPr>
          <w:p>
            <w:pPr>
              <w:pStyle w:val="TableContents"/>
              <w:spacing w:before="0" w:after="283"/>
              <w:rPr/>
            </w:pPr>
            <w:r>
              <w:rPr/>
              <w:t>) </w:t>
            </w:r>
          </w:p>
        </w:tc>
      </w:tr>
      <w:tr>
        <w:trPr/>
        <w:tc>
          <w:tcPr>
            <w:tcW w:w="1031" w:type="dxa"/>
            <w:tcBorders/>
            <w:shd w:fill="auto" w:val="clear"/>
          </w:tcPr>
          <w:p>
            <w:pPr>
              <w:pStyle w:val="TableContents"/>
              <w:spacing w:before="0" w:after="0"/>
              <w:rPr>
                <w:rFonts w:ascii="Times New Roman" w:hAnsi="Times New Roman"/>
                <w:sz w:val="20"/>
              </w:rPr>
            </w:pPr>
            <w:r>
              <w:rPr>
                <w:rFonts w:ascii="Times New Roman" w:hAnsi="Times New Roman"/>
                <w:sz w:val="20"/>
              </w:rPr>
              <w:t>Interest rate swap(a)(e)</w:t>
            </w:r>
          </w:p>
        </w:tc>
        <w:tc>
          <w:tcPr>
            <w:tcW w:w="61" w:type="dxa"/>
            <w:tcBorders/>
            <w:shd w:fill="auto" w:val="clear"/>
            <w:vAlign w:val="bottom"/>
          </w:tcPr>
          <w:p>
            <w:pPr>
              <w:pStyle w:val="TableContents"/>
              <w:spacing w:before="0" w:after="283"/>
              <w:rPr/>
            </w:pPr>
            <w:r>
              <w:rPr/>
              <w:t> </w:t>
            </w:r>
          </w:p>
        </w:tc>
        <w:tc>
          <w:tcPr>
            <w:tcW w:w="1040" w:type="dxa"/>
            <w:tcBorders/>
            <w:shd w:fill="auto" w:val="clear"/>
            <w:vAlign w:val="bottom"/>
          </w:tcPr>
          <w:p>
            <w:pPr>
              <w:pStyle w:val="TableContents"/>
              <w:spacing w:before="0" w:after="283"/>
              <w:jc w:val="center"/>
              <w:rPr/>
            </w:pPr>
            <w:r>
              <w:rPr/>
              <w:t>L + 2.28%</w:t>
            </w:r>
          </w:p>
        </w:tc>
        <w:tc>
          <w:tcPr>
            <w:tcW w:w="61" w:type="dxa"/>
            <w:tcBorders/>
            <w:shd w:fill="auto" w:val="clear"/>
            <w:vAlign w:val="bottom"/>
          </w:tcPr>
          <w:p>
            <w:pPr>
              <w:pStyle w:val="TableContents"/>
              <w:spacing w:before="0" w:after="283"/>
              <w:rPr/>
            </w:pPr>
            <w:r>
              <w:rPr/>
              <w:t> </w:t>
            </w:r>
          </w:p>
        </w:tc>
        <w:tc>
          <w:tcPr>
            <w:tcW w:w="1040" w:type="dxa"/>
            <w:tcBorders/>
            <w:shd w:fill="auto" w:val="clear"/>
            <w:vAlign w:val="bottom"/>
          </w:tcPr>
          <w:p>
            <w:pPr>
              <w:pStyle w:val="TableContents"/>
              <w:spacing w:before="0" w:after="283"/>
              <w:jc w:val="center"/>
              <w:rPr/>
            </w:pPr>
            <w:r>
              <w:rPr/>
              <w:t>3.875%</w:t>
            </w:r>
          </w:p>
        </w:tc>
        <w:tc>
          <w:tcPr>
            <w:tcW w:w="61"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391" w:type="dxa"/>
            <w:tcBorders/>
            <w:shd w:fill="auto" w:val="clear"/>
            <w:vAlign w:val="bottom"/>
          </w:tcPr>
          <w:p>
            <w:pPr>
              <w:pStyle w:val="TableContents"/>
              <w:spacing w:before="0" w:after="283"/>
              <w:jc w:val="right"/>
              <w:rPr/>
            </w:pPr>
            <w:r>
              <w:rPr/>
              <w:t>11/1/2024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2,500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284" w:type="dxa"/>
            <w:tcBorders/>
            <w:shd w:fill="auto" w:val="clear"/>
            <w:vAlign w:val="bottom"/>
          </w:tcPr>
          <w:p>
            <w:pPr>
              <w:pStyle w:val="TableContents"/>
              <w:spacing w:before="0" w:after="283"/>
              <w:jc w:val="right"/>
              <w:rPr/>
            </w:pPr>
            <w:r>
              <w:rPr/>
              <w:t>  </w:t>
            </w:r>
          </w:p>
        </w:tc>
        <w:tc>
          <w:tcPr>
            <w:tcW w:w="163" w:type="dxa"/>
            <w:tcBorders/>
            <w:shd w:fill="auto" w:val="clear"/>
            <w:vAlign w:val="bottom"/>
          </w:tcPr>
          <w:p>
            <w:pPr>
              <w:pStyle w:val="TableContents"/>
              <w:spacing w:before="0" w:after="283"/>
              <w:rPr/>
            </w:pPr>
            <w:r>
              <w:rPr/>
              <w:t> </w:t>
            </w:r>
          </w:p>
        </w:tc>
      </w:tr>
      <w:tr>
        <w:trPr/>
        <w:tc>
          <w:tcPr>
            <w:tcW w:w="1031" w:type="dxa"/>
            <w:tcBorders/>
            <w:shd w:fill="CCEEFF" w:val="clear"/>
          </w:tcPr>
          <w:p>
            <w:pPr>
              <w:pStyle w:val="TableContents"/>
              <w:spacing w:before="0" w:after="0"/>
              <w:rPr>
                <w:rFonts w:ascii="Times New Roman" w:hAnsi="Times New Roman"/>
                <w:sz w:val="20"/>
              </w:rPr>
            </w:pPr>
            <w:r>
              <w:rPr>
                <w:rFonts w:ascii="Times New Roman" w:hAnsi="Times New Roman"/>
                <w:sz w:val="20"/>
              </w:rPr>
              <w:t>Interest rate swap(a)(b)</w:t>
            </w:r>
          </w:p>
        </w:tc>
        <w:tc>
          <w:tcPr>
            <w:tcW w:w="61" w:type="dxa"/>
            <w:tcBorders/>
            <w:shd w:fill="CCEEFF" w:val="clear"/>
            <w:vAlign w:val="bottom"/>
          </w:tcPr>
          <w:p>
            <w:pPr>
              <w:pStyle w:val="TableContents"/>
              <w:spacing w:before="0" w:after="283"/>
              <w:rPr/>
            </w:pPr>
            <w:r>
              <w:rPr/>
              <w:t> </w:t>
            </w:r>
          </w:p>
        </w:tc>
        <w:tc>
          <w:tcPr>
            <w:tcW w:w="1040" w:type="dxa"/>
            <w:tcBorders/>
            <w:shd w:fill="CCEEFF" w:val="clear"/>
            <w:vAlign w:val="bottom"/>
          </w:tcPr>
          <w:p>
            <w:pPr>
              <w:pStyle w:val="TableContents"/>
              <w:spacing w:before="0" w:after="283"/>
              <w:jc w:val="center"/>
              <w:rPr/>
            </w:pPr>
            <w:r>
              <w:rPr/>
              <w:t>4.50%</w:t>
            </w:r>
          </w:p>
        </w:tc>
        <w:tc>
          <w:tcPr>
            <w:tcW w:w="61" w:type="dxa"/>
            <w:tcBorders/>
            <w:shd w:fill="CCEEFF" w:val="clear"/>
            <w:vAlign w:val="bottom"/>
          </w:tcPr>
          <w:p>
            <w:pPr>
              <w:pStyle w:val="TableContents"/>
              <w:spacing w:before="0" w:after="283"/>
              <w:rPr/>
            </w:pPr>
            <w:r>
              <w:rPr/>
              <w:t> </w:t>
            </w:r>
          </w:p>
        </w:tc>
        <w:tc>
          <w:tcPr>
            <w:tcW w:w="1040" w:type="dxa"/>
            <w:tcBorders/>
            <w:shd w:fill="CCEEFF" w:val="clear"/>
            <w:vAlign w:val="bottom"/>
          </w:tcPr>
          <w:p>
            <w:pPr>
              <w:pStyle w:val="TableContents"/>
              <w:spacing w:before="0" w:after="283"/>
              <w:jc w:val="center"/>
              <w:rPr/>
            </w:pPr>
            <w:r>
              <w:rPr/>
              <w:t>L + 2.37%</w:t>
            </w:r>
          </w:p>
        </w:tc>
        <w:tc>
          <w:tcPr>
            <w:tcW w:w="61"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391" w:type="dxa"/>
            <w:tcBorders/>
            <w:shd w:fill="CCEEFF" w:val="clear"/>
            <w:vAlign w:val="bottom"/>
          </w:tcPr>
          <w:p>
            <w:pPr>
              <w:pStyle w:val="TableContents"/>
              <w:spacing w:before="0" w:after="283"/>
              <w:jc w:val="right"/>
              <w:rPr/>
            </w:pPr>
            <w:r>
              <w:rPr/>
              <w:t>8/1/2022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284" w:type="dxa"/>
            <w:tcBorders/>
            <w:shd w:fill="CCEEFF" w:val="clear"/>
            <w:vAlign w:val="bottom"/>
          </w:tcPr>
          <w:p>
            <w:pPr>
              <w:pStyle w:val="TableContents"/>
              <w:spacing w:before="0" w:after="283"/>
              <w:jc w:val="right"/>
              <w:rPr/>
            </w:pPr>
            <w:r>
              <w:rPr/>
              <w:t>(1,192</w:t>
            </w:r>
          </w:p>
        </w:tc>
        <w:tc>
          <w:tcPr>
            <w:tcW w:w="163" w:type="dxa"/>
            <w:tcBorders/>
            <w:shd w:fill="CCEEFF" w:val="clear"/>
            <w:vAlign w:val="bottom"/>
          </w:tcPr>
          <w:p>
            <w:pPr>
              <w:pStyle w:val="TableContents"/>
              <w:spacing w:before="0" w:after="283"/>
              <w:rPr/>
            </w:pPr>
            <w:r>
              <w:rPr/>
              <w:t>) </w:t>
            </w:r>
          </w:p>
        </w:tc>
      </w:tr>
      <w:tr>
        <w:trPr/>
        <w:tc>
          <w:tcPr>
            <w:tcW w:w="1031" w:type="dxa"/>
            <w:tcBorders/>
            <w:shd w:fill="auto" w:val="clear"/>
          </w:tcPr>
          <w:p>
            <w:pPr>
              <w:pStyle w:val="TableContents"/>
              <w:spacing w:before="0" w:after="0"/>
              <w:rPr>
                <w:rFonts w:ascii="Times New Roman" w:hAnsi="Times New Roman"/>
                <w:sz w:val="20"/>
              </w:rPr>
            </w:pPr>
            <w:r>
              <w:rPr>
                <w:rFonts w:ascii="Times New Roman" w:hAnsi="Times New Roman"/>
                <w:sz w:val="20"/>
              </w:rPr>
              <w:t>Interest rate swap(a)(b)</w:t>
            </w:r>
          </w:p>
        </w:tc>
        <w:tc>
          <w:tcPr>
            <w:tcW w:w="61" w:type="dxa"/>
            <w:tcBorders/>
            <w:shd w:fill="auto" w:val="clear"/>
            <w:vAlign w:val="bottom"/>
          </w:tcPr>
          <w:p>
            <w:pPr>
              <w:pStyle w:val="TableContents"/>
              <w:spacing w:before="0" w:after="283"/>
              <w:rPr/>
            </w:pPr>
            <w:r>
              <w:rPr/>
              <w:t> </w:t>
            </w:r>
          </w:p>
        </w:tc>
        <w:tc>
          <w:tcPr>
            <w:tcW w:w="1040" w:type="dxa"/>
            <w:tcBorders/>
            <w:shd w:fill="auto" w:val="clear"/>
            <w:vAlign w:val="bottom"/>
          </w:tcPr>
          <w:p>
            <w:pPr>
              <w:pStyle w:val="TableContents"/>
              <w:spacing w:before="0" w:after="283"/>
              <w:jc w:val="center"/>
              <w:rPr/>
            </w:pPr>
            <w:r>
              <w:rPr/>
              <w:t>4.50%</w:t>
            </w:r>
          </w:p>
        </w:tc>
        <w:tc>
          <w:tcPr>
            <w:tcW w:w="61" w:type="dxa"/>
            <w:tcBorders/>
            <w:shd w:fill="auto" w:val="clear"/>
            <w:vAlign w:val="bottom"/>
          </w:tcPr>
          <w:p>
            <w:pPr>
              <w:pStyle w:val="TableContents"/>
              <w:spacing w:before="0" w:after="283"/>
              <w:rPr/>
            </w:pPr>
            <w:r>
              <w:rPr/>
              <w:t> </w:t>
            </w:r>
          </w:p>
        </w:tc>
        <w:tc>
          <w:tcPr>
            <w:tcW w:w="1040" w:type="dxa"/>
            <w:tcBorders/>
            <w:shd w:fill="auto" w:val="clear"/>
            <w:vAlign w:val="bottom"/>
          </w:tcPr>
          <w:p>
            <w:pPr>
              <w:pStyle w:val="TableContents"/>
              <w:spacing w:before="0" w:after="283"/>
              <w:jc w:val="center"/>
              <w:rPr/>
            </w:pPr>
            <w:r>
              <w:rPr/>
              <w:t>L + 1.59%</w:t>
            </w:r>
          </w:p>
        </w:tc>
        <w:tc>
          <w:tcPr>
            <w:tcW w:w="61"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391" w:type="dxa"/>
            <w:tcBorders/>
            <w:shd w:fill="auto" w:val="clear"/>
            <w:vAlign w:val="bottom"/>
          </w:tcPr>
          <w:p>
            <w:pPr>
              <w:pStyle w:val="TableContents"/>
              <w:spacing w:before="0" w:after="283"/>
              <w:jc w:val="right"/>
              <w:rPr/>
            </w:pPr>
            <w:r>
              <w:rPr/>
              <w:t>8/1/2022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284" w:type="dxa"/>
            <w:tcBorders/>
            <w:shd w:fill="auto" w:val="clear"/>
            <w:vAlign w:val="bottom"/>
          </w:tcPr>
          <w:p>
            <w:pPr>
              <w:pStyle w:val="TableContents"/>
              <w:spacing w:before="0" w:after="283"/>
              <w:jc w:val="right"/>
              <w:rPr/>
            </w:pPr>
            <w:r>
              <w:rPr/>
              <w:t>(751</w:t>
            </w:r>
          </w:p>
        </w:tc>
        <w:tc>
          <w:tcPr>
            <w:tcW w:w="163" w:type="dxa"/>
            <w:tcBorders/>
            <w:shd w:fill="auto" w:val="clear"/>
            <w:vAlign w:val="bottom"/>
          </w:tcPr>
          <w:p>
            <w:pPr>
              <w:pStyle w:val="TableContents"/>
              <w:spacing w:before="0" w:after="283"/>
              <w:rPr/>
            </w:pPr>
            <w:r>
              <w:rPr/>
              <w:t>) </w:t>
            </w:r>
          </w:p>
        </w:tc>
      </w:tr>
      <w:tr>
        <w:trPr/>
        <w:tc>
          <w:tcPr>
            <w:tcW w:w="1031" w:type="dxa"/>
            <w:tcBorders/>
            <w:shd w:fill="CCEEFF" w:val="clear"/>
          </w:tcPr>
          <w:p>
            <w:pPr>
              <w:pStyle w:val="TableContents"/>
              <w:spacing w:before="0" w:after="0"/>
              <w:rPr>
                <w:rFonts w:ascii="Times New Roman" w:hAnsi="Times New Roman"/>
                <w:sz w:val="20"/>
              </w:rPr>
            </w:pPr>
            <w:r>
              <w:rPr>
                <w:rFonts w:ascii="Times New Roman" w:hAnsi="Times New Roman"/>
                <w:sz w:val="20"/>
              </w:rPr>
              <w:t>Interest rate swap(a)(b)</w:t>
            </w:r>
          </w:p>
        </w:tc>
        <w:tc>
          <w:tcPr>
            <w:tcW w:w="61" w:type="dxa"/>
            <w:tcBorders/>
            <w:shd w:fill="CCEEFF" w:val="clear"/>
            <w:vAlign w:val="bottom"/>
          </w:tcPr>
          <w:p>
            <w:pPr>
              <w:pStyle w:val="TableContents"/>
              <w:spacing w:before="0" w:after="283"/>
              <w:rPr/>
            </w:pPr>
            <w:r>
              <w:rPr/>
              <w:t> </w:t>
            </w:r>
          </w:p>
        </w:tc>
        <w:tc>
          <w:tcPr>
            <w:tcW w:w="1040" w:type="dxa"/>
            <w:tcBorders/>
            <w:shd w:fill="CCEEFF" w:val="clear"/>
            <w:vAlign w:val="bottom"/>
          </w:tcPr>
          <w:p>
            <w:pPr>
              <w:pStyle w:val="TableContents"/>
              <w:spacing w:before="0" w:after="283"/>
              <w:jc w:val="center"/>
              <w:rPr/>
            </w:pPr>
            <w:r>
              <w:rPr/>
              <w:t>4.50%</w:t>
            </w:r>
          </w:p>
        </w:tc>
        <w:tc>
          <w:tcPr>
            <w:tcW w:w="61" w:type="dxa"/>
            <w:tcBorders/>
            <w:shd w:fill="CCEEFF" w:val="clear"/>
            <w:vAlign w:val="bottom"/>
          </w:tcPr>
          <w:p>
            <w:pPr>
              <w:pStyle w:val="TableContents"/>
              <w:spacing w:before="0" w:after="283"/>
              <w:rPr/>
            </w:pPr>
            <w:r>
              <w:rPr/>
              <w:t> </w:t>
            </w:r>
          </w:p>
        </w:tc>
        <w:tc>
          <w:tcPr>
            <w:tcW w:w="1040" w:type="dxa"/>
            <w:tcBorders/>
            <w:shd w:fill="CCEEFF" w:val="clear"/>
            <w:vAlign w:val="bottom"/>
          </w:tcPr>
          <w:p>
            <w:pPr>
              <w:pStyle w:val="TableContents"/>
              <w:spacing w:before="0" w:after="283"/>
              <w:jc w:val="center"/>
              <w:rPr/>
            </w:pPr>
            <w:r>
              <w:rPr/>
              <w:t>L + 1.60%</w:t>
            </w:r>
          </w:p>
        </w:tc>
        <w:tc>
          <w:tcPr>
            <w:tcW w:w="61"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391" w:type="dxa"/>
            <w:tcBorders/>
            <w:shd w:fill="CCEEFF" w:val="clear"/>
            <w:vAlign w:val="bottom"/>
          </w:tcPr>
          <w:p>
            <w:pPr>
              <w:pStyle w:val="TableContents"/>
              <w:spacing w:before="0" w:after="283"/>
              <w:jc w:val="right"/>
              <w:rPr/>
            </w:pPr>
            <w:r>
              <w:rPr/>
              <w:t>8/1/2022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284" w:type="dxa"/>
            <w:tcBorders/>
            <w:shd w:fill="CCEEFF" w:val="clear"/>
            <w:vAlign w:val="bottom"/>
          </w:tcPr>
          <w:p>
            <w:pPr>
              <w:pStyle w:val="TableContents"/>
              <w:spacing w:before="0" w:after="283"/>
              <w:jc w:val="right"/>
              <w:rPr/>
            </w:pPr>
            <w:r>
              <w:rPr/>
              <w:t>(112</w:t>
            </w:r>
          </w:p>
        </w:tc>
        <w:tc>
          <w:tcPr>
            <w:tcW w:w="163" w:type="dxa"/>
            <w:tcBorders/>
            <w:shd w:fill="CCEEFF" w:val="clear"/>
            <w:vAlign w:val="bottom"/>
          </w:tcPr>
          <w:p>
            <w:pPr>
              <w:pStyle w:val="TableContents"/>
              <w:spacing w:before="0" w:after="283"/>
              <w:rPr/>
            </w:pPr>
            <w:r>
              <w:rPr/>
              <w:t>) </w:t>
            </w:r>
          </w:p>
        </w:tc>
      </w:tr>
      <w:tr>
        <w:trPr/>
        <w:tc>
          <w:tcPr>
            <w:tcW w:w="1031" w:type="dxa"/>
            <w:tcBorders/>
            <w:shd w:fill="auto" w:val="clear"/>
          </w:tcPr>
          <w:p>
            <w:pPr>
              <w:pStyle w:val="TableContents"/>
              <w:spacing w:before="0" w:after="0"/>
              <w:rPr>
                <w:rFonts w:ascii="Times New Roman" w:hAnsi="Times New Roman"/>
                <w:sz w:val="20"/>
              </w:rPr>
            </w:pPr>
            <w:r>
              <w:rPr>
                <w:rFonts w:ascii="Times New Roman" w:hAnsi="Times New Roman"/>
                <w:sz w:val="20"/>
              </w:rPr>
              <w:t>Interest rate swap(a)(b)</w:t>
            </w:r>
          </w:p>
        </w:tc>
        <w:tc>
          <w:tcPr>
            <w:tcW w:w="61" w:type="dxa"/>
            <w:tcBorders/>
            <w:shd w:fill="auto" w:val="clear"/>
            <w:vAlign w:val="bottom"/>
          </w:tcPr>
          <w:p>
            <w:pPr>
              <w:pStyle w:val="TableContents"/>
              <w:spacing w:before="0" w:after="283"/>
              <w:rPr/>
            </w:pPr>
            <w:r>
              <w:rPr/>
              <w:t> </w:t>
            </w:r>
          </w:p>
        </w:tc>
        <w:tc>
          <w:tcPr>
            <w:tcW w:w="1040" w:type="dxa"/>
            <w:tcBorders/>
            <w:shd w:fill="auto" w:val="clear"/>
            <w:vAlign w:val="bottom"/>
          </w:tcPr>
          <w:p>
            <w:pPr>
              <w:pStyle w:val="TableContents"/>
              <w:spacing w:before="0" w:after="283"/>
              <w:jc w:val="center"/>
              <w:rPr/>
            </w:pPr>
            <w:r>
              <w:rPr/>
              <w:t>L + 2.11%</w:t>
            </w:r>
          </w:p>
        </w:tc>
        <w:tc>
          <w:tcPr>
            <w:tcW w:w="61" w:type="dxa"/>
            <w:tcBorders/>
            <w:shd w:fill="auto" w:val="clear"/>
            <w:vAlign w:val="bottom"/>
          </w:tcPr>
          <w:p>
            <w:pPr>
              <w:pStyle w:val="TableContents"/>
              <w:spacing w:before="0" w:after="283"/>
              <w:rPr/>
            </w:pPr>
            <w:r>
              <w:rPr/>
              <w:t> </w:t>
            </w:r>
          </w:p>
        </w:tc>
        <w:tc>
          <w:tcPr>
            <w:tcW w:w="1040" w:type="dxa"/>
            <w:tcBorders/>
            <w:shd w:fill="auto" w:val="clear"/>
            <w:vAlign w:val="bottom"/>
          </w:tcPr>
          <w:p>
            <w:pPr>
              <w:pStyle w:val="TableContents"/>
              <w:spacing w:before="0" w:after="283"/>
              <w:jc w:val="center"/>
              <w:rPr/>
            </w:pPr>
            <w:r>
              <w:rPr/>
              <w:t>4.50%</w:t>
            </w:r>
          </w:p>
        </w:tc>
        <w:tc>
          <w:tcPr>
            <w:tcW w:w="61"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391" w:type="dxa"/>
            <w:tcBorders/>
            <w:shd w:fill="auto" w:val="clear"/>
            <w:vAlign w:val="bottom"/>
          </w:tcPr>
          <w:p>
            <w:pPr>
              <w:pStyle w:val="TableContents"/>
              <w:spacing w:before="0" w:after="283"/>
              <w:jc w:val="right"/>
              <w:rPr/>
            </w:pPr>
            <w:r>
              <w:rPr/>
              <w:t>8/1/2022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1,252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284" w:type="dxa"/>
            <w:tcBorders/>
            <w:shd w:fill="auto" w:val="clear"/>
            <w:vAlign w:val="bottom"/>
          </w:tcPr>
          <w:p>
            <w:pPr>
              <w:pStyle w:val="TableContents"/>
              <w:spacing w:before="0" w:after="283"/>
              <w:jc w:val="right"/>
              <w:rPr/>
            </w:pPr>
            <w:r>
              <w:rPr/>
              <w:t>(923</w:t>
            </w:r>
          </w:p>
        </w:tc>
        <w:tc>
          <w:tcPr>
            <w:tcW w:w="163" w:type="dxa"/>
            <w:tcBorders/>
            <w:shd w:fill="auto" w:val="clear"/>
            <w:vAlign w:val="bottom"/>
          </w:tcPr>
          <w:p>
            <w:pPr>
              <w:pStyle w:val="TableContents"/>
              <w:spacing w:before="0" w:after="283"/>
              <w:rPr/>
            </w:pPr>
            <w:r>
              <w:rPr/>
              <w:t>) </w:t>
            </w:r>
          </w:p>
        </w:tc>
      </w:tr>
      <w:tr>
        <w:trPr/>
        <w:tc>
          <w:tcPr>
            <w:tcW w:w="1031" w:type="dxa"/>
            <w:tcBorders/>
            <w:shd w:fill="CCEEFF" w:val="clear"/>
          </w:tcPr>
          <w:p>
            <w:pPr>
              <w:pStyle w:val="TableContents"/>
              <w:spacing w:before="0" w:after="0"/>
              <w:rPr>
                <w:rFonts w:ascii="Times New Roman" w:hAnsi="Times New Roman"/>
                <w:sz w:val="20"/>
              </w:rPr>
            </w:pPr>
            <w:r>
              <w:rPr>
                <w:rFonts w:ascii="Times New Roman" w:hAnsi="Times New Roman"/>
                <w:sz w:val="20"/>
              </w:rPr>
              <w:t>Interest rate swap(a)(b)</w:t>
            </w:r>
          </w:p>
        </w:tc>
        <w:tc>
          <w:tcPr>
            <w:tcW w:w="61" w:type="dxa"/>
            <w:tcBorders/>
            <w:shd w:fill="CCEEFF" w:val="clear"/>
            <w:vAlign w:val="bottom"/>
          </w:tcPr>
          <w:p>
            <w:pPr>
              <w:pStyle w:val="TableContents"/>
              <w:spacing w:before="0" w:after="283"/>
              <w:rPr/>
            </w:pPr>
            <w:r>
              <w:rPr/>
              <w:t> </w:t>
            </w:r>
          </w:p>
        </w:tc>
        <w:tc>
          <w:tcPr>
            <w:tcW w:w="1040" w:type="dxa"/>
            <w:tcBorders/>
            <w:shd w:fill="CCEEFF" w:val="clear"/>
            <w:vAlign w:val="bottom"/>
          </w:tcPr>
          <w:p>
            <w:pPr>
              <w:pStyle w:val="TableContents"/>
              <w:spacing w:before="0" w:after="283"/>
              <w:jc w:val="center"/>
              <w:rPr/>
            </w:pPr>
            <w:r>
              <w:rPr/>
              <w:t>L + 2.11%</w:t>
            </w:r>
          </w:p>
        </w:tc>
        <w:tc>
          <w:tcPr>
            <w:tcW w:w="61" w:type="dxa"/>
            <w:tcBorders/>
            <w:shd w:fill="CCEEFF" w:val="clear"/>
            <w:vAlign w:val="bottom"/>
          </w:tcPr>
          <w:p>
            <w:pPr>
              <w:pStyle w:val="TableContents"/>
              <w:spacing w:before="0" w:after="283"/>
              <w:rPr/>
            </w:pPr>
            <w:r>
              <w:rPr/>
              <w:t> </w:t>
            </w:r>
          </w:p>
        </w:tc>
        <w:tc>
          <w:tcPr>
            <w:tcW w:w="1040" w:type="dxa"/>
            <w:tcBorders/>
            <w:shd w:fill="CCEEFF" w:val="clear"/>
            <w:vAlign w:val="bottom"/>
          </w:tcPr>
          <w:p>
            <w:pPr>
              <w:pStyle w:val="TableContents"/>
              <w:spacing w:before="0" w:after="283"/>
              <w:jc w:val="center"/>
              <w:rPr/>
            </w:pPr>
            <w:r>
              <w:rPr/>
              <w:t>4.50%</w:t>
            </w:r>
          </w:p>
        </w:tc>
        <w:tc>
          <w:tcPr>
            <w:tcW w:w="61"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391" w:type="dxa"/>
            <w:tcBorders/>
            <w:shd w:fill="CCEEFF" w:val="clear"/>
            <w:vAlign w:val="bottom"/>
          </w:tcPr>
          <w:p>
            <w:pPr>
              <w:pStyle w:val="TableContents"/>
              <w:spacing w:before="0" w:after="283"/>
              <w:jc w:val="right"/>
              <w:rPr/>
            </w:pPr>
            <w:r>
              <w:rPr/>
              <w:t>8/1/2022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jc w:val="right"/>
              <w:rPr/>
            </w:pPr>
            <w:r>
              <w:rPr/>
              <w:t>96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284" w:type="dxa"/>
            <w:tcBorders/>
            <w:shd w:fill="CCEEFF" w:val="clear"/>
            <w:vAlign w:val="bottom"/>
          </w:tcPr>
          <w:p>
            <w:pPr>
              <w:pStyle w:val="TableContents"/>
              <w:spacing w:before="0" w:after="283"/>
              <w:jc w:val="right"/>
              <w:rPr/>
            </w:pPr>
            <w:r>
              <w:rPr/>
              <w:t>(70</w:t>
            </w:r>
          </w:p>
        </w:tc>
        <w:tc>
          <w:tcPr>
            <w:tcW w:w="163" w:type="dxa"/>
            <w:tcBorders/>
            <w:shd w:fill="CCEEFF" w:val="clear"/>
            <w:vAlign w:val="bottom"/>
          </w:tcPr>
          <w:p>
            <w:pPr>
              <w:pStyle w:val="TableContents"/>
              <w:spacing w:before="0" w:after="283"/>
              <w:rPr/>
            </w:pPr>
            <w:r>
              <w:rPr/>
              <w:t>) </w:t>
            </w:r>
          </w:p>
        </w:tc>
      </w:tr>
      <w:tr>
        <w:trPr/>
        <w:tc>
          <w:tcPr>
            <w:tcW w:w="1031" w:type="dxa"/>
            <w:tcBorders/>
            <w:shd w:fill="auto" w:val="clear"/>
          </w:tcPr>
          <w:p>
            <w:pPr>
              <w:pStyle w:val="TableContents"/>
              <w:spacing w:before="0" w:after="0"/>
              <w:rPr>
                <w:rFonts w:ascii="Times New Roman" w:hAnsi="Times New Roman"/>
                <w:sz w:val="20"/>
              </w:rPr>
            </w:pPr>
            <w:r>
              <w:rPr>
                <w:rFonts w:ascii="Times New Roman" w:hAnsi="Times New Roman"/>
                <w:sz w:val="20"/>
              </w:rPr>
              <w:t>Interest rate swap(a)(b)</w:t>
            </w:r>
          </w:p>
        </w:tc>
        <w:tc>
          <w:tcPr>
            <w:tcW w:w="61" w:type="dxa"/>
            <w:tcBorders/>
            <w:shd w:fill="auto" w:val="clear"/>
            <w:vAlign w:val="bottom"/>
          </w:tcPr>
          <w:p>
            <w:pPr>
              <w:pStyle w:val="TableContents"/>
              <w:spacing w:before="0" w:after="283"/>
              <w:rPr/>
            </w:pPr>
            <w:r>
              <w:rPr/>
              <w:t> </w:t>
            </w:r>
          </w:p>
        </w:tc>
        <w:tc>
          <w:tcPr>
            <w:tcW w:w="1040" w:type="dxa"/>
            <w:tcBorders/>
            <w:shd w:fill="auto" w:val="clear"/>
            <w:vAlign w:val="bottom"/>
          </w:tcPr>
          <w:p>
            <w:pPr>
              <w:pStyle w:val="TableContents"/>
              <w:spacing w:before="0" w:after="283"/>
              <w:jc w:val="center"/>
              <w:rPr/>
            </w:pPr>
            <w:r>
              <w:rPr/>
              <w:t>L + 2.11%</w:t>
            </w:r>
          </w:p>
        </w:tc>
        <w:tc>
          <w:tcPr>
            <w:tcW w:w="61" w:type="dxa"/>
            <w:tcBorders/>
            <w:shd w:fill="auto" w:val="clear"/>
            <w:vAlign w:val="bottom"/>
          </w:tcPr>
          <w:p>
            <w:pPr>
              <w:pStyle w:val="TableContents"/>
              <w:spacing w:before="0" w:after="283"/>
              <w:rPr/>
            </w:pPr>
            <w:r>
              <w:rPr/>
              <w:t> </w:t>
            </w:r>
          </w:p>
        </w:tc>
        <w:tc>
          <w:tcPr>
            <w:tcW w:w="1040" w:type="dxa"/>
            <w:tcBorders/>
            <w:shd w:fill="auto" w:val="clear"/>
            <w:vAlign w:val="bottom"/>
          </w:tcPr>
          <w:p>
            <w:pPr>
              <w:pStyle w:val="TableContents"/>
              <w:spacing w:before="0" w:after="283"/>
              <w:jc w:val="center"/>
              <w:rPr/>
            </w:pPr>
            <w:r>
              <w:rPr/>
              <w:t>4.50%</w:t>
            </w:r>
          </w:p>
        </w:tc>
        <w:tc>
          <w:tcPr>
            <w:tcW w:w="61"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391" w:type="dxa"/>
            <w:tcBorders/>
            <w:shd w:fill="auto" w:val="clear"/>
            <w:vAlign w:val="bottom"/>
          </w:tcPr>
          <w:p>
            <w:pPr>
              <w:pStyle w:val="TableContents"/>
              <w:spacing w:before="0" w:after="283"/>
              <w:jc w:val="right"/>
              <w:rPr/>
            </w:pPr>
            <w:r>
              <w:rPr/>
              <w:t>8/1/2022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  </w:t>
            </w:r>
          </w:p>
        </w:tc>
        <w:tc>
          <w:tcPr>
            <w:tcW w:w="155"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904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284" w:type="dxa"/>
            <w:tcBorders/>
            <w:shd w:fill="auto" w:val="clear"/>
            <w:vAlign w:val="bottom"/>
          </w:tcPr>
          <w:p>
            <w:pPr>
              <w:pStyle w:val="TableContents"/>
              <w:spacing w:before="0" w:after="283"/>
              <w:jc w:val="right"/>
              <w:rPr/>
            </w:pPr>
            <w:r>
              <w:rPr/>
              <w:t>(394</w:t>
            </w:r>
          </w:p>
        </w:tc>
        <w:tc>
          <w:tcPr>
            <w:tcW w:w="163" w:type="dxa"/>
            <w:tcBorders/>
            <w:shd w:fill="auto" w:val="clear"/>
            <w:vAlign w:val="bottom"/>
          </w:tcPr>
          <w:p>
            <w:pPr>
              <w:pStyle w:val="TableContents"/>
              <w:spacing w:before="0" w:after="283"/>
              <w:rPr/>
            </w:pPr>
            <w:r>
              <w:rPr/>
              <w:t>) </w:t>
            </w:r>
          </w:p>
        </w:tc>
      </w:tr>
      <w:tr>
        <w:trPr/>
        <w:tc>
          <w:tcPr>
            <w:tcW w:w="1031"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1040"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1040"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139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5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pBdr>
                <w:top w:val="single" w:sz="2" w:space="1" w:color="000000"/>
              </w:pBdr>
              <w:spacing w:before="0" w:after="0"/>
              <w:rPr/>
            </w:pPr>
            <w:r>
              <w:rPr/>
              <w:t> </w:t>
            </w:r>
          </w:p>
        </w:tc>
        <w:tc>
          <w:tcPr>
            <w:tcW w:w="102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pBdr>
                <w:top w:val="single" w:sz="2" w:space="1" w:color="000000"/>
              </w:pBdr>
              <w:spacing w:before="0" w:after="0"/>
              <w:rPr/>
            </w:pPr>
            <w:r>
              <w:rPr/>
              <w:t> </w:t>
            </w:r>
          </w:p>
        </w:tc>
        <w:tc>
          <w:tcPr>
            <w:tcW w:w="1284"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1031" w:type="dxa"/>
            <w:tcBorders/>
            <w:shd w:fill="CCEEFF" w:val="clear"/>
          </w:tcPr>
          <w:p>
            <w:pPr>
              <w:pStyle w:val="TableContents"/>
              <w:spacing w:before="0" w:after="0"/>
              <w:rPr>
                <w:rFonts w:ascii="Times New Roman" w:hAnsi="Times New Roman"/>
                <w:sz w:val="20"/>
              </w:rPr>
            </w:pPr>
            <w:r>
              <w:rPr>
                <w:rFonts w:ascii="Times New Roman" w:hAnsi="Times New Roman"/>
                <w:sz w:val="20"/>
              </w:rPr>
              <w:t>Interest rate swap(a)</w:t>
            </w:r>
          </w:p>
        </w:tc>
        <w:tc>
          <w:tcPr>
            <w:tcW w:w="61" w:type="dxa"/>
            <w:tcBorders/>
            <w:shd w:fill="CCEEFF" w:val="clear"/>
            <w:vAlign w:val="bottom"/>
          </w:tcPr>
          <w:p>
            <w:pPr>
              <w:pStyle w:val="TableContents"/>
              <w:spacing w:before="0" w:after="283"/>
              <w:rPr/>
            </w:pPr>
            <w:r>
              <w:rPr/>
              <w:t> </w:t>
            </w:r>
          </w:p>
        </w:tc>
        <w:tc>
          <w:tcPr>
            <w:tcW w:w="1040" w:type="dxa"/>
            <w:tcBorders/>
            <w:shd w:fill="CCEEFF" w:val="clear"/>
            <w:vAlign w:val="bottom"/>
          </w:tcPr>
          <w:p>
            <w:pPr>
              <w:pStyle w:val="TableContents"/>
              <w:spacing w:before="0" w:after="283"/>
              <w:jc w:val="center"/>
              <w:rPr/>
            </w:pPr>
            <w:r>
              <w:rPr/>
              <w:t>L</w:t>
            </w:r>
          </w:p>
        </w:tc>
        <w:tc>
          <w:tcPr>
            <w:tcW w:w="61" w:type="dxa"/>
            <w:tcBorders/>
            <w:shd w:fill="CCEEFF" w:val="clear"/>
            <w:vAlign w:val="bottom"/>
          </w:tcPr>
          <w:p>
            <w:pPr>
              <w:pStyle w:val="TableContents"/>
              <w:spacing w:before="0" w:after="283"/>
              <w:rPr/>
            </w:pPr>
            <w:r>
              <w:rPr/>
              <w:t> </w:t>
            </w:r>
          </w:p>
        </w:tc>
        <w:tc>
          <w:tcPr>
            <w:tcW w:w="1040" w:type="dxa"/>
            <w:tcBorders/>
            <w:shd w:fill="CCEEFF" w:val="clear"/>
            <w:vAlign w:val="bottom"/>
          </w:tcPr>
          <w:p>
            <w:pPr>
              <w:pStyle w:val="TableContents"/>
              <w:spacing w:before="0" w:after="283"/>
              <w:jc w:val="center"/>
              <w:rPr/>
            </w:pPr>
            <w:r>
              <w:rPr/>
              <w:t>0.16%</w:t>
            </w:r>
          </w:p>
        </w:tc>
        <w:tc>
          <w:tcPr>
            <w:tcW w:w="61"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391" w:type="dxa"/>
            <w:tcBorders/>
            <w:shd w:fill="CCEEFF" w:val="clear"/>
            <w:vAlign w:val="bottom"/>
          </w:tcPr>
          <w:p>
            <w:pPr>
              <w:pStyle w:val="TableContents"/>
              <w:spacing w:before="0" w:after="283"/>
              <w:jc w:val="right"/>
              <w:rPr/>
            </w:pPr>
            <w:r>
              <w:rPr/>
              <w:t>7/30/2022</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284" w:type="dxa"/>
            <w:tcBorders/>
            <w:shd w:fill="CCEEFF" w:val="clear"/>
            <w:vAlign w:val="bottom"/>
          </w:tcPr>
          <w:p>
            <w:pPr>
              <w:pStyle w:val="TableContents"/>
              <w:spacing w:before="0" w:after="283"/>
              <w:jc w:val="right"/>
              <w:rPr/>
            </w:pPr>
            <w:r>
              <w:rPr/>
              <w:t>(13</w:t>
            </w:r>
          </w:p>
        </w:tc>
        <w:tc>
          <w:tcPr>
            <w:tcW w:w="163" w:type="dxa"/>
            <w:tcBorders/>
            <w:shd w:fill="CCEEFF" w:val="clear"/>
            <w:vAlign w:val="bottom"/>
          </w:tcPr>
          <w:p>
            <w:pPr>
              <w:pStyle w:val="TableContents"/>
              <w:spacing w:before="0" w:after="283"/>
              <w:rPr/>
            </w:pPr>
            <w:r>
              <w:rPr/>
              <w:t>) </w:t>
            </w:r>
          </w:p>
        </w:tc>
      </w:tr>
      <w:tr>
        <w:trPr/>
        <w:tc>
          <w:tcPr>
            <w:tcW w:w="1031"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1040"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1040"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139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5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pBdr>
                <w:top w:val="single" w:sz="2" w:space="1" w:color="000000"/>
              </w:pBdr>
              <w:spacing w:before="0" w:after="0"/>
              <w:rPr/>
            </w:pPr>
            <w:r>
              <w:rPr/>
              <w:t> </w:t>
            </w:r>
          </w:p>
        </w:tc>
        <w:tc>
          <w:tcPr>
            <w:tcW w:w="102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pBdr>
                <w:top w:val="single" w:sz="2" w:space="1" w:color="000000"/>
              </w:pBdr>
              <w:spacing w:before="0" w:after="0"/>
              <w:rPr/>
            </w:pPr>
            <w:r>
              <w:rPr/>
              <w:t> </w:t>
            </w:r>
          </w:p>
        </w:tc>
        <w:tc>
          <w:tcPr>
            <w:tcW w:w="1284"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1031" w:type="dxa"/>
            <w:tcBorders/>
            <w:shd w:fill="auto" w:val="clear"/>
          </w:tcPr>
          <w:p>
            <w:pPr>
              <w:pStyle w:val="TableContents"/>
              <w:spacing w:before="0" w:after="0"/>
              <w:rPr>
                <w:rFonts w:ascii="Times New Roman" w:hAnsi="Times New Roman"/>
                <w:sz w:val="20"/>
              </w:rPr>
            </w:pPr>
            <w:r>
              <w:rPr>
                <w:rFonts w:ascii="Times New Roman" w:hAnsi="Times New Roman"/>
                <w:sz w:val="20"/>
              </w:rPr>
              <w:t>Total</w:t>
            </w:r>
          </w:p>
        </w:tc>
        <w:tc>
          <w:tcPr>
            <w:tcW w:w="61" w:type="dxa"/>
            <w:tcBorders/>
            <w:shd w:fill="auto" w:val="clear"/>
            <w:vAlign w:val="bottom"/>
          </w:tcPr>
          <w:p>
            <w:pPr>
              <w:pStyle w:val="TableContents"/>
              <w:spacing w:before="0" w:after="283"/>
              <w:rPr/>
            </w:pPr>
            <w:r>
              <w:rPr/>
              <w:t> </w:t>
            </w:r>
          </w:p>
        </w:tc>
        <w:tc>
          <w:tcPr>
            <w:tcW w:w="1040"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1040"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139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152,500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(668</w:t>
            </w:r>
          </w:p>
        </w:tc>
        <w:tc>
          <w:tcPr>
            <w:tcW w:w="155"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2,252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284" w:type="dxa"/>
            <w:tcBorders/>
            <w:shd w:fill="auto" w:val="clear"/>
            <w:vAlign w:val="bottom"/>
          </w:tcPr>
          <w:p>
            <w:pPr>
              <w:pStyle w:val="TableContents"/>
              <w:spacing w:before="0" w:after="283"/>
              <w:jc w:val="right"/>
              <w:rPr/>
            </w:pPr>
            <w:r>
              <w:rPr/>
              <w:t>(7,184</w:t>
            </w:r>
          </w:p>
        </w:tc>
        <w:tc>
          <w:tcPr>
            <w:tcW w:w="163" w:type="dxa"/>
            <w:tcBorders/>
            <w:shd w:fill="auto" w:val="clear"/>
            <w:vAlign w:val="bottom"/>
          </w:tcPr>
          <w:p>
            <w:pPr>
              <w:pStyle w:val="TableContents"/>
              <w:spacing w:before="0" w:after="283"/>
              <w:rPr/>
            </w:pPr>
            <w:r>
              <w:rPr/>
              <w:t>) </w:t>
            </w:r>
          </w:p>
        </w:tc>
      </w:tr>
      <w:tr>
        <w:trPr/>
        <w:tc>
          <w:tcPr>
            <w:tcW w:w="1031" w:type="dxa"/>
            <w:tcBorders/>
            <w:shd w:fill="CCEEFF" w:val="clear"/>
          </w:tcPr>
          <w:p>
            <w:pPr>
              <w:pStyle w:val="TableContents"/>
              <w:spacing w:before="0" w:after="0"/>
              <w:rPr/>
            </w:pPr>
            <w:r>
              <w:rPr/>
              <w:t> </w:t>
            </w:r>
          </w:p>
          <w:p>
            <w:pPr>
              <w:pStyle w:val="TableContents"/>
              <w:spacing w:before="0" w:after="20"/>
              <w:rPr>
                <w:rFonts w:ascii="Times New Roman" w:hAnsi="Times New Roman"/>
                <w:sz w:val="20"/>
              </w:rPr>
            </w:pPr>
            <w:r>
              <w:rPr>
                <w:rFonts w:ascii="Times New Roman" w:hAnsi="Times New Roman"/>
                <w:sz w:val="20"/>
              </w:rPr>
              <w:t>Interest rate swap(a)(c)(d)</w:t>
            </w:r>
          </w:p>
        </w:tc>
        <w:tc>
          <w:tcPr>
            <w:tcW w:w="61" w:type="dxa"/>
            <w:tcBorders/>
            <w:shd w:fill="CCEEFF" w:val="clear"/>
            <w:vAlign w:val="bottom"/>
          </w:tcPr>
          <w:p>
            <w:pPr>
              <w:pStyle w:val="TableContents"/>
              <w:spacing w:before="0" w:after="283"/>
              <w:rPr/>
            </w:pPr>
            <w:r>
              <w:rPr/>
              <w:t> </w:t>
            </w:r>
          </w:p>
        </w:tc>
        <w:tc>
          <w:tcPr>
            <w:tcW w:w="1040" w:type="dxa"/>
            <w:tcBorders/>
            <w:shd w:fill="CCEEFF" w:val="clear"/>
            <w:vAlign w:val="bottom"/>
          </w:tcPr>
          <w:p>
            <w:pPr>
              <w:pStyle w:val="TableContents"/>
              <w:spacing w:before="0" w:after="283"/>
              <w:jc w:val="center"/>
              <w:rPr/>
            </w:pPr>
            <w:r>
              <w:rPr/>
              <w:t>3.875%</w:t>
            </w:r>
          </w:p>
        </w:tc>
        <w:tc>
          <w:tcPr>
            <w:tcW w:w="61" w:type="dxa"/>
            <w:tcBorders/>
            <w:shd w:fill="CCEEFF" w:val="clear"/>
            <w:vAlign w:val="bottom"/>
          </w:tcPr>
          <w:p>
            <w:pPr>
              <w:pStyle w:val="TableContents"/>
              <w:spacing w:before="0" w:after="283"/>
              <w:rPr/>
            </w:pPr>
            <w:r>
              <w:rPr/>
              <w:t> </w:t>
            </w:r>
          </w:p>
        </w:tc>
        <w:tc>
          <w:tcPr>
            <w:tcW w:w="1040" w:type="dxa"/>
            <w:tcBorders/>
            <w:shd w:fill="CCEEFF" w:val="clear"/>
            <w:vAlign w:val="bottom"/>
          </w:tcPr>
          <w:p>
            <w:pPr>
              <w:pStyle w:val="TableContents"/>
              <w:spacing w:before="0" w:after="283"/>
              <w:jc w:val="center"/>
              <w:rPr/>
            </w:pPr>
            <w:r>
              <w:rPr/>
              <w:t>L + 2.25%</w:t>
            </w:r>
          </w:p>
        </w:tc>
        <w:tc>
          <w:tcPr>
            <w:tcW w:w="61"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391" w:type="dxa"/>
            <w:tcBorders/>
            <w:shd w:fill="CCEEFF" w:val="clear"/>
            <w:vAlign w:val="bottom"/>
          </w:tcPr>
          <w:p>
            <w:pPr>
              <w:pStyle w:val="TableContents"/>
              <w:spacing w:before="0" w:after="283"/>
              <w:jc w:val="right"/>
              <w:rPr/>
            </w:pPr>
            <w:r>
              <w:rPr/>
              <w:t>11/1/2024</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300,000</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pPr>
            <w:r>
              <w:rPr/>
              <w:t>(16,878</w:t>
            </w:r>
          </w:p>
        </w:tc>
        <w:tc>
          <w:tcPr>
            <w:tcW w:w="155"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284" w:type="dxa"/>
            <w:tcBorders/>
            <w:shd w:fill="CCEEFF" w:val="clear"/>
            <w:vAlign w:val="bottom"/>
          </w:tcPr>
          <w:p>
            <w:pPr>
              <w:pStyle w:val="TableContents"/>
              <w:spacing w:before="0" w:after="283"/>
              <w:jc w:val="right"/>
              <w:rPr/>
            </w:pPr>
            <w:r>
              <w:rPr/>
              <w:t>(20,874</w:t>
            </w:r>
          </w:p>
        </w:tc>
        <w:tc>
          <w:tcPr>
            <w:tcW w:w="163" w:type="dxa"/>
            <w:tcBorders/>
            <w:shd w:fill="CCEEFF" w:val="clear"/>
            <w:vAlign w:val="bottom"/>
          </w:tcPr>
          <w:p>
            <w:pPr>
              <w:pStyle w:val="TableContents"/>
              <w:spacing w:before="0" w:after="283"/>
              <w:rPr/>
            </w:pPr>
            <w:r>
              <w:rPr/>
              <w:t>) </w:t>
            </w:r>
          </w:p>
        </w:tc>
      </w:tr>
      <w:tr>
        <w:trPr/>
        <w:tc>
          <w:tcPr>
            <w:tcW w:w="1031" w:type="dxa"/>
            <w:tcBorders/>
            <w:shd w:fill="auto" w:val="clear"/>
          </w:tcPr>
          <w:p>
            <w:pPr>
              <w:pStyle w:val="TableContents"/>
              <w:spacing w:before="0" w:after="0"/>
              <w:rPr>
                <w:rFonts w:ascii="Times New Roman" w:hAnsi="Times New Roman"/>
                <w:sz w:val="20"/>
              </w:rPr>
            </w:pPr>
            <w:r>
              <w:rPr>
                <w:rFonts w:ascii="Times New Roman" w:hAnsi="Times New Roman"/>
                <w:sz w:val="20"/>
              </w:rPr>
              <w:t>Interest rate swap(a)(c)(d)</w:t>
            </w:r>
          </w:p>
        </w:tc>
        <w:tc>
          <w:tcPr>
            <w:tcW w:w="61" w:type="dxa"/>
            <w:tcBorders/>
            <w:shd w:fill="auto" w:val="clear"/>
            <w:vAlign w:val="bottom"/>
          </w:tcPr>
          <w:p>
            <w:pPr>
              <w:pStyle w:val="TableContents"/>
              <w:spacing w:before="0" w:after="283"/>
              <w:rPr/>
            </w:pPr>
            <w:r>
              <w:rPr/>
              <w:t> </w:t>
            </w:r>
          </w:p>
        </w:tc>
        <w:tc>
          <w:tcPr>
            <w:tcW w:w="1040" w:type="dxa"/>
            <w:tcBorders/>
            <w:shd w:fill="auto" w:val="clear"/>
            <w:vAlign w:val="bottom"/>
          </w:tcPr>
          <w:p>
            <w:pPr>
              <w:pStyle w:val="TableContents"/>
              <w:spacing w:before="0" w:after="283"/>
              <w:jc w:val="center"/>
              <w:rPr/>
            </w:pPr>
            <w:r>
              <w:rPr/>
              <w:t>3.875%</w:t>
            </w:r>
          </w:p>
        </w:tc>
        <w:tc>
          <w:tcPr>
            <w:tcW w:w="61" w:type="dxa"/>
            <w:tcBorders/>
            <w:shd w:fill="auto" w:val="clear"/>
            <w:vAlign w:val="bottom"/>
          </w:tcPr>
          <w:p>
            <w:pPr>
              <w:pStyle w:val="TableContents"/>
              <w:spacing w:before="0" w:after="283"/>
              <w:rPr/>
            </w:pPr>
            <w:r>
              <w:rPr/>
              <w:t> </w:t>
            </w:r>
          </w:p>
        </w:tc>
        <w:tc>
          <w:tcPr>
            <w:tcW w:w="1040" w:type="dxa"/>
            <w:tcBorders/>
            <w:shd w:fill="auto" w:val="clear"/>
            <w:vAlign w:val="bottom"/>
          </w:tcPr>
          <w:p>
            <w:pPr>
              <w:pStyle w:val="TableContents"/>
              <w:spacing w:before="0" w:after="283"/>
              <w:jc w:val="center"/>
              <w:rPr/>
            </w:pPr>
            <w:r>
              <w:rPr/>
              <w:t>L + 2.46%</w:t>
            </w:r>
          </w:p>
        </w:tc>
        <w:tc>
          <w:tcPr>
            <w:tcW w:w="61"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1391" w:type="dxa"/>
            <w:tcBorders/>
            <w:shd w:fill="auto" w:val="clear"/>
            <w:vAlign w:val="bottom"/>
          </w:tcPr>
          <w:p>
            <w:pPr>
              <w:pStyle w:val="TableContents"/>
              <w:spacing w:before="0" w:after="283"/>
              <w:jc w:val="right"/>
              <w:rPr/>
            </w:pPr>
            <w:r>
              <w:rPr/>
              <w:t>11/1/2024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50,000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(3,023</w:t>
            </w:r>
          </w:p>
        </w:tc>
        <w:tc>
          <w:tcPr>
            <w:tcW w:w="155"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284" w:type="dxa"/>
            <w:tcBorders/>
            <w:shd w:fill="auto" w:val="clear"/>
            <w:vAlign w:val="bottom"/>
          </w:tcPr>
          <w:p>
            <w:pPr>
              <w:pStyle w:val="TableContents"/>
              <w:spacing w:before="0" w:after="283"/>
              <w:jc w:val="right"/>
              <w:rPr/>
            </w:pPr>
            <w:r>
              <w:rPr/>
              <w:t>(3,400</w:t>
            </w:r>
          </w:p>
        </w:tc>
        <w:tc>
          <w:tcPr>
            <w:tcW w:w="163" w:type="dxa"/>
            <w:tcBorders/>
            <w:shd w:fill="auto" w:val="clear"/>
            <w:vAlign w:val="bottom"/>
          </w:tcPr>
          <w:p>
            <w:pPr>
              <w:pStyle w:val="TableContents"/>
              <w:spacing w:before="0" w:after="283"/>
              <w:rPr/>
            </w:pPr>
            <w:r>
              <w:rPr/>
              <w:t>) </w:t>
            </w:r>
          </w:p>
        </w:tc>
      </w:tr>
      <w:tr>
        <w:trPr/>
        <w:tc>
          <w:tcPr>
            <w:tcW w:w="1031" w:type="dxa"/>
            <w:tcBorders/>
            <w:shd w:fill="CCEEFF" w:val="clear"/>
          </w:tcPr>
          <w:p>
            <w:pPr>
              <w:pStyle w:val="TableContents"/>
              <w:spacing w:before="0" w:after="0"/>
              <w:rPr>
                <w:rFonts w:ascii="Times New Roman" w:hAnsi="Times New Roman"/>
                <w:sz w:val="20"/>
              </w:rPr>
            </w:pPr>
            <w:r>
              <w:rPr>
                <w:rFonts w:ascii="Times New Roman" w:hAnsi="Times New Roman"/>
                <w:sz w:val="20"/>
              </w:rPr>
              <w:t>Interest rate swap(a)(c)</w:t>
            </w:r>
          </w:p>
        </w:tc>
        <w:tc>
          <w:tcPr>
            <w:tcW w:w="61" w:type="dxa"/>
            <w:tcBorders/>
            <w:shd w:fill="CCEEFF" w:val="clear"/>
            <w:vAlign w:val="bottom"/>
          </w:tcPr>
          <w:p>
            <w:pPr>
              <w:pStyle w:val="TableContents"/>
              <w:spacing w:before="0" w:after="283"/>
              <w:rPr/>
            </w:pPr>
            <w:r>
              <w:rPr/>
              <w:t> </w:t>
            </w:r>
          </w:p>
        </w:tc>
        <w:tc>
          <w:tcPr>
            <w:tcW w:w="1040" w:type="dxa"/>
            <w:tcBorders/>
            <w:shd w:fill="CCEEFF" w:val="clear"/>
            <w:vAlign w:val="bottom"/>
          </w:tcPr>
          <w:p>
            <w:pPr>
              <w:pStyle w:val="TableContents"/>
              <w:spacing w:before="0" w:after="283"/>
              <w:jc w:val="center"/>
              <w:rPr/>
            </w:pPr>
            <w:r>
              <w:rPr/>
              <w:t>2.50%</w:t>
            </w:r>
          </w:p>
        </w:tc>
        <w:tc>
          <w:tcPr>
            <w:tcW w:w="61" w:type="dxa"/>
            <w:tcBorders/>
            <w:shd w:fill="CCEEFF" w:val="clear"/>
            <w:vAlign w:val="bottom"/>
          </w:tcPr>
          <w:p>
            <w:pPr>
              <w:pStyle w:val="TableContents"/>
              <w:spacing w:before="0" w:after="283"/>
              <w:rPr/>
            </w:pPr>
            <w:r>
              <w:rPr/>
              <w:t> </w:t>
            </w:r>
          </w:p>
        </w:tc>
        <w:tc>
          <w:tcPr>
            <w:tcW w:w="1040" w:type="dxa"/>
            <w:tcBorders/>
            <w:shd w:fill="CCEEFF" w:val="clear"/>
            <w:vAlign w:val="bottom"/>
          </w:tcPr>
          <w:p>
            <w:pPr>
              <w:pStyle w:val="TableContents"/>
              <w:spacing w:before="0" w:after="283"/>
              <w:jc w:val="center"/>
              <w:rPr/>
            </w:pPr>
            <w:r>
              <w:rPr/>
              <w:t>L + 1.91%</w:t>
            </w:r>
          </w:p>
        </w:tc>
        <w:tc>
          <w:tcPr>
            <w:tcW w:w="61"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1391" w:type="dxa"/>
            <w:tcBorders/>
            <w:shd w:fill="CCEEFF" w:val="clear"/>
            <w:vAlign w:val="bottom"/>
          </w:tcPr>
          <w:p>
            <w:pPr>
              <w:pStyle w:val="TableContents"/>
              <w:spacing w:before="0" w:after="283"/>
              <w:jc w:val="right"/>
              <w:rPr/>
            </w:pPr>
            <w:r>
              <w:rPr/>
              <w:t>8/1/2026</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300,000</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pPr>
            <w:r>
              <w:rPr/>
              <w:t>(38,361</w:t>
            </w:r>
          </w:p>
        </w:tc>
        <w:tc>
          <w:tcPr>
            <w:tcW w:w="155"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284" w:type="dxa"/>
            <w:tcBorders/>
            <w:shd w:fill="CCEEFF" w:val="clear"/>
            <w:vAlign w:val="bottom"/>
          </w:tcPr>
          <w:p>
            <w:pPr>
              <w:pStyle w:val="TableContents"/>
              <w:spacing w:before="0" w:after="283"/>
              <w:jc w:val="right"/>
              <w:rPr/>
            </w:pPr>
            <w:r>
              <w:rPr/>
              <w:t>(28,122</w:t>
            </w:r>
          </w:p>
        </w:tc>
        <w:tc>
          <w:tcPr>
            <w:tcW w:w="163" w:type="dxa"/>
            <w:tcBorders/>
            <w:shd w:fill="CCEEFF" w:val="clear"/>
            <w:vAlign w:val="bottom"/>
          </w:tcPr>
          <w:p>
            <w:pPr>
              <w:pStyle w:val="TableContents"/>
              <w:spacing w:before="0" w:after="283"/>
              <w:rPr/>
            </w:pPr>
            <w:r>
              <w:rPr/>
              <w:t>) </w:t>
            </w:r>
          </w:p>
        </w:tc>
      </w:tr>
      <w:tr>
        <w:trPr/>
        <w:tc>
          <w:tcPr>
            <w:tcW w:w="1031"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1040"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1040"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139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5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pBdr>
                <w:top w:val="single" w:sz="2" w:space="1" w:color="000000"/>
              </w:pBdr>
              <w:spacing w:before="0" w:after="0"/>
              <w:rPr/>
            </w:pPr>
            <w:r>
              <w:rPr/>
              <w:t> </w:t>
            </w:r>
          </w:p>
        </w:tc>
        <w:tc>
          <w:tcPr>
            <w:tcW w:w="102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pBdr>
                <w:top w:val="single" w:sz="2" w:space="1" w:color="000000"/>
              </w:pBdr>
              <w:spacing w:before="0" w:after="0"/>
              <w:rPr/>
            </w:pPr>
            <w:r>
              <w:rPr/>
              <w:t> </w:t>
            </w:r>
          </w:p>
        </w:tc>
        <w:tc>
          <w:tcPr>
            <w:tcW w:w="1284"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1031" w:type="dxa"/>
            <w:tcBorders/>
            <w:shd w:fill="auto" w:val="clear"/>
          </w:tcPr>
          <w:p>
            <w:pPr>
              <w:pStyle w:val="TableContents"/>
              <w:spacing w:before="0" w:after="0"/>
              <w:rPr>
                <w:rFonts w:ascii="Times New Roman" w:hAnsi="Times New Roman"/>
                <w:sz w:val="20"/>
              </w:rPr>
            </w:pPr>
            <w:r>
              <w:rPr>
                <w:rFonts w:ascii="Times New Roman" w:hAnsi="Times New Roman"/>
                <w:sz w:val="20"/>
              </w:rPr>
              <w:t>Total</w:t>
            </w:r>
          </w:p>
        </w:tc>
        <w:tc>
          <w:tcPr>
            <w:tcW w:w="61" w:type="dxa"/>
            <w:tcBorders/>
            <w:shd w:fill="auto" w:val="clear"/>
            <w:vAlign w:val="bottom"/>
          </w:tcPr>
          <w:p>
            <w:pPr>
              <w:pStyle w:val="TableContents"/>
              <w:spacing w:before="0" w:after="283"/>
              <w:rPr/>
            </w:pPr>
            <w:r>
              <w:rPr/>
              <w:t> </w:t>
            </w:r>
          </w:p>
        </w:tc>
        <w:tc>
          <w:tcPr>
            <w:tcW w:w="1040"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1040"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139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800" w:type="dxa"/>
            <w:tcBorders/>
            <w:shd w:fill="auto" w:val="clear"/>
            <w:vAlign w:val="bottom"/>
          </w:tcPr>
          <w:p>
            <w:pPr>
              <w:pStyle w:val="TableContents"/>
              <w:spacing w:before="0" w:after="283"/>
              <w:jc w:val="right"/>
              <w:rPr/>
            </w:pPr>
            <w:r>
              <w:rPr/>
              <w:t>650,000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pPr>
            <w:r>
              <w:rPr/>
              <w:t>(58,262</w:t>
            </w:r>
          </w:p>
        </w:tc>
        <w:tc>
          <w:tcPr>
            <w:tcW w:w="155"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 </w:t>
            </w:r>
          </w:p>
        </w:tc>
        <w:tc>
          <w:tcPr>
            <w:tcW w:w="102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 </w:t>
            </w:r>
          </w:p>
        </w:tc>
        <w:tc>
          <w:tcPr>
            <w:tcW w:w="1284" w:type="dxa"/>
            <w:tcBorders/>
            <w:shd w:fill="auto" w:val="clear"/>
            <w:vAlign w:val="bottom"/>
          </w:tcPr>
          <w:p>
            <w:pPr>
              <w:pStyle w:val="TableContents"/>
              <w:spacing w:before="0" w:after="283"/>
              <w:jc w:val="right"/>
              <w:rPr/>
            </w:pPr>
            <w:r>
              <w:rPr/>
              <w:t>(52,396</w:t>
            </w:r>
          </w:p>
        </w:tc>
        <w:tc>
          <w:tcPr>
            <w:tcW w:w="163" w:type="dxa"/>
            <w:tcBorders/>
            <w:shd w:fill="auto" w:val="clear"/>
            <w:vAlign w:val="bottom"/>
          </w:tcPr>
          <w:p>
            <w:pPr>
              <w:pStyle w:val="TableContents"/>
              <w:spacing w:before="0" w:after="283"/>
              <w:rPr/>
            </w:pPr>
            <w:r>
              <w:rPr/>
              <w:t>) </w:t>
            </w:r>
          </w:p>
        </w:tc>
      </w:tr>
      <w:tr>
        <w:trPr/>
        <w:tc>
          <w:tcPr>
            <w:tcW w:w="1031" w:type="dxa"/>
            <w:tcBorders/>
            <w:shd w:fill="CCEEFF" w:val="clear"/>
          </w:tcPr>
          <w:p>
            <w:pPr>
              <w:pStyle w:val="TableContents"/>
              <w:spacing w:before="0" w:after="0"/>
              <w:rPr>
                <w:rFonts w:ascii="Times New Roman" w:hAnsi="Times New Roman"/>
                <w:sz w:val="20"/>
              </w:rPr>
            </w:pPr>
            <w:r>
              <w:rPr>
                <w:rFonts w:ascii="Times New Roman" w:hAnsi="Times New Roman"/>
                <w:sz w:val="20"/>
              </w:rPr>
              <w:t>Cash collateral</w:t>
            </w:r>
          </w:p>
        </w:tc>
        <w:tc>
          <w:tcPr>
            <w:tcW w:w="61" w:type="dxa"/>
            <w:tcBorders/>
            <w:shd w:fill="CCEEFF" w:val="clear"/>
            <w:vAlign w:val="bottom"/>
          </w:tcPr>
          <w:p>
            <w:pPr>
              <w:pStyle w:val="TableContents"/>
              <w:spacing w:before="0" w:after="283"/>
              <w:rPr/>
            </w:pPr>
            <w:r>
              <w:rPr/>
              <w:t> </w:t>
            </w:r>
          </w:p>
        </w:tc>
        <w:tc>
          <w:tcPr>
            <w:tcW w:w="1040" w:type="dxa"/>
            <w:tcBorders/>
            <w:shd w:fill="CCEEFF" w:val="clear"/>
            <w:vAlign w:val="bottom"/>
          </w:tcPr>
          <w:p>
            <w:pPr>
              <w:pStyle w:val="TableContents"/>
              <w:spacing w:before="0" w:after="283"/>
              <w:rPr>
                <w:sz w:val="4"/>
                <w:szCs w:val="4"/>
              </w:rPr>
            </w:pPr>
            <w:r>
              <w:rPr>
                <w:sz w:val="4"/>
                <w:szCs w:val="4"/>
              </w:rPr>
            </w:r>
          </w:p>
        </w:tc>
        <w:tc>
          <w:tcPr>
            <w:tcW w:w="61" w:type="dxa"/>
            <w:tcBorders/>
            <w:shd w:fill="CCEEFF" w:val="clear"/>
            <w:vAlign w:val="bottom"/>
          </w:tcPr>
          <w:p>
            <w:pPr>
              <w:pStyle w:val="TableContents"/>
              <w:spacing w:before="0" w:after="283"/>
              <w:rPr/>
            </w:pPr>
            <w:r>
              <w:rPr/>
              <w:t> </w:t>
            </w:r>
          </w:p>
        </w:tc>
        <w:tc>
          <w:tcPr>
            <w:tcW w:w="1040" w:type="dxa"/>
            <w:tcBorders/>
            <w:shd w:fill="CCEEFF" w:val="clear"/>
            <w:vAlign w:val="bottom"/>
          </w:tcPr>
          <w:p>
            <w:pPr>
              <w:pStyle w:val="TableContents"/>
              <w:spacing w:before="0" w:after="283"/>
              <w:rPr>
                <w:sz w:val="4"/>
                <w:szCs w:val="4"/>
              </w:rPr>
            </w:pPr>
            <w:r>
              <w:rPr>
                <w:sz w:val="4"/>
                <w:szCs w:val="4"/>
              </w:rPr>
            </w:r>
          </w:p>
        </w:tc>
        <w:tc>
          <w:tcPr>
            <w:tcW w:w="61"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1391"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80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755" w:type="dxa"/>
            <w:tcBorders/>
            <w:shd w:fill="CCEEFF" w:val="clear"/>
            <w:vAlign w:val="bottom"/>
          </w:tcPr>
          <w:p>
            <w:pPr>
              <w:pStyle w:val="TableContents"/>
              <w:spacing w:before="0" w:after="283"/>
              <w:jc w:val="right"/>
              <w:rPr/>
            </w:pPr>
            <w:r>
              <w:rPr/>
              <w:t>61,592</w:t>
            </w:r>
          </w:p>
        </w:tc>
        <w:tc>
          <w:tcPr>
            <w:tcW w:w="155" w:type="dxa"/>
            <w:tcBorders/>
            <w:shd w:fill="CCEEFF" w:val="clear"/>
            <w:vAlign w:val="bottom"/>
          </w:tcPr>
          <w:p>
            <w:pPr>
              <w:pStyle w:val="TableContents"/>
              <w:spacing w:before="0" w:after="283"/>
              <w:rPr/>
            </w:pPr>
            <w:r>
              <w:rPr/>
              <w:t> </w:t>
            </w:r>
          </w:p>
        </w:tc>
        <w:tc>
          <w:tcPr>
            <w:tcW w:w="61" w:type="dxa"/>
            <w:tcBorders/>
            <w:shd w:fill="CCEEFF" w:val="clear"/>
            <w:vAlign w:val="bottom"/>
          </w:tcPr>
          <w:p>
            <w:pPr>
              <w:pStyle w:val="TableContents"/>
              <w:spacing w:before="0" w:after="283"/>
              <w:rPr/>
            </w:pPr>
            <w:r>
              <w:rPr/>
              <w:t> </w:t>
            </w:r>
          </w:p>
        </w:tc>
        <w:tc>
          <w:tcPr>
            <w:tcW w:w="256" w:type="dxa"/>
            <w:tcBorders/>
            <w:shd w:fill="CCEEFF" w:val="clear"/>
            <w:vAlign w:val="bottom"/>
          </w:tcPr>
          <w:p>
            <w:pPr>
              <w:pStyle w:val="TableContents"/>
              <w:spacing w:before="0" w:after="283"/>
              <w:rPr/>
            </w:pPr>
            <w:r>
              <w:rPr/>
              <w:t> </w:t>
            </w:r>
          </w:p>
        </w:tc>
        <w:tc>
          <w:tcPr>
            <w:tcW w:w="1024"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7" w:type="dxa"/>
            <w:tcBorders/>
            <w:shd w:fill="CCEEFF" w:val="clear"/>
            <w:vAlign w:val="bottom"/>
          </w:tcPr>
          <w:p>
            <w:pPr>
              <w:pStyle w:val="TableContents"/>
              <w:spacing w:before="0" w:after="283"/>
              <w:rPr/>
            </w:pPr>
            <w:r>
              <w:rPr/>
              <w:t> </w:t>
            </w:r>
          </w:p>
        </w:tc>
        <w:tc>
          <w:tcPr>
            <w:tcW w:w="1284" w:type="dxa"/>
            <w:tcBorders/>
            <w:shd w:fill="CCEEFF" w:val="clear"/>
            <w:vAlign w:val="bottom"/>
          </w:tcPr>
          <w:p>
            <w:pPr>
              <w:pStyle w:val="TableContents"/>
              <w:spacing w:before="0" w:after="283"/>
              <w:jc w:val="right"/>
              <w:rPr/>
            </w:pPr>
            <w:r>
              <w:rPr/>
              <w:t>  </w:t>
            </w:r>
          </w:p>
        </w:tc>
        <w:tc>
          <w:tcPr>
            <w:tcW w:w="163" w:type="dxa"/>
            <w:tcBorders/>
            <w:shd w:fill="CCEEFF" w:val="clear"/>
            <w:vAlign w:val="bottom"/>
          </w:tcPr>
          <w:p>
            <w:pPr>
              <w:pStyle w:val="TableContents"/>
              <w:spacing w:before="0" w:after="283"/>
              <w:rPr/>
            </w:pPr>
            <w:r>
              <w:rPr/>
              <w:t> </w:t>
            </w:r>
          </w:p>
        </w:tc>
      </w:tr>
      <w:tr>
        <w:trPr/>
        <w:tc>
          <w:tcPr>
            <w:tcW w:w="1031"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1040"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1040"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139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80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single" w:sz="2" w:space="1" w:color="000000"/>
              </w:pBdr>
              <w:spacing w:before="0" w:after="0"/>
              <w:rPr/>
            </w:pPr>
            <w:r>
              <w:rPr/>
              <w:t> </w:t>
            </w:r>
          </w:p>
        </w:tc>
        <w:tc>
          <w:tcPr>
            <w:tcW w:w="755"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pBdr>
                <w:top w:val="single" w:sz="2" w:space="1" w:color="000000"/>
              </w:pBdr>
              <w:spacing w:before="0" w:after="0"/>
              <w:rPr/>
            </w:pPr>
            <w:r>
              <w:rPr/>
              <w:t> </w:t>
            </w:r>
          </w:p>
        </w:tc>
        <w:tc>
          <w:tcPr>
            <w:tcW w:w="102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pBdr>
                <w:top w:val="single" w:sz="2" w:space="1" w:color="000000"/>
              </w:pBdr>
              <w:spacing w:before="0" w:after="0"/>
              <w:rPr/>
            </w:pPr>
            <w:r>
              <w:rPr/>
              <w:t> </w:t>
            </w:r>
          </w:p>
        </w:tc>
        <w:tc>
          <w:tcPr>
            <w:tcW w:w="1284" w:type="dxa"/>
            <w:tcBorders/>
            <w:shd w:fill="auto" w:val="clear"/>
            <w:vAlign w:val="bottom"/>
          </w:tcPr>
          <w:p>
            <w:pPr>
              <w:pStyle w:val="TableContents"/>
              <w:pBdr>
                <w:top w:val="single" w:sz="2"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r>
        <w:trPr/>
        <w:tc>
          <w:tcPr>
            <w:tcW w:w="1031" w:type="dxa"/>
            <w:tcBorders/>
            <w:shd w:fill="auto" w:val="clear"/>
          </w:tcPr>
          <w:p>
            <w:pPr>
              <w:pStyle w:val="TableContents"/>
              <w:spacing w:before="0" w:after="0"/>
              <w:rPr>
                <w:rFonts w:ascii="Times New Roman" w:hAnsi="Times New Roman"/>
                <w:b/>
                <w:sz w:val="20"/>
              </w:rPr>
            </w:pPr>
            <w:r>
              <w:rPr>
                <w:rFonts w:ascii="Times New Roman" w:hAnsi="Times New Roman"/>
                <w:b/>
                <w:sz w:val="20"/>
              </w:rPr>
              <w:t>Total derivatives</w:t>
            </w:r>
          </w:p>
        </w:tc>
        <w:tc>
          <w:tcPr>
            <w:tcW w:w="61" w:type="dxa"/>
            <w:tcBorders/>
            <w:shd w:fill="auto" w:val="clear"/>
            <w:vAlign w:val="bottom"/>
          </w:tcPr>
          <w:p>
            <w:pPr>
              <w:pStyle w:val="TableContents"/>
              <w:spacing w:before="0" w:after="283"/>
              <w:rPr/>
            </w:pPr>
            <w:r>
              <w:rPr/>
              <w:t> </w:t>
            </w:r>
          </w:p>
        </w:tc>
        <w:tc>
          <w:tcPr>
            <w:tcW w:w="1040"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1040"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139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800" w:type="dxa"/>
            <w:tcBorders/>
            <w:shd w:fill="auto" w:val="clear"/>
            <w:vAlign w:val="bottom"/>
          </w:tcPr>
          <w:p>
            <w:pPr>
              <w:pStyle w:val="TableContents"/>
              <w:spacing w:before="0" w:after="283"/>
              <w:jc w:val="right"/>
              <w:rPr/>
            </w:pPr>
            <w:r>
              <w:rPr/>
              <w:t>802,500</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755" w:type="dxa"/>
            <w:tcBorders/>
            <w:shd w:fill="auto" w:val="clear"/>
            <w:vAlign w:val="bottom"/>
          </w:tcPr>
          <w:p>
            <w:pPr>
              <w:pStyle w:val="TableContents"/>
              <w:spacing w:before="0" w:after="283"/>
              <w:jc w:val="right"/>
              <w:rPr/>
            </w:pPr>
            <w:r>
              <w:rPr/>
              <w:t>2,662</w:t>
            </w:r>
          </w:p>
        </w:tc>
        <w:tc>
          <w:tcPr>
            <w:tcW w:w="155" w:type="dxa"/>
            <w:tcBorders/>
            <w:shd w:fill="auto" w:val="clear"/>
            <w:vAlign w:val="bottom"/>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w:t>
            </w:r>
          </w:p>
        </w:tc>
        <w:tc>
          <w:tcPr>
            <w:tcW w:w="1024" w:type="dxa"/>
            <w:tcBorders/>
            <w:shd w:fill="auto" w:val="clear"/>
            <w:vAlign w:val="bottom"/>
          </w:tcPr>
          <w:p>
            <w:pPr>
              <w:pStyle w:val="TableContents"/>
              <w:spacing w:before="0" w:after="283"/>
              <w:jc w:val="right"/>
              <w:rPr/>
            </w:pPr>
            <w:r>
              <w:rPr/>
              <w:t>2,252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spacing w:before="0" w:after="283"/>
              <w:rPr/>
            </w:pPr>
            <w:r>
              <w:rPr/>
              <w:t>$</w:t>
            </w:r>
          </w:p>
        </w:tc>
        <w:tc>
          <w:tcPr>
            <w:tcW w:w="1284" w:type="dxa"/>
            <w:tcBorders/>
            <w:shd w:fill="auto" w:val="clear"/>
            <w:vAlign w:val="bottom"/>
          </w:tcPr>
          <w:p>
            <w:pPr>
              <w:pStyle w:val="TableContents"/>
              <w:spacing w:before="0" w:after="283"/>
              <w:jc w:val="right"/>
              <w:rPr/>
            </w:pPr>
            <w:r>
              <w:rPr/>
              <w:t>(59,580</w:t>
            </w:r>
          </w:p>
        </w:tc>
        <w:tc>
          <w:tcPr>
            <w:tcW w:w="163" w:type="dxa"/>
            <w:tcBorders/>
            <w:shd w:fill="auto" w:val="clear"/>
            <w:vAlign w:val="bottom"/>
          </w:tcPr>
          <w:p>
            <w:pPr>
              <w:pStyle w:val="TableContents"/>
              <w:spacing w:before="0" w:after="283"/>
              <w:rPr/>
            </w:pPr>
            <w:r>
              <w:rPr/>
              <w:t>) </w:t>
            </w:r>
          </w:p>
        </w:tc>
      </w:tr>
      <w:tr>
        <w:trPr/>
        <w:tc>
          <w:tcPr>
            <w:tcW w:w="1031"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1040"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1040" w:type="dxa"/>
            <w:tcBorders/>
            <w:shd w:fill="auto" w:val="clear"/>
            <w:vAlign w:val="bottom"/>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139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800"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pBdr>
                <w:top w:val="double" w:sz="6" w:space="1" w:color="000000"/>
              </w:pBdr>
              <w:spacing w:before="0" w:after="0"/>
              <w:rPr/>
            </w:pPr>
            <w:r>
              <w:rPr/>
              <w:t> </w:t>
            </w:r>
          </w:p>
        </w:tc>
        <w:tc>
          <w:tcPr>
            <w:tcW w:w="755"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1"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pBdr>
                <w:top w:val="double" w:sz="6" w:space="1" w:color="000000"/>
              </w:pBdr>
              <w:spacing w:before="0" w:after="0"/>
              <w:rPr/>
            </w:pPr>
            <w:r>
              <w:rPr/>
              <w:t> </w:t>
            </w:r>
          </w:p>
        </w:tc>
        <w:tc>
          <w:tcPr>
            <w:tcW w:w="1024"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7" w:type="dxa"/>
            <w:tcBorders/>
            <w:shd w:fill="auto" w:val="clear"/>
            <w:vAlign w:val="bottom"/>
          </w:tcPr>
          <w:p>
            <w:pPr>
              <w:pStyle w:val="TableContents"/>
              <w:pBdr>
                <w:top w:val="double" w:sz="6" w:space="1" w:color="000000"/>
              </w:pBdr>
              <w:spacing w:before="0" w:after="0"/>
              <w:rPr/>
            </w:pPr>
            <w:r>
              <w:rPr/>
              <w:t> </w:t>
            </w:r>
          </w:p>
        </w:tc>
        <w:tc>
          <w:tcPr>
            <w:tcW w:w="1284" w:type="dxa"/>
            <w:tcBorders/>
            <w:shd w:fill="auto" w:val="clear"/>
            <w:vAlign w:val="bottom"/>
          </w:tcPr>
          <w:p>
            <w:pPr>
              <w:pStyle w:val="TableContents"/>
              <w:pBdr>
                <w:top w:val="double" w:sz="6" w:space="1" w:color="000000"/>
              </w:pBdr>
              <w:spacing w:before="0" w:after="0"/>
              <w:rPr/>
            </w:pPr>
            <w:r>
              <w:rPr/>
              <w:t> </w:t>
            </w:r>
          </w:p>
        </w:tc>
        <w:tc>
          <w:tcPr>
            <w:tcW w:w="163" w:type="dxa"/>
            <w:tcBorders/>
            <w:shd w:fill="auto" w:val="clear"/>
            <w:vAlign w:val="center"/>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508"/>
        <w:gridCol w:w="9291"/>
      </w:tblGrid>
      <w:tr>
        <w:trPr/>
        <w:tc>
          <w:tcPr>
            <w:tcW w:w="406"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(a)</w:t>
            </w:r>
          </w:p>
        </w:tc>
        <w:tc>
          <w:tcPr>
            <w:tcW w:w="9291"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Contains a variable rate structure. Bears interest at a rate determined by three-month LIBOR. </w:t>
            </w:r>
          </w:p>
        </w:tc>
      </w:tr>
    </w:tbl>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Interest rate swap was terminated or matured during the period. </w:t>
            </w:r>
          </w:p>
        </w:tc>
      </w:tr>
    </w:tbl>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(c)</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Instrument is used in a hedge accounting relationship. The associated change in fair value is recorded along with the change in fair value of the hedged item within interest expense. </w:t>
            </w:r>
          </w:p>
        </w:tc>
      </w:tr>
    </w:tbl>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(d)</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$2.5 million in aggregate notional value of these instruments is no longer designated as instruments in a hedge accounting relationship. The associated change in fair value of the de-designated portion is recorded within unrealized gain/(loss). </w:t>
            </w:r>
          </w:p>
        </w:tc>
      </w:tr>
    </w:tbl>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(e)</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fair market value of this instrument is presented net with the $2.5 million in aggregate notional value of instruments no longer designated as instruments in a hedge accounting relationship. </w:t>
            </w:r>
          </w:p>
        </w:tc>
      </w:tr>
    </w:tbl>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Certain portfolio company investments are subject to contractual restrictions on sales.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amortized cost represents the original cost adjusted for the amortization of discounts and premiums, as applicable, on debt investments using the effective interest method.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Investment contains a variable rate structure, subject to an interest rate floor. Variable rate investments bear interest at a rate that may be determined by reference to either London Interbank Offered Rate (LIBOR or L), Euro Interbank Offer Rate (Euribor or E), Canadian Dollar Offered Rate (CDOR or C), Secured Overnight Financing Rate (SOFR) which may also contain a credit spread adjustment depending on the tenor election, Bank Bill Swap Bid Rate (BBSY or B), Sterling Overnight Interbank Average Rate (SONIA or S)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September 30, 2022.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(4)</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12.5% of total assets as of September 30, 2022.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(6)</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Under the 1940 Act, the Company is deemed to be an Affiliated Person of, as defined in the 1940 Act, a portfolio company, as the Company owns more than 5% of a portfolio companys outstanding voting securities. Transactions during the nine months ended September 30, 2022 in which the Company was an Affiliated Person of a portfolio company are as follows: </w:t>
            </w:r>
          </w:p>
        </w:tc>
      </w:tr>
    </w:tbl>
    <w:p>
      <w:pPr>
        <w:pStyle w:val="TextBody"/>
        <w:spacing w:before="360" w:after="0"/>
        <w:jc w:val="center"/>
        <w:rPr>
          <w:rFonts w:ascii="Times New Roman" w:hAnsi="Times New Roman"/>
          <w:b/>
          <w:sz w:val="20"/>
          <w:u w:val="single"/>
        </w:rPr>
      </w:pPr>
      <w:r>
        <w:rPr>
          <w:rFonts w:ascii="Times New Roman" w:hAnsi="Times New Roman"/>
          <w:b/>
          <w:sz w:val="20"/>
          <w:u w:val="single"/>
        </w:rPr>
        <w:t xml:space="preserve">Non-controlled, Affiliated Investments during the nine months ended September 30, 2022 </w:t>
      </w:r>
    </w:p>
    <w:p>
      <w:pPr>
        <w:pStyle w:val="TextBody"/>
        <w:spacing w:before="0" w:after="0"/>
        <w:rPr/>
      </w:pPr>
      <w:r>
        <w:rPr/>
        <w:t> </w:t>
      </w:r>
    </w:p>
    <w:tbl>
      <w:tblPr>
        <w:tblW w:w="13065" w:type="dxa"/>
        <w:jc w:val="center"/>
        <w:tblInd w:w="0" w:type="dxa"/>
        <w:tblCellMar>
          <w:top w:w="0" w:type="dxa"/>
          <w:left w:w="0" w:type="dxa"/>
          <w:bottom w:w="0" w:type="dxa"/>
          <w:right w:w="0" w:type="dxa"/>
        </w:tblCellMar>
      </w:tblPr>
      <w:tblGrid>
        <w:gridCol w:w="1520"/>
        <w:gridCol w:w="60"/>
        <w:gridCol w:w="241"/>
        <w:gridCol w:w="1174"/>
        <w:gridCol w:w="60"/>
        <w:gridCol w:w="60"/>
        <w:gridCol w:w="330"/>
        <w:gridCol w:w="755"/>
        <w:gridCol w:w="60"/>
        <w:gridCol w:w="60"/>
        <w:gridCol w:w="193"/>
        <w:gridCol w:w="1042"/>
        <w:gridCol w:w="155"/>
        <w:gridCol w:w="60"/>
        <w:gridCol w:w="221"/>
        <w:gridCol w:w="1194"/>
        <w:gridCol w:w="155"/>
        <w:gridCol w:w="60"/>
        <w:gridCol w:w="151"/>
        <w:gridCol w:w="739"/>
        <w:gridCol w:w="60"/>
        <w:gridCol w:w="60"/>
        <w:gridCol w:w="307"/>
        <w:gridCol w:w="703"/>
        <w:gridCol w:w="60"/>
        <w:gridCol w:w="60"/>
        <w:gridCol w:w="448"/>
        <w:gridCol w:w="1027"/>
        <w:gridCol w:w="60"/>
        <w:gridCol w:w="60"/>
        <w:gridCol w:w="289"/>
        <w:gridCol w:w="661"/>
        <w:gridCol w:w="60"/>
        <w:gridCol w:w="60"/>
        <w:gridCol w:w="215"/>
        <w:gridCol w:w="585"/>
        <w:gridCol w:w="60"/>
      </w:tblGrid>
      <w:tr>
        <w:trPr/>
        <w:tc>
          <w:tcPr>
            <w:tcW w:w="15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93" w:type="dxa"/>
            <w:tcBorders/>
            <w:shd w:fill="auto" w:val="clear"/>
            <w:vAlign w:val="center"/>
          </w:tcPr>
          <w:p>
            <w:pPr>
              <w:pStyle w:val="TableContents"/>
              <w:spacing w:before="0" w:after="283"/>
              <w:rPr>
                <w:sz w:val="4"/>
                <w:szCs w:val="4"/>
              </w:rPr>
            </w:pPr>
            <w:r>
              <w:rPr>
                <w:sz w:val="4"/>
                <w:szCs w:val="4"/>
              </w:rPr>
            </w:r>
          </w:p>
        </w:tc>
        <w:tc>
          <w:tcPr>
            <w:tcW w:w="104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194"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102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1520" w:type="dxa"/>
            <w:tcBorders/>
            <w:shd w:fill="auto" w:val="clear"/>
            <w:vAlign w:val="bottom"/>
          </w:tcPr>
          <w:p>
            <w:pPr>
              <w:pStyle w:val="TableContents"/>
              <w:pBdr>
                <w:bottom w:val="single" w:sz="8" w:space="1" w:color="000000"/>
              </w:pBdr>
              <w:spacing w:before="0" w:after="0"/>
              <w:rPr>
                <w:rFonts w:ascii="Times New Roman" w:hAnsi="Times New Roman"/>
                <w:b/>
                <w:sz w:val="15"/>
              </w:rPr>
            </w:pPr>
            <w:r>
              <w:rPr>
                <w:rFonts w:ascii="Times New Roman" w:hAnsi="Times New Roman"/>
                <w:b/>
                <w:sz w:val="15"/>
              </w:rPr>
              <w:t>Company</w:t>
            </w:r>
          </w:p>
        </w:tc>
        <w:tc>
          <w:tcPr>
            <w:tcW w:w="60"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Fair</w:t>
              <w:br/>
              <w:t>Value at</w:t>
              <w:br/>
              <w:t>December 31,</w:t>
              <w:br/>
              <w:t>2021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Gross</w:t>
              <w:br/>
              <w:t>Additions(a)</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Gross</w:t>
              <w:br/>
              <w:t>Reductions(b)</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Net Change</w:t>
              <w:br/>
              <w:t>In Unrealized</w:t>
              <w:br/>
              <w:t>Gain/(Loss)</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Realized</w:t>
              <w:br/>
              <w:t>Gain/(Loss)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Transfers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Fair</w:t>
              <w:br/>
              <w:t>Value at</w:t>
              <w:br/>
              <w:t>September 30,</w:t>
              <w:br/>
              <w:t>2022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5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Dividend</w:t>
              <w:br/>
              <w:t>Income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Interest</w:t>
              <w:br/>
              <w:t>Income</w:t>
            </w:r>
          </w:p>
        </w:tc>
        <w:tc>
          <w:tcPr>
            <w:tcW w:w="60" w:type="dxa"/>
            <w:tcBorders/>
            <w:shd w:fill="auto" w:val="clear"/>
            <w:vAlign w:val="bottom"/>
          </w:tcPr>
          <w:p>
            <w:pPr>
              <w:pStyle w:val="TableContents"/>
              <w:spacing w:before="0" w:after="283"/>
              <w:rPr/>
            </w:pPr>
            <w:r>
              <w:rPr/>
              <w:t> </w:t>
            </w:r>
          </w:p>
        </w:tc>
      </w:tr>
      <w:tr>
        <w:trPr/>
        <w:tc>
          <w:tcPr>
            <w:tcW w:w="1520" w:type="dxa"/>
            <w:tcBorders/>
            <w:shd w:fill="CCEEFF" w:val="clear"/>
          </w:tcPr>
          <w:p>
            <w:pPr>
              <w:pStyle w:val="TableContents"/>
              <w:spacing w:before="0" w:after="0"/>
              <w:rPr>
                <w:rFonts w:ascii="Times New Roman" w:hAnsi="Times New Roman"/>
                <w:sz w:val="16"/>
              </w:rPr>
            </w:pPr>
            <w:r>
              <w:rPr>
                <w:rFonts w:ascii="Times New Roman" w:hAnsi="Times New Roman"/>
                <w:sz w:val="16"/>
              </w:rPr>
              <w:t>MD America Energy, LLC(c)</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w:t>
            </w:r>
          </w:p>
        </w:tc>
        <w:tc>
          <w:tcPr>
            <w:tcW w:w="1174" w:type="dxa"/>
            <w:tcBorders/>
            <w:shd w:fill="CCEEFF" w:val="clear"/>
            <w:vAlign w:val="bottom"/>
          </w:tcPr>
          <w:p>
            <w:pPr>
              <w:pStyle w:val="TableContents"/>
              <w:spacing w:before="0" w:after="283"/>
              <w:jc w:val="right"/>
              <w:rPr/>
            </w:pPr>
            <w:r>
              <w:rPr/>
              <w:t>27,017</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30" w:type="dxa"/>
            <w:tcBorders/>
            <w:shd w:fill="CCEEFF" w:val="clear"/>
            <w:vAlign w:val="bottom"/>
          </w:tcPr>
          <w:p>
            <w:pPr>
              <w:pStyle w:val="TableContents"/>
              <w:spacing w:before="0" w:after="283"/>
              <w:rPr/>
            </w:pPr>
            <w:r>
              <w:rPr/>
              <w:t>$</w:t>
            </w:r>
          </w:p>
        </w:tc>
        <w:tc>
          <w:tcPr>
            <w:tcW w:w="755"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93" w:type="dxa"/>
            <w:tcBorders/>
            <w:shd w:fill="CCEEFF" w:val="clear"/>
            <w:vAlign w:val="bottom"/>
          </w:tcPr>
          <w:p>
            <w:pPr>
              <w:pStyle w:val="TableContents"/>
              <w:spacing w:before="0" w:after="283"/>
              <w:rPr/>
            </w:pPr>
            <w:r>
              <w:rPr/>
              <w:t>$</w:t>
            </w:r>
          </w:p>
        </w:tc>
        <w:tc>
          <w:tcPr>
            <w:tcW w:w="1042" w:type="dxa"/>
            <w:tcBorders/>
            <w:shd w:fill="CCEEFF" w:val="clear"/>
            <w:vAlign w:val="bottom"/>
          </w:tcPr>
          <w:p>
            <w:pPr>
              <w:pStyle w:val="TableContents"/>
              <w:spacing w:before="0" w:after="283"/>
              <w:jc w:val="right"/>
              <w:rPr/>
            </w:pPr>
            <w:r>
              <w:rPr/>
              <w:t>(12,667</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1" w:type="dxa"/>
            <w:tcBorders/>
            <w:shd w:fill="CCEEFF" w:val="clear"/>
            <w:vAlign w:val="bottom"/>
          </w:tcPr>
          <w:p>
            <w:pPr>
              <w:pStyle w:val="TableContents"/>
              <w:spacing w:before="0" w:after="283"/>
              <w:rPr/>
            </w:pPr>
            <w:r>
              <w:rPr/>
              <w:t>$</w:t>
            </w:r>
          </w:p>
        </w:tc>
        <w:tc>
          <w:tcPr>
            <w:tcW w:w="1194" w:type="dxa"/>
            <w:tcBorders/>
            <w:shd w:fill="CCEEFF" w:val="clear"/>
            <w:vAlign w:val="bottom"/>
          </w:tcPr>
          <w:p>
            <w:pPr>
              <w:pStyle w:val="TableContents"/>
              <w:spacing w:before="0" w:after="283"/>
              <w:jc w:val="right"/>
              <w:rPr/>
            </w:pPr>
            <w:r>
              <w:rPr/>
              <w:t>(14,350</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51" w:type="dxa"/>
            <w:tcBorders/>
            <w:shd w:fill="CCEEFF" w:val="clear"/>
            <w:vAlign w:val="bottom"/>
          </w:tcPr>
          <w:p>
            <w:pPr>
              <w:pStyle w:val="TableContents"/>
              <w:spacing w:before="0" w:after="283"/>
              <w:rPr/>
            </w:pPr>
            <w:r>
              <w:rPr/>
              <w:t>$</w:t>
            </w:r>
          </w:p>
        </w:tc>
        <w:tc>
          <w:tcPr>
            <w:tcW w:w="739" w:type="dxa"/>
            <w:tcBorders/>
            <w:shd w:fill="CCEEFF" w:val="clear"/>
            <w:vAlign w:val="bottom"/>
          </w:tcPr>
          <w:p>
            <w:pPr>
              <w:pStyle w:val="TableContents"/>
              <w:spacing w:before="0" w:after="283"/>
              <w:jc w:val="right"/>
              <w:rPr/>
            </w:pPr>
            <w:r>
              <w:rPr/>
              <w:t>13,673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w:t>
            </w:r>
          </w:p>
        </w:tc>
        <w:tc>
          <w:tcPr>
            <w:tcW w:w="70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448" w:type="dxa"/>
            <w:tcBorders/>
            <w:shd w:fill="CCEEFF" w:val="clear"/>
            <w:vAlign w:val="bottom"/>
          </w:tcPr>
          <w:p>
            <w:pPr>
              <w:pStyle w:val="TableContents"/>
              <w:spacing w:before="0" w:after="283"/>
              <w:rPr/>
            </w:pPr>
            <w:r>
              <w:rPr/>
              <w:t>$</w:t>
            </w:r>
          </w:p>
        </w:tc>
        <w:tc>
          <w:tcPr>
            <w:tcW w:w="1027"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9" w:type="dxa"/>
            <w:tcBorders/>
            <w:shd w:fill="CCEEFF" w:val="clear"/>
            <w:vAlign w:val="bottom"/>
          </w:tcPr>
          <w:p>
            <w:pPr>
              <w:pStyle w:val="TableContents"/>
              <w:spacing w:before="0" w:after="283"/>
              <w:rPr/>
            </w:pPr>
            <w:r>
              <w:rPr/>
              <w:t>$</w:t>
            </w:r>
          </w:p>
        </w:tc>
        <w:tc>
          <w:tcPr>
            <w:tcW w:w="661"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5" w:type="dxa"/>
            <w:tcBorders/>
            <w:shd w:fill="CCEEFF" w:val="clear"/>
            <w:vAlign w:val="bottom"/>
          </w:tcPr>
          <w:p>
            <w:pPr>
              <w:pStyle w:val="TableContents"/>
              <w:spacing w:before="0" w:after="283"/>
              <w:rPr/>
            </w:pPr>
            <w:r>
              <w:rPr/>
              <w:t>$</w:t>
            </w:r>
          </w:p>
        </w:tc>
        <w:tc>
          <w:tcPr>
            <w:tcW w:w="585" w:type="dxa"/>
            <w:tcBorders/>
            <w:shd w:fill="CCEEFF" w:val="clear"/>
            <w:vAlign w:val="bottom"/>
          </w:tcPr>
          <w:p>
            <w:pPr>
              <w:pStyle w:val="TableContents"/>
              <w:spacing w:before="0" w:after="283"/>
              <w:jc w:val="right"/>
              <w:rPr/>
            </w:pPr>
            <w:r>
              <w:rPr/>
              <w:t>133</w:t>
            </w:r>
          </w:p>
        </w:tc>
        <w:tc>
          <w:tcPr>
            <w:tcW w:w="60" w:type="dxa"/>
            <w:tcBorders/>
            <w:shd w:fill="CCEEFF" w:val="clear"/>
            <w:vAlign w:val="bottom"/>
          </w:tcPr>
          <w:p>
            <w:pPr>
              <w:pStyle w:val="TableContents"/>
              <w:spacing w:before="0" w:after="283"/>
              <w:rPr/>
            </w:pPr>
            <w:r>
              <w:rPr/>
              <w:t> </w:t>
            </w:r>
          </w:p>
        </w:tc>
      </w:tr>
      <w:tr>
        <w:trPr/>
        <w:tc>
          <w:tcPr>
            <w:tcW w:w="15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pBdr>
                <w:top w:val="single" w:sz="2" w:space="1" w:color="000000"/>
              </w:pBdr>
              <w:spacing w:before="0" w:after="0"/>
              <w:rPr/>
            </w:pPr>
            <w:r>
              <w:rPr/>
              <w:t> </w:t>
            </w:r>
          </w:p>
        </w:tc>
        <w:tc>
          <w:tcPr>
            <w:tcW w:w="117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pBdr>
                <w:top w:val="single" w:sz="2" w:space="1" w:color="000000"/>
              </w:pBdr>
              <w:spacing w:before="0" w:after="0"/>
              <w:rPr/>
            </w:pPr>
            <w:r>
              <w:rPr/>
              <w:t> </w:t>
            </w:r>
          </w:p>
        </w:tc>
        <w:tc>
          <w:tcPr>
            <w:tcW w:w="75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pBdr>
                <w:top w:val="single" w:sz="2" w:space="1" w:color="000000"/>
              </w:pBdr>
              <w:spacing w:before="0" w:after="0"/>
              <w:rPr/>
            </w:pPr>
            <w:r>
              <w:rPr/>
              <w:t> </w:t>
            </w:r>
          </w:p>
        </w:tc>
        <w:tc>
          <w:tcPr>
            <w:tcW w:w="104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pBdr>
                <w:top w:val="single" w:sz="2" w:space="1" w:color="000000"/>
              </w:pBdr>
              <w:spacing w:before="0" w:after="0"/>
              <w:rPr/>
            </w:pPr>
            <w:r>
              <w:rPr/>
              <w:t> </w:t>
            </w:r>
          </w:p>
        </w:tc>
        <w:tc>
          <w:tcPr>
            <w:tcW w:w="1194"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pBdr>
                <w:top w:val="single" w:sz="2" w:space="1" w:color="000000"/>
              </w:pBdr>
              <w:spacing w:before="0" w:after="0"/>
              <w:rPr/>
            </w:pPr>
            <w:r>
              <w:rPr/>
              <w:t> </w:t>
            </w:r>
          </w:p>
        </w:tc>
        <w:tc>
          <w:tcPr>
            <w:tcW w:w="739"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pBdr>
                <w:top w:val="single" w:sz="2" w:space="1" w:color="000000"/>
              </w:pBdr>
              <w:spacing w:before="0" w:after="0"/>
              <w:rPr/>
            </w:pPr>
            <w:r>
              <w:rPr/>
              <w:t> </w:t>
            </w:r>
          </w:p>
        </w:tc>
        <w:tc>
          <w:tcPr>
            <w:tcW w:w="703"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pBdr>
                <w:top w:val="single" w:sz="2" w:space="1" w:color="000000"/>
              </w:pBdr>
              <w:spacing w:before="0" w:after="0"/>
              <w:rPr/>
            </w:pPr>
            <w:r>
              <w:rPr/>
              <w:t> </w:t>
            </w:r>
          </w:p>
        </w:tc>
        <w:tc>
          <w:tcPr>
            <w:tcW w:w="1027"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pBdr>
                <w:top w:val="single" w:sz="2" w:space="1" w:color="000000"/>
              </w:pBdr>
              <w:spacing w:before="0" w:after="0"/>
              <w:rPr/>
            </w:pPr>
            <w:r>
              <w:rPr/>
              <w:t> </w:t>
            </w:r>
          </w:p>
        </w:tc>
        <w:tc>
          <w:tcPr>
            <w:tcW w:w="661"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pBdr>
                <w:top w:val="single" w:sz="2" w:space="1" w:color="000000"/>
              </w:pBdr>
              <w:spacing w:before="0" w:after="0"/>
              <w:rPr/>
            </w:pPr>
            <w:r>
              <w:rPr/>
              <w:t> </w:t>
            </w:r>
          </w:p>
        </w:tc>
        <w:tc>
          <w:tcPr>
            <w:tcW w:w="585"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r>
      <w:tr>
        <w:trPr/>
        <w:tc>
          <w:tcPr>
            <w:tcW w:w="1520" w:type="dxa"/>
            <w:tcBorders/>
            <w:shd w:fill="auto" w:val="clear"/>
          </w:tcPr>
          <w:p>
            <w:pPr>
              <w:pStyle w:val="TableContents"/>
              <w:spacing w:before="0" w:after="0"/>
              <w:rPr>
                <w:rFonts w:ascii="Times New Roman" w:hAnsi="Times New Roman"/>
                <w:sz w:val="16"/>
              </w:rPr>
            </w:pPr>
            <w:r>
              <w:rPr>
                <w:rFonts w:ascii="Times New Roman" w:hAnsi="Times New Roman"/>
                <w:sz w:val="16"/>
              </w:rPr>
              <w:t>Total</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b/>
              </w:rPr>
            </w:pPr>
            <w:r>
              <w:rPr>
                <w:b/>
              </w:rPr>
              <w:t>$</w:t>
            </w:r>
          </w:p>
        </w:tc>
        <w:tc>
          <w:tcPr>
            <w:tcW w:w="1174" w:type="dxa"/>
            <w:tcBorders/>
            <w:shd w:fill="auto" w:val="clear"/>
            <w:vAlign w:val="bottom"/>
          </w:tcPr>
          <w:p>
            <w:pPr>
              <w:pStyle w:val="TableContents"/>
              <w:spacing w:before="0" w:after="283"/>
              <w:jc w:val="right"/>
              <w:rPr>
                <w:b/>
              </w:rPr>
            </w:pPr>
            <w:r>
              <w:rPr>
                <w:b/>
              </w:rPr>
              <w:t>27,017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spacing w:before="0" w:after="283"/>
              <w:rPr>
                <w:b/>
              </w:rPr>
            </w:pPr>
            <w:r>
              <w:rPr>
                <w:b/>
              </w:rPr>
              <w:t>$</w:t>
            </w:r>
          </w:p>
        </w:tc>
        <w:tc>
          <w:tcPr>
            <w:tcW w:w="755" w:type="dxa"/>
            <w:tcBorders/>
            <w:shd w:fill="auto" w:val="clear"/>
            <w:vAlign w:val="bottom"/>
          </w:tcPr>
          <w:p>
            <w:pPr>
              <w:pStyle w:val="TableContents"/>
              <w:spacing w:before="0" w:after="283"/>
              <w:jc w:val="right"/>
              <w:rPr>
                <w:b/>
              </w:rPr>
            </w:pPr>
            <w:r>
              <w:rPr>
                <w:b/>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spacing w:before="0" w:after="283"/>
              <w:rPr>
                <w:b/>
              </w:rPr>
            </w:pPr>
            <w:r>
              <w:rPr>
                <w:b/>
              </w:rPr>
              <w:t>$</w:t>
            </w:r>
          </w:p>
        </w:tc>
        <w:tc>
          <w:tcPr>
            <w:tcW w:w="1042" w:type="dxa"/>
            <w:tcBorders/>
            <w:shd w:fill="auto" w:val="clear"/>
            <w:vAlign w:val="bottom"/>
          </w:tcPr>
          <w:p>
            <w:pPr>
              <w:pStyle w:val="TableContents"/>
              <w:spacing w:before="0" w:after="283"/>
              <w:jc w:val="right"/>
              <w:rPr>
                <w:b/>
              </w:rPr>
            </w:pPr>
            <w:r>
              <w:rPr>
                <w:b/>
              </w:rPr>
              <w:t>(12,667</w:t>
            </w:r>
          </w:p>
        </w:tc>
        <w:tc>
          <w:tcPr>
            <w:tcW w:w="155" w:type="dxa"/>
            <w:tcBorders/>
            <w:shd w:fill="auto" w:val="clear"/>
            <w:vAlign w:val="bottom"/>
          </w:tcPr>
          <w:p>
            <w:pPr>
              <w:pStyle w:val="TableContents"/>
              <w:spacing w:before="0" w:after="283"/>
              <w:rPr>
                <w:b/>
              </w:rPr>
            </w:pPr>
            <w:r>
              <w:rPr>
                <w:b/>
              </w:rPr>
              <w:t>) </w:t>
            </w:r>
          </w:p>
        </w:tc>
        <w:tc>
          <w:tcPr>
            <w:tcW w:w="6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spacing w:before="0" w:after="283"/>
              <w:rPr>
                <w:b/>
              </w:rPr>
            </w:pPr>
            <w:r>
              <w:rPr>
                <w:b/>
              </w:rPr>
              <w:t>$</w:t>
            </w:r>
          </w:p>
        </w:tc>
        <w:tc>
          <w:tcPr>
            <w:tcW w:w="1194" w:type="dxa"/>
            <w:tcBorders/>
            <w:shd w:fill="auto" w:val="clear"/>
            <w:vAlign w:val="bottom"/>
          </w:tcPr>
          <w:p>
            <w:pPr>
              <w:pStyle w:val="TableContents"/>
              <w:spacing w:before="0" w:after="283"/>
              <w:jc w:val="right"/>
              <w:rPr>
                <w:b/>
              </w:rPr>
            </w:pPr>
            <w:r>
              <w:rPr>
                <w:b/>
              </w:rPr>
              <w:t>(14,350</w:t>
            </w:r>
          </w:p>
        </w:tc>
        <w:tc>
          <w:tcPr>
            <w:tcW w:w="155" w:type="dxa"/>
            <w:tcBorders/>
            <w:shd w:fill="auto" w:val="clear"/>
            <w:vAlign w:val="bottom"/>
          </w:tcPr>
          <w:p>
            <w:pPr>
              <w:pStyle w:val="TableContents"/>
              <w:spacing w:before="0" w:after="283"/>
              <w:rPr>
                <w:b/>
              </w:rPr>
            </w:pPr>
            <w:r>
              <w:rPr>
                <w:b/>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spacing w:before="0" w:after="283"/>
              <w:rPr>
                <w:b/>
              </w:rPr>
            </w:pPr>
            <w:r>
              <w:rPr>
                <w:b/>
              </w:rPr>
              <w:t>$</w:t>
            </w:r>
          </w:p>
        </w:tc>
        <w:tc>
          <w:tcPr>
            <w:tcW w:w="739" w:type="dxa"/>
            <w:tcBorders/>
            <w:shd w:fill="auto" w:val="clear"/>
            <w:vAlign w:val="bottom"/>
          </w:tcPr>
          <w:p>
            <w:pPr>
              <w:pStyle w:val="TableContents"/>
              <w:spacing w:before="0" w:after="283"/>
              <w:jc w:val="right"/>
              <w:rPr>
                <w:b/>
              </w:rPr>
            </w:pPr>
            <w:r>
              <w:rPr>
                <w:b/>
              </w:rPr>
              <w:t>13,673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b/>
              </w:rPr>
            </w:pPr>
            <w:r>
              <w:rPr>
                <w:b/>
              </w:rPr>
              <w:t>$</w:t>
            </w:r>
          </w:p>
        </w:tc>
        <w:tc>
          <w:tcPr>
            <w:tcW w:w="703" w:type="dxa"/>
            <w:tcBorders/>
            <w:shd w:fill="auto" w:val="clear"/>
            <w:vAlign w:val="bottom"/>
          </w:tcPr>
          <w:p>
            <w:pPr>
              <w:pStyle w:val="TableContents"/>
              <w:spacing w:before="0" w:after="283"/>
              <w:jc w:val="right"/>
              <w:rPr>
                <w:b/>
              </w:rPr>
            </w:pPr>
            <w:r>
              <w:rPr>
                <w:b/>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spacing w:before="0" w:after="283"/>
              <w:rPr>
                <w:b/>
              </w:rPr>
            </w:pPr>
            <w:r>
              <w:rPr>
                <w:b/>
              </w:rPr>
              <w:t>$</w:t>
            </w:r>
          </w:p>
        </w:tc>
        <w:tc>
          <w:tcPr>
            <w:tcW w:w="1027" w:type="dxa"/>
            <w:tcBorders/>
            <w:shd w:fill="auto" w:val="clear"/>
            <w:vAlign w:val="bottom"/>
          </w:tcPr>
          <w:p>
            <w:pPr>
              <w:pStyle w:val="TableContents"/>
              <w:spacing w:before="0" w:after="283"/>
              <w:jc w:val="right"/>
              <w:rPr>
                <w:b/>
              </w:rPr>
            </w:pPr>
            <w:r>
              <w:rPr>
                <w:b/>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spacing w:before="0" w:after="283"/>
              <w:rPr>
                <w:b/>
              </w:rPr>
            </w:pPr>
            <w:r>
              <w:rPr>
                <w:b/>
              </w:rPr>
              <w:t>$</w:t>
            </w:r>
          </w:p>
        </w:tc>
        <w:tc>
          <w:tcPr>
            <w:tcW w:w="661" w:type="dxa"/>
            <w:tcBorders/>
            <w:shd w:fill="auto" w:val="clear"/>
            <w:vAlign w:val="bottom"/>
          </w:tcPr>
          <w:p>
            <w:pPr>
              <w:pStyle w:val="TableContents"/>
              <w:spacing w:before="0" w:after="283"/>
              <w:jc w:val="right"/>
              <w:rPr>
                <w:b/>
              </w:rPr>
            </w:pPr>
            <w:r>
              <w:rPr>
                <w:b/>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spacing w:before="0" w:after="283"/>
              <w:rPr>
                <w:b/>
              </w:rPr>
            </w:pPr>
            <w:r>
              <w:rPr>
                <w:b/>
              </w:rPr>
              <w:t>$</w:t>
            </w:r>
          </w:p>
        </w:tc>
        <w:tc>
          <w:tcPr>
            <w:tcW w:w="585" w:type="dxa"/>
            <w:tcBorders/>
            <w:shd w:fill="auto" w:val="clear"/>
            <w:vAlign w:val="bottom"/>
          </w:tcPr>
          <w:p>
            <w:pPr>
              <w:pStyle w:val="TableContents"/>
              <w:spacing w:before="0" w:after="283"/>
              <w:jc w:val="right"/>
              <w:rPr>
                <w:b/>
              </w:rPr>
            </w:pPr>
            <w:r>
              <w:rPr>
                <w:b/>
              </w:rPr>
              <w:t>133</w:t>
            </w:r>
          </w:p>
        </w:tc>
        <w:tc>
          <w:tcPr>
            <w:tcW w:w="60" w:type="dxa"/>
            <w:tcBorders/>
            <w:shd w:fill="auto" w:val="clear"/>
            <w:vAlign w:val="bottom"/>
          </w:tcPr>
          <w:p>
            <w:pPr>
              <w:pStyle w:val="TableContents"/>
              <w:spacing w:before="0" w:after="283"/>
              <w:rPr/>
            </w:pPr>
            <w:r>
              <w:rPr/>
              <w:t> </w:t>
            </w:r>
          </w:p>
        </w:tc>
      </w:tr>
      <w:tr>
        <w:trPr/>
        <w:tc>
          <w:tcPr>
            <w:tcW w:w="152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pBdr>
                <w:top w:val="double" w:sz="6" w:space="1" w:color="000000"/>
              </w:pBdr>
              <w:spacing w:before="0" w:after="0"/>
              <w:rPr/>
            </w:pPr>
            <w:r>
              <w:rPr/>
              <w:t> </w:t>
            </w:r>
          </w:p>
        </w:tc>
        <w:tc>
          <w:tcPr>
            <w:tcW w:w="1174"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30" w:type="dxa"/>
            <w:tcBorders/>
            <w:shd w:fill="auto" w:val="clear"/>
            <w:vAlign w:val="bottom"/>
          </w:tcPr>
          <w:p>
            <w:pPr>
              <w:pStyle w:val="TableContents"/>
              <w:pBdr>
                <w:top w:val="double" w:sz="6" w:space="1" w:color="000000"/>
              </w:pBdr>
              <w:spacing w:before="0" w:after="0"/>
              <w:rPr/>
            </w:pPr>
            <w:r>
              <w:rPr/>
              <w:t> </w:t>
            </w:r>
          </w:p>
        </w:tc>
        <w:tc>
          <w:tcPr>
            <w:tcW w:w="755"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93" w:type="dxa"/>
            <w:tcBorders/>
            <w:shd w:fill="auto" w:val="clear"/>
            <w:vAlign w:val="bottom"/>
          </w:tcPr>
          <w:p>
            <w:pPr>
              <w:pStyle w:val="TableContents"/>
              <w:pBdr>
                <w:top w:val="double" w:sz="6" w:space="1" w:color="000000"/>
              </w:pBdr>
              <w:spacing w:before="0" w:after="0"/>
              <w:rPr/>
            </w:pPr>
            <w:r>
              <w:rPr/>
              <w:t> </w:t>
            </w:r>
          </w:p>
        </w:tc>
        <w:tc>
          <w:tcPr>
            <w:tcW w:w="1042"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1" w:type="dxa"/>
            <w:tcBorders/>
            <w:shd w:fill="auto" w:val="clear"/>
            <w:vAlign w:val="bottom"/>
          </w:tcPr>
          <w:p>
            <w:pPr>
              <w:pStyle w:val="TableContents"/>
              <w:pBdr>
                <w:top w:val="double" w:sz="6" w:space="1" w:color="000000"/>
              </w:pBdr>
              <w:spacing w:before="0" w:after="0"/>
              <w:rPr/>
            </w:pPr>
            <w:r>
              <w:rPr/>
              <w:t> </w:t>
            </w:r>
          </w:p>
        </w:tc>
        <w:tc>
          <w:tcPr>
            <w:tcW w:w="1194"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1" w:type="dxa"/>
            <w:tcBorders/>
            <w:shd w:fill="auto" w:val="clear"/>
            <w:vAlign w:val="bottom"/>
          </w:tcPr>
          <w:p>
            <w:pPr>
              <w:pStyle w:val="TableContents"/>
              <w:pBdr>
                <w:top w:val="double" w:sz="6" w:space="1" w:color="000000"/>
              </w:pBdr>
              <w:spacing w:before="0" w:after="0"/>
              <w:rPr/>
            </w:pPr>
            <w:r>
              <w:rPr/>
              <w:t> </w:t>
            </w:r>
          </w:p>
        </w:tc>
        <w:tc>
          <w:tcPr>
            <w:tcW w:w="739"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pBdr>
                <w:top w:val="double" w:sz="6" w:space="1" w:color="000000"/>
              </w:pBdr>
              <w:spacing w:before="0" w:after="0"/>
              <w:rPr/>
            </w:pPr>
            <w:r>
              <w:rPr/>
              <w:t> </w:t>
            </w:r>
          </w:p>
        </w:tc>
        <w:tc>
          <w:tcPr>
            <w:tcW w:w="703"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448" w:type="dxa"/>
            <w:tcBorders/>
            <w:shd w:fill="auto" w:val="clear"/>
            <w:vAlign w:val="bottom"/>
          </w:tcPr>
          <w:p>
            <w:pPr>
              <w:pStyle w:val="TableContents"/>
              <w:pBdr>
                <w:top w:val="double" w:sz="6" w:space="1" w:color="000000"/>
              </w:pBdr>
              <w:spacing w:before="0" w:after="0"/>
              <w:rPr/>
            </w:pPr>
            <w:r>
              <w:rPr/>
              <w:t> </w:t>
            </w:r>
          </w:p>
        </w:tc>
        <w:tc>
          <w:tcPr>
            <w:tcW w:w="1027"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9" w:type="dxa"/>
            <w:tcBorders/>
            <w:shd w:fill="auto" w:val="clear"/>
            <w:vAlign w:val="bottom"/>
          </w:tcPr>
          <w:p>
            <w:pPr>
              <w:pStyle w:val="TableContents"/>
              <w:pBdr>
                <w:top w:val="double" w:sz="6" w:space="1" w:color="000000"/>
              </w:pBdr>
              <w:spacing w:before="0" w:after="0"/>
              <w:rPr/>
            </w:pPr>
            <w:r>
              <w:rPr/>
              <w:t> </w:t>
            </w:r>
          </w:p>
        </w:tc>
        <w:tc>
          <w:tcPr>
            <w:tcW w:w="661"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5" w:type="dxa"/>
            <w:tcBorders/>
            <w:shd w:fill="auto" w:val="clear"/>
            <w:vAlign w:val="bottom"/>
          </w:tcPr>
          <w:p>
            <w:pPr>
              <w:pStyle w:val="TableContents"/>
              <w:pBdr>
                <w:top w:val="double" w:sz="6" w:space="1" w:color="000000"/>
              </w:pBdr>
              <w:spacing w:before="0" w:after="0"/>
              <w:rPr/>
            </w:pPr>
            <w:r>
              <w:rPr/>
              <w:t> </w:t>
            </w:r>
          </w:p>
        </w:tc>
        <w:tc>
          <w:tcPr>
            <w:tcW w:w="585"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(a)</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Gross additions include increases in the cost basis of investments resulting from new investments, payment-in-kind interest or dividends, the amortization of any unearned income or discounts on debt investments, as applicable. </w:t>
            </w:r>
          </w:p>
        </w:tc>
      </w:tr>
    </w:tbl>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 </w:t>
            </w:r>
          </w:p>
        </w:tc>
      </w:tr>
    </w:tbl>
    <w:tbl>
      <w:tblPr>
        <w:tblW w:w="5000" w:type="pct"/>
        <w:jc w:val="left"/>
        <w:tblInd w:w="0" w:type="dxa"/>
        <w:tblCellMar>
          <w:top w:w="0" w:type="dxa"/>
          <w:left w:w="0" w:type="dxa"/>
          <w:bottom w:w="0" w:type="dxa"/>
          <w:right w:w="0" w:type="dxa"/>
        </w:tblCellMar>
      </w:tblPr>
      <w:tblGrid>
        <w:gridCol w:w="406"/>
        <w:gridCol w:w="509"/>
        <w:gridCol w:w="9290"/>
      </w:tblGrid>
      <w:tr>
        <w:trPr/>
        <w:tc>
          <w:tcPr>
            <w:tcW w:w="406"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(c)</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Includes investment in SMPA Holdings, LLC of 15,000 common equity units.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(7)</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nine months ended September 30, 2022 in which the Company was an Affiliated Person of and was deemed to Control a portfolio company are as follows: </w:t>
            </w:r>
          </w:p>
        </w:tc>
      </w:tr>
    </w:tbl>
    <w:p>
      <w:pPr>
        <w:pStyle w:val="TextBody"/>
        <w:spacing w:before="360" w:after="0"/>
        <w:jc w:val="center"/>
        <w:rPr>
          <w:rFonts w:ascii="Times New Roman" w:hAnsi="Times New Roman"/>
          <w:b/>
          <w:sz w:val="20"/>
          <w:u w:val="single"/>
        </w:rPr>
      </w:pPr>
      <w:r>
        <w:rPr>
          <w:rFonts w:ascii="Times New Roman" w:hAnsi="Times New Roman"/>
          <w:b/>
          <w:sz w:val="20"/>
          <w:u w:val="single"/>
        </w:rPr>
        <w:t xml:space="preserve">Controlled, Affiliated Investments during the nine months ended September 30, 2022 </w:t>
      </w:r>
    </w:p>
    <w:p>
      <w:pPr>
        <w:pStyle w:val="TextBody"/>
        <w:spacing w:before="0" w:after="0"/>
        <w:rPr/>
      </w:pPr>
      <w:r>
        <w:rPr/>
        <w:t> </w:t>
      </w:r>
    </w:p>
    <w:tbl>
      <w:tblPr>
        <w:tblW w:w="12040" w:type="dxa"/>
        <w:jc w:val="center"/>
        <w:tblInd w:w="0" w:type="dxa"/>
        <w:tblCellMar>
          <w:top w:w="0" w:type="dxa"/>
          <w:left w:w="0" w:type="dxa"/>
          <w:bottom w:w="0" w:type="dxa"/>
          <w:right w:w="0" w:type="dxa"/>
        </w:tblCellMar>
      </w:tblPr>
      <w:tblGrid>
        <w:gridCol w:w="770"/>
        <w:gridCol w:w="60"/>
        <w:gridCol w:w="241"/>
        <w:gridCol w:w="1174"/>
        <w:gridCol w:w="60"/>
        <w:gridCol w:w="60"/>
        <w:gridCol w:w="217"/>
        <w:gridCol w:w="868"/>
        <w:gridCol w:w="60"/>
        <w:gridCol w:w="60"/>
        <w:gridCol w:w="223"/>
        <w:gridCol w:w="1012"/>
        <w:gridCol w:w="155"/>
        <w:gridCol w:w="60"/>
        <w:gridCol w:w="283"/>
        <w:gridCol w:w="1132"/>
        <w:gridCol w:w="60"/>
        <w:gridCol w:w="60"/>
        <w:gridCol w:w="270"/>
        <w:gridCol w:w="620"/>
        <w:gridCol w:w="60"/>
        <w:gridCol w:w="60"/>
        <w:gridCol w:w="307"/>
        <w:gridCol w:w="703"/>
        <w:gridCol w:w="60"/>
        <w:gridCol w:w="60"/>
        <w:gridCol w:w="251"/>
        <w:gridCol w:w="1224"/>
        <w:gridCol w:w="60"/>
        <w:gridCol w:w="60"/>
        <w:gridCol w:w="234"/>
        <w:gridCol w:w="536"/>
        <w:gridCol w:w="60"/>
        <w:gridCol w:w="60"/>
        <w:gridCol w:w="160"/>
        <w:gridCol w:w="640"/>
        <w:gridCol w:w="60"/>
      </w:tblGrid>
      <w:tr>
        <w:trPr/>
        <w:tc>
          <w:tcPr>
            <w:tcW w:w="77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13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22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536"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770" w:type="dxa"/>
            <w:tcBorders/>
            <w:shd w:fill="auto" w:val="clear"/>
            <w:vAlign w:val="bottom"/>
          </w:tcPr>
          <w:p>
            <w:pPr>
              <w:pStyle w:val="TableContents"/>
              <w:pBdr>
                <w:bottom w:val="single" w:sz="8" w:space="1" w:color="000000"/>
              </w:pBdr>
              <w:spacing w:before="0" w:after="0"/>
              <w:rPr>
                <w:rFonts w:ascii="Times New Roman" w:hAnsi="Times New Roman"/>
                <w:b/>
                <w:sz w:val="15"/>
              </w:rPr>
            </w:pPr>
            <w:r>
              <w:rPr>
                <w:rFonts w:ascii="Times New Roman" w:hAnsi="Times New Roman"/>
                <w:b/>
                <w:sz w:val="15"/>
              </w:rPr>
              <w:t>Company</w:t>
            </w:r>
          </w:p>
        </w:tc>
        <w:tc>
          <w:tcPr>
            <w:tcW w:w="60"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Fair</w:t>
              <w:br/>
              <w:t>Value at</w:t>
              <w:br/>
              <w:t>December 31,</w:t>
              <w:br/>
              <w:t>2021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Gross</w:t>
              <w:br/>
              <w:t>Additions(a)</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3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Gross</w:t>
              <w:br/>
              <w:t>Reductions(b)</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Net Change</w:t>
              <w:br/>
              <w:t>In Unrealized</w:t>
              <w:br/>
              <w:t>Gain/(Loss)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Realized</w:t>
              <w:br/>
              <w:t>Gain/(Loss)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1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Transfers</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Fair</w:t>
              <w:br/>
              <w:t>Value at</w:t>
              <w:br/>
              <w:t>September 30,</w:t>
              <w:br/>
              <w:t>2022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7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Other</w:t>
              <w:br/>
              <w:t>Income</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Interest</w:t>
              <w:br/>
              <w:t>Income</w:t>
            </w:r>
          </w:p>
        </w:tc>
        <w:tc>
          <w:tcPr>
            <w:tcW w:w="60" w:type="dxa"/>
            <w:tcBorders/>
            <w:shd w:fill="auto" w:val="clear"/>
            <w:vAlign w:val="bottom"/>
          </w:tcPr>
          <w:p>
            <w:pPr>
              <w:pStyle w:val="TableContents"/>
              <w:spacing w:before="0" w:after="283"/>
              <w:rPr/>
            </w:pPr>
            <w:r>
              <w:rPr/>
              <w:t> </w:t>
            </w:r>
          </w:p>
        </w:tc>
      </w:tr>
      <w:tr>
        <w:trPr/>
        <w:tc>
          <w:tcPr>
            <w:tcW w:w="770" w:type="dxa"/>
            <w:tcBorders/>
            <w:shd w:fill="CCEEFF" w:val="clear"/>
          </w:tcPr>
          <w:p>
            <w:pPr>
              <w:pStyle w:val="TableContents"/>
              <w:spacing w:before="0" w:after="0"/>
              <w:rPr>
                <w:rFonts w:ascii="Times New Roman" w:hAnsi="Times New Roman"/>
                <w:sz w:val="16"/>
              </w:rPr>
            </w:pPr>
            <w:r>
              <w:rPr>
                <w:rFonts w:ascii="Times New Roman" w:hAnsi="Times New Roman"/>
                <w:sz w:val="16"/>
              </w:rPr>
              <w:t>IRGSE Holding Corp.</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pPr>
            <w:r>
              <w:rPr/>
              <w:t>$</w:t>
            </w:r>
          </w:p>
        </w:tc>
        <w:tc>
          <w:tcPr>
            <w:tcW w:w="1174" w:type="dxa"/>
            <w:tcBorders/>
            <w:shd w:fill="CCEEFF" w:val="clear"/>
            <w:vAlign w:val="bottom"/>
          </w:tcPr>
          <w:p>
            <w:pPr>
              <w:pStyle w:val="TableContents"/>
              <w:spacing w:before="0" w:after="283"/>
              <w:jc w:val="right"/>
              <w:rPr/>
            </w:pPr>
            <w:r>
              <w:rPr/>
              <w:t>59,779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pPr>
            <w:r>
              <w:rPr/>
              <w:t>$</w:t>
            </w:r>
          </w:p>
        </w:tc>
        <w:tc>
          <w:tcPr>
            <w:tcW w:w="868" w:type="dxa"/>
            <w:tcBorders/>
            <w:shd w:fill="CCEEFF" w:val="clear"/>
            <w:vAlign w:val="bottom"/>
          </w:tcPr>
          <w:p>
            <w:pPr>
              <w:pStyle w:val="TableContents"/>
              <w:spacing w:before="0" w:after="283"/>
              <w:jc w:val="right"/>
              <w:rPr/>
            </w:pPr>
            <w:r>
              <w:rPr/>
              <w:t>2,500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pPr>
            <w:r>
              <w:rPr/>
              <w:t>$</w:t>
            </w:r>
          </w:p>
        </w:tc>
        <w:tc>
          <w:tcPr>
            <w:tcW w:w="1012" w:type="dxa"/>
            <w:tcBorders/>
            <w:shd w:fill="CCEEFF" w:val="clear"/>
            <w:vAlign w:val="bottom"/>
          </w:tcPr>
          <w:p>
            <w:pPr>
              <w:pStyle w:val="TableContents"/>
              <w:spacing w:before="0" w:after="283"/>
              <w:jc w:val="right"/>
              <w:rPr/>
            </w:pPr>
            <w:r>
              <w:rPr/>
              <w:t>  </w:t>
            </w:r>
          </w:p>
        </w:tc>
        <w:tc>
          <w:tcPr>
            <w:tcW w:w="15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pPr>
            <w:r>
              <w:rPr/>
              <w:t>$</w:t>
            </w:r>
          </w:p>
        </w:tc>
        <w:tc>
          <w:tcPr>
            <w:tcW w:w="1132" w:type="dxa"/>
            <w:tcBorders/>
            <w:shd w:fill="CCEEFF" w:val="clear"/>
            <w:vAlign w:val="bottom"/>
          </w:tcPr>
          <w:p>
            <w:pPr>
              <w:pStyle w:val="TableContents"/>
              <w:spacing w:before="0" w:after="283"/>
              <w:jc w:val="right"/>
              <w:rPr/>
            </w:pPr>
            <w:r>
              <w:rPr/>
              <w:t>7,990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pPr>
            <w:r>
              <w:rPr/>
              <w:t>$</w:t>
            </w:r>
          </w:p>
        </w:tc>
        <w:tc>
          <w:tcPr>
            <w:tcW w:w="620"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pPr>
            <w:r>
              <w:rPr/>
              <w:t>$</w:t>
            </w:r>
          </w:p>
        </w:tc>
        <w:tc>
          <w:tcPr>
            <w:tcW w:w="703" w:type="dxa"/>
            <w:tcBorders/>
            <w:shd w:fill="CCEEFF" w:val="clear"/>
            <w:vAlign w:val="bottom"/>
          </w:tcPr>
          <w:p>
            <w:pPr>
              <w:pStyle w:val="TableContents"/>
              <w:spacing w:before="0" w:after="283"/>
              <w:jc w:val="right"/>
              <w:rPr/>
            </w:pPr>
            <w:r>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pPr>
            <w:r>
              <w:rPr/>
              <w:t>$</w:t>
            </w:r>
          </w:p>
        </w:tc>
        <w:tc>
          <w:tcPr>
            <w:tcW w:w="1224" w:type="dxa"/>
            <w:tcBorders/>
            <w:shd w:fill="CCEEFF" w:val="clear"/>
            <w:vAlign w:val="bottom"/>
          </w:tcPr>
          <w:p>
            <w:pPr>
              <w:pStyle w:val="TableContents"/>
              <w:spacing w:before="0" w:after="283"/>
              <w:jc w:val="right"/>
              <w:rPr/>
            </w:pPr>
            <w:r>
              <w:rPr/>
              <w:t>70,269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pPr>
            <w:r>
              <w:rPr/>
              <w:t>$</w:t>
            </w:r>
          </w:p>
        </w:tc>
        <w:tc>
          <w:tcPr>
            <w:tcW w:w="536" w:type="dxa"/>
            <w:tcBorders/>
            <w:shd w:fill="CCEEFF" w:val="clear"/>
            <w:vAlign w:val="bottom"/>
          </w:tcPr>
          <w:p>
            <w:pPr>
              <w:pStyle w:val="TableContents"/>
              <w:spacing w:before="0" w:after="283"/>
              <w:jc w:val="right"/>
              <w:rPr/>
            </w:pPr>
            <w:r>
              <w:rPr/>
              <w:t>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w:t>
            </w:r>
          </w:p>
        </w:tc>
        <w:tc>
          <w:tcPr>
            <w:tcW w:w="640" w:type="dxa"/>
            <w:tcBorders/>
            <w:shd w:fill="CCEEFF" w:val="clear"/>
            <w:vAlign w:val="bottom"/>
          </w:tcPr>
          <w:p>
            <w:pPr>
              <w:pStyle w:val="TableContents"/>
              <w:spacing w:before="0" w:after="283"/>
              <w:jc w:val="right"/>
              <w:rPr/>
            </w:pPr>
            <w:r>
              <w:rPr/>
              <w:t>3,520</w:t>
            </w:r>
          </w:p>
        </w:tc>
        <w:tc>
          <w:tcPr>
            <w:tcW w:w="60" w:type="dxa"/>
            <w:tcBorders/>
            <w:shd w:fill="CCEEFF" w:val="clear"/>
            <w:vAlign w:val="bottom"/>
          </w:tcPr>
          <w:p>
            <w:pPr>
              <w:pStyle w:val="TableContents"/>
              <w:spacing w:before="0" w:after="283"/>
              <w:rPr/>
            </w:pPr>
            <w:r>
              <w:rPr/>
              <w:t> </w:t>
            </w:r>
          </w:p>
        </w:tc>
      </w:tr>
      <w:tr>
        <w:trPr/>
        <w:tc>
          <w:tcPr>
            <w:tcW w:w="770" w:type="dxa"/>
            <w:tcBorders/>
            <w:shd w:fill="auto" w:val="clear"/>
          </w:tcPr>
          <w:p>
            <w:pPr>
              <w:pStyle w:val="TableContents"/>
              <w:spacing w:before="0" w:after="0"/>
              <w:rPr>
                <w:rFonts w:ascii="Times New Roman" w:hAnsi="Times New Roman"/>
                <w:sz w:val="16"/>
              </w:rPr>
            </w:pPr>
            <w:r>
              <w:rPr>
                <w:rFonts w:ascii="Times New Roman" w:hAnsi="Times New Roman"/>
                <w:sz w:val="16"/>
              </w:rPr>
              <w:t>Mississippi Resources, LLC</w:t>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spacing w:before="0" w:after="283"/>
              <w:rPr/>
            </w:pPr>
            <w:r>
              <w:rPr/>
              <w:t> </w:t>
            </w:r>
          </w:p>
        </w:tc>
        <w:tc>
          <w:tcPr>
            <w:tcW w:w="117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spacing w:before="0" w:after="283"/>
              <w:rPr/>
            </w:pPr>
            <w:r>
              <w:rPr/>
              <w:t> </w:t>
            </w:r>
          </w:p>
        </w:tc>
        <w:tc>
          <w:tcPr>
            <w:tcW w:w="1012" w:type="dxa"/>
            <w:tcBorders/>
            <w:shd w:fill="auto" w:val="clear"/>
            <w:vAlign w:val="bottom"/>
          </w:tcPr>
          <w:p>
            <w:pPr>
              <w:pStyle w:val="TableContents"/>
              <w:spacing w:before="0" w:after="283"/>
              <w:jc w:val="right"/>
              <w:rPr/>
            </w:pPr>
            <w:r>
              <w:rPr/>
              <w:t>(1,553</w:t>
            </w:r>
          </w:p>
        </w:tc>
        <w:tc>
          <w:tcPr>
            <w:tcW w:w="15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spacing w:before="0" w:after="283"/>
              <w:rPr/>
            </w:pPr>
            <w:r>
              <w:rPr/>
              <w:t> </w:t>
            </w:r>
          </w:p>
        </w:tc>
        <w:tc>
          <w:tcPr>
            <w:tcW w:w="1132" w:type="dxa"/>
            <w:tcBorders/>
            <w:shd w:fill="auto" w:val="clear"/>
            <w:vAlign w:val="bottom"/>
          </w:tcPr>
          <w:p>
            <w:pPr>
              <w:pStyle w:val="TableContents"/>
              <w:spacing w:before="0" w:after="283"/>
              <w:jc w:val="right"/>
              <w:rPr/>
            </w:pPr>
            <w:r>
              <w:rPr/>
              <w:t>1,498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pPr>
            <w:r>
              <w:rPr/>
              <w:t>55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spacing w:before="0" w:after="283"/>
              <w:rPr/>
            </w:pPr>
            <w:r>
              <w:rPr/>
              <w:t> </w:t>
            </w:r>
          </w:p>
        </w:tc>
        <w:tc>
          <w:tcPr>
            <w:tcW w:w="703"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spacing w:before="0" w:after="283"/>
              <w:rPr/>
            </w:pPr>
            <w:r>
              <w:rPr/>
              <w:t> </w:t>
            </w:r>
          </w:p>
        </w:tc>
        <w:tc>
          <w:tcPr>
            <w:tcW w:w="1224"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spacing w:before="0" w:after="283"/>
              <w:rPr/>
            </w:pPr>
            <w:r>
              <w:rPr/>
              <w:t> </w:t>
            </w:r>
          </w:p>
        </w:tc>
        <w:tc>
          <w:tcPr>
            <w:tcW w:w="536"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640" w:type="dxa"/>
            <w:tcBorders/>
            <w:shd w:fill="auto" w:val="clear"/>
            <w:vAlign w:val="bottom"/>
          </w:tcPr>
          <w:p>
            <w:pPr>
              <w:pStyle w:val="TableContents"/>
              <w:spacing w:before="0" w:after="283"/>
              <w:jc w:val="right"/>
              <w:rPr/>
            </w:pPr>
            <w:r>
              <w:rPr/>
              <w:t>  </w:t>
            </w:r>
          </w:p>
        </w:tc>
        <w:tc>
          <w:tcPr>
            <w:tcW w:w="60" w:type="dxa"/>
            <w:tcBorders/>
            <w:shd w:fill="auto" w:val="clear"/>
            <w:vAlign w:val="bottom"/>
          </w:tcPr>
          <w:p>
            <w:pPr>
              <w:pStyle w:val="TableContents"/>
              <w:spacing w:before="0" w:after="283"/>
              <w:rPr/>
            </w:pPr>
            <w:r>
              <w:rPr/>
              <w:t> </w:t>
            </w:r>
          </w:p>
        </w:tc>
      </w:tr>
      <w:tr>
        <w:trPr/>
        <w:tc>
          <w:tcPr>
            <w:tcW w:w="77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pBdr>
                <w:top w:val="single" w:sz="2" w:space="1" w:color="000000"/>
              </w:pBdr>
              <w:spacing w:before="0" w:after="0"/>
              <w:rPr/>
            </w:pPr>
            <w:r>
              <w:rPr/>
              <w:t> </w:t>
            </w:r>
          </w:p>
        </w:tc>
        <w:tc>
          <w:tcPr>
            <w:tcW w:w="117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pBdr>
                <w:top w:val="single" w:sz="2" w:space="1" w:color="000000"/>
              </w:pBdr>
              <w:spacing w:before="0" w:after="0"/>
              <w:rPr/>
            </w:pPr>
            <w:r>
              <w:rPr/>
              <w:t> </w:t>
            </w:r>
          </w:p>
        </w:tc>
        <w:tc>
          <w:tcPr>
            <w:tcW w:w="868"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pBdr>
                <w:top w:val="single" w:sz="2" w:space="1" w:color="000000"/>
              </w:pBdr>
              <w:spacing w:before="0" w:after="0"/>
              <w:rPr/>
            </w:pPr>
            <w:r>
              <w:rPr/>
              <w:t> </w:t>
            </w:r>
          </w:p>
        </w:tc>
        <w:tc>
          <w:tcPr>
            <w:tcW w:w="1012" w:type="dxa"/>
            <w:tcBorders/>
            <w:shd w:fill="auto" w:val="clear"/>
            <w:vAlign w:val="bottom"/>
          </w:tcPr>
          <w:p>
            <w:pPr>
              <w:pStyle w:val="TableContents"/>
              <w:pBdr>
                <w:top w:val="single" w:sz="2"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pBdr>
                <w:top w:val="single" w:sz="2" w:space="1" w:color="000000"/>
              </w:pBdr>
              <w:spacing w:before="0" w:after="0"/>
              <w:rPr/>
            </w:pPr>
            <w:r>
              <w:rPr/>
              <w:t> </w:t>
            </w:r>
          </w:p>
        </w:tc>
        <w:tc>
          <w:tcPr>
            <w:tcW w:w="1132"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pBdr>
                <w:top w:val="single" w:sz="2" w:space="1" w:color="000000"/>
              </w:pBdr>
              <w:spacing w:before="0" w:after="0"/>
              <w:rPr/>
            </w:pPr>
            <w:r>
              <w:rPr/>
              <w:t> </w:t>
            </w:r>
          </w:p>
        </w:tc>
        <w:tc>
          <w:tcPr>
            <w:tcW w:w="62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pBdr>
                <w:top w:val="single" w:sz="2" w:space="1" w:color="000000"/>
              </w:pBdr>
              <w:spacing w:before="0" w:after="0"/>
              <w:rPr/>
            </w:pPr>
            <w:r>
              <w:rPr/>
              <w:t> </w:t>
            </w:r>
          </w:p>
        </w:tc>
        <w:tc>
          <w:tcPr>
            <w:tcW w:w="703"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pBdr>
                <w:top w:val="single" w:sz="2" w:space="1" w:color="000000"/>
              </w:pBdr>
              <w:spacing w:before="0" w:after="0"/>
              <w:rPr/>
            </w:pPr>
            <w:r>
              <w:rPr/>
              <w:t> </w:t>
            </w:r>
          </w:p>
        </w:tc>
        <w:tc>
          <w:tcPr>
            <w:tcW w:w="1224"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pBdr>
                <w:top w:val="single" w:sz="2" w:space="1" w:color="000000"/>
              </w:pBdr>
              <w:spacing w:before="0" w:after="0"/>
              <w:rPr/>
            </w:pPr>
            <w:r>
              <w:rPr/>
              <w:t> </w:t>
            </w:r>
          </w:p>
        </w:tc>
        <w:tc>
          <w:tcPr>
            <w:tcW w:w="536"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pBdr>
                <w:top w:val="single" w:sz="2" w:space="1" w:color="000000"/>
              </w:pBdr>
              <w:spacing w:before="0" w:after="0"/>
              <w:rPr/>
            </w:pPr>
            <w:r>
              <w:rPr/>
              <w:t> </w:t>
            </w:r>
          </w:p>
        </w:tc>
        <w:tc>
          <w:tcPr>
            <w:tcW w:w="640" w:type="dxa"/>
            <w:tcBorders/>
            <w:shd w:fill="auto" w:val="clear"/>
            <w:vAlign w:val="bottom"/>
          </w:tcPr>
          <w:p>
            <w:pPr>
              <w:pStyle w:val="TableContents"/>
              <w:pBdr>
                <w:top w:val="single" w:sz="2" w:space="1" w:color="000000"/>
              </w:pBdr>
              <w:spacing w:before="0" w:after="0"/>
              <w:rPr/>
            </w:pPr>
            <w:r>
              <w:rPr/>
              <w:t> </w:t>
            </w:r>
          </w:p>
        </w:tc>
        <w:tc>
          <w:tcPr>
            <w:tcW w:w="60" w:type="dxa"/>
            <w:tcBorders/>
            <w:shd w:fill="auto" w:val="clear"/>
            <w:vAlign w:val="center"/>
          </w:tcPr>
          <w:p>
            <w:pPr>
              <w:pStyle w:val="TableContents"/>
              <w:spacing w:before="0" w:after="283"/>
              <w:rPr/>
            </w:pPr>
            <w:r>
              <w:rPr/>
              <w:t> </w:t>
            </w:r>
          </w:p>
        </w:tc>
      </w:tr>
      <w:tr>
        <w:trPr/>
        <w:tc>
          <w:tcPr>
            <w:tcW w:w="770" w:type="dxa"/>
            <w:tcBorders/>
            <w:shd w:fill="CCEEFF" w:val="clear"/>
          </w:tcPr>
          <w:p>
            <w:pPr>
              <w:pStyle w:val="TableContents"/>
              <w:spacing w:before="0" w:after="0"/>
              <w:rPr>
                <w:rFonts w:ascii="Times New Roman" w:hAnsi="Times New Roman"/>
                <w:b/>
                <w:sz w:val="16"/>
              </w:rPr>
            </w:pPr>
            <w:r>
              <w:rPr>
                <w:rFonts w:ascii="Times New Roman" w:hAnsi="Times New Roman"/>
                <w:b/>
                <w:sz w:val="16"/>
              </w:rPr>
              <w:t>Total</w:t>
            </w:r>
          </w:p>
        </w:tc>
        <w:tc>
          <w:tcPr>
            <w:tcW w:w="60" w:type="dxa"/>
            <w:tcBorders/>
            <w:shd w:fill="CCEEFF" w:val="clear"/>
            <w:vAlign w:val="bottom"/>
          </w:tcPr>
          <w:p>
            <w:pPr>
              <w:pStyle w:val="TableContents"/>
              <w:spacing w:before="0" w:after="283"/>
              <w:rPr/>
            </w:pPr>
            <w:r>
              <w:rPr/>
              <w:t> </w:t>
            </w:r>
          </w:p>
        </w:tc>
        <w:tc>
          <w:tcPr>
            <w:tcW w:w="241" w:type="dxa"/>
            <w:tcBorders/>
            <w:shd w:fill="CCEEFF" w:val="clear"/>
            <w:vAlign w:val="bottom"/>
          </w:tcPr>
          <w:p>
            <w:pPr>
              <w:pStyle w:val="TableContents"/>
              <w:spacing w:before="0" w:after="283"/>
              <w:rPr>
                <w:b/>
              </w:rPr>
            </w:pPr>
            <w:r>
              <w:rPr>
                <w:b/>
              </w:rPr>
              <w:t>$</w:t>
            </w:r>
          </w:p>
        </w:tc>
        <w:tc>
          <w:tcPr>
            <w:tcW w:w="1174" w:type="dxa"/>
            <w:tcBorders/>
            <w:shd w:fill="CCEEFF" w:val="clear"/>
            <w:vAlign w:val="bottom"/>
          </w:tcPr>
          <w:p>
            <w:pPr>
              <w:pStyle w:val="TableContents"/>
              <w:spacing w:before="0" w:after="283"/>
              <w:jc w:val="right"/>
              <w:rPr>
                <w:b/>
              </w:rPr>
            </w:pPr>
            <w:r>
              <w:rPr>
                <w:b/>
              </w:rPr>
              <w:t>59,779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17" w:type="dxa"/>
            <w:tcBorders/>
            <w:shd w:fill="CCEEFF" w:val="clear"/>
            <w:vAlign w:val="bottom"/>
          </w:tcPr>
          <w:p>
            <w:pPr>
              <w:pStyle w:val="TableContents"/>
              <w:spacing w:before="0" w:after="283"/>
              <w:rPr>
                <w:b/>
              </w:rPr>
            </w:pPr>
            <w:r>
              <w:rPr>
                <w:b/>
              </w:rPr>
              <w:t>$</w:t>
            </w:r>
          </w:p>
        </w:tc>
        <w:tc>
          <w:tcPr>
            <w:tcW w:w="868" w:type="dxa"/>
            <w:tcBorders/>
            <w:shd w:fill="CCEEFF" w:val="clear"/>
            <w:vAlign w:val="bottom"/>
          </w:tcPr>
          <w:p>
            <w:pPr>
              <w:pStyle w:val="TableContents"/>
              <w:spacing w:before="0" w:after="283"/>
              <w:jc w:val="right"/>
              <w:rPr>
                <w:b/>
              </w:rPr>
            </w:pPr>
            <w:r>
              <w:rPr>
                <w:b/>
              </w:rPr>
              <w:t>2,500</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23" w:type="dxa"/>
            <w:tcBorders/>
            <w:shd w:fill="CCEEFF" w:val="clear"/>
            <w:vAlign w:val="bottom"/>
          </w:tcPr>
          <w:p>
            <w:pPr>
              <w:pStyle w:val="TableContents"/>
              <w:spacing w:before="0" w:after="283"/>
              <w:rPr>
                <w:b/>
              </w:rPr>
            </w:pPr>
            <w:r>
              <w:rPr>
                <w:b/>
              </w:rPr>
              <w:t>$</w:t>
            </w:r>
          </w:p>
        </w:tc>
        <w:tc>
          <w:tcPr>
            <w:tcW w:w="1012" w:type="dxa"/>
            <w:tcBorders/>
            <w:shd w:fill="CCEEFF" w:val="clear"/>
            <w:vAlign w:val="bottom"/>
          </w:tcPr>
          <w:p>
            <w:pPr>
              <w:pStyle w:val="TableContents"/>
              <w:spacing w:before="0" w:after="283"/>
              <w:jc w:val="right"/>
              <w:rPr>
                <w:b/>
              </w:rPr>
            </w:pPr>
            <w:r>
              <w:rPr>
                <w:b/>
              </w:rPr>
              <w:t>(1,553</w:t>
            </w:r>
          </w:p>
        </w:tc>
        <w:tc>
          <w:tcPr>
            <w:tcW w:w="155" w:type="dxa"/>
            <w:tcBorders/>
            <w:shd w:fill="CCEEFF" w:val="clear"/>
            <w:vAlign w:val="bottom"/>
          </w:tcPr>
          <w:p>
            <w:pPr>
              <w:pStyle w:val="TableContents"/>
              <w:spacing w:before="0" w:after="283"/>
              <w:rPr>
                <w:b/>
              </w:rPr>
            </w:pPr>
            <w:r>
              <w:rPr>
                <w:b/>
              </w:rPr>
              <w:t>) </w:t>
            </w:r>
          </w:p>
        </w:tc>
        <w:tc>
          <w:tcPr>
            <w:tcW w:w="60" w:type="dxa"/>
            <w:tcBorders/>
            <w:shd w:fill="CCEEFF" w:val="clear"/>
            <w:vAlign w:val="bottom"/>
          </w:tcPr>
          <w:p>
            <w:pPr>
              <w:pStyle w:val="TableContents"/>
              <w:spacing w:before="0" w:after="283"/>
              <w:rPr/>
            </w:pPr>
            <w:r>
              <w:rPr/>
              <w:t> </w:t>
            </w:r>
          </w:p>
        </w:tc>
        <w:tc>
          <w:tcPr>
            <w:tcW w:w="283" w:type="dxa"/>
            <w:tcBorders/>
            <w:shd w:fill="CCEEFF" w:val="clear"/>
            <w:vAlign w:val="bottom"/>
          </w:tcPr>
          <w:p>
            <w:pPr>
              <w:pStyle w:val="TableContents"/>
              <w:spacing w:before="0" w:after="283"/>
              <w:rPr>
                <w:b/>
              </w:rPr>
            </w:pPr>
            <w:r>
              <w:rPr>
                <w:b/>
              </w:rPr>
              <w:t>$</w:t>
            </w:r>
          </w:p>
        </w:tc>
        <w:tc>
          <w:tcPr>
            <w:tcW w:w="1132" w:type="dxa"/>
            <w:tcBorders/>
            <w:shd w:fill="CCEEFF" w:val="clear"/>
            <w:vAlign w:val="bottom"/>
          </w:tcPr>
          <w:p>
            <w:pPr>
              <w:pStyle w:val="TableContents"/>
              <w:spacing w:before="0" w:after="283"/>
              <w:jc w:val="right"/>
              <w:rPr>
                <w:b/>
              </w:rPr>
            </w:pPr>
            <w:r>
              <w:rPr>
                <w:b/>
              </w:rPr>
              <w:t>9,488</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70" w:type="dxa"/>
            <w:tcBorders/>
            <w:shd w:fill="CCEEFF" w:val="clear"/>
            <w:vAlign w:val="bottom"/>
          </w:tcPr>
          <w:p>
            <w:pPr>
              <w:pStyle w:val="TableContents"/>
              <w:spacing w:before="0" w:after="283"/>
              <w:rPr>
                <w:b/>
              </w:rPr>
            </w:pPr>
            <w:r>
              <w:rPr>
                <w:b/>
              </w:rPr>
              <w:t>$</w:t>
            </w:r>
          </w:p>
        </w:tc>
        <w:tc>
          <w:tcPr>
            <w:tcW w:w="620" w:type="dxa"/>
            <w:tcBorders/>
            <w:shd w:fill="CCEEFF" w:val="clear"/>
            <w:vAlign w:val="bottom"/>
          </w:tcPr>
          <w:p>
            <w:pPr>
              <w:pStyle w:val="TableContents"/>
              <w:spacing w:before="0" w:after="283"/>
              <w:jc w:val="right"/>
              <w:rPr>
                <w:b/>
              </w:rPr>
            </w:pPr>
            <w:r>
              <w:rPr>
                <w:b/>
              </w:rPr>
              <w:t>55</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307" w:type="dxa"/>
            <w:tcBorders/>
            <w:shd w:fill="CCEEFF" w:val="clear"/>
            <w:vAlign w:val="bottom"/>
          </w:tcPr>
          <w:p>
            <w:pPr>
              <w:pStyle w:val="TableContents"/>
              <w:spacing w:before="0" w:after="283"/>
              <w:rPr>
                <w:b/>
              </w:rPr>
            </w:pPr>
            <w:r>
              <w:rPr>
                <w:b/>
              </w:rPr>
              <w:t>$</w:t>
            </w:r>
          </w:p>
        </w:tc>
        <w:tc>
          <w:tcPr>
            <w:tcW w:w="703" w:type="dxa"/>
            <w:tcBorders/>
            <w:shd w:fill="CCEEFF" w:val="clear"/>
            <w:vAlign w:val="bottom"/>
          </w:tcPr>
          <w:p>
            <w:pPr>
              <w:pStyle w:val="TableContents"/>
              <w:spacing w:before="0" w:after="283"/>
              <w:jc w:val="right"/>
              <w:rPr>
                <w:b/>
              </w:rPr>
            </w:pPr>
            <w:r>
              <w:rPr>
                <w:b/>
              </w:rPr>
              <w:t>  </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51" w:type="dxa"/>
            <w:tcBorders/>
            <w:shd w:fill="CCEEFF" w:val="clear"/>
            <w:vAlign w:val="bottom"/>
          </w:tcPr>
          <w:p>
            <w:pPr>
              <w:pStyle w:val="TableContents"/>
              <w:spacing w:before="0" w:after="283"/>
              <w:rPr>
                <w:b/>
              </w:rPr>
            </w:pPr>
            <w:r>
              <w:rPr>
                <w:b/>
              </w:rPr>
              <w:t>$</w:t>
            </w:r>
          </w:p>
        </w:tc>
        <w:tc>
          <w:tcPr>
            <w:tcW w:w="1224" w:type="dxa"/>
            <w:tcBorders/>
            <w:shd w:fill="CCEEFF" w:val="clear"/>
            <w:vAlign w:val="bottom"/>
          </w:tcPr>
          <w:p>
            <w:pPr>
              <w:pStyle w:val="TableContents"/>
              <w:spacing w:before="0" w:after="283"/>
              <w:jc w:val="right"/>
              <w:rPr>
                <w:b/>
              </w:rPr>
            </w:pPr>
            <w:r>
              <w:rPr>
                <w:b/>
              </w:rPr>
              <w:t>70,269</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234" w:type="dxa"/>
            <w:tcBorders/>
            <w:shd w:fill="CCEEFF" w:val="clear"/>
            <w:vAlign w:val="bottom"/>
          </w:tcPr>
          <w:p>
            <w:pPr>
              <w:pStyle w:val="TableContents"/>
              <w:spacing w:before="0" w:after="283"/>
              <w:rPr>
                <w:b/>
              </w:rPr>
            </w:pPr>
            <w:r>
              <w:rPr>
                <w:b/>
              </w:rPr>
              <w:t>$</w:t>
            </w:r>
          </w:p>
        </w:tc>
        <w:tc>
          <w:tcPr>
            <w:tcW w:w="536" w:type="dxa"/>
            <w:tcBorders/>
            <w:shd w:fill="CCEEFF" w:val="clear"/>
            <w:vAlign w:val="bottom"/>
          </w:tcPr>
          <w:p>
            <w:pPr>
              <w:pStyle w:val="TableContents"/>
              <w:spacing w:before="0" w:after="283"/>
              <w:jc w:val="right"/>
              <w:rPr>
                <w:b/>
              </w:rPr>
            </w:pPr>
            <w:r>
              <w:rPr>
                <w:b/>
              </w:rPr>
              <w:t>3</w:t>
            </w:r>
          </w:p>
        </w:tc>
        <w:tc>
          <w:tcPr>
            <w:tcW w:w="6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b/>
              </w:rPr>
            </w:pPr>
            <w:r>
              <w:rPr>
                <w:b/>
              </w:rPr>
              <w:t>$</w:t>
            </w:r>
          </w:p>
        </w:tc>
        <w:tc>
          <w:tcPr>
            <w:tcW w:w="640" w:type="dxa"/>
            <w:tcBorders/>
            <w:shd w:fill="CCEEFF" w:val="clear"/>
            <w:vAlign w:val="bottom"/>
          </w:tcPr>
          <w:p>
            <w:pPr>
              <w:pStyle w:val="TableContents"/>
              <w:spacing w:before="0" w:after="283"/>
              <w:jc w:val="right"/>
              <w:rPr>
                <w:b/>
              </w:rPr>
            </w:pPr>
            <w:r>
              <w:rPr>
                <w:b/>
              </w:rPr>
              <w:t>3,520</w:t>
            </w:r>
          </w:p>
        </w:tc>
        <w:tc>
          <w:tcPr>
            <w:tcW w:w="60" w:type="dxa"/>
            <w:tcBorders/>
            <w:shd w:fill="CCEEFF" w:val="clear"/>
            <w:vAlign w:val="bottom"/>
          </w:tcPr>
          <w:p>
            <w:pPr>
              <w:pStyle w:val="TableContents"/>
              <w:spacing w:before="0" w:after="283"/>
              <w:rPr/>
            </w:pPr>
            <w:r>
              <w:rPr/>
              <w:t> </w:t>
            </w:r>
          </w:p>
        </w:tc>
      </w:tr>
      <w:tr>
        <w:trPr/>
        <w:tc>
          <w:tcPr>
            <w:tcW w:w="77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41" w:type="dxa"/>
            <w:tcBorders/>
            <w:shd w:fill="auto" w:val="clear"/>
            <w:vAlign w:val="bottom"/>
          </w:tcPr>
          <w:p>
            <w:pPr>
              <w:pStyle w:val="TableContents"/>
              <w:pBdr>
                <w:top w:val="double" w:sz="6" w:space="1" w:color="000000"/>
              </w:pBdr>
              <w:spacing w:before="0" w:after="0"/>
              <w:rPr/>
            </w:pPr>
            <w:r>
              <w:rPr/>
              <w:t> </w:t>
            </w:r>
          </w:p>
        </w:tc>
        <w:tc>
          <w:tcPr>
            <w:tcW w:w="1174"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17" w:type="dxa"/>
            <w:tcBorders/>
            <w:shd w:fill="auto" w:val="clear"/>
            <w:vAlign w:val="bottom"/>
          </w:tcPr>
          <w:p>
            <w:pPr>
              <w:pStyle w:val="TableContents"/>
              <w:pBdr>
                <w:top w:val="double" w:sz="6" w:space="1" w:color="000000"/>
              </w:pBdr>
              <w:spacing w:before="0" w:after="0"/>
              <w:rPr/>
            </w:pPr>
            <w:r>
              <w:rPr/>
              <w:t> </w:t>
            </w:r>
          </w:p>
        </w:tc>
        <w:tc>
          <w:tcPr>
            <w:tcW w:w="868"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23" w:type="dxa"/>
            <w:tcBorders/>
            <w:shd w:fill="auto" w:val="clear"/>
            <w:vAlign w:val="bottom"/>
          </w:tcPr>
          <w:p>
            <w:pPr>
              <w:pStyle w:val="TableContents"/>
              <w:pBdr>
                <w:top w:val="double" w:sz="6" w:space="1" w:color="000000"/>
              </w:pBdr>
              <w:spacing w:before="0" w:after="0"/>
              <w:rPr/>
            </w:pPr>
            <w:r>
              <w:rPr/>
              <w:t> </w:t>
            </w:r>
          </w:p>
        </w:tc>
        <w:tc>
          <w:tcPr>
            <w:tcW w:w="1012" w:type="dxa"/>
            <w:tcBorders/>
            <w:shd w:fill="auto" w:val="clear"/>
            <w:vAlign w:val="bottom"/>
          </w:tcPr>
          <w:p>
            <w:pPr>
              <w:pStyle w:val="TableContents"/>
              <w:pBdr>
                <w:top w:val="double" w:sz="6" w:space="1" w:color="000000"/>
              </w:pBdr>
              <w:spacing w:before="0" w:after="0"/>
              <w:rPr/>
            </w:pPr>
            <w:r>
              <w:rPr/>
              <w:t> </w:t>
            </w:r>
          </w:p>
        </w:tc>
        <w:tc>
          <w:tcPr>
            <w:tcW w:w="155"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83" w:type="dxa"/>
            <w:tcBorders/>
            <w:shd w:fill="auto" w:val="clear"/>
            <w:vAlign w:val="bottom"/>
          </w:tcPr>
          <w:p>
            <w:pPr>
              <w:pStyle w:val="TableContents"/>
              <w:pBdr>
                <w:top w:val="double" w:sz="6" w:space="1" w:color="000000"/>
              </w:pBdr>
              <w:spacing w:before="0" w:after="0"/>
              <w:rPr/>
            </w:pPr>
            <w:r>
              <w:rPr/>
              <w:t> </w:t>
            </w:r>
          </w:p>
        </w:tc>
        <w:tc>
          <w:tcPr>
            <w:tcW w:w="1132"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70" w:type="dxa"/>
            <w:tcBorders/>
            <w:shd w:fill="auto" w:val="clear"/>
            <w:vAlign w:val="bottom"/>
          </w:tcPr>
          <w:p>
            <w:pPr>
              <w:pStyle w:val="TableContents"/>
              <w:pBdr>
                <w:top w:val="double" w:sz="6" w:space="1" w:color="000000"/>
              </w:pBdr>
              <w:spacing w:before="0" w:after="0"/>
              <w:rPr/>
            </w:pPr>
            <w:r>
              <w:rPr/>
              <w:t> </w:t>
            </w:r>
          </w:p>
        </w:tc>
        <w:tc>
          <w:tcPr>
            <w:tcW w:w="620"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07" w:type="dxa"/>
            <w:tcBorders/>
            <w:shd w:fill="auto" w:val="clear"/>
            <w:vAlign w:val="bottom"/>
          </w:tcPr>
          <w:p>
            <w:pPr>
              <w:pStyle w:val="TableContents"/>
              <w:pBdr>
                <w:top w:val="double" w:sz="6" w:space="1" w:color="000000"/>
              </w:pBdr>
              <w:spacing w:before="0" w:after="0"/>
              <w:rPr/>
            </w:pPr>
            <w:r>
              <w:rPr/>
              <w:t> </w:t>
            </w:r>
          </w:p>
        </w:tc>
        <w:tc>
          <w:tcPr>
            <w:tcW w:w="703"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51" w:type="dxa"/>
            <w:tcBorders/>
            <w:shd w:fill="auto" w:val="clear"/>
            <w:vAlign w:val="bottom"/>
          </w:tcPr>
          <w:p>
            <w:pPr>
              <w:pStyle w:val="TableContents"/>
              <w:pBdr>
                <w:top w:val="double" w:sz="6" w:space="1" w:color="000000"/>
              </w:pBdr>
              <w:spacing w:before="0" w:after="0"/>
              <w:rPr/>
            </w:pPr>
            <w:r>
              <w:rPr/>
              <w:t> </w:t>
            </w:r>
          </w:p>
        </w:tc>
        <w:tc>
          <w:tcPr>
            <w:tcW w:w="1224"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4" w:type="dxa"/>
            <w:tcBorders/>
            <w:shd w:fill="auto" w:val="clear"/>
            <w:vAlign w:val="bottom"/>
          </w:tcPr>
          <w:p>
            <w:pPr>
              <w:pStyle w:val="TableContents"/>
              <w:pBdr>
                <w:top w:val="double" w:sz="6" w:space="1" w:color="000000"/>
              </w:pBdr>
              <w:spacing w:before="0" w:after="0"/>
              <w:rPr/>
            </w:pPr>
            <w:r>
              <w:rPr/>
              <w:t> </w:t>
            </w:r>
          </w:p>
        </w:tc>
        <w:tc>
          <w:tcPr>
            <w:tcW w:w="536"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pBdr>
                <w:top w:val="double" w:sz="6" w:space="1" w:color="000000"/>
              </w:pBdr>
              <w:spacing w:before="0" w:after="0"/>
              <w:rPr/>
            </w:pPr>
            <w:r>
              <w:rPr/>
              <w:t> </w:t>
            </w:r>
          </w:p>
        </w:tc>
        <w:tc>
          <w:tcPr>
            <w:tcW w:w="640" w:type="dxa"/>
            <w:tcBorders/>
            <w:shd w:fill="auto" w:val="clear"/>
            <w:vAlign w:val="bottom"/>
          </w:tcPr>
          <w:p>
            <w:pPr>
              <w:pStyle w:val="TableContents"/>
              <w:pBdr>
                <w:top w:val="double" w:sz="6" w:space="1" w:color="000000"/>
              </w:pBdr>
              <w:spacing w:before="0" w:after="0"/>
              <w:rPr/>
            </w:pPr>
            <w:r>
              <w:rPr/>
              <w:t> </w:t>
            </w:r>
          </w:p>
        </w:tc>
        <w:tc>
          <w:tcPr>
            <w:tcW w:w="60" w:type="dxa"/>
            <w:tcBorders/>
            <w:shd w:fill="auto" w:val="clear"/>
            <w:vAlign w:val="center"/>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(a)</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Gross additions include increases in the cost basis of investments resulting from new investments, payment-in-kind interest or dividends, the amortization of any unearned income or discounts on debt investments, as applicable. </w:t>
            </w:r>
          </w:p>
        </w:tc>
      </w:tr>
    </w:tbl>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(b)</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may be applied to the outstanding principal balance.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(8)</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As of September 30, 2022, the estimated cost basis of investments for U.S. federal tax purposes was $2,807,880, resulting in estimated gross unrealized gains and losses of $117,489 and $109,905, respectively.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(9)</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accordance with Financial Accounting Standards Board Accounting Standards Codification Topic 820, </w:t>
            </w:r>
            <w:r>
              <w:rPr>
                <w:rFonts w:ascii="Times New Roman" w:hAnsi="Times New Roman"/>
                <w:i/>
                <w:sz w:val="20"/>
              </w:rPr>
              <w:t>Fair Value Measurements</w:t>
            </w:r>
            <w:r>
              <w:rPr>
                <w:rFonts w:ascii="Times New Roman" w:hAnsi="Times New Roman"/>
                <w:sz w:val="20"/>
              </w:rPr>
              <w:t xml:space="preserve"> (ASC Topic 820), unless otherwise indicated, the fair values of all investments were determined using significant unobservable inputs and are considered Level 3 investments. See Note 6 for further information related to investments at fair value.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(10)</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This investment is valued using observable inputs and is considered a Level 2 investment. See Note 6 for further information related to investments at fair value.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(11)</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This investment is valued using observable inputs and is considered a Level 1 investment. See Note 6 for further information related to investments at fair value.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(12)</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This investment is non-income producing.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All or a portion of this security was acquired in a transaction exempt from registration under the Securities Act, and may be deemed to be restricted securities under the Securities Act. As of September 30, 2022, the aggregate fair value of these securities is $70,609 or 5.3% of the Companys net assets.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(14)</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Ownership of equity investments may occur through a holding company or partnership.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(15)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Investment is on non-accrual status as of September 30, 2022.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3" w:name="rom451583_19"/>
      <w:bookmarkEnd w:id="23"/>
      <w:r>
        <w:rPr>
          <w:rFonts w:ascii="Times New Roman" w:hAnsi="Times New Roman"/>
          <w:b/>
          <w:sz w:val="20"/>
        </w:rPr>
        <w:t xml:space="preserve">DETERMINATION OF NET ASSET VALUE </w:t>
      </w:r>
    </w:p>
    <w:p>
      <w:pPr>
        <w:pStyle w:val="TextBody"/>
        <w:spacing w:before="240" w:after="0"/>
        <w:rPr>
          <w:rFonts w:ascii="Times New Roman" w:hAnsi="Times New Roman"/>
          <w:sz w:val="20"/>
        </w:rPr>
      </w:pPr>
      <w:r>
        <w:rPr>
          <w:rFonts w:ascii="Times New Roman" w:hAnsi="Times New Roman"/>
          <w:sz w:val="20"/>
        </w:rPr>
        <w:t xml:space="preserve">The net asset value per share of our outstanding shares of common stock is determined quarterly by dividing the value of total assets minus liabilities by the total number of shares outstanding. We calculate the value of our investments in accordance with the procedures described in Managements Discussion and Analysis of Financial Condition and Results of OperationsCritical Accounting PoliciesInvestments at Fair Value in Part I, Item 1 of our 2021 Annual Report incorporated by reference in this prospectus. </w:t>
      </w:r>
    </w:p>
    <w:p>
      <w:pPr>
        <w:pStyle w:val="TextBody"/>
        <w:spacing w:before="360" w:after="0"/>
        <w:rPr>
          <w:rFonts w:ascii="Times New Roman" w:hAnsi="Times New Roman"/>
          <w:b/>
          <w:sz w:val="20"/>
        </w:rPr>
      </w:pPr>
      <w:r>
        <w:rPr>
          <w:rFonts w:ascii="Times New Roman" w:hAnsi="Times New Roman"/>
          <w:b/>
          <w:sz w:val="20"/>
        </w:rPr>
        <w:t xml:space="preserve">Determinations in Connection with Offerings </w:t>
      </w:r>
    </w:p>
    <w:p>
      <w:pPr>
        <w:pStyle w:val="TextBody"/>
        <w:spacing w:before="120" w:after="0"/>
        <w:rPr>
          <w:rFonts w:ascii="Times New Roman" w:hAnsi="Times New Roman"/>
          <w:sz w:val="20"/>
        </w:rPr>
      </w:pPr>
      <w:r>
        <w:rPr>
          <w:rFonts w:ascii="Times New Roman" w:hAnsi="Times New Roman"/>
          <w:sz w:val="20"/>
        </w:rPr>
        <w:t xml:space="preserve">In connection with certain future offerings of shares of our common stock, our Board or an authorized committee of our Board will be required to make the determination that we are not selling shares of our common stock at a price below the then-current net asset value of our common stock at the time at which the sale is made. Our Board or an authorized committee will consider the following factors, among others, in making a determination: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net asset value of our common stock disclosed in the most recent periodic report that we filed with the SEC;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managements assessment of whether any material change in the net asset value of our common stock has occurred (including through the realization of gains on the sale of our portfolio securities) during the period beginning on the date of the most recently disclosed net asset value of our common stock and ending two days prior to the date of the sale of our common stock;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magnitude of the difference between (i) a value that our Board or an authorized committee thereof has determined reflects the current net asset value of our common stock, which is generally based upon the net asset value of our common stock disclosed in the most recent periodic report that we filed with the SEC, as adjusted to reflect our managements assessment of any material change in the net asset value of our common stock since the date of the most recently disclosed net asset value of our common stock, and (ii) the offering price of the shares of our common stock in the proposed offering. </w:t>
            </w:r>
          </w:p>
        </w:tc>
      </w:tr>
    </w:tbl>
    <w:p>
      <w:pPr>
        <w:pStyle w:val="TextBody"/>
        <w:spacing w:before="240" w:after="0"/>
        <w:rPr>
          <w:rFonts w:ascii="Times New Roman" w:hAnsi="Times New Roman"/>
          <w:sz w:val="20"/>
        </w:rPr>
      </w:pPr>
      <w:r>
        <w:rPr>
          <w:rFonts w:ascii="Times New Roman" w:hAnsi="Times New Roman"/>
          <w:sz w:val="20"/>
        </w:rPr>
        <w:t xml:space="preserve">These processes and procedures are part of our compliance policies and procedures. Records will be made contemporaneously with all determinations described in this section and these records will be maintained with other records that we are required to maintain under the 1940 Act.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4" w:name="rom451583_20"/>
      <w:bookmarkEnd w:id="24"/>
      <w:r>
        <w:rPr>
          <w:rFonts w:ascii="Times New Roman" w:hAnsi="Times New Roman"/>
          <w:b/>
          <w:sz w:val="20"/>
        </w:rPr>
        <w:t xml:space="preserve">SALES OF COMMON STOCK BELOW NET ASSET VALUE </w:t>
      </w:r>
    </w:p>
    <w:p>
      <w:pPr>
        <w:pStyle w:val="TextBody"/>
        <w:spacing w:before="240" w:after="0"/>
        <w:rPr>
          <w:rFonts w:ascii="Times New Roman" w:hAnsi="Times New Roman"/>
          <w:sz w:val="20"/>
        </w:rPr>
      </w:pPr>
      <w:r>
        <w:rPr>
          <w:rFonts w:ascii="Times New Roman" w:hAnsi="Times New Roman"/>
          <w:sz w:val="20"/>
        </w:rPr>
        <w:t xml:space="preserve">Pursuant to approval granted at a special meeting of stockholders held on May 26, 2022, we are currently permitted to sell or otherwise issue shares of our common stock at a price below our then-current net asset value per share, subject to the approval of our Board and certain other conditions. Such stockholder approval expires on May 26, 2023. We intend to propose the extension of this approval in future years. </w:t>
      </w:r>
    </w:p>
    <w:p>
      <w:pPr>
        <w:pStyle w:val="TextBody"/>
        <w:spacing w:before="240" w:after="0"/>
        <w:rPr>
          <w:rFonts w:ascii="Times New Roman" w:hAnsi="Times New Roman"/>
          <w:sz w:val="20"/>
        </w:rPr>
      </w:pPr>
      <w:r>
        <w:rPr>
          <w:rFonts w:ascii="Times New Roman" w:hAnsi="Times New Roman"/>
          <w:sz w:val="20"/>
        </w:rPr>
        <w:t xml:space="preserve">Except for such authorizations as otherwise may be required with respect to a particular issuance under applicable law, New York Stock Exchange rules or our certificate of incorporation, no further authorization from stockholders will be solicited or required prior to a sale or other issuance of shares of common stock at a price below net asset value per share in accordance with the terms of the approval. However, will would only issue shares of our common stock at a price below net asset value per share if the following conditions are met: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required majority of our directors have determined that any such sale would be in the best interests of us and our stockholders;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 required majority of our directors, in consultation with any underwriter or underwriters of the offering if it is to be underwritten, have determined in good faith, and as of a time immediately prior to the first solicitation by us or on our behalf of firm commitments to purchase such common stock or immediately prior to the issuance of such common stock, that the price at which such shares of common stock are to be sold is not less than a price which closely approximates the market value of those shares of common stock, less any distributing commission or discount;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number of shares to be issued does not exceed 25% of our then-outstanding common stock immediately prior to each such offering. </w:t>
            </w:r>
          </w:p>
        </w:tc>
      </w:tr>
    </w:tbl>
    <w:p>
      <w:pPr>
        <w:pStyle w:val="TextBody"/>
        <w:spacing w:before="240" w:after="0"/>
        <w:rPr>
          <w:rFonts w:ascii="Times New Roman" w:hAnsi="Times New Roman"/>
          <w:sz w:val="20"/>
        </w:rPr>
      </w:pPr>
      <w:r>
        <w:rPr>
          <w:rFonts w:ascii="Times New Roman" w:hAnsi="Times New Roman"/>
          <w:sz w:val="20"/>
        </w:rPr>
        <w:t xml:space="preserve">Under the 1940 Act, a required majority of directors means both a majority of our directors who have no financial interest in the transaction and a majority of our independent directors. For these purposes, directors will not be deemed to have a financial interest solely by reason of their ownership of our common stock. </w:t>
      </w:r>
    </w:p>
    <w:p>
      <w:pPr>
        <w:pStyle w:val="TextBody"/>
        <w:spacing w:before="240" w:after="0"/>
        <w:rPr>
          <w:rFonts w:ascii="Times New Roman" w:hAnsi="Times New Roman"/>
          <w:sz w:val="20"/>
        </w:rPr>
      </w:pPr>
      <w:r>
        <w:rPr>
          <w:rFonts w:ascii="Times New Roman" w:hAnsi="Times New Roman"/>
          <w:sz w:val="20"/>
        </w:rPr>
        <w:t xml:space="preserve">There is no limit on the percentage below net asset value per share at which shares may be sold by us or the number of offerings, each for up to 25% of our then-outstanding common stock, that we may conduct under the approval for the one-year period that authorization is granted. </w:t>
      </w:r>
    </w:p>
    <w:p>
      <w:pPr>
        <w:pStyle w:val="TextBody"/>
        <w:spacing w:before="240" w:after="0"/>
        <w:rPr>
          <w:rFonts w:ascii="Times New Roman" w:hAnsi="Times New Roman"/>
          <w:sz w:val="20"/>
        </w:rPr>
      </w:pPr>
      <w:r>
        <w:rPr>
          <w:rFonts w:ascii="Times New Roman" w:hAnsi="Times New Roman"/>
          <w:sz w:val="20"/>
        </w:rPr>
        <w:t xml:space="preserve">In making a determination that an offering of common stock at a price below its net asset value per share pursuant to the approval is in our and our stockholders best interests, our Board will consider a variety of factors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effect that an offering at a price below net asset value per share would have on our stockholders, including the potential dilution to the net asset value per share of our common stock our stockholders would experience as a result of the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amount per share by which the offering price per share and the net proceeds per share are less than our most recently determined net asset value per share;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relationship of recent market prices of our common stock to net asset value per share and the potential impact of the offering on the market price per share of our common stock;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whether the estimated offering price would closely approximate the market value of shares of our common stock;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potential market impact of being able to raise capital during the current financial market difficulties;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nature of any new investors anticipated to acquire shares of our common stock in the offering;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anticipated rate of return on and quality, type and availability of investments;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leverage available to us.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Our Board will also consider any possible conflict of interest due to the fact that the proceeds from the issuance of additional shares of our common stock would increase the management fees that we pay to the Adviser, as such fees are based on the amount of our gross assets, as it would regardless of whether we offer shares of common stock at a price below our net asset value per share or above our net asset value per share. </w:t>
      </w:r>
    </w:p>
    <w:p>
      <w:pPr>
        <w:pStyle w:val="TextBody"/>
        <w:spacing w:before="240" w:after="0"/>
        <w:rPr>
          <w:rFonts w:ascii="Times New Roman" w:hAnsi="Times New Roman"/>
          <w:sz w:val="20"/>
        </w:rPr>
      </w:pPr>
      <w:r>
        <w:rPr>
          <w:rFonts w:ascii="Times New Roman" w:hAnsi="Times New Roman"/>
          <w:sz w:val="20"/>
        </w:rPr>
        <w:t xml:space="preserve">We will not sell shares of our common stock under this prospectus or an accompanying prospectus supplement without first filing a new post-effective amendment to the registration statement if the cumulative dilution to our net asset value per share from offerings under the registration statement, as amended by any post-effective amendments, exceeds 15%. This limit will be measured separately for each offering pursuant to the registration statement, as amended by any post-effective amendments, by calculating the percentage dilution or accretion to aggregate net asset value from that offering and then summing the percentage from each offering. For example, if our most recently determined net asset value per share at the time of the first offering is $16.00 and we have 60 million shares of common stock outstanding, the sale of 12 million shares of common stock at net proceeds to us of $8.00 per share (a 50% discount) would produce dilution of 8.33%. If we subsequently determined that our net asset value per share increased to $17.00 on the then 72 million shares of common stock outstanding and then made an additional offering, we could, for example, sell approximately an additional 11.07 million shares of common stock at net proceeds to us of $8.50 per share, which would produce dilution of 6.67%, before we would reach the aggregate 15% limit. </w:t>
      </w:r>
    </w:p>
    <w:p>
      <w:pPr>
        <w:pStyle w:val="TextBody"/>
        <w:spacing w:before="240" w:after="0"/>
        <w:rPr>
          <w:rFonts w:ascii="Times New Roman" w:hAnsi="Times New Roman"/>
          <w:sz w:val="20"/>
        </w:rPr>
      </w:pPr>
      <w:r>
        <w:rPr>
          <w:rFonts w:ascii="Times New Roman" w:hAnsi="Times New Roman"/>
          <w:sz w:val="20"/>
        </w:rPr>
        <w:t xml:space="preserve">Sales by us of our common stock at a discount from net asset value per share pose potential risks for our existing stockholders whether or not they participate in the offering, as well as for new investors who participate in the offering. Any sale of common stock at a price below net asset value per share would result in an immediate dilution to existing common stockholders who do not participate in such sale on at least a pro rata basis. </w:t>
      </w:r>
    </w:p>
    <w:p>
      <w:pPr>
        <w:pStyle w:val="TextBody"/>
        <w:spacing w:before="360" w:after="0"/>
        <w:rPr>
          <w:rFonts w:ascii="Times New Roman" w:hAnsi="Times New Roman"/>
          <w:b/>
          <w:i/>
          <w:sz w:val="20"/>
        </w:rPr>
      </w:pPr>
      <w:r>
        <w:rPr>
          <w:rFonts w:ascii="Times New Roman" w:hAnsi="Times New Roman"/>
          <w:b/>
          <w:i/>
          <w:sz w:val="20"/>
        </w:rPr>
        <w:t xml:space="preserve">Examples of Dilutive Effect of the Issuance of Shares Below net asset value </w:t>
      </w:r>
    </w:p>
    <w:p>
      <w:pPr>
        <w:pStyle w:val="TextBody"/>
        <w:spacing w:before="120" w:after="0"/>
        <w:rPr>
          <w:rFonts w:ascii="Times New Roman" w:hAnsi="Times New Roman"/>
          <w:sz w:val="20"/>
        </w:rPr>
      </w:pPr>
      <w:r>
        <w:rPr>
          <w:rFonts w:ascii="Times New Roman" w:hAnsi="Times New Roman"/>
          <w:sz w:val="20"/>
        </w:rPr>
        <w:t xml:space="preserve">The following two headings and accompanying tables explain and provide hypothetical examples on the impact of a public offering of the Companys common stock at a price less than net asset value on two different types of investors: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existing stockholders who do not purchase any shares in the offering;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existing stockholders who purchase a relatively small amount of shares in the offering or a relatively large amount of shares in the offering. </w:t>
            </w:r>
          </w:p>
        </w:tc>
      </w:tr>
    </w:tbl>
    <w:p>
      <w:pPr>
        <w:pStyle w:val="TextBody"/>
        <w:spacing w:before="240" w:after="0"/>
        <w:rPr>
          <w:rFonts w:ascii="Times New Roman" w:hAnsi="Times New Roman"/>
          <w:sz w:val="20"/>
        </w:rPr>
      </w:pPr>
      <w:r>
        <w:rPr>
          <w:rFonts w:ascii="Times New Roman" w:hAnsi="Times New Roman"/>
          <w:sz w:val="20"/>
        </w:rPr>
        <w:t xml:space="preserve">A placement of common stock at a price less than net asset value to a third party in a private placement would have an impact substantially similar to the impact on existing stockholders who do not purchase any shares in the public offering described below. </w:t>
      </w:r>
    </w:p>
    <w:p>
      <w:pPr>
        <w:pStyle w:val="TextBody"/>
        <w:spacing w:before="360" w:after="0"/>
        <w:rPr>
          <w:rFonts w:ascii="Times New Roman" w:hAnsi="Times New Roman"/>
          <w:i/>
          <w:sz w:val="20"/>
        </w:rPr>
      </w:pPr>
      <w:r>
        <w:rPr>
          <w:rFonts w:ascii="Times New Roman" w:hAnsi="Times New Roman"/>
          <w:i/>
          <w:sz w:val="20"/>
        </w:rPr>
        <w:t xml:space="preserve">Impact on Existing Stockholders Who Do Not Participate in the Offering </w:t>
      </w:r>
    </w:p>
    <w:p>
      <w:pPr>
        <w:pStyle w:val="TextBody"/>
        <w:spacing w:before="120" w:after="0"/>
        <w:rPr>
          <w:rFonts w:ascii="Times New Roman" w:hAnsi="Times New Roman"/>
          <w:sz w:val="20"/>
        </w:rPr>
      </w:pPr>
      <w:r>
        <w:rPr>
          <w:rFonts w:ascii="Times New Roman" w:hAnsi="Times New Roman"/>
          <w:sz w:val="20"/>
        </w:rPr>
        <w:t xml:space="preserve">Our existing stockholders who do not participate in an offering below net asset value per share or who do not buy additional shares in the secondary market at the same or lower price as we obtain in the offering (after expenses and commissions) face the greatest potential risks. These stockholders will experience an immediate decrease in the net asset value of the shares they hold and their net asset value per share. These stockholders will also experience a disproportionately greater decrease in their participation in our earnings and assets and their voting power than the increase we will experience in its assets, potential earning power and voting interests due to the offering. These stockholders may also experience a decline in the market price of their shares, which often reflects to some degree announced or potential increases and decreases in net asset value. This decrease could be more pronounced as the size of the offering and level of discounts increase. There is no maximum level of discount from net asset value at which we may sell shares pursuant to this authority.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following chart illustrates the level of NAV dilution that would be experienced by a nonparticipating stockholder in four different hypothetical offerings of different sizes and levels of discount from NAV. It is not possible to predict the level of market price decline that may occur. These examples are provided for illustrative purposes only. </w:t>
      </w:r>
    </w:p>
    <w:p>
      <w:pPr>
        <w:pStyle w:val="TextBody"/>
        <w:spacing w:before="240" w:after="0"/>
        <w:rPr>
          <w:rFonts w:ascii="Times New Roman" w:hAnsi="Times New Roman"/>
          <w:sz w:val="20"/>
        </w:rPr>
      </w:pPr>
      <w:r>
        <w:rPr>
          <w:rFonts w:ascii="Times New Roman" w:hAnsi="Times New Roman"/>
          <w:sz w:val="20"/>
        </w:rPr>
        <w:t xml:space="preserve">The examples below assume that the issuer has 75.8 million shares outstanding, $2.6 billion in total assets and $1.3 billion in total liabilities (all figures correspond to actual data for us as of December 31, 2021). The net asset value and net asset value per share are thus $1.3 billion and $16.84 per share as of December 31, 2021. The chart illustrates the dilutive effect on Stockholder A of (a) an offering of 3.8 million shares of common stock (5% of the outstanding shares) at $16.00 per share after offering expenses and commissions (a 5% discount from net asset value per share), (b) an offering of 7.6 million shares of common stock (10% of the outstanding shares) at $15.16 per share after offering expenses and commissions (a 10% discount from net asset value per share), (c) an offering of 15.2 million shares of common stock (20% of the outstanding shares) at $13.47 per share after offering expenses and commissions (a 20% discount from net asset value per share), and (d) an offering of 18.9 million shares of common stock (25% of the outstanding shares) at $12.63 per share after offering expenses and commissions (a 25% discount from net asset value per share). The prospectus pursuant to which any discounted offering is made will include a chart based on the actual number of shares of common stock in such offering and the actual discount to the most recently determined net asset value. It is not possible to predict the level of market price decline that may occur. </w:t>
      </w:r>
    </w:p>
    <w:p>
      <w:pPr>
        <w:pStyle w:val="TextBody"/>
        <w:spacing w:before="0" w:after="0"/>
        <w:rPr/>
      </w:pPr>
      <w:r>
        <w:rPr/>
        <w:t> </w:t>
      </w:r>
    </w:p>
    <w:tbl>
      <w:tblPr>
        <w:tblW w:w="14065" w:type="dxa"/>
        <w:jc w:val="center"/>
        <w:tblInd w:w="0" w:type="dxa"/>
        <w:tblCellMar>
          <w:top w:w="0" w:type="dxa"/>
          <w:left w:w="0" w:type="dxa"/>
          <w:bottom w:w="0" w:type="dxa"/>
          <w:right w:w="0" w:type="dxa"/>
        </w:tblCellMar>
      </w:tblPr>
      <w:tblGrid>
        <w:gridCol w:w="1055"/>
        <w:gridCol w:w="60"/>
        <w:gridCol w:w="166"/>
        <w:gridCol w:w="1309"/>
        <w:gridCol w:w="275"/>
        <w:gridCol w:w="60"/>
        <w:gridCol w:w="140"/>
        <w:gridCol w:w="1100"/>
        <w:gridCol w:w="275"/>
        <w:gridCol w:w="60"/>
        <w:gridCol w:w="85"/>
        <w:gridCol w:w="730"/>
        <w:gridCol w:w="350"/>
        <w:gridCol w:w="60"/>
        <w:gridCol w:w="140"/>
        <w:gridCol w:w="1100"/>
        <w:gridCol w:w="275"/>
        <w:gridCol w:w="60"/>
        <w:gridCol w:w="85"/>
        <w:gridCol w:w="730"/>
        <w:gridCol w:w="350"/>
        <w:gridCol w:w="60"/>
        <w:gridCol w:w="140"/>
        <w:gridCol w:w="1100"/>
        <w:gridCol w:w="275"/>
        <w:gridCol w:w="60"/>
        <w:gridCol w:w="70"/>
        <w:gridCol w:w="745"/>
        <w:gridCol w:w="350"/>
        <w:gridCol w:w="60"/>
        <w:gridCol w:w="140"/>
        <w:gridCol w:w="1100"/>
        <w:gridCol w:w="275"/>
        <w:gridCol w:w="60"/>
        <w:gridCol w:w="70"/>
        <w:gridCol w:w="745"/>
        <w:gridCol w:w="350"/>
      </w:tblGrid>
      <w:tr>
        <w:trPr/>
        <w:tc>
          <w:tcPr>
            <w:tcW w:w="10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3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745"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r>
      <w:tr>
        <w:trPr/>
        <w:tc>
          <w:tcPr>
            <w:tcW w:w="1055" w:type="dxa"/>
            <w:tcBorders/>
            <w:shd w:fill="auto" w:val="clear"/>
            <w:vAlign w:val="bottom"/>
          </w:tcPr>
          <w:p>
            <w:pPr>
              <w:pStyle w:val="TableContents"/>
              <w:spacing w:before="0" w:after="283"/>
              <w:rPr/>
            </w:pPr>
            <w:r>
              <w:rPr/>
              <w:t> </w:t>
            </w:r>
          </w:p>
        </w:tc>
        <w:tc>
          <w:tcPr>
            <w:tcW w:w="60" w:type="dxa"/>
            <w:vMerge w:val="restart"/>
            <w:tcBorders/>
            <w:shd w:fill="auto" w:val="clear"/>
            <w:vAlign w:val="bottom"/>
          </w:tcPr>
          <w:p>
            <w:pPr>
              <w:pStyle w:val="TableContents"/>
              <w:spacing w:before="0" w:after="283"/>
              <w:rPr/>
            </w:pPr>
            <w:r>
              <w:rPr/>
              <w:t> </w:t>
            </w:r>
          </w:p>
        </w:tc>
        <w:tc>
          <w:tcPr>
            <w:tcW w:w="1475"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Prior to</w:t>
              <w:br/>
              <w:t>Sale Below</w:t>
              <w:br/>
              <w:t>net asset value</w:t>
            </w:r>
          </w:p>
        </w:tc>
        <w:tc>
          <w:tcPr>
            <w:tcW w:w="275" w:type="dxa"/>
            <w:vMerge w:val="restart"/>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9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Example 1</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9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Example 2</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9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Example 3</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9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Example 4</w:t>
            </w:r>
          </w:p>
        </w:tc>
        <w:tc>
          <w:tcPr>
            <w:tcW w:w="350" w:type="dxa"/>
            <w:tcBorders/>
            <w:shd w:fill="auto" w:val="clear"/>
            <w:vAlign w:val="bottom"/>
          </w:tcPr>
          <w:p>
            <w:pPr>
              <w:pStyle w:val="TableContents"/>
              <w:spacing w:before="0" w:after="283"/>
              <w:rPr/>
            </w:pPr>
            <w:r>
              <w:rPr/>
              <w:t> </w:t>
            </w:r>
          </w:p>
        </w:tc>
      </w:tr>
      <w:tr>
        <w:trPr/>
        <w:tc>
          <w:tcPr>
            <w:tcW w:w="1055" w:type="dxa"/>
            <w:tcBorders/>
            <w:shd w:fill="auto" w:val="clear"/>
            <w:vAlign w:val="bottom"/>
          </w:tcPr>
          <w:p>
            <w:pPr>
              <w:pStyle w:val="TableContents"/>
              <w:spacing w:before="0" w:after="283"/>
              <w:rPr/>
            </w:pPr>
            <w:r>
              <w:rPr/>
              <w:t> </w:t>
            </w:r>
          </w:p>
        </w:tc>
        <w:tc>
          <w:tcPr>
            <w:tcW w:w="60" w:type="dxa"/>
            <w:vMerge w:val="continue"/>
            <w:tcBorders/>
            <w:shd w:fill="auto" w:val="clear"/>
            <w:vAlign w:val="bottom"/>
          </w:tcPr>
          <w:p>
            <w:pPr>
              <w:pStyle w:val="Normal"/>
              <w:rPr/>
            </w:pPr>
            <w:r>
              <w:rPr/>
            </w:r>
          </w:p>
        </w:tc>
        <w:tc>
          <w:tcPr>
            <w:tcW w:w="1475" w:type="dxa"/>
            <w:gridSpan w:val="2"/>
            <w:vMerge w:val="continue"/>
            <w:tcBorders>
              <w:bottom w:val="single" w:sz="8" w:space="0" w:color="000000"/>
            </w:tcBorders>
            <w:shd w:fill="auto" w:val="clear"/>
            <w:tcMar>
              <w:bottom w:w="28" w:type="dxa"/>
            </w:tcMar>
            <w:vAlign w:val="bottom"/>
          </w:tcPr>
          <w:p>
            <w:pPr>
              <w:pStyle w:val="Normal"/>
              <w:rPr/>
            </w:pPr>
            <w:r>
              <w:rPr/>
            </w:r>
          </w:p>
        </w:tc>
        <w:tc>
          <w:tcPr>
            <w:tcW w:w="275"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239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5% Offering at</w:t>
              <w:br/>
              <w:t>5% Discount</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9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10% Offering at</w:t>
              <w:br/>
              <w:t>10% Discount</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9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20% Offering at</w:t>
              <w:br/>
              <w:t>20% Discount</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9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25% Offering at</w:t>
              <w:br/>
              <w:t>25% Discount</w:t>
            </w:r>
          </w:p>
        </w:tc>
        <w:tc>
          <w:tcPr>
            <w:tcW w:w="350" w:type="dxa"/>
            <w:tcBorders/>
            <w:shd w:fill="auto" w:val="clear"/>
            <w:vAlign w:val="bottom"/>
          </w:tcPr>
          <w:p>
            <w:pPr>
              <w:pStyle w:val="TableContents"/>
              <w:spacing w:before="0" w:after="283"/>
              <w:rPr/>
            </w:pPr>
            <w:r>
              <w:rPr/>
              <w:t> </w:t>
            </w:r>
          </w:p>
        </w:tc>
      </w:tr>
      <w:tr>
        <w:trPr/>
        <w:tc>
          <w:tcPr>
            <w:tcW w:w="1055" w:type="dxa"/>
            <w:tcBorders/>
            <w:shd w:fill="auto" w:val="clear"/>
            <w:vAlign w:val="bottom"/>
          </w:tcPr>
          <w:p>
            <w:pPr>
              <w:pStyle w:val="TableContents"/>
              <w:spacing w:before="0" w:after="283"/>
              <w:rPr/>
            </w:pPr>
            <w:r>
              <w:rPr/>
              <w:t> </w:t>
            </w:r>
          </w:p>
        </w:tc>
        <w:tc>
          <w:tcPr>
            <w:tcW w:w="60" w:type="dxa"/>
            <w:vMerge w:val="continue"/>
            <w:tcBorders/>
            <w:shd w:fill="auto" w:val="clear"/>
            <w:vAlign w:val="bottom"/>
          </w:tcPr>
          <w:p>
            <w:pPr>
              <w:pStyle w:val="Normal"/>
              <w:rPr/>
            </w:pPr>
            <w:r>
              <w:rPr/>
            </w:r>
          </w:p>
        </w:tc>
        <w:tc>
          <w:tcPr>
            <w:tcW w:w="1475" w:type="dxa"/>
            <w:gridSpan w:val="2"/>
            <w:vMerge w:val="continue"/>
            <w:tcBorders>
              <w:bottom w:val="single" w:sz="8" w:space="0" w:color="000000"/>
            </w:tcBorders>
            <w:shd w:fill="auto" w:val="clear"/>
            <w:tcMar>
              <w:bottom w:w="28" w:type="dxa"/>
            </w:tcMar>
            <w:vAlign w:val="bottom"/>
          </w:tcPr>
          <w:p>
            <w:pPr>
              <w:pStyle w:val="Normal"/>
              <w:rPr/>
            </w:pPr>
            <w:r>
              <w:rPr/>
            </w:r>
          </w:p>
        </w:tc>
        <w:tc>
          <w:tcPr>
            <w:tcW w:w="275"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Following</w:t>
              <w:br/>
              <w:t>Sale</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br/>
              <w:t>Change</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Following</w:t>
              <w:br/>
              <w:t>Sale</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br/>
              <w:t>Change</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Following</w:t>
              <w:br/>
              <w:t>Sale</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br/>
              <w:t>Change</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Following</w:t>
              <w:br/>
              <w:t>Sale</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br/>
              <w:t>Change</w:t>
            </w:r>
          </w:p>
        </w:tc>
        <w:tc>
          <w:tcPr>
            <w:tcW w:w="350" w:type="dxa"/>
            <w:tcBorders/>
            <w:shd w:fill="auto" w:val="clear"/>
            <w:vAlign w:val="bottom"/>
          </w:tcPr>
          <w:p>
            <w:pPr>
              <w:pStyle w:val="TableContents"/>
              <w:spacing w:before="0" w:after="283"/>
              <w:rPr/>
            </w:pPr>
            <w:r>
              <w:rPr/>
              <w:t> </w:t>
            </w:r>
          </w:p>
        </w:tc>
      </w:tr>
      <w:tr>
        <w:trPr/>
        <w:tc>
          <w:tcPr>
            <w:tcW w:w="1055" w:type="dxa"/>
            <w:tcBorders/>
            <w:shd w:fill="CCEEFF" w:val="clear"/>
          </w:tcPr>
          <w:p>
            <w:pPr>
              <w:pStyle w:val="TableContents"/>
              <w:spacing w:before="0" w:after="0"/>
              <w:rPr>
                <w:rFonts w:ascii="Times New Roman" w:hAnsi="Times New Roman"/>
                <w:b/>
                <w:sz w:val="14"/>
              </w:rPr>
            </w:pPr>
            <w:r>
              <w:rPr>
                <w:rFonts w:ascii="Times New Roman" w:hAnsi="Times New Roman"/>
                <w:b/>
                <w:sz w:val="14"/>
              </w:rPr>
              <w:t>Offering Price</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sz w:val="4"/>
                <w:szCs w:val="4"/>
              </w:rPr>
            </w:pPr>
            <w:r>
              <w:rPr>
                <w:sz w:val="4"/>
                <w:szCs w:val="4"/>
              </w:rPr>
            </w:r>
          </w:p>
        </w:tc>
        <w:tc>
          <w:tcPr>
            <w:tcW w:w="1309"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745"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745"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r>
      <w:tr>
        <w:trPr/>
        <w:tc>
          <w:tcPr>
            <w:tcW w:w="1055" w:type="dxa"/>
            <w:tcBorders/>
            <w:shd w:fill="auto" w:val="clear"/>
          </w:tcPr>
          <w:p>
            <w:pPr>
              <w:pStyle w:val="TableContents"/>
              <w:spacing w:before="0" w:after="0"/>
              <w:rPr>
                <w:rFonts w:ascii="Times New Roman" w:hAnsi="Times New Roman"/>
                <w:sz w:val="14"/>
              </w:rPr>
            </w:pPr>
            <w:r>
              <w:rPr>
                <w:rFonts w:ascii="Times New Roman" w:hAnsi="Times New Roman"/>
                <w:sz w:val="14"/>
              </w:rPr>
              <w:t>Price per Share to Public</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sz w:val="4"/>
                <w:szCs w:val="4"/>
              </w:rPr>
            </w:pPr>
            <w:r>
              <w:rPr>
                <w:sz w:val="4"/>
                <w:szCs w:val="4"/>
              </w:rPr>
            </w:r>
          </w:p>
        </w:tc>
        <w:tc>
          <w:tcPr>
            <w:tcW w:w="1309"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16.84</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15.95</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14.18</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745"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13.29</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745"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r>
      <w:tr>
        <w:trPr/>
        <w:tc>
          <w:tcPr>
            <w:tcW w:w="1055" w:type="dxa"/>
            <w:tcBorders/>
            <w:shd w:fill="CCEEFF" w:val="clear"/>
          </w:tcPr>
          <w:p>
            <w:pPr>
              <w:pStyle w:val="TableContents"/>
              <w:spacing w:before="0" w:after="0"/>
              <w:rPr>
                <w:rFonts w:ascii="Times New Roman" w:hAnsi="Times New Roman"/>
                <w:sz w:val="14"/>
              </w:rPr>
            </w:pPr>
            <w:r>
              <w:rPr>
                <w:rFonts w:ascii="Times New Roman" w:hAnsi="Times New Roman"/>
                <w:sz w:val="14"/>
              </w:rPr>
              <w:t>Net Proceeds per Share to Issuer</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sz w:val="4"/>
                <w:szCs w:val="4"/>
              </w:rPr>
            </w:pPr>
            <w:r>
              <w:rPr>
                <w:sz w:val="4"/>
                <w:szCs w:val="4"/>
              </w:rPr>
            </w:r>
          </w:p>
        </w:tc>
        <w:tc>
          <w:tcPr>
            <w:tcW w:w="1309"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16.00</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15.16</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13.47</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745"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12.63</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745"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r>
      <w:tr>
        <w:trPr/>
        <w:tc>
          <w:tcPr>
            <w:tcW w:w="1055" w:type="dxa"/>
            <w:tcBorders/>
            <w:shd w:fill="auto" w:val="clear"/>
          </w:tcPr>
          <w:p>
            <w:pPr>
              <w:pStyle w:val="TableContents"/>
              <w:spacing w:before="0" w:after="0"/>
              <w:rPr>
                <w:rFonts w:ascii="Times New Roman" w:hAnsi="Times New Roman"/>
                <w:b/>
                <w:sz w:val="14"/>
              </w:rPr>
            </w:pPr>
            <w:r>
              <w:rPr>
                <w:rFonts w:ascii="Times New Roman" w:hAnsi="Times New Roman"/>
                <w:b/>
                <w:sz w:val="14"/>
              </w:rPr>
              <w:t>Decrease/Increase to Net Asset Value</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sz w:val="4"/>
                <w:szCs w:val="4"/>
              </w:rPr>
            </w:pPr>
            <w:r>
              <w:rPr>
                <w:sz w:val="4"/>
                <w:szCs w:val="4"/>
              </w:rPr>
            </w:r>
          </w:p>
        </w:tc>
        <w:tc>
          <w:tcPr>
            <w:tcW w:w="1309"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745"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745"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r>
      <w:tr>
        <w:trPr/>
        <w:tc>
          <w:tcPr>
            <w:tcW w:w="1055" w:type="dxa"/>
            <w:tcBorders/>
            <w:shd w:fill="CCEEFF" w:val="clear"/>
          </w:tcPr>
          <w:p>
            <w:pPr>
              <w:pStyle w:val="TableContents"/>
              <w:spacing w:before="0" w:after="0"/>
              <w:rPr>
                <w:rFonts w:ascii="Times New Roman" w:hAnsi="Times New Roman"/>
                <w:sz w:val="14"/>
              </w:rPr>
            </w:pPr>
            <w:r>
              <w:rPr>
                <w:rFonts w:ascii="Times New Roman" w:hAnsi="Times New Roman"/>
                <w:sz w:val="14"/>
              </w:rPr>
              <w:t>Shares Offered</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sz w:val="4"/>
                <w:szCs w:val="4"/>
              </w:rPr>
            </w:pPr>
            <w:r>
              <w:rPr>
                <w:sz w:val="4"/>
                <w:szCs w:val="4"/>
              </w:rPr>
            </w:r>
          </w:p>
        </w:tc>
        <w:tc>
          <w:tcPr>
            <w:tcW w:w="1309"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3,788,577</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7,577,154</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15,154,308</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745"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18,942,886</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745"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r>
      <w:tr>
        <w:trPr/>
        <w:tc>
          <w:tcPr>
            <w:tcW w:w="1055" w:type="dxa"/>
            <w:tcBorders/>
            <w:shd w:fill="auto" w:val="clear"/>
          </w:tcPr>
          <w:p>
            <w:pPr>
              <w:pStyle w:val="TableContents"/>
              <w:spacing w:before="0" w:after="0"/>
              <w:rPr>
                <w:rFonts w:ascii="Times New Roman" w:hAnsi="Times New Roman"/>
                <w:sz w:val="14"/>
              </w:rPr>
            </w:pPr>
            <w:r>
              <w:rPr>
                <w:rFonts w:ascii="Times New Roman" w:hAnsi="Times New Roman"/>
                <w:sz w:val="14"/>
              </w:rPr>
              <w:t>Total Shares Outstanding</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309" w:type="dxa"/>
            <w:tcBorders/>
            <w:shd w:fill="auto" w:val="clear"/>
            <w:vAlign w:val="bottom"/>
          </w:tcPr>
          <w:p>
            <w:pPr>
              <w:pStyle w:val="TableContents"/>
              <w:spacing w:before="0" w:after="283"/>
              <w:jc w:val="right"/>
              <w:rPr/>
            </w:pPr>
            <w:r>
              <w:rPr/>
              <w:t>75,771,542</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79,560,119</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83,348,696</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90,925,850</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745"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94,714,428</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745"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r>
      <w:tr>
        <w:trPr/>
        <w:tc>
          <w:tcPr>
            <w:tcW w:w="1055" w:type="dxa"/>
            <w:tcBorders/>
            <w:shd w:fill="CCEEFF" w:val="clear"/>
          </w:tcPr>
          <w:p>
            <w:pPr>
              <w:pStyle w:val="TableContents"/>
              <w:spacing w:before="0" w:after="0"/>
              <w:rPr>
                <w:rFonts w:ascii="Times New Roman" w:hAnsi="Times New Roman"/>
                <w:sz w:val="14"/>
              </w:rPr>
            </w:pPr>
            <w:r>
              <w:rPr>
                <w:rFonts w:ascii="Times New Roman" w:hAnsi="Times New Roman"/>
                <w:sz w:val="14"/>
              </w:rPr>
              <w:t>Net Asset Value per Share</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w:t>
            </w:r>
          </w:p>
        </w:tc>
        <w:tc>
          <w:tcPr>
            <w:tcW w:w="1309" w:type="dxa"/>
            <w:tcBorders/>
            <w:shd w:fill="CCEEFF" w:val="clear"/>
            <w:vAlign w:val="bottom"/>
          </w:tcPr>
          <w:p>
            <w:pPr>
              <w:pStyle w:val="TableContents"/>
              <w:spacing w:before="0" w:after="283"/>
              <w:jc w:val="right"/>
              <w:rPr/>
            </w:pPr>
            <w:r>
              <w:rPr/>
              <w:t>16.84</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16.80</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pPr>
            <w:r>
              <w:rPr/>
              <w:t>(0.25</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16.69</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pPr>
            <w:r>
              <w:rPr/>
              <w:t>(0.92</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16.28</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745" w:type="dxa"/>
            <w:tcBorders/>
            <w:shd w:fill="CCEEFF" w:val="clear"/>
            <w:vAlign w:val="bottom"/>
          </w:tcPr>
          <w:p>
            <w:pPr>
              <w:pStyle w:val="TableContents"/>
              <w:spacing w:before="0" w:after="283"/>
              <w:jc w:val="right"/>
              <w:rPr/>
            </w:pPr>
            <w:r>
              <w:rPr/>
              <w:t>(3.34</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16.00</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745" w:type="dxa"/>
            <w:tcBorders/>
            <w:shd w:fill="CCEEFF" w:val="clear"/>
            <w:vAlign w:val="bottom"/>
          </w:tcPr>
          <w:p>
            <w:pPr>
              <w:pStyle w:val="TableContents"/>
              <w:spacing w:before="0" w:after="283"/>
              <w:jc w:val="right"/>
              <w:rPr/>
            </w:pPr>
            <w:r>
              <w:rPr/>
              <w:t>(5.01</w:t>
            </w:r>
          </w:p>
        </w:tc>
        <w:tc>
          <w:tcPr>
            <w:tcW w:w="350" w:type="dxa"/>
            <w:tcBorders/>
            <w:shd w:fill="CCEEFF" w:val="clear"/>
            <w:vAlign w:val="bottom"/>
          </w:tcPr>
          <w:p>
            <w:pPr>
              <w:pStyle w:val="TableContents"/>
              <w:spacing w:before="0" w:after="283"/>
              <w:rPr/>
            </w:pPr>
            <w:r>
              <w:rPr/>
              <w:t>%) </w:t>
            </w:r>
          </w:p>
        </w:tc>
      </w:tr>
      <w:tr>
        <w:trPr/>
        <w:tc>
          <w:tcPr>
            <w:tcW w:w="1055" w:type="dxa"/>
            <w:tcBorders/>
            <w:shd w:fill="auto" w:val="clear"/>
          </w:tcPr>
          <w:p>
            <w:pPr>
              <w:pStyle w:val="TableContents"/>
              <w:spacing w:before="0" w:after="0"/>
              <w:rPr>
                <w:rFonts w:ascii="Times New Roman" w:hAnsi="Times New Roman"/>
                <w:b/>
                <w:sz w:val="14"/>
              </w:rPr>
            </w:pPr>
            <w:r>
              <w:rPr>
                <w:rFonts w:ascii="Times New Roman" w:hAnsi="Times New Roman"/>
                <w:b/>
                <w:sz w:val="14"/>
              </w:rPr>
              <w:t>Dilution to Nonparticipating Stockholder</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sz w:val="4"/>
                <w:szCs w:val="4"/>
              </w:rPr>
            </w:pPr>
            <w:r>
              <w:rPr>
                <w:sz w:val="4"/>
                <w:szCs w:val="4"/>
              </w:rPr>
            </w:r>
          </w:p>
        </w:tc>
        <w:tc>
          <w:tcPr>
            <w:tcW w:w="1309"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745"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745"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r>
      <w:tr>
        <w:trPr/>
        <w:tc>
          <w:tcPr>
            <w:tcW w:w="1055" w:type="dxa"/>
            <w:tcBorders/>
            <w:shd w:fill="CCEEFF" w:val="clear"/>
          </w:tcPr>
          <w:p>
            <w:pPr>
              <w:pStyle w:val="TableContents"/>
              <w:spacing w:before="0" w:after="0"/>
              <w:rPr>
                <w:rFonts w:ascii="Times New Roman" w:hAnsi="Times New Roman"/>
                <w:sz w:val="14"/>
              </w:rPr>
            </w:pPr>
            <w:r>
              <w:rPr>
                <w:rFonts w:ascii="Times New Roman" w:hAnsi="Times New Roman"/>
                <w:sz w:val="14"/>
              </w:rPr>
              <w:t>Shares Held by Stockholder A</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 </w:t>
            </w:r>
          </w:p>
        </w:tc>
        <w:tc>
          <w:tcPr>
            <w:tcW w:w="1309" w:type="dxa"/>
            <w:tcBorders/>
            <w:shd w:fill="CCEEFF" w:val="clear"/>
            <w:vAlign w:val="bottom"/>
          </w:tcPr>
          <w:p>
            <w:pPr>
              <w:pStyle w:val="TableContents"/>
              <w:spacing w:before="0" w:after="283"/>
              <w:jc w:val="right"/>
              <w:rPr/>
            </w:pPr>
            <w:r>
              <w:rPr/>
              <w:t>75,772</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75,772</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pPr>
            <w:r>
              <w:rPr/>
              <w:t>0.00</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75,772</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pPr>
            <w:r>
              <w:rPr/>
              <w:t>0.00</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75,772</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745" w:type="dxa"/>
            <w:tcBorders/>
            <w:shd w:fill="CCEEFF" w:val="clear"/>
            <w:vAlign w:val="bottom"/>
          </w:tcPr>
          <w:p>
            <w:pPr>
              <w:pStyle w:val="TableContents"/>
              <w:spacing w:before="0" w:after="283"/>
              <w:jc w:val="right"/>
              <w:rPr/>
            </w:pPr>
            <w:r>
              <w:rPr/>
              <w:t>0.00</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75,772</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745" w:type="dxa"/>
            <w:tcBorders/>
            <w:shd w:fill="CCEEFF" w:val="clear"/>
            <w:vAlign w:val="bottom"/>
          </w:tcPr>
          <w:p>
            <w:pPr>
              <w:pStyle w:val="TableContents"/>
              <w:spacing w:before="0" w:after="283"/>
              <w:jc w:val="right"/>
              <w:rPr/>
            </w:pPr>
            <w:r>
              <w:rPr/>
              <w:t>0.00</w:t>
            </w:r>
          </w:p>
        </w:tc>
        <w:tc>
          <w:tcPr>
            <w:tcW w:w="350" w:type="dxa"/>
            <w:tcBorders/>
            <w:shd w:fill="CCEEFF" w:val="clear"/>
            <w:vAlign w:val="bottom"/>
          </w:tcPr>
          <w:p>
            <w:pPr>
              <w:pStyle w:val="TableContents"/>
              <w:spacing w:before="0" w:after="283"/>
              <w:rPr/>
            </w:pPr>
            <w:r>
              <w:rPr/>
              <w:t>% </w:t>
            </w:r>
          </w:p>
        </w:tc>
      </w:tr>
      <w:tr>
        <w:trPr/>
        <w:tc>
          <w:tcPr>
            <w:tcW w:w="1055" w:type="dxa"/>
            <w:tcBorders/>
            <w:shd w:fill="auto" w:val="clear"/>
          </w:tcPr>
          <w:p>
            <w:pPr>
              <w:pStyle w:val="TableContents"/>
              <w:spacing w:before="0" w:after="0"/>
              <w:rPr>
                <w:rFonts w:ascii="Times New Roman" w:hAnsi="Times New Roman"/>
                <w:sz w:val="14"/>
              </w:rPr>
            </w:pPr>
            <w:r>
              <w:rPr>
                <w:rFonts w:ascii="Times New Roman" w:hAnsi="Times New Roman"/>
                <w:sz w:val="14"/>
              </w:rPr>
              <w:t>Percentage Held by Stockholder A</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1309" w:type="dxa"/>
            <w:tcBorders/>
            <w:shd w:fill="auto" w:val="clear"/>
            <w:vAlign w:val="bottom"/>
          </w:tcPr>
          <w:p>
            <w:pPr>
              <w:pStyle w:val="TableContents"/>
              <w:spacing w:before="0" w:after="283"/>
              <w:jc w:val="right"/>
              <w:rPr/>
            </w:pPr>
            <w:r>
              <w:rPr/>
              <w:t>0.10</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0.10</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jc w:val="right"/>
              <w:rPr/>
            </w:pPr>
            <w:r>
              <w:rPr/>
              <w:t>(4.76</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0.09</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jc w:val="right"/>
              <w:rPr/>
            </w:pPr>
            <w:r>
              <w:rPr/>
              <w:t>(9.09</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0.08</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745" w:type="dxa"/>
            <w:tcBorders/>
            <w:shd w:fill="auto" w:val="clear"/>
            <w:vAlign w:val="bottom"/>
          </w:tcPr>
          <w:p>
            <w:pPr>
              <w:pStyle w:val="TableContents"/>
              <w:spacing w:before="0" w:after="283"/>
              <w:jc w:val="right"/>
              <w:rPr/>
            </w:pPr>
            <w:r>
              <w:rPr/>
              <w:t>(16.67</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0.08</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745" w:type="dxa"/>
            <w:tcBorders/>
            <w:shd w:fill="auto" w:val="clear"/>
            <w:vAlign w:val="bottom"/>
          </w:tcPr>
          <w:p>
            <w:pPr>
              <w:pStyle w:val="TableContents"/>
              <w:spacing w:before="0" w:after="283"/>
              <w:jc w:val="right"/>
              <w:rPr/>
            </w:pPr>
            <w:r>
              <w:rPr/>
              <w:t>(20.00</w:t>
            </w:r>
          </w:p>
        </w:tc>
        <w:tc>
          <w:tcPr>
            <w:tcW w:w="350" w:type="dxa"/>
            <w:tcBorders/>
            <w:shd w:fill="auto" w:val="clear"/>
            <w:vAlign w:val="bottom"/>
          </w:tcPr>
          <w:p>
            <w:pPr>
              <w:pStyle w:val="TableContents"/>
              <w:spacing w:before="0" w:after="283"/>
              <w:rPr/>
            </w:pPr>
            <w:r>
              <w:rPr/>
              <w:t>%) </w:t>
            </w:r>
          </w:p>
        </w:tc>
      </w:tr>
      <w:tr>
        <w:trPr/>
        <w:tc>
          <w:tcPr>
            <w:tcW w:w="1055" w:type="dxa"/>
            <w:tcBorders/>
            <w:shd w:fill="CCEEFF" w:val="clear"/>
          </w:tcPr>
          <w:p>
            <w:pPr>
              <w:pStyle w:val="TableContents"/>
              <w:spacing w:before="0" w:after="0"/>
              <w:rPr>
                <w:rFonts w:ascii="Times New Roman" w:hAnsi="Times New Roman"/>
                <w:sz w:val="14"/>
              </w:rPr>
            </w:pPr>
            <w:r>
              <w:rPr>
                <w:rFonts w:ascii="Times New Roman" w:hAnsi="Times New Roman"/>
                <w:sz w:val="14"/>
              </w:rPr>
              <w:t>Total Net Asset Value Held by Stockholder A</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pPr>
            <w:r>
              <w:rPr/>
              <w:t>$</w:t>
            </w:r>
          </w:p>
        </w:tc>
        <w:tc>
          <w:tcPr>
            <w:tcW w:w="1309" w:type="dxa"/>
            <w:tcBorders/>
            <w:shd w:fill="CCEEFF" w:val="clear"/>
            <w:vAlign w:val="bottom"/>
          </w:tcPr>
          <w:p>
            <w:pPr>
              <w:pStyle w:val="TableContents"/>
              <w:spacing w:before="0" w:after="283"/>
              <w:jc w:val="right"/>
              <w:rPr/>
            </w:pPr>
            <w:r>
              <w:rPr/>
              <w:t>1,275,848</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1,272,824</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pPr>
            <w:r>
              <w:rPr/>
              <w:t>(0.24</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1,264,268</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pPr>
            <w:r>
              <w:rPr/>
              <w:t>(0.91</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1,233,346</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745" w:type="dxa"/>
            <w:tcBorders/>
            <w:shd w:fill="CCEEFF" w:val="clear"/>
            <w:vAlign w:val="bottom"/>
          </w:tcPr>
          <w:p>
            <w:pPr>
              <w:pStyle w:val="TableContents"/>
              <w:spacing w:before="0" w:after="283"/>
              <w:jc w:val="right"/>
              <w:rPr/>
            </w:pPr>
            <w:r>
              <w:rPr/>
              <w:t>(3.33</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1,212,084</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745" w:type="dxa"/>
            <w:tcBorders/>
            <w:shd w:fill="CCEEFF" w:val="clear"/>
            <w:vAlign w:val="bottom"/>
          </w:tcPr>
          <w:p>
            <w:pPr>
              <w:pStyle w:val="TableContents"/>
              <w:spacing w:before="0" w:after="283"/>
              <w:jc w:val="right"/>
              <w:rPr/>
            </w:pPr>
            <w:r>
              <w:rPr/>
              <w:t>(5.00</w:t>
            </w:r>
          </w:p>
        </w:tc>
        <w:tc>
          <w:tcPr>
            <w:tcW w:w="350" w:type="dxa"/>
            <w:tcBorders/>
            <w:shd w:fill="CCEEFF" w:val="clear"/>
            <w:vAlign w:val="bottom"/>
          </w:tcPr>
          <w:p>
            <w:pPr>
              <w:pStyle w:val="TableContents"/>
              <w:spacing w:before="0" w:after="283"/>
              <w:rPr/>
            </w:pPr>
            <w:r>
              <w:rPr/>
              <w:t>%) </w:t>
            </w:r>
          </w:p>
        </w:tc>
      </w:tr>
      <w:tr>
        <w:trPr/>
        <w:tc>
          <w:tcPr>
            <w:tcW w:w="1055" w:type="dxa"/>
            <w:tcBorders/>
            <w:shd w:fill="auto" w:val="clear"/>
          </w:tcPr>
          <w:p>
            <w:pPr>
              <w:pStyle w:val="TableContents"/>
              <w:spacing w:before="0" w:after="0"/>
              <w:rPr>
                <w:rFonts w:ascii="Times New Roman" w:hAnsi="Times New Roman"/>
                <w:sz w:val="14"/>
              </w:rPr>
            </w:pPr>
            <w:r>
              <w:rPr>
                <w:rFonts w:ascii="Times New Roman" w:hAnsi="Times New Roman"/>
                <w:sz w:val="14"/>
              </w:rPr>
              <w:t>Total Investment by Stockholder A (Assumed to be $16.84 per Share)</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w:t>
            </w:r>
          </w:p>
        </w:tc>
        <w:tc>
          <w:tcPr>
            <w:tcW w:w="1309" w:type="dxa"/>
            <w:tcBorders/>
            <w:shd w:fill="auto" w:val="clear"/>
            <w:vAlign w:val="bottom"/>
          </w:tcPr>
          <w:p>
            <w:pPr>
              <w:pStyle w:val="TableContents"/>
              <w:spacing w:before="0" w:after="283"/>
              <w:jc w:val="right"/>
              <w:rPr/>
            </w:pPr>
            <w:r>
              <w:rPr/>
              <w:t>1,275,848</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1,275,848</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1,275,848</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1,275,848</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745"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1,275,848</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745"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r>
      <w:tr>
        <w:trPr/>
        <w:tc>
          <w:tcPr>
            <w:tcW w:w="1055" w:type="dxa"/>
            <w:tcBorders/>
            <w:shd w:fill="CCEEFF" w:val="clear"/>
          </w:tcPr>
          <w:p>
            <w:pPr>
              <w:pStyle w:val="TableContents"/>
              <w:spacing w:before="0" w:after="0"/>
              <w:rPr>
                <w:rFonts w:ascii="Times New Roman" w:hAnsi="Times New Roman"/>
                <w:sz w:val="14"/>
              </w:rPr>
            </w:pPr>
            <w:r>
              <w:rPr>
                <w:rFonts w:ascii="Times New Roman" w:hAnsi="Times New Roman"/>
                <w:sz w:val="14"/>
              </w:rPr>
              <w:t>Total Dilution to Stockholder A (Total Net Asset Value Less Total Investment)</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sz w:val="4"/>
                <w:szCs w:val="4"/>
              </w:rPr>
            </w:pPr>
            <w:r>
              <w:rPr>
                <w:sz w:val="4"/>
                <w:szCs w:val="4"/>
              </w:rPr>
            </w:r>
          </w:p>
        </w:tc>
        <w:tc>
          <w:tcPr>
            <w:tcW w:w="1309"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(3,023</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(11,579</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(42,501</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745"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(63,763</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745"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r>
      <w:tr>
        <w:trPr/>
        <w:tc>
          <w:tcPr>
            <w:tcW w:w="1055" w:type="dxa"/>
            <w:tcBorders/>
            <w:shd w:fill="auto" w:val="clear"/>
          </w:tcPr>
          <w:p>
            <w:pPr>
              <w:pStyle w:val="TableContents"/>
              <w:spacing w:before="0" w:after="0"/>
              <w:rPr>
                <w:rFonts w:ascii="Times New Roman" w:hAnsi="Times New Roman"/>
                <w:sz w:val="14"/>
              </w:rPr>
            </w:pPr>
            <w:r>
              <w:rPr>
                <w:rFonts w:ascii="Times New Roman" w:hAnsi="Times New Roman"/>
                <w:sz w:val="14"/>
              </w:rPr>
              <w:t>Investment per Share Held by Stockholder A (Assumed to be $16.84 per Share on Shares Held Prior to Sale)</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w:t>
            </w:r>
          </w:p>
        </w:tc>
        <w:tc>
          <w:tcPr>
            <w:tcW w:w="1309" w:type="dxa"/>
            <w:tcBorders/>
            <w:shd w:fill="auto" w:val="clear"/>
            <w:vAlign w:val="bottom"/>
          </w:tcPr>
          <w:p>
            <w:pPr>
              <w:pStyle w:val="TableContents"/>
              <w:spacing w:before="0" w:after="283"/>
              <w:jc w:val="right"/>
              <w:rPr/>
            </w:pPr>
            <w:r>
              <w:rPr/>
              <w:t>16.84</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16.84</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jc w:val="right"/>
              <w:rPr/>
            </w:pPr>
            <w:r>
              <w:rPr/>
              <w:t>0.00</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16.84</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pPr>
            <w:r>
              <w:rPr/>
              <w:t> </w:t>
            </w:r>
          </w:p>
        </w:tc>
        <w:tc>
          <w:tcPr>
            <w:tcW w:w="730" w:type="dxa"/>
            <w:tcBorders/>
            <w:shd w:fill="auto" w:val="clear"/>
            <w:vAlign w:val="bottom"/>
          </w:tcPr>
          <w:p>
            <w:pPr>
              <w:pStyle w:val="TableContents"/>
              <w:spacing w:before="0" w:after="283"/>
              <w:jc w:val="right"/>
              <w:rPr/>
            </w:pPr>
            <w:r>
              <w:rPr/>
              <w:t>0.00</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16.84</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745" w:type="dxa"/>
            <w:tcBorders/>
            <w:shd w:fill="auto" w:val="clear"/>
            <w:vAlign w:val="bottom"/>
          </w:tcPr>
          <w:p>
            <w:pPr>
              <w:pStyle w:val="TableContents"/>
              <w:spacing w:before="0" w:after="283"/>
              <w:jc w:val="right"/>
              <w:rPr/>
            </w:pPr>
            <w:r>
              <w:rPr/>
              <w:t>0.00</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16.84</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pPr>
            <w:r>
              <w:rPr/>
              <w:t> </w:t>
            </w:r>
          </w:p>
        </w:tc>
        <w:tc>
          <w:tcPr>
            <w:tcW w:w="745" w:type="dxa"/>
            <w:tcBorders/>
            <w:shd w:fill="auto" w:val="clear"/>
            <w:vAlign w:val="bottom"/>
          </w:tcPr>
          <w:p>
            <w:pPr>
              <w:pStyle w:val="TableContents"/>
              <w:spacing w:before="0" w:after="283"/>
              <w:jc w:val="right"/>
              <w:rPr/>
            </w:pPr>
            <w:r>
              <w:rPr/>
              <w:t>0.00</w:t>
            </w:r>
          </w:p>
        </w:tc>
        <w:tc>
          <w:tcPr>
            <w:tcW w:w="350" w:type="dxa"/>
            <w:tcBorders/>
            <w:shd w:fill="auto" w:val="clear"/>
            <w:vAlign w:val="bottom"/>
          </w:tcPr>
          <w:p>
            <w:pPr>
              <w:pStyle w:val="TableContents"/>
              <w:spacing w:before="0" w:after="283"/>
              <w:rPr/>
            </w:pPr>
            <w:r>
              <w:rPr/>
              <w:t>% </w:t>
            </w:r>
          </w:p>
        </w:tc>
      </w:tr>
      <w:tr>
        <w:trPr/>
        <w:tc>
          <w:tcPr>
            <w:tcW w:w="1055" w:type="dxa"/>
            <w:tcBorders/>
            <w:shd w:fill="CCEEFF" w:val="clear"/>
          </w:tcPr>
          <w:p>
            <w:pPr>
              <w:pStyle w:val="TableContents"/>
              <w:spacing w:before="0" w:after="0"/>
              <w:rPr>
                <w:rFonts w:ascii="Times New Roman" w:hAnsi="Times New Roman"/>
                <w:sz w:val="14"/>
              </w:rPr>
            </w:pPr>
            <w:r>
              <w:rPr>
                <w:rFonts w:ascii="Times New Roman" w:hAnsi="Times New Roman"/>
                <w:sz w:val="14"/>
              </w:rPr>
              <w:t>Net Asset Value per Share Held by Stockholder A</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sz w:val="4"/>
                <w:szCs w:val="4"/>
              </w:rPr>
            </w:pPr>
            <w:r>
              <w:rPr>
                <w:sz w:val="4"/>
                <w:szCs w:val="4"/>
              </w:rPr>
            </w:r>
          </w:p>
        </w:tc>
        <w:tc>
          <w:tcPr>
            <w:tcW w:w="1309"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16.80</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16.69</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16.28</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745"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16.00</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sz w:val="4"/>
                <w:szCs w:val="4"/>
              </w:rPr>
            </w:pPr>
            <w:r>
              <w:rPr>
                <w:sz w:val="4"/>
                <w:szCs w:val="4"/>
              </w:rPr>
            </w:r>
          </w:p>
        </w:tc>
        <w:tc>
          <w:tcPr>
            <w:tcW w:w="745"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r>
      <w:tr>
        <w:trPr/>
        <w:tc>
          <w:tcPr>
            <w:tcW w:w="1055" w:type="dxa"/>
            <w:tcBorders/>
            <w:shd w:fill="auto" w:val="clear"/>
          </w:tcPr>
          <w:p>
            <w:pPr>
              <w:pStyle w:val="TableContents"/>
              <w:spacing w:before="0" w:after="0"/>
              <w:rPr>
                <w:rFonts w:ascii="Times New Roman" w:hAnsi="Times New Roman"/>
                <w:sz w:val="14"/>
              </w:rPr>
            </w:pPr>
            <w:r>
              <w:rPr>
                <w:rFonts w:ascii="Times New Roman" w:hAnsi="Times New Roman"/>
                <w:sz w:val="14"/>
              </w:rPr>
              <w:t>Dilution per Share Held by Stockholder A (Net Asset Value per Share Less Investment per Share)</w:t>
            </w:r>
          </w:p>
        </w:tc>
        <w:tc>
          <w:tcPr>
            <w:tcW w:w="60" w:type="dxa"/>
            <w:tcBorders/>
            <w:shd w:fill="auto" w:val="cle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sz w:val="4"/>
                <w:szCs w:val="4"/>
              </w:rPr>
            </w:pPr>
            <w:r>
              <w:rPr>
                <w:sz w:val="4"/>
                <w:szCs w:val="4"/>
              </w:rPr>
            </w:r>
          </w:p>
        </w:tc>
        <w:tc>
          <w:tcPr>
            <w:tcW w:w="1309"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(0.04</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(0.15</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(0.56</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745"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(0.84</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0" w:type="dxa"/>
            <w:tcBorders/>
            <w:shd w:fill="auto" w:val="clear"/>
            <w:vAlign w:val="bottom"/>
          </w:tcPr>
          <w:p>
            <w:pPr>
              <w:pStyle w:val="TableContents"/>
              <w:spacing w:before="0" w:after="283"/>
              <w:rPr>
                <w:sz w:val="4"/>
                <w:szCs w:val="4"/>
              </w:rPr>
            </w:pPr>
            <w:r>
              <w:rPr>
                <w:sz w:val="4"/>
                <w:szCs w:val="4"/>
              </w:rPr>
            </w:r>
          </w:p>
        </w:tc>
        <w:tc>
          <w:tcPr>
            <w:tcW w:w="745"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r>
      <w:tr>
        <w:trPr/>
        <w:tc>
          <w:tcPr>
            <w:tcW w:w="1055" w:type="dxa"/>
            <w:tcBorders/>
            <w:shd w:fill="CCEEFF" w:val="clear"/>
          </w:tcPr>
          <w:p>
            <w:pPr>
              <w:pStyle w:val="TableContents"/>
              <w:spacing w:before="0" w:after="0"/>
              <w:rPr>
                <w:rFonts w:ascii="Times New Roman" w:hAnsi="Times New Roman"/>
                <w:sz w:val="14"/>
              </w:rPr>
            </w:pPr>
            <w:r>
              <w:rPr>
                <w:rFonts w:ascii="Times New Roman" w:hAnsi="Times New Roman"/>
                <w:sz w:val="14"/>
              </w:rPr>
              <w:t>Percentage Dilution to Stockholder A (Dilution per Share Divided by Investment per Share)</w:t>
            </w:r>
          </w:p>
        </w:tc>
        <w:tc>
          <w:tcPr>
            <w:tcW w:w="60" w:type="dxa"/>
            <w:tcBorders/>
            <w:shd w:fill="CCEEFF" w:val="clear"/>
            <w:vAlign w:val="bottom"/>
          </w:tcPr>
          <w:p>
            <w:pPr>
              <w:pStyle w:val="TableContents"/>
              <w:spacing w:before="0" w:after="283"/>
              <w:rPr/>
            </w:pPr>
            <w:r>
              <w:rPr/>
              <w:t> </w:t>
            </w:r>
          </w:p>
        </w:tc>
        <w:tc>
          <w:tcPr>
            <w:tcW w:w="166" w:type="dxa"/>
            <w:tcBorders/>
            <w:shd w:fill="CCEEFF" w:val="clear"/>
            <w:vAlign w:val="bottom"/>
          </w:tcPr>
          <w:p>
            <w:pPr>
              <w:pStyle w:val="TableContents"/>
              <w:spacing w:before="0" w:after="283"/>
              <w:rPr>
                <w:sz w:val="4"/>
                <w:szCs w:val="4"/>
              </w:rPr>
            </w:pPr>
            <w:r>
              <w:rPr>
                <w:sz w:val="4"/>
                <w:szCs w:val="4"/>
              </w:rPr>
            </w:r>
          </w:p>
        </w:tc>
        <w:tc>
          <w:tcPr>
            <w:tcW w:w="1309"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pPr>
            <w:r>
              <w:rPr/>
              <w:t>(0.25</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pPr>
            <w:r>
              <w:rPr/>
              <w:t>(0.92</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745" w:type="dxa"/>
            <w:tcBorders/>
            <w:shd w:fill="CCEEFF" w:val="clear"/>
            <w:vAlign w:val="bottom"/>
          </w:tcPr>
          <w:p>
            <w:pPr>
              <w:pStyle w:val="TableContents"/>
              <w:spacing w:before="0" w:after="283"/>
              <w:jc w:val="right"/>
              <w:rPr/>
            </w:pPr>
            <w:r>
              <w:rPr/>
              <w:t>(3.34</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0" w:type="dxa"/>
            <w:tcBorders/>
            <w:shd w:fill="CCEEFF" w:val="clear"/>
            <w:vAlign w:val="bottom"/>
          </w:tcPr>
          <w:p>
            <w:pPr>
              <w:pStyle w:val="TableContents"/>
              <w:spacing w:before="0" w:after="283"/>
              <w:rPr/>
            </w:pPr>
            <w:r>
              <w:rPr/>
              <w:t> </w:t>
            </w:r>
          </w:p>
        </w:tc>
        <w:tc>
          <w:tcPr>
            <w:tcW w:w="745" w:type="dxa"/>
            <w:tcBorders/>
            <w:shd w:fill="CCEEFF" w:val="clear"/>
            <w:vAlign w:val="bottom"/>
          </w:tcPr>
          <w:p>
            <w:pPr>
              <w:pStyle w:val="TableContents"/>
              <w:spacing w:before="0" w:after="283"/>
              <w:jc w:val="right"/>
              <w:rPr/>
            </w:pPr>
            <w:r>
              <w:rPr/>
              <w:t>(5.01</w:t>
            </w:r>
          </w:p>
        </w:tc>
        <w:tc>
          <w:tcPr>
            <w:tcW w:w="350" w:type="dxa"/>
            <w:tcBorders/>
            <w:shd w:fill="CCEEFF" w:val="clear"/>
            <w:vAlign w:val="bottom"/>
          </w:tcPr>
          <w:p>
            <w:pPr>
              <w:pStyle w:val="TableContents"/>
              <w:spacing w:before="0" w:after="283"/>
              <w:rPr/>
            </w:pPr>
            <w:r>
              <w:rPr/>
              <w:t>%) </w:t>
            </w:r>
          </w:p>
        </w:tc>
      </w:tr>
    </w:tbl>
    <w:p>
      <w:pPr>
        <w:pStyle w:val="TextBody"/>
        <w:spacing w:before="360" w:after="0"/>
        <w:rPr>
          <w:rFonts w:ascii="Times New Roman" w:hAnsi="Times New Roman"/>
          <w:i/>
          <w:sz w:val="20"/>
        </w:rPr>
      </w:pPr>
      <w:r>
        <w:rPr>
          <w:rFonts w:ascii="Times New Roman" w:hAnsi="Times New Roman"/>
          <w:i/>
          <w:sz w:val="20"/>
        </w:rPr>
        <w:t xml:space="preserve">Impact on Existing Stockholders Who Do Participate in the Offering </w:t>
      </w:r>
    </w:p>
    <w:p>
      <w:pPr>
        <w:pStyle w:val="TextBody"/>
        <w:spacing w:before="120" w:after="0"/>
        <w:rPr>
          <w:rFonts w:ascii="Times New Roman" w:hAnsi="Times New Roman"/>
          <w:sz w:val="20"/>
        </w:rPr>
      </w:pPr>
      <w:r>
        <w:rPr>
          <w:rFonts w:ascii="Times New Roman" w:hAnsi="Times New Roman"/>
          <w:sz w:val="20"/>
        </w:rPr>
        <w:t xml:space="preserve">Our existing stockholders who participate in an offering below net asset value or who buy additional shares in the secondary market at the same or lower price as we obtain in the offering (after expenses and commissions)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will experience the same types of net asset value per share dilution as the nonparticipating stockholders, albeit at a lower level, to the extent they purchase less than the same percentage of the discounted offering as their interest in shares of our common stock immediately prior to the offering. The level of net asset value per share dilution will decrease as the number of shares such stockholders purchase increases. Existing stockholders who buy more than such percentage will experience net asset value per share dilution on their existing shares but will, in contrast to existing stockholders who purchase less than their proportionate share of the offering, experience an increase (often called accretion) in average net asset value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net asset value per share dilution as described above in such subsequent offerings. These stockholders may also experience a decline in the market price of their shares, which often reflects to some degree announced or potential decreases in net asset value per share. This decrease could be more pronounced as the size of the offering and level of discounts increases. There is no maximum level of discount from net asset value at which the Company may sell shares pursuant to this authority. </w:t>
      </w:r>
    </w:p>
    <w:p>
      <w:pPr>
        <w:pStyle w:val="TextBody"/>
        <w:spacing w:before="240" w:after="0"/>
        <w:rPr>
          <w:rFonts w:ascii="Times New Roman" w:hAnsi="Times New Roman"/>
          <w:sz w:val="20"/>
        </w:rPr>
      </w:pPr>
      <w:r>
        <w:rPr>
          <w:rFonts w:ascii="Times New Roman" w:hAnsi="Times New Roman"/>
          <w:sz w:val="20"/>
        </w:rPr>
        <w:t xml:space="preserve">The following chart illustrates the level of dilution and accretion in the hypothetical 20% discount offering from the prior chart (Example 3) for a stockholder that acquires shares equal to (a) 50% of its proportionate share of the offering (i.e., 0.05% of an offering of 15.2 million shares) rather than its 0.10% proportionate share and (b) 150% of such percentage (i.e., 0.15% of an offering of 15.2 million shares) rather than its 0.10% proportionate share. The prospectus pursuant to which any discounted offering is made will include a chart for these examples based on the actual number of shares in such offering and the actual discount from the most recently determined net asset value. It is not possible to predict the level of market price decline that may occur. These examples are provided for illustrative purposes only.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1879"/>
        <w:gridCol w:w="101"/>
        <w:gridCol w:w="244"/>
        <w:gridCol w:w="1923"/>
        <w:gridCol w:w="275"/>
        <w:gridCol w:w="101"/>
        <w:gridCol w:w="140"/>
        <w:gridCol w:w="1103"/>
        <w:gridCol w:w="275"/>
        <w:gridCol w:w="101"/>
        <w:gridCol w:w="78"/>
        <w:gridCol w:w="739"/>
        <w:gridCol w:w="351"/>
        <w:gridCol w:w="101"/>
        <w:gridCol w:w="140"/>
        <w:gridCol w:w="1103"/>
        <w:gridCol w:w="275"/>
        <w:gridCol w:w="100"/>
        <w:gridCol w:w="78"/>
        <w:gridCol w:w="739"/>
        <w:gridCol w:w="359"/>
      </w:tblGrid>
      <w:tr>
        <w:trPr/>
        <w:tc>
          <w:tcPr>
            <w:tcW w:w="187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923"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3"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739"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r>
      <w:tr>
        <w:trPr/>
        <w:tc>
          <w:tcPr>
            <w:tcW w:w="1879" w:type="dxa"/>
            <w:tcBorders/>
            <w:shd w:fill="auto" w:val="clear"/>
            <w:vAlign w:val="bottom"/>
          </w:tcPr>
          <w:p>
            <w:pPr>
              <w:pStyle w:val="TableContents"/>
              <w:spacing w:before="0" w:after="283"/>
              <w:rPr/>
            </w:pPr>
            <w:r>
              <w:rPr/>
              <w:t> </w:t>
            </w:r>
          </w:p>
        </w:tc>
        <w:tc>
          <w:tcPr>
            <w:tcW w:w="101" w:type="dxa"/>
            <w:vMerge w:val="restart"/>
            <w:tcBorders/>
            <w:shd w:fill="auto" w:val="clear"/>
            <w:vAlign w:val="bottom"/>
          </w:tcPr>
          <w:p>
            <w:pPr>
              <w:pStyle w:val="TableContents"/>
              <w:spacing w:before="0" w:after="283"/>
              <w:rPr/>
            </w:pPr>
            <w:r>
              <w:rPr/>
              <w:t> </w:t>
            </w:r>
          </w:p>
        </w:tc>
        <w:tc>
          <w:tcPr>
            <w:tcW w:w="2167"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b/>
              </w:rPr>
            </w:pPr>
            <w:r>
              <w:rPr>
                <w:b/>
              </w:rPr>
              <w:t>Prior to Sale</w:t>
              <w:br/>
              <w:t>Below net asset value</w:t>
            </w:r>
          </w:p>
        </w:tc>
        <w:tc>
          <w:tcPr>
            <w:tcW w:w="275" w:type="dxa"/>
            <w:vMerge w:val="restart"/>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36"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50% Participation</w:t>
            </w:r>
          </w:p>
        </w:tc>
        <w:tc>
          <w:tcPr>
            <w:tcW w:w="35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2435"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150% Participation</w:t>
            </w:r>
          </w:p>
        </w:tc>
        <w:tc>
          <w:tcPr>
            <w:tcW w:w="359" w:type="dxa"/>
            <w:tcBorders/>
            <w:shd w:fill="auto" w:val="clear"/>
            <w:vAlign w:val="bottom"/>
          </w:tcPr>
          <w:p>
            <w:pPr>
              <w:pStyle w:val="TableContents"/>
              <w:spacing w:before="0" w:after="283"/>
              <w:rPr/>
            </w:pPr>
            <w:r>
              <w:rPr/>
              <w:t> </w:t>
            </w:r>
          </w:p>
        </w:tc>
      </w:tr>
      <w:tr>
        <w:trPr/>
        <w:tc>
          <w:tcPr>
            <w:tcW w:w="1879" w:type="dxa"/>
            <w:tcBorders/>
            <w:shd w:fill="auto" w:val="clear"/>
            <w:vAlign w:val="bottom"/>
          </w:tcPr>
          <w:p>
            <w:pPr>
              <w:pStyle w:val="TableContents"/>
              <w:spacing w:before="0" w:after="283"/>
              <w:rPr/>
            </w:pPr>
            <w:r>
              <w:rPr/>
              <w:t> </w:t>
            </w:r>
          </w:p>
        </w:tc>
        <w:tc>
          <w:tcPr>
            <w:tcW w:w="101" w:type="dxa"/>
            <w:vMerge w:val="continue"/>
            <w:tcBorders/>
            <w:shd w:fill="auto" w:val="clear"/>
            <w:vAlign w:val="bottom"/>
          </w:tcPr>
          <w:p>
            <w:pPr>
              <w:pStyle w:val="Normal"/>
              <w:rPr/>
            </w:pPr>
            <w:r>
              <w:rPr/>
            </w:r>
          </w:p>
        </w:tc>
        <w:tc>
          <w:tcPr>
            <w:tcW w:w="2167" w:type="dxa"/>
            <w:gridSpan w:val="2"/>
            <w:vMerge w:val="continue"/>
            <w:tcBorders>
              <w:bottom w:val="single" w:sz="8" w:space="0" w:color="000000"/>
            </w:tcBorders>
            <w:shd w:fill="auto" w:val="clear"/>
            <w:tcMar>
              <w:bottom w:w="28" w:type="dxa"/>
            </w:tcMar>
            <w:vAlign w:val="bottom"/>
          </w:tcPr>
          <w:p>
            <w:pPr>
              <w:pStyle w:val="Normal"/>
              <w:rPr/>
            </w:pPr>
            <w:r>
              <w:rPr/>
            </w:r>
          </w:p>
        </w:tc>
        <w:tc>
          <w:tcPr>
            <w:tcW w:w="275" w:type="dxa"/>
            <w:vMerge w:val="continue"/>
            <w:tcBorders/>
            <w:shd w:fill="auto" w:val="clear"/>
            <w:vAlign w:val="bottom"/>
          </w:tcPr>
          <w:p>
            <w:pPr>
              <w:pStyle w:val="Normal"/>
              <w:rPr/>
            </w:pPr>
            <w:r>
              <w:rPr/>
            </w:r>
          </w:p>
        </w:tc>
        <w:tc>
          <w:tcPr>
            <w:tcW w:w="101" w:type="dxa"/>
            <w:tcBorders/>
            <w:shd w:fill="auto" w:val="clear"/>
            <w:vAlign w:val="bottom"/>
          </w:tcPr>
          <w:p>
            <w:pPr>
              <w:pStyle w:val="TableContents"/>
              <w:spacing w:before="0" w:after="283"/>
              <w:rPr/>
            </w:pPr>
            <w:r>
              <w:rPr/>
              <w:t> </w:t>
            </w:r>
          </w:p>
        </w:tc>
        <w:tc>
          <w:tcPr>
            <w:tcW w:w="124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Following</w:t>
              <w:br/>
              <w:t>Sale</w:t>
            </w:r>
          </w:p>
        </w:tc>
        <w:tc>
          <w:tcPr>
            <w:tcW w:w="275"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81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br/>
              <w:t>Change</w:t>
            </w:r>
          </w:p>
        </w:tc>
        <w:tc>
          <w:tcPr>
            <w:tcW w:w="35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1243"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Following</w:t>
              <w:br/>
              <w:t>Sale</w:t>
            </w:r>
          </w:p>
        </w:tc>
        <w:tc>
          <w:tcPr>
            <w:tcW w:w="275"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817"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br/>
              <w:t>Change</w:t>
            </w:r>
          </w:p>
        </w:tc>
        <w:tc>
          <w:tcPr>
            <w:tcW w:w="359" w:type="dxa"/>
            <w:tcBorders/>
            <w:shd w:fill="auto" w:val="clear"/>
            <w:vAlign w:val="bottom"/>
          </w:tcPr>
          <w:p>
            <w:pPr>
              <w:pStyle w:val="TableContents"/>
              <w:spacing w:before="0" w:after="283"/>
              <w:rPr/>
            </w:pPr>
            <w:r>
              <w:rPr/>
              <w:t> </w:t>
            </w:r>
          </w:p>
        </w:tc>
      </w:tr>
      <w:tr>
        <w:trPr/>
        <w:tc>
          <w:tcPr>
            <w:tcW w:w="1879" w:type="dxa"/>
            <w:tcBorders/>
            <w:shd w:fill="CCEEFF" w:val="clear"/>
          </w:tcPr>
          <w:p>
            <w:pPr>
              <w:pStyle w:val="TableContents"/>
              <w:spacing w:before="0" w:after="0"/>
              <w:rPr>
                <w:rFonts w:ascii="Times New Roman" w:hAnsi="Times New Roman"/>
                <w:b/>
                <w:sz w:val="17"/>
              </w:rPr>
            </w:pPr>
            <w:r>
              <w:rPr>
                <w:rFonts w:ascii="Times New Roman" w:hAnsi="Times New Roman"/>
                <w:b/>
                <w:sz w:val="17"/>
              </w:rPr>
              <w:t>Offering Price</w:t>
            </w:r>
          </w:p>
        </w:tc>
        <w:tc>
          <w:tcPr>
            <w:tcW w:w="101"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sz w:val="4"/>
                <w:szCs w:val="4"/>
              </w:rPr>
            </w:pPr>
            <w:r>
              <w:rPr>
                <w:sz w:val="4"/>
                <w:szCs w:val="4"/>
              </w:rPr>
            </w:r>
          </w:p>
        </w:tc>
        <w:tc>
          <w:tcPr>
            <w:tcW w:w="1923"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1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3"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101"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739" w:type="dxa"/>
            <w:tcBorders/>
            <w:shd w:fill="CCEEFF" w:val="clear"/>
            <w:vAlign w:val="bottom"/>
          </w:tcPr>
          <w:p>
            <w:pPr>
              <w:pStyle w:val="TableContents"/>
              <w:spacing w:before="0" w:after="283"/>
              <w:rPr>
                <w:sz w:val="4"/>
                <w:szCs w:val="4"/>
              </w:rPr>
            </w:pPr>
            <w:r>
              <w:rPr>
                <w:sz w:val="4"/>
                <w:szCs w:val="4"/>
              </w:rPr>
            </w:r>
          </w:p>
        </w:tc>
        <w:tc>
          <w:tcPr>
            <w:tcW w:w="351" w:type="dxa"/>
            <w:tcBorders/>
            <w:shd w:fill="CCEEFF" w:val="clear"/>
            <w:vAlign w:val="bottom"/>
          </w:tcPr>
          <w:p>
            <w:pPr>
              <w:pStyle w:val="TableContents"/>
              <w:spacing w:before="0" w:after="283"/>
              <w:rPr>
                <w:sz w:val="4"/>
                <w:szCs w:val="4"/>
              </w:rPr>
            </w:pPr>
            <w:r>
              <w:rPr>
                <w:sz w:val="4"/>
                <w:szCs w:val="4"/>
              </w:rPr>
            </w:r>
          </w:p>
        </w:tc>
        <w:tc>
          <w:tcPr>
            <w:tcW w:w="1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3"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10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739" w:type="dxa"/>
            <w:tcBorders/>
            <w:shd w:fill="CCEEFF" w:val="clear"/>
            <w:vAlign w:val="bottom"/>
          </w:tcPr>
          <w:p>
            <w:pPr>
              <w:pStyle w:val="TableContents"/>
              <w:spacing w:before="0" w:after="283"/>
              <w:rPr>
                <w:sz w:val="4"/>
                <w:szCs w:val="4"/>
              </w:rPr>
            </w:pPr>
            <w:r>
              <w:rPr>
                <w:sz w:val="4"/>
                <w:szCs w:val="4"/>
              </w:rPr>
            </w:r>
          </w:p>
        </w:tc>
        <w:tc>
          <w:tcPr>
            <w:tcW w:w="359" w:type="dxa"/>
            <w:tcBorders/>
            <w:shd w:fill="CCEEFF" w:val="clear"/>
            <w:vAlign w:val="bottom"/>
          </w:tcPr>
          <w:p>
            <w:pPr>
              <w:pStyle w:val="TableContents"/>
              <w:spacing w:before="0" w:after="283"/>
              <w:rPr>
                <w:sz w:val="4"/>
                <w:szCs w:val="4"/>
              </w:rPr>
            </w:pPr>
            <w:r>
              <w:rPr>
                <w:sz w:val="4"/>
                <w:szCs w:val="4"/>
              </w:rPr>
            </w:r>
          </w:p>
        </w:tc>
      </w:tr>
      <w:tr>
        <w:trPr/>
        <w:tc>
          <w:tcPr>
            <w:tcW w:w="1879" w:type="dxa"/>
            <w:tcBorders/>
            <w:shd w:fill="auto" w:val="clear"/>
          </w:tcPr>
          <w:p>
            <w:pPr>
              <w:pStyle w:val="TableContents"/>
              <w:spacing w:before="0" w:after="0"/>
              <w:rPr>
                <w:rFonts w:ascii="Times New Roman" w:hAnsi="Times New Roman"/>
                <w:sz w:val="17"/>
              </w:rPr>
            </w:pPr>
            <w:r>
              <w:rPr>
                <w:rFonts w:ascii="Times New Roman" w:hAnsi="Times New Roman"/>
                <w:sz w:val="17"/>
              </w:rPr>
              <w:t>Price per Share to Public</w:t>
            </w:r>
          </w:p>
        </w:tc>
        <w:tc>
          <w:tcPr>
            <w:tcW w:w="101"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sz w:val="4"/>
                <w:szCs w:val="4"/>
              </w:rPr>
            </w:pPr>
            <w:r>
              <w:rPr>
                <w:sz w:val="4"/>
                <w:szCs w:val="4"/>
              </w:rPr>
            </w:r>
          </w:p>
        </w:tc>
        <w:tc>
          <w:tcPr>
            <w:tcW w:w="1923"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3" w:type="dxa"/>
            <w:tcBorders/>
            <w:shd w:fill="auto" w:val="clear"/>
            <w:vAlign w:val="bottom"/>
          </w:tcPr>
          <w:p>
            <w:pPr>
              <w:pStyle w:val="TableContents"/>
              <w:spacing w:before="0" w:after="283"/>
              <w:jc w:val="right"/>
              <w:rPr/>
            </w:pPr>
            <w:r>
              <w:rPr/>
              <w:t>14.18</w:t>
            </w:r>
          </w:p>
        </w:tc>
        <w:tc>
          <w:tcPr>
            <w:tcW w:w="275"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739" w:type="dxa"/>
            <w:tcBorders/>
            <w:shd w:fill="auto" w:val="clear"/>
            <w:vAlign w:val="bottom"/>
          </w:tcPr>
          <w:p>
            <w:pPr>
              <w:pStyle w:val="TableContents"/>
              <w:spacing w:before="0" w:after="283"/>
              <w:rPr>
                <w:sz w:val="4"/>
                <w:szCs w:val="4"/>
              </w:rPr>
            </w:pPr>
            <w:r>
              <w:rPr>
                <w:sz w:val="4"/>
                <w:szCs w:val="4"/>
              </w:rPr>
            </w:r>
          </w:p>
        </w:tc>
        <w:tc>
          <w:tcPr>
            <w:tcW w:w="351"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3" w:type="dxa"/>
            <w:tcBorders/>
            <w:shd w:fill="auto" w:val="clear"/>
            <w:vAlign w:val="bottom"/>
          </w:tcPr>
          <w:p>
            <w:pPr>
              <w:pStyle w:val="TableContents"/>
              <w:spacing w:before="0" w:after="283"/>
              <w:jc w:val="right"/>
              <w:rPr/>
            </w:pPr>
            <w:r>
              <w:rPr/>
              <w:t>14.18</w:t>
            </w:r>
          </w:p>
        </w:tc>
        <w:tc>
          <w:tcPr>
            <w:tcW w:w="275"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739" w:type="dxa"/>
            <w:tcBorders/>
            <w:shd w:fill="auto" w:val="clear"/>
            <w:vAlign w:val="bottom"/>
          </w:tcPr>
          <w:p>
            <w:pPr>
              <w:pStyle w:val="TableContents"/>
              <w:spacing w:before="0" w:after="283"/>
              <w:rPr>
                <w:sz w:val="4"/>
                <w:szCs w:val="4"/>
              </w:rPr>
            </w:pPr>
            <w:r>
              <w:rPr>
                <w:sz w:val="4"/>
                <w:szCs w:val="4"/>
              </w:rPr>
            </w:r>
          </w:p>
        </w:tc>
        <w:tc>
          <w:tcPr>
            <w:tcW w:w="359" w:type="dxa"/>
            <w:tcBorders/>
            <w:shd w:fill="auto" w:val="clear"/>
            <w:vAlign w:val="bottom"/>
          </w:tcPr>
          <w:p>
            <w:pPr>
              <w:pStyle w:val="TableContents"/>
              <w:spacing w:before="0" w:after="283"/>
              <w:rPr>
                <w:sz w:val="4"/>
                <w:szCs w:val="4"/>
              </w:rPr>
            </w:pPr>
            <w:r>
              <w:rPr>
                <w:sz w:val="4"/>
                <w:szCs w:val="4"/>
              </w:rPr>
            </w:r>
          </w:p>
        </w:tc>
      </w:tr>
      <w:tr>
        <w:trPr/>
        <w:tc>
          <w:tcPr>
            <w:tcW w:w="1879" w:type="dxa"/>
            <w:tcBorders/>
            <w:shd w:fill="CCEEFF" w:val="clear"/>
          </w:tcPr>
          <w:p>
            <w:pPr>
              <w:pStyle w:val="TableContents"/>
              <w:spacing w:before="0" w:after="0"/>
              <w:rPr>
                <w:rFonts w:ascii="Times New Roman" w:hAnsi="Times New Roman"/>
                <w:sz w:val="17"/>
              </w:rPr>
            </w:pPr>
            <w:r>
              <w:rPr>
                <w:rFonts w:ascii="Times New Roman" w:hAnsi="Times New Roman"/>
                <w:sz w:val="17"/>
              </w:rPr>
              <w:t>Net Proceeds per Share to Issuer</w:t>
            </w:r>
          </w:p>
        </w:tc>
        <w:tc>
          <w:tcPr>
            <w:tcW w:w="101"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sz w:val="4"/>
                <w:szCs w:val="4"/>
              </w:rPr>
            </w:pPr>
            <w:r>
              <w:rPr>
                <w:sz w:val="4"/>
                <w:szCs w:val="4"/>
              </w:rPr>
            </w:r>
          </w:p>
        </w:tc>
        <w:tc>
          <w:tcPr>
            <w:tcW w:w="1923"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1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3" w:type="dxa"/>
            <w:tcBorders/>
            <w:shd w:fill="CCEEFF" w:val="clear"/>
            <w:vAlign w:val="bottom"/>
          </w:tcPr>
          <w:p>
            <w:pPr>
              <w:pStyle w:val="TableContents"/>
              <w:spacing w:before="0" w:after="283"/>
              <w:jc w:val="right"/>
              <w:rPr/>
            </w:pPr>
            <w:r>
              <w:rPr/>
              <w:t>13.47</w:t>
            </w:r>
          </w:p>
        </w:tc>
        <w:tc>
          <w:tcPr>
            <w:tcW w:w="275"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739" w:type="dxa"/>
            <w:tcBorders/>
            <w:shd w:fill="CCEEFF" w:val="clear"/>
            <w:vAlign w:val="bottom"/>
          </w:tcPr>
          <w:p>
            <w:pPr>
              <w:pStyle w:val="TableContents"/>
              <w:spacing w:before="0" w:after="283"/>
              <w:rPr>
                <w:sz w:val="4"/>
                <w:szCs w:val="4"/>
              </w:rPr>
            </w:pPr>
            <w:r>
              <w:rPr>
                <w:sz w:val="4"/>
                <w:szCs w:val="4"/>
              </w:rPr>
            </w:r>
          </w:p>
        </w:tc>
        <w:tc>
          <w:tcPr>
            <w:tcW w:w="351" w:type="dxa"/>
            <w:tcBorders/>
            <w:shd w:fill="CCEEFF" w:val="clear"/>
            <w:vAlign w:val="bottom"/>
          </w:tcPr>
          <w:p>
            <w:pPr>
              <w:pStyle w:val="TableContents"/>
              <w:spacing w:before="0" w:after="283"/>
              <w:rPr>
                <w:sz w:val="4"/>
                <w:szCs w:val="4"/>
              </w:rPr>
            </w:pPr>
            <w:r>
              <w:rPr>
                <w:sz w:val="4"/>
                <w:szCs w:val="4"/>
              </w:rPr>
            </w:r>
          </w:p>
        </w:tc>
        <w:tc>
          <w:tcPr>
            <w:tcW w:w="1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3" w:type="dxa"/>
            <w:tcBorders/>
            <w:shd w:fill="CCEEFF" w:val="clear"/>
            <w:vAlign w:val="bottom"/>
          </w:tcPr>
          <w:p>
            <w:pPr>
              <w:pStyle w:val="TableContents"/>
              <w:spacing w:before="0" w:after="283"/>
              <w:jc w:val="right"/>
              <w:rPr/>
            </w:pPr>
            <w:r>
              <w:rPr/>
              <w:t>13.47</w:t>
            </w:r>
          </w:p>
        </w:tc>
        <w:tc>
          <w:tcPr>
            <w:tcW w:w="275"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739" w:type="dxa"/>
            <w:tcBorders/>
            <w:shd w:fill="CCEEFF" w:val="clear"/>
            <w:vAlign w:val="bottom"/>
          </w:tcPr>
          <w:p>
            <w:pPr>
              <w:pStyle w:val="TableContents"/>
              <w:spacing w:before="0" w:after="283"/>
              <w:rPr>
                <w:sz w:val="4"/>
                <w:szCs w:val="4"/>
              </w:rPr>
            </w:pPr>
            <w:r>
              <w:rPr>
                <w:sz w:val="4"/>
                <w:szCs w:val="4"/>
              </w:rPr>
            </w:r>
          </w:p>
        </w:tc>
        <w:tc>
          <w:tcPr>
            <w:tcW w:w="359" w:type="dxa"/>
            <w:tcBorders/>
            <w:shd w:fill="CCEEFF" w:val="clear"/>
            <w:vAlign w:val="bottom"/>
          </w:tcPr>
          <w:p>
            <w:pPr>
              <w:pStyle w:val="TableContents"/>
              <w:spacing w:before="0" w:after="283"/>
              <w:rPr>
                <w:sz w:val="4"/>
                <w:szCs w:val="4"/>
              </w:rPr>
            </w:pPr>
            <w:r>
              <w:rPr>
                <w:sz w:val="4"/>
                <w:szCs w:val="4"/>
              </w:rPr>
            </w:r>
          </w:p>
        </w:tc>
      </w:tr>
      <w:tr>
        <w:trPr/>
        <w:tc>
          <w:tcPr>
            <w:tcW w:w="1879" w:type="dxa"/>
            <w:tcBorders/>
            <w:shd w:fill="auto" w:val="clear"/>
          </w:tcPr>
          <w:p>
            <w:pPr>
              <w:pStyle w:val="TableContents"/>
              <w:spacing w:before="0" w:after="0"/>
              <w:rPr>
                <w:rFonts w:ascii="Times New Roman" w:hAnsi="Times New Roman"/>
                <w:b/>
                <w:sz w:val="17"/>
              </w:rPr>
            </w:pPr>
            <w:r>
              <w:rPr>
                <w:rFonts w:ascii="Times New Roman" w:hAnsi="Times New Roman"/>
                <w:b/>
                <w:sz w:val="17"/>
              </w:rPr>
              <w:t>Decrease/Increase to Net Asset Value</w:t>
            </w:r>
          </w:p>
        </w:tc>
        <w:tc>
          <w:tcPr>
            <w:tcW w:w="101"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sz w:val="4"/>
                <w:szCs w:val="4"/>
              </w:rPr>
            </w:pPr>
            <w:r>
              <w:rPr>
                <w:sz w:val="4"/>
                <w:szCs w:val="4"/>
              </w:rPr>
            </w:r>
          </w:p>
        </w:tc>
        <w:tc>
          <w:tcPr>
            <w:tcW w:w="1923"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3"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739" w:type="dxa"/>
            <w:tcBorders/>
            <w:shd w:fill="auto" w:val="clear"/>
            <w:vAlign w:val="bottom"/>
          </w:tcPr>
          <w:p>
            <w:pPr>
              <w:pStyle w:val="TableContents"/>
              <w:spacing w:before="0" w:after="283"/>
              <w:rPr>
                <w:sz w:val="4"/>
                <w:szCs w:val="4"/>
              </w:rPr>
            </w:pPr>
            <w:r>
              <w:rPr>
                <w:sz w:val="4"/>
                <w:szCs w:val="4"/>
              </w:rPr>
            </w:r>
          </w:p>
        </w:tc>
        <w:tc>
          <w:tcPr>
            <w:tcW w:w="351"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3"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739" w:type="dxa"/>
            <w:tcBorders/>
            <w:shd w:fill="auto" w:val="clear"/>
            <w:vAlign w:val="bottom"/>
          </w:tcPr>
          <w:p>
            <w:pPr>
              <w:pStyle w:val="TableContents"/>
              <w:spacing w:before="0" w:after="283"/>
              <w:rPr>
                <w:sz w:val="4"/>
                <w:szCs w:val="4"/>
              </w:rPr>
            </w:pPr>
            <w:r>
              <w:rPr>
                <w:sz w:val="4"/>
                <w:szCs w:val="4"/>
              </w:rPr>
            </w:r>
          </w:p>
        </w:tc>
        <w:tc>
          <w:tcPr>
            <w:tcW w:w="359" w:type="dxa"/>
            <w:tcBorders/>
            <w:shd w:fill="auto" w:val="clear"/>
            <w:vAlign w:val="bottom"/>
          </w:tcPr>
          <w:p>
            <w:pPr>
              <w:pStyle w:val="TableContents"/>
              <w:spacing w:before="0" w:after="283"/>
              <w:rPr>
                <w:sz w:val="4"/>
                <w:szCs w:val="4"/>
              </w:rPr>
            </w:pPr>
            <w:r>
              <w:rPr>
                <w:sz w:val="4"/>
                <w:szCs w:val="4"/>
              </w:rPr>
            </w:r>
          </w:p>
        </w:tc>
      </w:tr>
      <w:tr>
        <w:trPr/>
        <w:tc>
          <w:tcPr>
            <w:tcW w:w="1879" w:type="dxa"/>
            <w:tcBorders/>
            <w:shd w:fill="CCEEFF" w:val="clear"/>
          </w:tcPr>
          <w:p>
            <w:pPr>
              <w:pStyle w:val="TableContents"/>
              <w:spacing w:before="0" w:after="0"/>
              <w:rPr>
                <w:rFonts w:ascii="Times New Roman" w:hAnsi="Times New Roman"/>
                <w:sz w:val="17"/>
              </w:rPr>
            </w:pPr>
            <w:r>
              <w:rPr>
                <w:rFonts w:ascii="Times New Roman" w:hAnsi="Times New Roman"/>
                <w:sz w:val="17"/>
              </w:rPr>
              <w:t>Shares Offered</w:t>
            </w:r>
          </w:p>
        </w:tc>
        <w:tc>
          <w:tcPr>
            <w:tcW w:w="101"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sz w:val="4"/>
                <w:szCs w:val="4"/>
              </w:rPr>
            </w:pPr>
            <w:r>
              <w:rPr>
                <w:sz w:val="4"/>
                <w:szCs w:val="4"/>
              </w:rPr>
            </w:r>
          </w:p>
        </w:tc>
        <w:tc>
          <w:tcPr>
            <w:tcW w:w="1923"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1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3" w:type="dxa"/>
            <w:tcBorders/>
            <w:shd w:fill="CCEEFF" w:val="clear"/>
            <w:vAlign w:val="bottom"/>
          </w:tcPr>
          <w:p>
            <w:pPr>
              <w:pStyle w:val="TableContents"/>
              <w:spacing w:before="0" w:after="283"/>
              <w:jc w:val="right"/>
              <w:rPr/>
            </w:pPr>
            <w:r>
              <w:rPr/>
              <w:t>15,154,308</w:t>
            </w:r>
          </w:p>
        </w:tc>
        <w:tc>
          <w:tcPr>
            <w:tcW w:w="275"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739" w:type="dxa"/>
            <w:tcBorders/>
            <w:shd w:fill="CCEEFF" w:val="clear"/>
            <w:vAlign w:val="bottom"/>
          </w:tcPr>
          <w:p>
            <w:pPr>
              <w:pStyle w:val="TableContents"/>
              <w:spacing w:before="0" w:after="283"/>
              <w:rPr>
                <w:sz w:val="4"/>
                <w:szCs w:val="4"/>
              </w:rPr>
            </w:pPr>
            <w:r>
              <w:rPr>
                <w:sz w:val="4"/>
                <w:szCs w:val="4"/>
              </w:rPr>
            </w:r>
          </w:p>
        </w:tc>
        <w:tc>
          <w:tcPr>
            <w:tcW w:w="351" w:type="dxa"/>
            <w:tcBorders/>
            <w:shd w:fill="CCEEFF" w:val="clear"/>
            <w:vAlign w:val="bottom"/>
          </w:tcPr>
          <w:p>
            <w:pPr>
              <w:pStyle w:val="TableContents"/>
              <w:spacing w:before="0" w:after="283"/>
              <w:rPr>
                <w:sz w:val="4"/>
                <w:szCs w:val="4"/>
              </w:rPr>
            </w:pPr>
            <w:r>
              <w:rPr>
                <w:sz w:val="4"/>
                <w:szCs w:val="4"/>
              </w:rPr>
            </w:r>
          </w:p>
        </w:tc>
        <w:tc>
          <w:tcPr>
            <w:tcW w:w="1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3" w:type="dxa"/>
            <w:tcBorders/>
            <w:shd w:fill="CCEEFF" w:val="clear"/>
            <w:vAlign w:val="bottom"/>
          </w:tcPr>
          <w:p>
            <w:pPr>
              <w:pStyle w:val="TableContents"/>
              <w:spacing w:before="0" w:after="283"/>
              <w:jc w:val="right"/>
              <w:rPr/>
            </w:pPr>
            <w:r>
              <w:rPr/>
              <w:t>15,154,308</w:t>
            </w:r>
          </w:p>
        </w:tc>
        <w:tc>
          <w:tcPr>
            <w:tcW w:w="275"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739" w:type="dxa"/>
            <w:tcBorders/>
            <w:shd w:fill="CCEEFF" w:val="clear"/>
            <w:vAlign w:val="bottom"/>
          </w:tcPr>
          <w:p>
            <w:pPr>
              <w:pStyle w:val="TableContents"/>
              <w:spacing w:before="0" w:after="283"/>
              <w:rPr>
                <w:sz w:val="4"/>
                <w:szCs w:val="4"/>
              </w:rPr>
            </w:pPr>
            <w:r>
              <w:rPr>
                <w:sz w:val="4"/>
                <w:szCs w:val="4"/>
              </w:rPr>
            </w:r>
          </w:p>
        </w:tc>
        <w:tc>
          <w:tcPr>
            <w:tcW w:w="359" w:type="dxa"/>
            <w:tcBorders/>
            <w:shd w:fill="CCEEFF" w:val="clear"/>
            <w:vAlign w:val="bottom"/>
          </w:tcPr>
          <w:p>
            <w:pPr>
              <w:pStyle w:val="TableContents"/>
              <w:spacing w:before="0" w:after="283"/>
              <w:rPr>
                <w:sz w:val="4"/>
                <w:szCs w:val="4"/>
              </w:rPr>
            </w:pPr>
            <w:r>
              <w:rPr>
                <w:sz w:val="4"/>
                <w:szCs w:val="4"/>
              </w:rPr>
            </w:r>
          </w:p>
        </w:tc>
      </w:tr>
      <w:tr>
        <w:trPr/>
        <w:tc>
          <w:tcPr>
            <w:tcW w:w="1879" w:type="dxa"/>
            <w:tcBorders/>
            <w:shd w:fill="auto" w:val="clear"/>
          </w:tcPr>
          <w:p>
            <w:pPr>
              <w:pStyle w:val="TableContents"/>
              <w:spacing w:before="0" w:after="0"/>
              <w:rPr>
                <w:rFonts w:ascii="Times New Roman" w:hAnsi="Times New Roman"/>
                <w:sz w:val="17"/>
              </w:rPr>
            </w:pPr>
            <w:r>
              <w:rPr>
                <w:rFonts w:ascii="Times New Roman" w:hAnsi="Times New Roman"/>
                <w:sz w:val="17"/>
              </w:rPr>
              <w:t>Total Shares Outstanding</w:t>
            </w:r>
          </w:p>
        </w:tc>
        <w:tc>
          <w:tcPr>
            <w:tcW w:w="101"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923" w:type="dxa"/>
            <w:tcBorders/>
            <w:shd w:fill="auto" w:val="clear"/>
            <w:vAlign w:val="bottom"/>
          </w:tcPr>
          <w:p>
            <w:pPr>
              <w:pStyle w:val="TableContents"/>
              <w:spacing w:before="0" w:after="283"/>
              <w:jc w:val="right"/>
              <w:rPr/>
            </w:pPr>
            <w:r>
              <w:rPr/>
              <w:t>75,771,542</w:t>
            </w:r>
          </w:p>
        </w:tc>
        <w:tc>
          <w:tcPr>
            <w:tcW w:w="275"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jc w:val="right"/>
              <w:rPr/>
            </w:pPr>
            <w:r>
              <w:rPr/>
              <w:t>90,925,850</w:t>
            </w:r>
          </w:p>
        </w:tc>
        <w:tc>
          <w:tcPr>
            <w:tcW w:w="275"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739" w:type="dxa"/>
            <w:tcBorders/>
            <w:shd w:fill="auto" w:val="clear"/>
            <w:vAlign w:val="bottom"/>
          </w:tcPr>
          <w:p>
            <w:pPr>
              <w:pStyle w:val="TableContents"/>
              <w:spacing w:before="0" w:after="283"/>
              <w:jc w:val="right"/>
              <w:rPr/>
            </w:pPr>
            <w:r>
              <w:rPr/>
              <w:t>20.00</w:t>
            </w:r>
          </w:p>
        </w:tc>
        <w:tc>
          <w:tcPr>
            <w:tcW w:w="35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jc w:val="right"/>
              <w:rPr/>
            </w:pPr>
            <w:r>
              <w:rPr/>
              <w:t>90,925,850</w:t>
            </w:r>
          </w:p>
        </w:tc>
        <w:tc>
          <w:tcPr>
            <w:tcW w:w="275"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739" w:type="dxa"/>
            <w:tcBorders/>
            <w:shd w:fill="auto" w:val="clear"/>
            <w:vAlign w:val="bottom"/>
          </w:tcPr>
          <w:p>
            <w:pPr>
              <w:pStyle w:val="TableContents"/>
              <w:spacing w:before="0" w:after="283"/>
              <w:jc w:val="right"/>
              <w:rPr/>
            </w:pPr>
            <w:r>
              <w:rPr/>
              <w:t>20.00</w:t>
            </w:r>
          </w:p>
        </w:tc>
        <w:tc>
          <w:tcPr>
            <w:tcW w:w="359" w:type="dxa"/>
            <w:tcBorders/>
            <w:shd w:fill="auto" w:val="clear"/>
            <w:vAlign w:val="bottom"/>
          </w:tcPr>
          <w:p>
            <w:pPr>
              <w:pStyle w:val="TableContents"/>
              <w:spacing w:before="0" w:after="283"/>
              <w:rPr/>
            </w:pPr>
            <w:r>
              <w:rPr/>
              <w:t>% </w:t>
            </w:r>
          </w:p>
        </w:tc>
      </w:tr>
      <w:tr>
        <w:trPr/>
        <w:tc>
          <w:tcPr>
            <w:tcW w:w="1879" w:type="dxa"/>
            <w:tcBorders/>
            <w:shd w:fill="CCEEFF" w:val="clear"/>
          </w:tcPr>
          <w:p>
            <w:pPr>
              <w:pStyle w:val="TableContents"/>
              <w:spacing w:before="0" w:after="0"/>
              <w:rPr>
                <w:rFonts w:ascii="Times New Roman" w:hAnsi="Times New Roman"/>
                <w:sz w:val="17"/>
              </w:rPr>
            </w:pPr>
            <w:r>
              <w:rPr>
                <w:rFonts w:ascii="Times New Roman" w:hAnsi="Times New Roman"/>
                <w:sz w:val="17"/>
              </w:rPr>
              <w:t>Net Asset Value per Share</w:t>
            </w:r>
          </w:p>
        </w:tc>
        <w:tc>
          <w:tcPr>
            <w:tcW w:w="101"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w:t>
            </w:r>
          </w:p>
        </w:tc>
        <w:tc>
          <w:tcPr>
            <w:tcW w:w="1923" w:type="dxa"/>
            <w:tcBorders/>
            <w:shd w:fill="CCEEFF" w:val="clear"/>
            <w:vAlign w:val="bottom"/>
          </w:tcPr>
          <w:p>
            <w:pPr>
              <w:pStyle w:val="TableContents"/>
              <w:spacing w:before="0" w:after="283"/>
              <w:jc w:val="right"/>
              <w:rPr/>
            </w:pPr>
            <w:r>
              <w:rPr/>
              <w:t>16.84</w:t>
            </w:r>
          </w:p>
        </w:tc>
        <w:tc>
          <w:tcPr>
            <w:tcW w:w="275"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3" w:type="dxa"/>
            <w:tcBorders/>
            <w:shd w:fill="CCEEFF" w:val="clear"/>
            <w:vAlign w:val="bottom"/>
          </w:tcPr>
          <w:p>
            <w:pPr>
              <w:pStyle w:val="TableContents"/>
              <w:spacing w:before="0" w:after="283"/>
              <w:jc w:val="right"/>
              <w:rPr/>
            </w:pPr>
            <w:r>
              <w:rPr/>
              <w:t>16.28</w:t>
            </w:r>
          </w:p>
        </w:tc>
        <w:tc>
          <w:tcPr>
            <w:tcW w:w="275"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739" w:type="dxa"/>
            <w:tcBorders/>
            <w:shd w:fill="CCEEFF" w:val="clear"/>
            <w:vAlign w:val="bottom"/>
          </w:tcPr>
          <w:p>
            <w:pPr>
              <w:pStyle w:val="TableContents"/>
              <w:spacing w:before="0" w:after="283"/>
              <w:jc w:val="right"/>
              <w:rPr/>
            </w:pPr>
            <w:r>
              <w:rPr/>
              <w:t>(3.34</w:t>
            </w:r>
          </w:p>
        </w:tc>
        <w:tc>
          <w:tcPr>
            <w:tcW w:w="35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3" w:type="dxa"/>
            <w:tcBorders/>
            <w:shd w:fill="CCEEFF" w:val="clear"/>
            <w:vAlign w:val="bottom"/>
          </w:tcPr>
          <w:p>
            <w:pPr>
              <w:pStyle w:val="TableContents"/>
              <w:spacing w:before="0" w:after="283"/>
              <w:jc w:val="right"/>
              <w:rPr/>
            </w:pPr>
            <w:r>
              <w:rPr/>
              <w:t>16.28</w:t>
            </w:r>
          </w:p>
        </w:tc>
        <w:tc>
          <w:tcPr>
            <w:tcW w:w="275"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739" w:type="dxa"/>
            <w:tcBorders/>
            <w:shd w:fill="CCEEFF" w:val="clear"/>
            <w:vAlign w:val="bottom"/>
          </w:tcPr>
          <w:p>
            <w:pPr>
              <w:pStyle w:val="TableContents"/>
              <w:spacing w:before="0" w:after="283"/>
              <w:jc w:val="right"/>
              <w:rPr/>
            </w:pPr>
            <w:r>
              <w:rPr/>
              <w:t>(3.34</w:t>
            </w:r>
          </w:p>
        </w:tc>
        <w:tc>
          <w:tcPr>
            <w:tcW w:w="359" w:type="dxa"/>
            <w:tcBorders/>
            <w:shd w:fill="CCEEFF" w:val="clear"/>
            <w:vAlign w:val="bottom"/>
          </w:tcPr>
          <w:p>
            <w:pPr>
              <w:pStyle w:val="TableContents"/>
              <w:spacing w:before="0" w:after="283"/>
              <w:rPr/>
            </w:pPr>
            <w:r>
              <w:rPr/>
              <w:t>)% </w:t>
            </w:r>
          </w:p>
        </w:tc>
      </w:tr>
      <w:tr>
        <w:trPr/>
        <w:tc>
          <w:tcPr>
            <w:tcW w:w="1879" w:type="dxa"/>
            <w:tcBorders/>
            <w:shd w:fill="auto" w:val="clear"/>
          </w:tcPr>
          <w:p>
            <w:pPr>
              <w:pStyle w:val="TableContents"/>
              <w:spacing w:before="0" w:after="0"/>
              <w:rPr>
                <w:rFonts w:ascii="Times New Roman" w:hAnsi="Times New Roman"/>
                <w:b/>
                <w:sz w:val="17"/>
              </w:rPr>
            </w:pPr>
            <w:r>
              <w:rPr>
                <w:rFonts w:ascii="Times New Roman" w:hAnsi="Times New Roman"/>
                <w:b/>
                <w:sz w:val="17"/>
              </w:rPr>
              <w:t>Dilution/Accretion to Participating Stockholder Shares Held by Stockholder A</w:t>
            </w:r>
          </w:p>
        </w:tc>
        <w:tc>
          <w:tcPr>
            <w:tcW w:w="101"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sz w:val="4"/>
                <w:szCs w:val="4"/>
              </w:rPr>
            </w:pPr>
            <w:r>
              <w:rPr>
                <w:sz w:val="4"/>
                <w:szCs w:val="4"/>
              </w:rPr>
            </w:r>
          </w:p>
        </w:tc>
        <w:tc>
          <w:tcPr>
            <w:tcW w:w="1923"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3"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739" w:type="dxa"/>
            <w:tcBorders/>
            <w:shd w:fill="auto" w:val="clear"/>
            <w:vAlign w:val="bottom"/>
          </w:tcPr>
          <w:p>
            <w:pPr>
              <w:pStyle w:val="TableContents"/>
              <w:spacing w:before="0" w:after="283"/>
              <w:rPr>
                <w:sz w:val="4"/>
                <w:szCs w:val="4"/>
              </w:rPr>
            </w:pPr>
            <w:r>
              <w:rPr>
                <w:sz w:val="4"/>
                <w:szCs w:val="4"/>
              </w:rPr>
            </w:r>
          </w:p>
        </w:tc>
        <w:tc>
          <w:tcPr>
            <w:tcW w:w="351"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3"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739" w:type="dxa"/>
            <w:tcBorders/>
            <w:shd w:fill="auto" w:val="clear"/>
            <w:vAlign w:val="bottom"/>
          </w:tcPr>
          <w:p>
            <w:pPr>
              <w:pStyle w:val="TableContents"/>
              <w:spacing w:before="0" w:after="283"/>
              <w:rPr>
                <w:sz w:val="4"/>
                <w:szCs w:val="4"/>
              </w:rPr>
            </w:pPr>
            <w:r>
              <w:rPr>
                <w:sz w:val="4"/>
                <w:szCs w:val="4"/>
              </w:rPr>
            </w:r>
          </w:p>
        </w:tc>
        <w:tc>
          <w:tcPr>
            <w:tcW w:w="359" w:type="dxa"/>
            <w:tcBorders/>
            <w:shd w:fill="auto" w:val="clear"/>
            <w:vAlign w:val="bottom"/>
          </w:tcPr>
          <w:p>
            <w:pPr>
              <w:pStyle w:val="TableContents"/>
              <w:spacing w:before="0" w:after="283"/>
              <w:rPr>
                <w:sz w:val="4"/>
                <w:szCs w:val="4"/>
              </w:rPr>
            </w:pPr>
            <w:r>
              <w:rPr>
                <w:sz w:val="4"/>
                <w:szCs w:val="4"/>
              </w:rPr>
            </w:r>
          </w:p>
        </w:tc>
      </w:tr>
      <w:tr>
        <w:trPr/>
        <w:tc>
          <w:tcPr>
            <w:tcW w:w="1879" w:type="dxa"/>
            <w:tcBorders/>
            <w:shd w:fill="CCEEFF" w:val="clear"/>
          </w:tcPr>
          <w:p>
            <w:pPr>
              <w:pStyle w:val="TableContents"/>
              <w:spacing w:before="0" w:after="0"/>
              <w:rPr>
                <w:rFonts w:ascii="Times New Roman" w:hAnsi="Times New Roman"/>
                <w:sz w:val="17"/>
              </w:rPr>
            </w:pPr>
            <w:r>
              <w:rPr>
                <w:rFonts w:ascii="Times New Roman" w:hAnsi="Times New Roman"/>
                <w:sz w:val="17"/>
              </w:rPr>
              <w:t>Shares Held by Stockholder A</w:t>
            </w:r>
          </w:p>
        </w:tc>
        <w:tc>
          <w:tcPr>
            <w:tcW w:w="101"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 </w:t>
            </w:r>
          </w:p>
        </w:tc>
        <w:tc>
          <w:tcPr>
            <w:tcW w:w="1923" w:type="dxa"/>
            <w:tcBorders/>
            <w:shd w:fill="CCEEFF" w:val="clear"/>
            <w:vAlign w:val="bottom"/>
          </w:tcPr>
          <w:p>
            <w:pPr>
              <w:pStyle w:val="TableContents"/>
              <w:spacing w:before="0" w:after="283"/>
              <w:jc w:val="right"/>
              <w:rPr/>
            </w:pPr>
            <w:r>
              <w:rPr/>
              <w:t>75,772</w:t>
            </w:r>
          </w:p>
        </w:tc>
        <w:tc>
          <w:tcPr>
            <w:tcW w:w="275"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3" w:type="dxa"/>
            <w:tcBorders/>
            <w:shd w:fill="CCEEFF" w:val="clear"/>
            <w:vAlign w:val="bottom"/>
          </w:tcPr>
          <w:p>
            <w:pPr>
              <w:pStyle w:val="TableContents"/>
              <w:spacing w:before="0" w:after="283"/>
              <w:jc w:val="right"/>
              <w:rPr/>
            </w:pPr>
            <w:r>
              <w:rPr/>
              <w:t>83,349</w:t>
            </w:r>
          </w:p>
        </w:tc>
        <w:tc>
          <w:tcPr>
            <w:tcW w:w="275"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739" w:type="dxa"/>
            <w:tcBorders/>
            <w:shd w:fill="CCEEFF" w:val="clear"/>
            <w:vAlign w:val="bottom"/>
          </w:tcPr>
          <w:p>
            <w:pPr>
              <w:pStyle w:val="TableContents"/>
              <w:spacing w:before="0" w:after="283"/>
              <w:jc w:val="right"/>
              <w:rPr/>
            </w:pPr>
            <w:r>
              <w:rPr/>
              <w:t>10.00</w:t>
            </w:r>
          </w:p>
        </w:tc>
        <w:tc>
          <w:tcPr>
            <w:tcW w:w="35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3" w:type="dxa"/>
            <w:tcBorders/>
            <w:shd w:fill="CCEEFF" w:val="clear"/>
            <w:vAlign w:val="bottom"/>
          </w:tcPr>
          <w:p>
            <w:pPr>
              <w:pStyle w:val="TableContents"/>
              <w:spacing w:before="0" w:after="283"/>
              <w:jc w:val="right"/>
              <w:rPr/>
            </w:pPr>
            <w:r>
              <w:rPr/>
              <w:t>98,503</w:t>
            </w:r>
          </w:p>
        </w:tc>
        <w:tc>
          <w:tcPr>
            <w:tcW w:w="275"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739" w:type="dxa"/>
            <w:tcBorders/>
            <w:shd w:fill="CCEEFF" w:val="clear"/>
            <w:vAlign w:val="bottom"/>
          </w:tcPr>
          <w:p>
            <w:pPr>
              <w:pStyle w:val="TableContents"/>
              <w:spacing w:before="0" w:after="283"/>
              <w:jc w:val="right"/>
              <w:rPr/>
            </w:pPr>
            <w:r>
              <w:rPr/>
              <w:t>30.00</w:t>
            </w:r>
          </w:p>
        </w:tc>
        <w:tc>
          <w:tcPr>
            <w:tcW w:w="359" w:type="dxa"/>
            <w:tcBorders/>
            <w:shd w:fill="CCEEFF" w:val="clear"/>
            <w:vAlign w:val="bottom"/>
          </w:tcPr>
          <w:p>
            <w:pPr>
              <w:pStyle w:val="TableContents"/>
              <w:spacing w:before="0" w:after="283"/>
              <w:rPr/>
            </w:pPr>
            <w:r>
              <w:rPr/>
              <w:t>% </w:t>
            </w:r>
          </w:p>
        </w:tc>
      </w:tr>
      <w:tr>
        <w:trPr/>
        <w:tc>
          <w:tcPr>
            <w:tcW w:w="1879" w:type="dxa"/>
            <w:tcBorders/>
            <w:shd w:fill="auto" w:val="clear"/>
          </w:tcPr>
          <w:p>
            <w:pPr>
              <w:pStyle w:val="TableContents"/>
              <w:spacing w:before="0" w:after="0"/>
              <w:rPr>
                <w:rFonts w:ascii="Times New Roman" w:hAnsi="Times New Roman"/>
                <w:sz w:val="17"/>
              </w:rPr>
            </w:pPr>
            <w:r>
              <w:rPr>
                <w:rFonts w:ascii="Times New Roman" w:hAnsi="Times New Roman"/>
                <w:sz w:val="17"/>
              </w:rPr>
              <w:t>Percentage Held by Stockholder A</w:t>
            </w:r>
          </w:p>
        </w:tc>
        <w:tc>
          <w:tcPr>
            <w:tcW w:w="101"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 </w:t>
            </w:r>
          </w:p>
        </w:tc>
        <w:tc>
          <w:tcPr>
            <w:tcW w:w="1923" w:type="dxa"/>
            <w:tcBorders/>
            <w:shd w:fill="auto" w:val="clear"/>
            <w:vAlign w:val="bottom"/>
          </w:tcPr>
          <w:p>
            <w:pPr>
              <w:pStyle w:val="TableContents"/>
              <w:spacing w:before="0" w:after="283"/>
              <w:jc w:val="right"/>
              <w:rPr/>
            </w:pPr>
            <w:r>
              <w:rPr/>
              <w:t>0.10</w:t>
            </w:r>
          </w:p>
        </w:tc>
        <w:tc>
          <w:tcPr>
            <w:tcW w:w="275"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jc w:val="right"/>
              <w:rPr/>
            </w:pPr>
            <w:r>
              <w:rPr/>
              <w:t>0.09</w:t>
            </w:r>
          </w:p>
        </w:tc>
        <w:tc>
          <w:tcPr>
            <w:tcW w:w="275"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739" w:type="dxa"/>
            <w:tcBorders/>
            <w:shd w:fill="auto" w:val="clear"/>
            <w:vAlign w:val="bottom"/>
          </w:tcPr>
          <w:p>
            <w:pPr>
              <w:pStyle w:val="TableContents"/>
              <w:spacing w:before="0" w:after="283"/>
              <w:jc w:val="right"/>
              <w:rPr/>
            </w:pPr>
            <w:r>
              <w:rPr/>
              <w:t>(8.33</w:t>
            </w:r>
          </w:p>
        </w:tc>
        <w:tc>
          <w:tcPr>
            <w:tcW w:w="35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3" w:type="dxa"/>
            <w:tcBorders/>
            <w:shd w:fill="auto" w:val="clear"/>
            <w:vAlign w:val="bottom"/>
          </w:tcPr>
          <w:p>
            <w:pPr>
              <w:pStyle w:val="TableContents"/>
              <w:spacing w:before="0" w:after="283"/>
              <w:jc w:val="right"/>
              <w:rPr/>
            </w:pPr>
            <w:r>
              <w:rPr/>
              <w:t>0.11</w:t>
            </w:r>
          </w:p>
        </w:tc>
        <w:tc>
          <w:tcPr>
            <w:tcW w:w="275"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739" w:type="dxa"/>
            <w:tcBorders/>
            <w:shd w:fill="auto" w:val="clear"/>
            <w:vAlign w:val="bottom"/>
          </w:tcPr>
          <w:p>
            <w:pPr>
              <w:pStyle w:val="TableContents"/>
              <w:spacing w:before="0" w:after="283"/>
              <w:jc w:val="right"/>
              <w:rPr/>
            </w:pPr>
            <w:r>
              <w:rPr/>
              <w:t>8.33</w:t>
            </w:r>
          </w:p>
        </w:tc>
        <w:tc>
          <w:tcPr>
            <w:tcW w:w="359" w:type="dxa"/>
            <w:tcBorders/>
            <w:shd w:fill="auto" w:val="clear"/>
            <w:vAlign w:val="bottom"/>
          </w:tcPr>
          <w:p>
            <w:pPr>
              <w:pStyle w:val="TableContents"/>
              <w:spacing w:before="0" w:after="283"/>
              <w:rPr/>
            </w:pPr>
            <w:r>
              <w:rPr/>
              <w:t>% </w:t>
            </w:r>
          </w:p>
        </w:tc>
      </w:tr>
      <w:tr>
        <w:trPr/>
        <w:tc>
          <w:tcPr>
            <w:tcW w:w="1879" w:type="dxa"/>
            <w:tcBorders/>
            <w:shd w:fill="CCEEFF" w:val="clear"/>
          </w:tcPr>
          <w:p>
            <w:pPr>
              <w:pStyle w:val="TableContents"/>
              <w:spacing w:before="0" w:after="0"/>
              <w:rPr>
                <w:rFonts w:ascii="Times New Roman" w:hAnsi="Times New Roman"/>
                <w:sz w:val="17"/>
              </w:rPr>
            </w:pPr>
            <w:r>
              <w:rPr>
                <w:rFonts w:ascii="Times New Roman" w:hAnsi="Times New Roman"/>
                <w:sz w:val="17"/>
              </w:rPr>
              <w:t>Total Net Asset Value Held by Stockholder A</w:t>
            </w:r>
          </w:p>
        </w:tc>
        <w:tc>
          <w:tcPr>
            <w:tcW w:w="101"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pPr>
            <w:r>
              <w:rPr/>
              <w:t>$</w:t>
            </w:r>
          </w:p>
        </w:tc>
        <w:tc>
          <w:tcPr>
            <w:tcW w:w="1923" w:type="dxa"/>
            <w:tcBorders/>
            <w:shd w:fill="CCEEFF" w:val="clear"/>
            <w:vAlign w:val="bottom"/>
          </w:tcPr>
          <w:p>
            <w:pPr>
              <w:pStyle w:val="TableContents"/>
              <w:spacing w:before="0" w:after="283"/>
              <w:jc w:val="right"/>
              <w:rPr/>
            </w:pPr>
            <w:r>
              <w:rPr/>
              <w:t>1,275,848</w:t>
            </w:r>
          </w:p>
        </w:tc>
        <w:tc>
          <w:tcPr>
            <w:tcW w:w="275"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3" w:type="dxa"/>
            <w:tcBorders/>
            <w:shd w:fill="CCEEFF" w:val="clear"/>
            <w:vAlign w:val="bottom"/>
          </w:tcPr>
          <w:p>
            <w:pPr>
              <w:pStyle w:val="TableContents"/>
              <w:spacing w:before="0" w:after="283"/>
              <w:jc w:val="right"/>
              <w:rPr/>
            </w:pPr>
            <w:r>
              <w:rPr/>
              <w:t>1,356,680</w:t>
            </w:r>
          </w:p>
        </w:tc>
        <w:tc>
          <w:tcPr>
            <w:tcW w:w="275"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739" w:type="dxa"/>
            <w:tcBorders/>
            <w:shd w:fill="CCEEFF" w:val="clear"/>
            <w:vAlign w:val="bottom"/>
          </w:tcPr>
          <w:p>
            <w:pPr>
              <w:pStyle w:val="TableContents"/>
              <w:spacing w:before="0" w:after="283"/>
              <w:jc w:val="right"/>
              <w:rPr/>
            </w:pPr>
            <w:r>
              <w:rPr/>
              <w:t>6.34</w:t>
            </w:r>
          </w:p>
        </w:tc>
        <w:tc>
          <w:tcPr>
            <w:tcW w:w="35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3" w:type="dxa"/>
            <w:tcBorders/>
            <w:shd w:fill="CCEEFF" w:val="clear"/>
            <w:vAlign w:val="bottom"/>
          </w:tcPr>
          <w:p>
            <w:pPr>
              <w:pStyle w:val="TableContents"/>
              <w:spacing w:before="0" w:after="283"/>
              <w:jc w:val="right"/>
              <w:rPr/>
            </w:pPr>
            <w:r>
              <w:rPr/>
              <w:t>1,603,348</w:t>
            </w:r>
          </w:p>
        </w:tc>
        <w:tc>
          <w:tcPr>
            <w:tcW w:w="275"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739" w:type="dxa"/>
            <w:tcBorders/>
            <w:shd w:fill="CCEEFF" w:val="clear"/>
            <w:vAlign w:val="bottom"/>
          </w:tcPr>
          <w:p>
            <w:pPr>
              <w:pStyle w:val="TableContents"/>
              <w:spacing w:before="0" w:after="283"/>
              <w:jc w:val="right"/>
              <w:rPr/>
            </w:pPr>
            <w:r>
              <w:rPr/>
              <w:t>25.67</w:t>
            </w:r>
          </w:p>
        </w:tc>
        <w:tc>
          <w:tcPr>
            <w:tcW w:w="359" w:type="dxa"/>
            <w:tcBorders/>
            <w:shd w:fill="CCEEFF" w:val="clear"/>
            <w:vAlign w:val="bottom"/>
          </w:tcPr>
          <w:p>
            <w:pPr>
              <w:pStyle w:val="TableContents"/>
              <w:spacing w:before="0" w:after="283"/>
              <w:rPr/>
            </w:pPr>
            <w:r>
              <w:rPr/>
              <w:t>% </w:t>
            </w:r>
          </w:p>
        </w:tc>
      </w:tr>
      <w:tr>
        <w:trPr/>
        <w:tc>
          <w:tcPr>
            <w:tcW w:w="1879" w:type="dxa"/>
            <w:tcBorders/>
            <w:shd w:fill="auto" w:val="clear"/>
          </w:tcPr>
          <w:p>
            <w:pPr>
              <w:pStyle w:val="TableContents"/>
              <w:spacing w:before="0" w:after="0"/>
              <w:rPr>
                <w:rFonts w:ascii="Times New Roman" w:hAnsi="Times New Roman"/>
                <w:sz w:val="17"/>
              </w:rPr>
            </w:pPr>
            <w:r>
              <w:rPr>
                <w:rFonts w:ascii="Times New Roman" w:hAnsi="Times New Roman"/>
                <w:sz w:val="17"/>
              </w:rPr>
              <w:t>Total Investment by Stockholder A (Assumed to be $17.16 per Share on Shares Held Prior to Sale)</w:t>
            </w:r>
          </w:p>
        </w:tc>
        <w:tc>
          <w:tcPr>
            <w:tcW w:w="101"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w:t>
            </w:r>
          </w:p>
        </w:tc>
        <w:tc>
          <w:tcPr>
            <w:tcW w:w="1923" w:type="dxa"/>
            <w:tcBorders/>
            <w:shd w:fill="auto" w:val="clear"/>
            <w:vAlign w:val="bottom"/>
          </w:tcPr>
          <w:p>
            <w:pPr>
              <w:pStyle w:val="TableContents"/>
              <w:spacing w:before="0" w:after="283"/>
              <w:jc w:val="right"/>
              <w:rPr/>
            </w:pPr>
            <w:r>
              <w:rPr/>
              <w:t>1,275,848</w:t>
            </w:r>
          </w:p>
        </w:tc>
        <w:tc>
          <w:tcPr>
            <w:tcW w:w="275"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3" w:type="dxa"/>
            <w:tcBorders/>
            <w:shd w:fill="auto" w:val="clear"/>
            <w:vAlign w:val="bottom"/>
          </w:tcPr>
          <w:p>
            <w:pPr>
              <w:pStyle w:val="TableContents"/>
              <w:spacing w:before="0" w:after="283"/>
              <w:jc w:val="right"/>
              <w:rPr/>
            </w:pPr>
            <w:r>
              <w:rPr/>
              <w:t>1,383,300</w:t>
            </w:r>
          </w:p>
        </w:tc>
        <w:tc>
          <w:tcPr>
            <w:tcW w:w="275"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739" w:type="dxa"/>
            <w:tcBorders/>
            <w:shd w:fill="auto" w:val="clear"/>
            <w:vAlign w:val="bottom"/>
          </w:tcPr>
          <w:p>
            <w:pPr>
              <w:pStyle w:val="TableContents"/>
              <w:spacing w:before="0" w:after="283"/>
              <w:rPr>
                <w:sz w:val="4"/>
                <w:szCs w:val="4"/>
              </w:rPr>
            </w:pPr>
            <w:r>
              <w:rPr>
                <w:sz w:val="4"/>
                <w:szCs w:val="4"/>
              </w:rPr>
            </w:r>
          </w:p>
        </w:tc>
        <w:tc>
          <w:tcPr>
            <w:tcW w:w="351"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3" w:type="dxa"/>
            <w:tcBorders/>
            <w:shd w:fill="auto" w:val="clear"/>
            <w:vAlign w:val="bottom"/>
          </w:tcPr>
          <w:p>
            <w:pPr>
              <w:pStyle w:val="TableContents"/>
              <w:spacing w:before="0" w:after="283"/>
              <w:jc w:val="right"/>
              <w:rPr/>
            </w:pPr>
            <w:r>
              <w:rPr/>
              <w:t>1,598,204</w:t>
            </w:r>
          </w:p>
        </w:tc>
        <w:tc>
          <w:tcPr>
            <w:tcW w:w="275"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739" w:type="dxa"/>
            <w:tcBorders/>
            <w:shd w:fill="auto" w:val="clear"/>
            <w:vAlign w:val="bottom"/>
          </w:tcPr>
          <w:p>
            <w:pPr>
              <w:pStyle w:val="TableContents"/>
              <w:spacing w:before="0" w:after="283"/>
              <w:rPr>
                <w:sz w:val="4"/>
                <w:szCs w:val="4"/>
              </w:rPr>
            </w:pPr>
            <w:r>
              <w:rPr>
                <w:sz w:val="4"/>
                <w:szCs w:val="4"/>
              </w:rPr>
            </w:r>
          </w:p>
        </w:tc>
        <w:tc>
          <w:tcPr>
            <w:tcW w:w="359" w:type="dxa"/>
            <w:tcBorders/>
            <w:shd w:fill="auto" w:val="clear"/>
            <w:vAlign w:val="bottom"/>
          </w:tcPr>
          <w:p>
            <w:pPr>
              <w:pStyle w:val="TableContents"/>
              <w:spacing w:before="0" w:after="283"/>
              <w:rPr>
                <w:sz w:val="4"/>
                <w:szCs w:val="4"/>
              </w:rPr>
            </w:pPr>
            <w:r>
              <w:rPr>
                <w:sz w:val="4"/>
                <w:szCs w:val="4"/>
              </w:rPr>
            </w:r>
          </w:p>
        </w:tc>
      </w:tr>
      <w:tr>
        <w:trPr/>
        <w:tc>
          <w:tcPr>
            <w:tcW w:w="1879" w:type="dxa"/>
            <w:tcBorders/>
            <w:shd w:fill="CCEEFF" w:val="clear"/>
          </w:tcPr>
          <w:p>
            <w:pPr>
              <w:pStyle w:val="TableContents"/>
              <w:spacing w:before="0" w:after="0"/>
              <w:rPr>
                <w:rFonts w:ascii="Times New Roman" w:hAnsi="Times New Roman"/>
                <w:sz w:val="17"/>
              </w:rPr>
            </w:pPr>
            <w:r>
              <w:rPr>
                <w:rFonts w:ascii="Times New Roman" w:hAnsi="Times New Roman"/>
                <w:sz w:val="17"/>
              </w:rPr>
              <w:t>Total Dilution/Accretion to Stockholder A (Total Net Asset Value Less Total Investment)</w:t>
            </w:r>
          </w:p>
        </w:tc>
        <w:tc>
          <w:tcPr>
            <w:tcW w:w="101"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sz w:val="4"/>
                <w:szCs w:val="4"/>
              </w:rPr>
            </w:pPr>
            <w:r>
              <w:rPr>
                <w:sz w:val="4"/>
                <w:szCs w:val="4"/>
              </w:rPr>
            </w:r>
          </w:p>
        </w:tc>
        <w:tc>
          <w:tcPr>
            <w:tcW w:w="1923"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1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3" w:type="dxa"/>
            <w:tcBorders/>
            <w:shd w:fill="CCEEFF" w:val="clear"/>
            <w:vAlign w:val="bottom"/>
          </w:tcPr>
          <w:p>
            <w:pPr>
              <w:pStyle w:val="TableContents"/>
              <w:spacing w:before="0" w:after="283"/>
              <w:jc w:val="right"/>
              <w:rPr/>
            </w:pPr>
            <w:r>
              <w:rPr/>
              <w:t>(26,620</w:t>
            </w:r>
          </w:p>
        </w:tc>
        <w:tc>
          <w:tcPr>
            <w:tcW w:w="275"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739" w:type="dxa"/>
            <w:tcBorders/>
            <w:shd w:fill="CCEEFF" w:val="clear"/>
            <w:vAlign w:val="bottom"/>
          </w:tcPr>
          <w:p>
            <w:pPr>
              <w:pStyle w:val="TableContents"/>
              <w:spacing w:before="0" w:after="283"/>
              <w:rPr>
                <w:sz w:val="4"/>
                <w:szCs w:val="4"/>
              </w:rPr>
            </w:pPr>
            <w:r>
              <w:rPr>
                <w:sz w:val="4"/>
                <w:szCs w:val="4"/>
              </w:rPr>
            </w:r>
          </w:p>
        </w:tc>
        <w:tc>
          <w:tcPr>
            <w:tcW w:w="351" w:type="dxa"/>
            <w:tcBorders/>
            <w:shd w:fill="CCEEFF" w:val="clear"/>
            <w:vAlign w:val="bottom"/>
          </w:tcPr>
          <w:p>
            <w:pPr>
              <w:pStyle w:val="TableContents"/>
              <w:spacing w:before="0" w:after="283"/>
              <w:rPr>
                <w:sz w:val="4"/>
                <w:szCs w:val="4"/>
              </w:rPr>
            </w:pPr>
            <w:r>
              <w:rPr>
                <w:sz w:val="4"/>
                <w:szCs w:val="4"/>
              </w:rPr>
            </w:r>
          </w:p>
        </w:tc>
        <w:tc>
          <w:tcPr>
            <w:tcW w:w="1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3" w:type="dxa"/>
            <w:tcBorders/>
            <w:shd w:fill="CCEEFF" w:val="clear"/>
            <w:vAlign w:val="bottom"/>
          </w:tcPr>
          <w:p>
            <w:pPr>
              <w:pStyle w:val="TableContents"/>
              <w:spacing w:before="0" w:after="283"/>
              <w:jc w:val="right"/>
              <w:rPr/>
            </w:pPr>
            <w:r>
              <w:rPr/>
              <w:t>5,144</w:t>
            </w:r>
          </w:p>
        </w:tc>
        <w:tc>
          <w:tcPr>
            <w:tcW w:w="275"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739" w:type="dxa"/>
            <w:tcBorders/>
            <w:shd w:fill="CCEEFF" w:val="clear"/>
            <w:vAlign w:val="bottom"/>
          </w:tcPr>
          <w:p>
            <w:pPr>
              <w:pStyle w:val="TableContents"/>
              <w:spacing w:before="0" w:after="283"/>
              <w:rPr>
                <w:sz w:val="4"/>
                <w:szCs w:val="4"/>
              </w:rPr>
            </w:pPr>
            <w:r>
              <w:rPr>
                <w:sz w:val="4"/>
                <w:szCs w:val="4"/>
              </w:rPr>
            </w:r>
          </w:p>
        </w:tc>
        <w:tc>
          <w:tcPr>
            <w:tcW w:w="359" w:type="dxa"/>
            <w:tcBorders/>
            <w:shd w:fill="CCEEFF" w:val="clear"/>
            <w:vAlign w:val="bottom"/>
          </w:tcPr>
          <w:p>
            <w:pPr>
              <w:pStyle w:val="TableContents"/>
              <w:spacing w:before="0" w:after="283"/>
              <w:rPr>
                <w:sz w:val="4"/>
                <w:szCs w:val="4"/>
              </w:rPr>
            </w:pPr>
            <w:r>
              <w:rPr>
                <w:sz w:val="4"/>
                <w:szCs w:val="4"/>
              </w:rPr>
            </w:r>
          </w:p>
        </w:tc>
      </w:tr>
      <w:tr>
        <w:trPr/>
        <w:tc>
          <w:tcPr>
            <w:tcW w:w="1879" w:type="dxa"/>
            <w:tcBorders/>
            <w:shd w:fill="auto" w:val="clear"/>
          </w:tcPr>
          <w:p>
            <w:pPr>
              <w:pStyle w:val="TableContents"/>
              <w:spacing w:before="0" w:after="0"/>
              <w:rPr>
                <w:rFonts w:ascii="Times New Roman" w:hAnsi="Times New Roman"/>
                <w:sz w:val="17"/>
              </w:rPr>
            </w:pPr>
            <w:r>
              <w:rPr>
                <w:rFonts w:ascii="Times New Roman" w:hAnsi="Times New Roman"/>
                <w:sz w:val="17"/>
              </w:rPr>
              <w:t>Investment per Share Held by Stockholder A (Assumed to be $17.16 per Share on Shares Held Prior to Sale)</w:t>
            </w:r>
          </w:p>
        </w:tc>
        <w:tc>
          <w:tcPr>
            <w:tcW w:w="101"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pPr>
            <w:r>
              <w:rPr/>
              <w:t>$</w:t>
            </w:r>
          </w:p>
        </w:tc>
        <w:tc>
          <w:tcPr>
            <w:tcW w:w="1923" w:type="dxa"/>
            <w:tcBorders/>
            <w:shd w:fill="auto" w:val="clear"/>
            <w:vAlign w:val="bottom"/>
          </w:tcPr>
          <w:p>
            <w:pPr>
              <w:pStyle w:val="TableContents"/>
              <w:spacing w:before="0" w:after="283"/>
              <w:jc w:val="right"/>
              <w:rPr/>
            </w:pPr>
            <w:r>
              <w:rPr/>
              <w:t>16.84</w:t>
            </w:r>
          </w:p>
        </w:tc>
        <w:tc>
          <w:tcPr>
            <w:tcW w:w="275"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3" w:type="dxa"/>
            <w:tcBorders/>
            <w:shd w:fill="auto" w:val="clear"/>
            <w:vAlign w:val="bottom"/>
          </w:tcPr>
          <w:p>
            <w:pPr>
              <w:pStyle w:val="TableContents"/>
              <w:spacing w:before="0" w:after="283"/>
              <w:jc w:val="right"/>
              <w:rPr/>
            </w:pPr>
            <w:r>
              <w:rPr/>
              <w:t>16.60</w:t>
            </w:r>
          </w:p>
        </w:tc>
        <w:tc>
          <w:tcPr>
            <w:tcW w:w="275"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739" w:type="dxa"/>
            <w:tcBorders/>
            <w:shd w:fill="auto" w:val="clear"/>
            <w:vAlign w:val="bottom"/>
          </w:tcPr>
          <w:p>
            <w:pPr>
              <w:pStyle w:val="TableContents"/>
              <w:spacing w:before="0" w:after="283"/>
              <w:jc w:val="right"/>
              <w:rPr/>
            </w:pPr>
            <w:r>
              <w:rPr/>
              <w:t>(1.45</w:t>
            </w:r>
          </w:p>
        </w:tc>
        <w:tc>
          <w:tcPr>
            <w:tcW w:w="351"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3" w:type="dxa"/>
            <w:tcBorders/>
            <w:shd w:fill="auto" w:val="clear"/>
            <w:vAlign w:val="bottom"/>
          </w:tcPr>
          <w:p>
            <w:pPr>
              <w:pStyle w:val="TableContents"/>
              <w:spacing w:before="0" w:after="283"/>
              <w:jc w:val="right"/>
              <w:rPr/>
            </w:pPr>
            <w:r>
              <w:rPr/>
              <w:t>16.22</w:t>
            </w:r>
          </w:p>
        </w:tc>
        <w:tc>
          <w:tcPr>
            <w:tcW w:w="275"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739" w:type="dxa"/>
            <w:tcBorders/>
            <w:shd w:fill="auto" w:val="clear"/>
            <w:vAlign w:val="bottom"/>
          </w:tcPr>
          <w:p>
            <w:pPr>
              <w:pStyle w:val="TableContents"/>
              <w:spacing w:before="0" w:after="283"/>
              <w:jc w:val="right"/>
              <w:rPr/>
            </w:pPr>
            <w:r>
              <w:rPr/>
              <w:t>(3.65</w:t>
            </w:r>
          </w:p>
        </w:tc>
        <w:tc>
          <w:tcPr>
            <w:tcW w:w="359" w:type="dxa"/>
            <w:tcBorders/>
            <w:shd w:fill="auto" w:val="clear"/>
            <w:vAlign w:val="bottom"/>
          </w:tcPr>
          <w:p>
            <w:pPr>
              <w:pStyle w:val="TableContents"/>
              <w:spacing w:before="0" w:after="283"/>
              <w:rPr/>
            </w:pPr>
            <w:r>
              <w:rPr/>
              <w:t>)% </w:t>
            </w:r>
          </w:p>
        </w:tc>
      </w:tr>
      <w:tr>
        <w:trPr/>
        <w:tc>
          <w:tcPr>
            <w:tcW w:w="1879" w:type="dxa"/>
            <w:tcBorders/>
            <w:shd w:fill="CCEEFF" w:val="clear"/>
          </w:tcPr>
          <w:p>
            <w:pPr>
              <w:pStyle w:val="TableContents"/>
              <w:spacing w:before="0" w:after="0"/>
              <w:rPr>
                <w:rFonts w:ascii="Times New Roman" w:hAnsi="Times New Roman"/>
                <w:sz w:val="17"/>
              </w:rPr>
            </w:pPr>
            <w:r>
              <w:rPr>
                <w:rFonts w:ascii="Times New Roman" w:hAnsi="Times New Roman"/>
                <w:sz w:val="17"/>
              </w:rPr>
              <w:t>Net Asset Value per Share Held by Stockholder A</w:t>
            </w:r>
          </w:p>
        </w:tc>
        <w:tc>
          <w:tcPr>
            <w:tcW w:w="101"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sz w:val="4"/>
                <w:szCs w:val="4"/>
              </w:rPr>
            </w:pPr>
            <w:r>
              <w:rPr>
                <w:sz w:val="4"/>
                <w:szCs w:val="4"/>
              </w:rPr>
            </w:r>
          </w:p>
        </w:tc>
        <w:tc>
          <w:tcPr>
            <w:tcW w:w="1923"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1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3" w:type="dxa"/>
            <w:tcBorders/>
            <w:shd w:fill="CCEEFF" w:val="clear"/>
            <w:vAlign w:val="bottom"/>
          </w:tcPr>
          <w:p>
            <w:pPr>
              <w:pStyle w:val="TableContents"/>
              <w:spacing w:before="0" w:after="283"/>
              <w:jc w:val="right"/>
              <w:rPr/>
            </w:pPr>
            <w:r>
              <w:rPr/>
              <w:t>16.28</w:t>
            </w:r>
          </w:p>
        </w:tc>
        <w:tc>
          <w:tcPr>
            <w:tcW w:w="275"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739" w:type="dxa"/>
            <w:tcBorders/>
            <w:shd w:fill="CCEEFF" w:val="clear"/>
            <w:vAlign w:val="bottom"/>
          </w:tcPr>
          <w:p>
            <w:pPr>
              <w:pStyle w:val="TableContents"/>
              <w:spacing w:before="0" w:after="283"/>
              <w:rPr>
                <w:sz w:val="4"/>
                <w:szCs w:val="4"/>
              </w:rPr>
            </w:pPr>
            <w:r>
              <w:rPr>
                <w:sz w:val="4"/>
                <w:szCs w:val="4"/>
              </w:rPr>
            </w:r>
          </w:p>
        </w:tc>
        <w:tc>
          <w:tcPr>
            <w:tcW w:w="351" w:type="dxa"/>
            <w:tcBorders/>
            <w:shd w:fill="CCEEFF" w:val="clear"/>
            <w:vAlign w:val="bottom"/>
          </w:tcPr>
          <w:p>
            <w:pPr>
              <w:pStyle w:val="TableContents"/>
              <w:spacing w:before="0" w:after="283"/>
              <w:rPr>
                <w:sz w:val="4"/>
                <w:szCs w:val="4"/>
              </w:rPr>
            </w:pPr>
            <w:r>
              <w:rPr>
                <w:sz w:val="4"/>
                <w:szCs w:val="4"/>
              </w:rPr>
            </w:r>
          </w:p>
        </w:tc>
        <w:tc>
          <w:tcPr>
            <w:tcW w:w="1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3" w:type="dxa"/>
            <w:tcBorders/>
            <w:shd w:fill="CCEEFF" w:val="clear"/>
            <w:vAlign w:val="bottom"/>
          </w:tcPr>
          <w:p>
            <w:pPr>
              <w:pStyle w:val="TableContents"/>
              <w:spacing w:before="0" w:after="283"/>
              <w:jc w:val="right"/>
              <w:rPr/>
            </w:pPr>
            <w:r>
              <w:rPr/>
              <w:t>16.28</w:t>
            </w:r>
          </w:p>
        </w:tc>
        <w:tc>
          <w:tcPr>
            <w:tcW w:w="275" w:type="dxa"/>
            <w:tcBorders/>
            <w:shd w:fill="CCEEFF" w:val="clear"/>
            <w:vAlign w:val="bottom"/>
          </w:tcPr>
          <w:p>
            <w:pPr>
              <w:pStyle w:val="TableContents"/>
              <w:spacing w:before="0" w:after="283"/>
              <w:rPr/>
            </w:pPr>
            <w:r>
              <w:rPr/>
              <w:t> </w:t>
            </w:r>
          </w:p>
        </w:tc>
        <w:tc>
          <w:tcPr>
            <w:tcW w:w="10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739" w:type="dxa"/>
            <w:tcBorders/>
            <w:shd w:fill="CCEEFF" w:val="clear"/>
            <w:vAlign w:val="bottom"/>
          </w:tcPr>
          <w:p>
            <w:pPr>
              <w:pStyle w:val="TableContents"/>
              <w:spacing w:before="0" w:after="283"/>
              <w:rPr>
                <w:sz w:val="4"/>
                <w:szCs w:val="4"/>
              </w:rPr>
            </w:pPr>
            <w:r>
              <w:rPr>
                <w:sz w:val="4"/>
                <w:szCs w:val="4"/>
              </w:rPr>
            </w:r>
          </w:p>
        </w:tc>
        <w:tc>
          <w:tcPr>
            <w:tcW w:w="359" w:type="dxa"/>
            <w:tcBorders/>
            <w:shd w:fill="CCEEFF" w:val="clear"/>
            <w:vAlign w:val="bottom"/>
          </w:tcPr>
          <w:p>
            <w:pPr>
              <w:pStyle w:val="TableContents"/>
              <w:spacing w:before="0" w:after="283"/>
              <w:rPr>
                <w:sz w:val="4"/>
                <w:szCs w:val="4"/>
              </w:rPr>
            </w:pPr>
            <w:r>
              <w:rPr>
                <w:sz w:val="4"/>
                <w:szCs w:val="4"/>
              </w:rPr>
            </w:r>
          </w:p>
        </w:tc>
      </w:tr>
      <w:tr>
        <w:trPr/>
        <w:tc>
          <w:tcPr>
            <w:tcW w:w="1879" w:type="dxa"/>
            <w:tcBorders/>
            <w:shd w:fill="auto" w:val="clear"/>
          </w:tcPr>
          <w:p>
            <w:pPr>
              <w:pStyle w:val="TableContents"/>
              <w:spacing w:before="0" w:after="0"/>
              <w:rPr>
                <w:rFonts w:ascii="Times New Roman" w:hAnsi="Times New Roman"/>
                <w:sz w:val="17"/>
              </w:rPr>
            </w:pPr>
            <w:r>
              <w:rPr>
                <w:rFonts w:ascii="Times New Roman" w:hAnsi="Times New Roman"/>
                <w:sz w:val="17"/>
              </w:rPr>
              <w:t>Dilution/Accretion per Share Held by Stockholder A (Net Asset Value per Share Less Investment per Share)</w:t>
            </w:r>
          </w:p>
        </w:tc>
        <w:tc>
          <w:tcPr>
            <w:tcW w:w="101" w:type="dxa"/>
            <w:tcBorders/>
            <w:shd w:fill="auto" w:val="clear"/>
            <w:vAlign w:val="bottom"/>
          </w:tcPr>
          <w:p>
            <w:pPr>
              <w:pStyle w:val="TableContents"/>
              <w:spacing w:before="0" w:after="283"/>
              <w:rPr/>
            </w:pPr>
            <w:r>
              <w:rPr/>
              <w:t> </w:t>
            </w:r>
          </w:p>
        </w:tc>
        <w:tc>
          <w:tcPr>
            <w:tcW w:w="244" w:type="dxa"/>
            <w:tcBorders/>
            <w:shd w:fill="auto" w:val="clear"/>
            <w:vAlign w:val="bottom"/>
          </w:tcPr>
          <w:p>
            <w:pPr>
              <w:pStyle w:val="TableContents"/>
              <w:spacing w:before="0" w:after="283"/>
              <w:rPr>
                <w:sz w:val="4"/>
                <w:szCs w:val="4"/>
              </w:rPr>
            </w:pPr>
            <w:r>
              <w:rPr>
                <w:sz w:val="4"/>
                <w:szCs w:val="4"/>
              </w:rPr>
            </w:r>
          </w:p>
        </w:tc>
        <w:tc>
          <w:tcPr>
            <w:tcW w:w="1923"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3" w:type="dxa"/>
            <w:tcBorders/>
            <w:shd w:fill="auto" w:val="clear"/>
            <w:vAlign w:val="bottom"/>
          </w:tcPr>
          <w:p>
            <w:pPr>
              <w:pStyle w:val="TableContents"/>
              <w:spacing w:before="0" w:after="283"/>
              <w:jc w:val="right"/>
              <w:rPr/>
            </w:pPr>
            <w:r>
              <w:rPr/>
              <w:t>(0.32</w:t>
            </w:r>
          </w:p>
        </w:tc>
        <w:tc>
          <w:tcPr>
            <w:tcW w:w="275" w:type="dxa"/>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739" w:type="dxa"/>
            <w:tcBorders/>
            <w:shd w:fill="auto" w:val="clear"/>
            <w:vAlign w:val="bottom"/>
          </w:tcPr>
          <w:p>
            <w:pPr>
              <w:pStyle w:val="TableContents"/>
              <w:spacing w:before="0" w:after="283"/>
              <w:rPr>
                <w:sz w:val="4"/>
                <w:szCs w:val="4"/>
              </w:rPr>
            </w:pPr>
            <w:r>
              <w:rPr>
                <w:sz w:val="4"/>
                <w:szCs w:val="4"/>
              </w:rPr>
            </w:r>
          </w:p>
        </w:tc>
        <w:tc>
          <w:tcPr>
            <w:tcW w:w="351" w:type="dxa"/>
            <w:tcBorders/>
            <w:shd w:fill="auto" w:val="clear"/>
            <w:vAlign w:val="bottom"/>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3" w:type="dxa"/>
            <w:tcBorders/>
            <w:shd w:fill="auto" w:val="clear"/>
            <w:vAlign w:val="bottom"/>
          </w:tcPr>
          <w:p>
            <w:pPr>
              <w:pStyle w:val="TableContents"/>
              <w:spacing w:before="0" w:after="283"/>
              <w:jc w:val="right"/>
              <w:rPr/>
            </w:pPr>
            <w:r>
              <w:rPr/>
              <w:t>0.05</w:t>
            </w:r>
          </w:p>
        </w:tc>
        <w:tc>
          <w:tcPr>
            <w:tcW w:w="275" w:type="dxa"/>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739" w:type="dxa"/>
            <w:tcBorders/>
            <w:shd w:fill="auto" w:val="clear"/>
            <w:vAlign w:val="bottom"/>
          </w:tcPr>
          <w:p>
            <w:pPr>
              <w:pStyle w:val="TableContents"/>
              <w:spacing w:before="0" w:after="283"/>
              <w:rPr>
                <w:sz w:val="4"/>
                <w:szCs w:val="4"/>
              </w:rPr>
            </w:pPr>
            <w:r>
              <w:rPr>
                <w:sz w:val="4"/>
                <w:szCs w:val="4"/>
              </w:rPr>
            </w:r>
          </w:p>
        </w:tc>
        <w:tc>
          <w:tcPr>
            <w:tcW w:w="359" w:type="dxa"/>
            <w:tcBorders/>
            <w:shd w:fill="auto" w:val="clear"/>
            <w:vAlign w:val="bottom"/>
          </w:tcPr>
          <w:p>
            <w:pPr>
              <w:pStyle w:val="TableContents"/>
              <w:spacing w:before="0" w:after="283"/>
              <w:rPr>
                <w:sz w:val="4"/>
                <w:szCs w:val="4"/>
              </w:rPr>
            </w:pPr>
            <w:r>
              <w:rPr>
                <w:sz w:val="4"/>
                <w:szCs w:val="4"/>
              </w:rPr>
            </w:r>
          </w:p>
        </w:tc>
      </w:tr>
      <w:tr>
        <w:trPr/>
        <w:tc>
          <w:tcPr>
            <w:tcW w:w="1879" w:type="dxa"/>
            <w:tcBorders/>
            <w:shd w:fill="CCEEFF" w:val="clear"/>
          </w:tcPr>
          <w:p>
            <w:pPr>
              <w:pStyle w:val="TableContents"/>
              <w:spacing w:before="0" w:after="0"/>
              <w:rPr>
                <w:rFonts w:ascii="Times New Roman" w:hAnsi="Times New Roman"/>
                <w:sz w:val="17"/>
              </w:rPr>
            </w:pPr>
            <w:r>
              <w:rPr>
                <w:rFonts w:ascii="Times New Roman" w:hAnsi="Times New Roman"/>
                <w:sz w:val="17"/>
              </w:rPr>
              <w:t>Percentage Dilution/Accretion to Stockholder A (Dilution per Share Divided by Investment per Share)</w:t>
            </w:r>
          </w:p>
        </w:tc>
        <w:tc>
          <w:tcPr>
            <w:tcW w:w="101" w:type="dxa"/>
            <w:tcBorders/>
            <w:shd w:fill="CCEEFF" w:val="clear"/>
            <w:vAlign w:val="bottom"/>
          </w:tcPr>
          <w:p>
            <w:pPr>
              <w:pStyle w:val="TableContents"/>
              <w:spacing w:before="0" w:after="283"/>
              <w:rPr/>
            </w:pPr>
            <w:r>
              <w:rPr/>
              <w:t> </w:t>
            </w:r>
          </w:p>
        </w:tc>
        <w:tc>
          <w:tcPr>
            <w:tcW w:w="244" w:type="dxa"/>
            <w:tcBorders/>
            <w:shd w:fill="CCEEFF" w:val="clear"/>
            <w:vAlign w:val="bottom"/>
          </w:tcPr>
          <w:p>
            <w:pPr>
              <w:pStyle w:val="TableContents"/>
              <w:spacing w:before="0" w:after="283"/>
              <w:rPr>
                <w:sz w:val="4"/>
                <w:szCs w:val="4"/>
              </w:rPr>
            </w:pPr>
            <w:r>
              <w:rPr>
                <w:sz w:val="4"/>
                <w:szCs w:val="4"/>
              </w:rPr>
            </w:r>
          </w:p>
        </w:tc>
        <w:tc>
          <w:tcPr>
            <w:tcW w:w="1923"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1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3"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101"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739" w:type="dxa"/>
            <w:tcBorders/>
            <w:shd w:fill="CCEEFF" w:val="clear"/>
            <w:vAlign w:val="bottom"/>
          </w:tcPr>
          <w:p>
            <w:pPr>
              <w:pStyle w:val="TableContents"/>
              <w:spacing w:before="0" w:after="283"/>
              <w:jc w:val="right"/>
              <w:rPr/>
            </w:pPr>
            <w:r>
              <w:rPr/>
              <w:t>(1.92</w:t>
            </w:r>
          </w:p>
        </w:tc>
        <w:tc>
          <w:tcPr>
            <w:tcW w:w="35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3"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10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739" w:type="dxa"/>
            <w:tcBorders/>
            <w:shd w:fill="CCEEFF" w:val="clear"/>
            <w:vAlign w:val="bottom"/>
          </w:tcPr>
          <w:p>
            <w:pPr>
              <w:pStyle w:val="TableContents"/>
              <w:spacing w:before="0" w:after="283"/>
              <w:jc w:val="right"/>
              <w:rPr/>
            </w:pPr>
            <w:r>
              <w:rPr/>
              <w:t>0.32</w:t>
            </w:r>
          </w:p>
        </w:tc>
        <w:tc>
          <w:tcPr>
            <w:tcW w:w="359" w:type="dxa"/>
            <w:tcBorders/>
            <w:shd w:fill="CCEEFF"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Impact on New Investors </w:t>
      </w:r>
    </w:p>
    <w:p>
      <w:pPr>
        <w:pStyle w:val="TextBody"/>
        <w:spacing w:before="0" w:after="0"/>
        <w:rPr>
          <w:rFonts w:ascii="Times New Roman" w:hAnsi="Times New Roman"/>
          <w:sz w:val="20"/>
        </w:rPr>
      </w:pPr>
      <w:r>
        <w:rPr>
          <w:rFonts w:ascii="Times New Roman" w:hAnsi="Times New Roman"/>
          <w:sz w:val="20"/>
        </w:rPr>
        <w:t xml:space="preserve">Investors who are not currently stockholders and who participate in an offering of shares of our common stock at a price below net asset value per share, but whose investment per share is greater than the resulting net asset value per share due to selling compensation and expenses paid by us, will experience an immediate decrease, although small, in the net asset value of their shares and their net asset value per share compared to the price they pay for their shares. Investors who are not currently stockholders and who participate in an offering of shares of our common stock at a price below net asset value per share and whose investment per share is also less than the resulting net asset value per share due to selling compensation and expenses paid by us being significantly less than the discount per share, will experience an immediate increase in the net asset value of their shares and their net asset value per share compared to the price they pay for their shares. These investors will experience a disproportionately greater participation in our earnings and assets and their voting power than our increase in assets, potential earning power and voting interests due to such offering. These investors will, however, be subject to the risk that we may make additional discounted offerings in which such 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net asset value per share. This decrease could be more pronounced as the size of the offering and level of discounts increases. There is no maximum level of discount from net asset value per share at which we may sell shares pursuant to such authority. </w:t>
      </w:r>
    </w:p>
    <w:p>
      <w:pPr>
        <w:pStyle w:val="TextBody"/>
        <w:spacing w:before="240" w:after="0"/>
        <w:rPr>
          <w:rFonts w:ascii="Times New Roman" w:hAnsi="Times New Roman"/>
          <w:sz w:val="20"/>
        </w:rPr>
      </w:pPr>
      <w:r>
        <w:rPr>
          <w:rFonts w:ascii="Times New Roman" w:hAnsi="Times New Roman"/>
          <w:sz w:val="20"/>
        </w:rPr>
        <w:t xml:space="preserve">The example assumes that the issuer has 75.8 million shares outstanding, $2.6 billion in total assets and $1.3 billion in total liabilities. The current net asset value and NAV per share are thus $1.3 billion and $16.84 per share. The chart illustrates the dilutive effect on Stockholder A of (a) an offering of 3.8 million shares of common stock (5% of the outstanding shares) at $16.00 per share after offering expenses and commissions (a 5% discount from NAV per share), (b) an offering of 7.6 million shares of common stock (10% of the outstanding shares) at $15.16 per share after offering expenses and commissions (a 10% discount from NAV per share), (c) an offering of 15.2 million shares of common stock (20% of the outstanding shares) at $13.47 per share after offering expenses and commissions (a 20% discount from NAV per share), and (d) an offering of 18.9 million shares of common stock (25% of the outstanding shares) at $12.63 per share after offering expenses and commissions (a 25% discount from NAV per share). The prospectus pursuant to which any discounted offering is made will include a chart based on the actual number of shares of common stock in such offering and the actual discount to the most recently determined NAV. It is not possible to predict the level of market price decline that may occur. </w:t>
      </w:r>
    </w:p>
    <w:p>
      <w:pPr>
        <w:pStyle w:val="TextBody"/>
        <w:spacing w:before="240" w:after="0"/>
        <w:rPr>
          <w:rFonts w:ascii="Times New Roman" w:hAnsi="Times New Roman"/>
          <w:sz w:val="20"/>
        </w:rPr>
      </w:pPr>
      <w:r>
        <w:rPr>
          <w:rFonts w:ascii="Times New Roman" w:hAnsi="Times New Roman"/>
          <w:sz w:val="20"/>
        </w:rPr>
        <w:t xml:space="preserve">The following chart illustrates the level of dilution or accretion for new investors that would be experienced by a new investor in the same hypothetical 5%, 10%, 20% and 25% discounted offerings as described in the first chart above. The illustration is for a new investor who purchases the same percentage (0.10%) of the shares in the offering as Stockholder A in the prior examples held immediately prior to the offering. The prospectus supplement pursuant to which any discounted offering is made will include a chart for these examples based on the actual number of shares in such offering and the actual discount from the most recently determined net asset value per share. It is not possible to predict the level of market price decline that may occur. These examples are provided for illustrative purposes only </w:t>
      </w:r>
    </w:p>
    <w:p>
      <w:pPr>
        <w:pStyle w:val="TextBody"/>
        <w:spacing w:before="0" w:after="0"/>
        <w:rPr/>
      </w:pPr>
      <w:r>
        <w:rPr/>
        <w:t> </w:t>
      </w:r>
    </w:p>
    <w:tbl>
      <w:tblPr>
        <w:tblW w:w="13960" w:type="dxa"/>
        <w:jc w:val="center"/>
        <w:tblInd w:w="0" w:type="dxa"/>
        <w:tblCellMar>
          <w:top w:w="0" w:type="dxa"/>
          <w:left w:w="0" w:type="dxa"/>
          <w:bottom w:w="0" w:type="dxa"/>
          <w:right w:w="0" w:type="dxa"/>
        </w:tblCellMar>
      </w:tblPr>
      <w:tblGrid>
        <w:gridCol w:w="1115"/>
        <w:gridCol w:w="120"/>
        <w:gridCol w:w="141"/>
        <w:gridCol w:w="1109"/>
        <w:gridCol w:w="275"/>
        <w:gridCol w:w="60"/>
        <w:gridCol w:w="140"/>
        <w:gridCol w:w="1100"/>
        <w:gridCol w:w="275"/>
        <w:gridCol w:w="60"/>
        <w:gridCol w:w="85"/>
        <w:gridCol w:w="730"/>
        <w:gridCol w:w="350"/>
        <w:gridCol w:w="60"/>
        <w:gridCol w:w="140"/>
        <w:gridCol w:w="1100"/>
        <w:gridCol w:w="275"/>
        <w:gridCol w:w="60"/>
        <w:gridCol w:w="85"/>
        <w:gridCol w:w="730"/>
        <w:gridCol w:w="350"/>
        <w:gridCol w:w="60"/>
        <w:gridCol w:w="140"/>
        <w:gridCol w:w="1100"/>
        <w:gridCol w:w="275"/>
        <w:gridCol w:w="60"/>
        <w:gridCol w:w="78"/>
        <w:gridCol w:w="737"/>
        <w:gridCol w:w="350"/>
        <w:gridCol w:w="60"/>
        <w:gridCol w:w="140"/>
        <w:gridCol w:w="1100"/>
        <w:gridCol w:w="275"/>
        <w:gridCol w:w="60"/>
        <w:gridCol w:w="78"/>
        <w:gridCol w:w="737"/>
        <w:gridCol w:w="350"/>
      </w:tblGrid>
      <w:tr>
        <w:trPr/>
        <w:tc>
          <w:tcPr>
            <w:tcW w:w="11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109"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737"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r>
      <w:tr>
        <w:trPr/>
        <w:tc>
          <w:tcPr>
            <w:tcW w:w="1115"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1250" w:type="dxa"/>
            <w:gridSpan w:val="2"/>
            <w:tcBorders/>
            <w:shd w:fill="auto" w:val="clear"/>
            <w:vAlign w:val="bottom"/>
          </w:tcPr>
          <w:p>
            <w:pPr>
              <w:pStyle w:val="TableContents"/>
              <w:spacing w:before="0" w:after="283"/>
              <w:rPr/>
            </w:pPr>
            <w:r>
              <w:rPr/>
              <w:t> </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9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Example 1</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9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Example 2</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9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Example 3</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90" w:type="dxa"/>
            <w:gridSpan w:val="6"/>
            <w:tcBorders>
              <w:bottom w:val="single" w:sz="8" w:space="0" w:color="000000"/>
            </w:tcBorders>
            <w:shd w:fill="auto" w:val="clear"/>
            <w:tcMar>
              <w:bottom w:w="28" w:type="dxa"/>
            </w:tcMar>
            <w:vAlign w:val="bottom"/>
          </w:tcPr>
          <w:p>
            <w:pPr>
              <w:pStyle w:val="TableContents"/>
              <w:spacing w:before="0" w:after="283"/>
              <w:jc w:val="center"/>
              <w:rPr>
                <w:b/>
              </w:rPr>
            </w:pPr>
            <w:r>
              <w:rPr>
                <w:b/>
              </w:rPr>
              <w:t>Example 4</w:t>
            </w:r>
          </w:p>
        </w:tc>
        <w:tc>
          <w:tcPr>
            <w:tcW w:w="350" w:type="dxa"/>
            <w:tcBorders/>
            <w:shd w:fill="auto" w:val="clear"/>
            <w:vAlign w:val="bottom"/>
          </w:tcPr>
          <w:p>
            <w:pPr>
              <w:pStyle w:val="TableContents"/>
              <w:spacing w:before="0" w:after="283"/>
              <w:rPr/>
            </w:pPr>
            <w:r>
              <w:rPr/>
              <w:t> </w:t>
            </w:r>
          </w:p>
        </w:tc>
      </w:tr>
      <w:tr>
        <w:trPr/>
        <w:tc>
          <w:tcPr>
            <w:tcW w:w="1115" w:type="dxa"/>
            <w:tcBorders/>
            <w:shd w:fill="auto" w:val="clear"/>
            <w:vAlign w:val="bottom"/>
          </w:tcPr>
          <w:p>
            <w:pPr>
              <w:pStyle w:val="TableContents"/>
              <w:spacing w:before="0" w:after="283"/>
              <w:rPr/>
            </w:pPr>
            <w:r>
              <w:rPr/>
              <w:t> </w:t>
            </w:r>
          </w:p>
        </w:tc>
        <w:tc>
          <w:tcPr>
            <w:tcW w:w="120" w:type="dxa"/>
            <w:vMerge w:val="restart"/>
            <w:tcBorders/>
            <w:shd w:fill="auto" w:val="clear"/>
            <w:vAlign w:val="bottom"/>
          </w:tcPr>
          <w:p>
            <w:pPr>
              <w:pStyle w:val="TableContents"/>
              <w:spacing w:before="0" w:after="283"/>
              <w:rPr/>
            </w:pPr>
            <w:r>
              <w:rPr/>
              <w:t>  </w:t>
            </w:r>
          </w:p>
        </w:tc>
        <w:tc>
          <w:tcPr>
            <w:tcW w:w="1250" w:type="dxa"/>
            <w:gridSpan w:val="2"/>
            <w:vMerge w:val="restart"/>
            <w:tcBorders>
              <w:bottom w:val="single" w:sz="8" w:space="0" w:color="000000"/>
            </w:tcBorders>
            <w:shd w:fill="auto" w:val="clear"/>
            <w:tcMar>
              <w:bottom w:w="28" w:type="dxa"/>
            </w:tcMar>
            <w:vAlign w:val="bottom"/>
          </w:tcPr>
          <w:p>
            <w:pPr>
              <w:pStyle w:val="TableContents"/>
              <w:spacing w:before="0" w:after="283"/>
              <w:jc w:val="center"/>
              <w:rPr/>
            </w:pPr>
            <w:r>
              <w:rPr>
                <w:b/>
              </w:rPr>
              <w:t>Prior to</w:t>
            </w:r>
            <w:r>
              <w:rPr/>
              <w:br/>
            </w:r>
            <w:r>
              <w:rPr>
                <w:b/>
              </w:rPr>
              <w:t>Sale</w:t>
            </w:r>
            <w:r>
              <w:rPr/>
              <w:br/>
            </w:r>
            <w:r>
              <w:rPr>
                <w:b/>
              </w:rPr>
              <w:t>Below NAV</w:t>
            </w:r>
          </w:p>
        </w:tc>
        <w:tc>
          <w:tcPr>
            <w:tcW w:w="275" w:type="dxa"/>
            <w:vMerge w:val="restart"/>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90"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5% Offering at 5%</w:t>
            </w:r>
            <w:r>
              <w:rPr/>
              <w:br/>
            </w:r>
            <w:r>
              <w:rPr>
                <w:b/>
              </w:rPr>
              <w:t>Discount</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90"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10% Offering at</w:t>
            </w:r>
            <w:r>
              <w:rPr/>
              <w:br/>
            </w:r>
            <w:r>
              <w:rPr>
                <w:b/>
              </w:rPr>
              <w:t>10% Discount</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90"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20% Offering at</w:t>
            </w:r>
            <w:r>
              <w:rPr/>
              <w:br/>
            </w:r>
            <w:r>
              <w:rPr>
                <w:b/>
              </w:rPr>
              <w:t>20% Discount</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390" w:type="dxa"/>
            <w:gridSpan w:val="6"/>
            <w:tcBorders>
              <w:bottom w:val="single" w:sz="8" w:space="0" w:color="000000"/>
            </w:tcBorders>
            <w:shd w:fill="auto" w:val="clear"/>
            <w:tcMar>
              <w:bottom w:w="28" w:type="dxa"/>
            </w:tcMar>
            <w:vAlign w:val="bottom"/>
          </w:tcPr>
          <w:p>
            <w:pPr>
              <w:pStyle w:val="TableContents"/>
              <w:spacing w:before="0" w:after="283"/>
              <w:jc w:val="center"/>
              <w:rPr/>
            </w:pPr>
            <w:r>
              <w:rPr>
                <w:b/>
              </w:rPr>
              <w:t>25% Offering at</w:t>
            </w:r>
            <w:r>
              <w:rPr/>
              <w:br/>
            </w:r>
            <w:r>
              <w:rPr>
                <w:b/>
              </w:rPr>
              <w:t>25% Discount</w:t>
            </w:r>
          </w:p>
        </w:tc>
        <w:tc>
          <w:tcPr>
            <w:tcW w:w="350" w:type="dxa"/>
            <w:tcBorders/>
            <w:shd w:fill="auto" w:val="clear"/>
            <w:vAlign w:val="bottom"/>
          </w:tcPr>
          <w:p>
            <w:pPr>
              <w:pStyle w:val="TableContents"/>
              <w:spacing w:before="0" w:after="283"/>
              <w:rPr/>
            </w:pPr>
            <w:r>
              <w:rPr/>
              <w:t> </w:t>
            </w:r>
          </w:p>
        </w:tc>
      </w:tr>
      <w:tr>
        <w:trPr/>
        <w:tc>
          <w:tcPr>
            <w:tcW w:w="1115" w:type="dxa"/>
            <w:tcBorders/>
            <w:shd w:fill="auto" w:val="clear"/>
            <w:vAlign w:val="bottom"/>
          </w:tcPr>
          <w:p>
            <w:pPr>
              <w:pStyle w:val="TableContents"/>
              <w:spacing w:before="0" w:after="283"/>
              <w:rPr/>
            </w:pPr>
            <w:r>
              <w:rPr/>
              <w:t> </w:t>
            </w:r>
          </w:p>
        </w:tc>
        <w:tc>
          <w:tcPr>
            <w:tcW w:w="120" w:type="dxa"/>
            <w:vMerge w:val="continue"/>
            <w:tcBorders/>
            <w:shd w:fill="auto" w:val="clear"/>
            <w:vAlign w:val="bottom"/>
          </w:tcPr>
          <w:p>
            <w:pPr>
              <w:pStyle w:val="Normal"/>
              <w:rPr/>
            </w:pPr>
            <w:r>
              <w:rPr/>
            </w:r>
          </w:p>
        </w:tc>
        <w:tc>
          <w:tcPr>
            <w:tcW w:w="1250" w:type="dxa"/>
            <w:gridSpan w:val="2"/>
            <w:vMerge w:val="continue"/>
            <w:tcBorders>
              <w:bottom w:val="single" w:sz="8" w:space="0" w:color="000000"/>
            </w:tcBorders>
            <w:shd w:fill="auto" w:val="clear"/>
            <w:tcMar>
              <w:bottom w:w="28" w:type="dxa"/>
            </w:tcMar>
            <w:vAlign w:val="bottom"/>
          </w:tcPr>
          <w:p>
            <w:pPr>
              <w:pStyle w:val="Normal"/>
              <w:rPr/>
            </w:pPr>
            <w:r>
              <w:rPr/>
            </w:r>
          </w:p>
        </w:tc>
        <w:tc>
          <w:tcPr>
            <w:tcW w:w="275" w:type="dxa"/>
            <w:vMerge w:val="continue"/>
            <w:tcBorders/>
            <w:shd w:fill="auto" w:val="clear"/>
            <w:vAlign w:val="bottom"/>
          </w:tcPr>
          <w:p>
            <w:pPr>
              <w:pStyle w:val="Normal"/>
              <w:rPr/>
            </w:pPr>
            <w:r>
              <w:rPr/>
            </w:r>
          </w:p>
        </w:tc>
        <w:tc>
          <w:tcPr>
            <w:tcW w:w="60" w:type="dxa"/>
            <w:tcBorders/>
            <w:shd w:fill="auto" w:val="clear"/>
            <w:vAlign w:val="bottom"/>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Following</w:t>
            </w:r>
            <w:r>
              <w:rPr/>
              <w:br/>
            </w:r>
            <w:r>
              <w:rPr>
                <w:b/>
              </w:rPr>
              <w:t>Sale</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br/>
              <w:t>Change</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Following</w:t>
            </w:r>
            <w:r>
              <w:rPr/>
              <w:br/>
            </w:r>
            <w:r>
              <w:rPr>
                <w:b/>
              </w:rPr>
              <w:t>Sale</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br/>
              <w:t>Change</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Following</w:t>
            </w:r>
            <w:r>
              <w:rPr/>
              <w:br/>
            </w:r>
            <w:r>
              <w:rPr>
                <w:b/>
              </w:rPr>
              <w:t>Sale</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br/>
              <w:t>Change</w:t>
            </w:r>
          </w:p>
        </w:tc>
        <w:tc>
          <w:tcPr>
            <w:tcW w:w="35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40" w:type="dxa"/>
            <w:gridSpan w:val="2"/>
            <w:tcBorders>
              <w:bottom w:val="single" w:sz="8" w:space="0" w:color="000000"/>
            </w:tcBorders>
            <w:shd w:fill="auto" w:val="clear"/>
            <w:tcMar>
              <w:bottom w:w="28" w:type="dxa"/>
            </w:tcMar>
            <w:vAlign w:val="bottom"/>
          </w:tcPr>
          <w:p>
            <w:pPr>
              <w:pStyle w:val="TableContents"/>
              <w:spacing w:before="0" w:after="283"/>
              <w:jc w:val="center"/>
              <w:rPr/>
            </w:pPr>
            <w:r>
              <w:rPr>
                <w:b/>
              </w:rPr>
              <w:t>Following</w:t>
            </w:r>
            <w:r>
              <w:rPr/>
              <w:br/>
            </w:r>
            <w:r>
              <w:rPr>
                <w:b/>
              </w:rPr>
              <w:t>Sale</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w:t>
              <w:br/>
              <w:t>Change</w:t>
            </w:r>
          </w:p>
        </w:tc>
        <w:tc>
          <w:tcPr>
            <w:tcW w:w="350" w:type="dxa"/>
            <w:tcBorders/>
            <w:shd w:fill="auto" w:val="clear"/>
            <w:vAlign w:val="bottom"/>
          </w:tcPr>
          <w:p>
            <w:pPr>
              <w:pStyle w:val="TableContents"/>
              <w:spacing w:before="0" w:after="283"/>
              <w:rPr/>
            </w:pPr>
            <w:r>
              <w:rPr/>
              <w:t> </w:t>
            </w:r>
          </w:p>
        </w:tc>
      </w:tr>
      <w:tr>
        <w:trPr/>
        <w:tc>
          <w:tcPr>
            <w:tcW w:w="1115" w:type="dxa"/>
            <w:tcBorders/>
            <w:shd w:fill="CCEEFF" w:val="clear"/>
          </w:tcPr>
          <w:p>
            <w:pPr>
              <w:pStyle w:val="TableContents"/>
              <w:spacing w:before="0" w:after="0"/>
              <w:rPr>
                <w:rFonts w:ascii="Times New Roman" w:hAnsi="Times New Roman"/>
                <w:b/>
                <w:sz w:val="20"/>
              </w:rPr>
            </w:pPr>
            <w:r>
              <w:rPr>
                <w:rFonts w:ascii="Times New Roman" w:hAnsi="Times New Roman"/>
                <w:b/>
                <w:sz w:val="20"/>
              </w:rPr>
              <w:t>Offering Price</w:t>
            </w:r>
          </w:p>
        </w:tc>
        <w:tc>
          <w:tcPr>
            <w:tcW w:w="12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sz w:val="4"/>
                <w:szCs w:val="4"/>
              </w:rPr>
            </w:pPr>
            <w:r>
              <w:rPr>
                <w:sz w:val="4"/>
                <w:szCs w:val="4"/>
              </w:rPr>
            </w:r>
          </w:p>
        </w:tc>
        <w:tc>
          <w:tcPr>
            <w:tcW w:w="1109"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737"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737"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r>
      <w:tr>
        <w:trPr/>
        <w:tc>
          <w:tcPr>
            <w:tcW w:w="1115" w:type="dxa"/>
            <w:tcBorders/>
            <w:shd w:fill="auto" w:val="clear"/>
          </w:tcPr>
          <w:p>
            <w:pPr>
              <w:pStyle w:val="TableContents"/>
              <w:spacing w:before="0" w:after="0"/>
              <w:rPr>
                <w:rFonts w:ascii="Times New Roman" w:hAnsi="Times New Roman"/>
                <w:sz w:val="20"/>
              </w:rPr>
            </w:pPr>
            <w:r>
              <w:rPr>
                <w:rFonts w:ascii="Times New Roman" w:hAnsi="Times New Roman"/>
                <w:sz w:val="20"/>
              </w:rPr>
              <w:t>Price per Share to Public</w:t>
            </w:r>
          </w:p>
        </w:tc>
        <w:tc>
          <w:tcPr>
            <w:tcW w:w="1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sz w:val="4"/>
                <w:szCs w:val="4"/>
              </w:rPr>
            </w:pPr>
            <w:r>
              <w:rPr>
                <w:sz w:val="4"/>
                <w:szCs w:val="4"/>
              </w:rPr>
            </w:r>
          </w:p>
        </w:tc>
        <w:tc>
          <w:tcPr>
            <w:tcW w:w="1109"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16.84</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15.95</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14.18</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737"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13.29</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737"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r>
      <w:tr>
        <w:trPr/>
        <w:tc>
          <w:tcPr>
            <w:tcW w:w="1115" w:type="dxa"/>
            <w:tcBorders/>
            <w:shd w:fill="CCEEFF" w:val="clear"/>
          </w:tcPr>
          <w:p>
            <w:pPr>
              <w:pStyle w:val="TableContents"/>
              <w:spacing w:before="0" w:after="0"/>
              <w:rPr>
                <w:rFonts w:ascii="Times New Roman" w:hAnsi="Times New Roman"/>
                <w:sz w:val="20"/>
              </w:rPr>
            </w:pPr>
            <w:r>
              <w:rPr>
                <w:rFonts w:ascii="Times New Roman" w:hAnsi="Times New Roman"/>
                <w:sz w:val="20"/>
              </w:rPr>
              <w:t>Net Proceeds per Share to Issuer</w:t>
            </w:r>
          </w:p>
        </w:tc>
        <w:tc>
          <w:tcPr>
            <w:tcW w:w="12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sz w:val="4"/>
                <w:szCs w:val="4"/>
              </w:rPr>
            </w:pPr>
            <w:r>
              <w:rPr>
                <w:sz w:val="4"/>
                <w:szCs w:val="4"/>
              </w:rPr>
            </w:r>
          </w:p>
        </w:tc>
        <w:tc>
          <w:tcPr>
            <w:tcW w:w="1109"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16.00</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15.16</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13.47</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737"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12.63</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737"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r>
      <w:tr>
        <w:trPr/>
        <w:tc>
          <w:tcPr>
            <w:tcW w:w="1115" w:type="dxa"/>
            <w:tcBorders/>
            <w:shd w:fill="auto" w:val="clear"/>
          </w:tcPr>
          <w:p>
            <w:pPr>
              <w:pStyle w:val="TableContents"/>
              <w:spacing w:before="0" w:after="0"/>
              <w:rPr>
                <w:rFonts w:ascii="Times New Roman" w:hAnsi="Times New Roman"/>
                <w:b/>
                <w:sz w:val="20"/>
              </w:rPr>
            </w:pPr>
            <w:r>
              <w:rPr>
                <w:rFonts w:ascii="Times New Roman" w:hAnsi="Times New Roman"/>
                <w:b/>
                <w:sz w:val="20"/>
              </w:rPr>
              <w:t>Decrease/Increase to Net Asset Value</w:t>
            </w:r>
          </w:p>
        </w:tc>
        <w:tc>
          <w:tcPr>
            <w:tcW w:w="1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sz w:val="4"/>
                <w:szCs w:val="4"/>
              </w:rPr>
            </w:pPr>
            <w:r>
              <w:rPr>
                <w:sz w:val="4"/>
                <w:szCs w:val="4"/>
              </w:rPr>
            </w:r>
          </w:p>
        </w:tc>
        <w:tc>
          <w:tcPr>
            <w:tcW w:w="1109"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737"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737"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r>
      <w:tr>
        <w:trPr/>
        <w:tc>
          <w:tcPr>
            <w:tcW w:w="1115" w:type="dxa"/>
            <w:tcBorders/>
            <w:shd w:fill="CCEEFF" w:val="clear"/>
          </w:tcPr>
          <w:p>
            <w:pPr>
              <w:pStyle w:val="TableContents"/>
              <w:spacing w:before="0" w:after="0"/>
              <w:rPr>
                <w:rFonts w:ascii="Times New Roman" w:hAnsi="Times New Roman"/>
                <w:sz w:val="20"/>
              </w:rPr>
            </w:pPr>
            <w:r>
              <w:rPr>
                <w:rFonts w:ascii="Times New Roman" w:hAnsi="Times New Roman"/>
                <w:sz w:val="20"/>
              </w:rPr>
              <w:t>Total Shares Outstanding</w:t>
            </w:r>
          </w:p>
        </w:tc>
        <w:tc>
          <w:tcPr>
            <w:tcW w:w="12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109" w:type="dxa"/>
            <w:tcBorders/>
            <w:shd w:fill="CCEEFF" w:val="clear"/>
            <w:vAlign w:val="bottom"/>
          </w:tcPr>
          <w:p>
            <w:pPr>
              <w:pStyle w:val="TableContents"/>
              <w:spacing w:before="0" w:after="283"/>
              <w:jc w:val="right"/>
              <w:rPr/>
            </w:pPr>
            <w:r>
              <w:rPr/>
              <w:t>75,771,542</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79,560,119</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83,348,696</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90,925,850</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737"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94,714,428</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737"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r>
      <w:tr>
        <w:trPr/>
        <w:tc>
          <w:tcPr>
            <w:tcW w:w="1115" w:type="dxa"/>
            <w:tcBorders/>
            <w:shd w:fill="auto" w:val="clear"/>
          </w:tcPr>
          <w:p>
            <w:pPr>
              <w:pStyle w:val="TableContents"/>
              <w:spacing w:before="0" w:after="0"/>
              <w:rPr>
                <w:rFonts w:ascii="Times New Roman" w:hAnsi="Times New Roman"/>
                <w:sz w:val="20"/>
              </w:rPr>
            </w:pPr>
            <w:r>
              <w:rPr>
                <w:rFonts w:ascii="Times New Roman" w:hAnsi="Times New Roman"/>
                <w:sz w:val="20"/>
              </w:rPr>
              <w:t>Shares Offered</w:t>
            </w:r>
          </w:p>
        </w:tc>
        <w:tc>
          <w:tcPr>
            <w:tcW w:w="1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sz w:val="4"/>
                <w:szCs w:val="4"/>
              </w:rPr>
            </w:pPr>
            <w:r>
              <w:rPr>
                <w:sz w:val="4"/>
                <w:szCs w:val="4"/>
              </w:rPr>
            </w:r>
          </w:p>
        </w:tc>
        <w:tc>
          <w:tcPr>
            <w:tcW w:w="1109"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3,788,577</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7,577,154</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15,154,308</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737"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18,942,886</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737"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r>
      <w:tr>
        <w:trPr/>
        <w:tc>
          <w:tcPr>
            <w:tcW w:w="1115" w:type="dxa"/>
            <w:tcBorders/>
            <w:shd w:fill="CCEEFF" w:val="clear"/>
          </w:tcPr>
          <w:p>
            <w:pPr>
              <w:pStyle w:val="TableContents"/>
              <w:spacing w:before="0" w:after="0"/>
              <w:rPr>
                <w:rFonts w:ascii="Times New Roman" w:hAnsi="Times New Roman"/>
                <w:sz w:val="20"/>
              </w:rPr>
            </w:pPr>
            <w:r>
              <w:rPr>
                <w:rFonts w:ascii="Times New Roman" w:hAnsi="Times New Roman"/>
                <w:sz w:val="20"/>
              </w:rPr>
              <w:t>Net Asset Value per Share</w:t>
            </w:r>
          </w:p>
        </w:tc>
        <w:tc>
          <w:tcPr>
            <w:tcW w:w="12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w:t>
            </w:r>
          </w:p>
        </w:tc>
        <w:tc>
          <w:tcPr>
            <w:tcW w:w="1109" w:type="dxa"/>
            <w:tcBorders/>
            <w:shd w:fill="CCEEFF" w:val="clear"/>
            <w:vAlign w:val="bottom"/>
          </w:tcPr>
          <w:p>
            <w:pPr>
              <w:pStyle w:val="TableContents"/>
              <w:spacing w:before="0" w:after="283"/>
              <w:jc w:val="right"/>
              <w:rPr/>
            </w:pPr>
            <w:r>
              <w:rPr/>
              <w:t>16.84</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16.80</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pPr>
            <w:r>
              <w:rPr/>
              <w:t>(0.25</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16.69</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pPr>
            <w:r>
              <w:rPr/>
              <w:t>(0.92</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16.28</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737" w:type="dxa"/>
            <w:tcBorders/>
            <w:shd w:fill="CCEEFF" w:val="clear"/>
            <w:vAlign w:val="bottom"/>
          </w:tcPr>
          <w:p>
            <w:pPr>
              <w:pStyle w:val="TableContents"/>
              <w:spacing w:before="0" w:after="283"/>
              <w:jc w:val="right"/>
              <w:rPr/>
            </w:pPr>
            <w:r>
              <w:rPr/>
              <w:t>(3.34</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16.00</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737" w:type="dxa"/>
            <w:tcBorders/>
            <w:shd w:fill="CCEEFF" w:val="clear"/>
            <w:vAlign w:val="bottom"/>
          </w:tcPr>
          <w:p>
            <w:pPr>
              <w:pStyle w:val="TableContents"/>
              <w:spacing w:before="0" w:after="283"/>
              <w:jc w:val="right"/>
              <w:rPr/>
            </w:pPr>
            <w:r>
              <w:rPr/>
              <w:t>(5.01</w:t>
            </w:r>
          </w:p>
        </w:tc>
        <w:tc>
          <w:tcPr>
            <w:tcW w:w="350" w:type="dxa"/>
            <w:tcBorders/>
            <w:shd w:fill="CCEEFF" w:val="clear"/>
            <w:vAlign w:val="bottom"/>
          </w:tcPr>
          <w:p>
            <w:pPr>
              <w:pStyle w:val="TableContents"/>
              <w:spacing w:before="0" w:after="283"/>
              <w:rPr/>
            </w:pPr>
            <w:r>
              <w:rPr/>
              <w:t>)% </w:t>
            </w:r>
          </w:p>
        </w:tc>
      </w:tr>
      <w:tr>
        <w:trPr/>
        <w:tc>
          <w:tcPr>
            <w:tcW w:w="1115" w:type="dxa"/>
            <w:tcBorders/>
            <w:shd w:fill="auto" w:val="clear"/>
          </w:tcPr>
          <w:p>
            <w:pPr>
              <w:pStyle w:val="TableContents"/>
              <w:spacing w:before="0" w:after="0"/>
              <w:rPr>
                <w:rFonts w:ascii="Times New Roman" w:hAnsi="Times New Roman"/>
                <w:b/>
                <w:sz w:val="20"/>
              </w:rPr>
            </w:pPr>
            <w:r>
              <w:rPr>
                <w:rFonts w:ascii="Times New Roman" w:hAnsi="Times New Roman"/>
                <w:b/>
                <w:sz w:val="20"/>
              </w:rPr>
              <w:t>Dilution/Accretion to New Investor A</w:t>
            </w:r>
          </w:p>
        </w:tc>
        <w:tc>
          <w:tcPr>
            <w:tcW w:w="1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sz w:val="4"/>
                <w:szCs w:val="4"/>
              </w:rPr>
            </w:pPr>
            <w:r>
              <w:rPr>
                <w:sz w:val="4"/>
                <w:szCs w:val="4"/>
              </w:rPr>
            </w:r>
          </w:p>
        </w:tc>
        <w:tc>
          <w:tcPr>
            <w:tcW w:w="1109"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737"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737"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r>
      <w:tr>
        <w:trPr/>
        <w:tc>
          <w:tcPr>
            <w:tcW w:w="1115" w:type="dxa"/>
            <w:tcBorders/>
            <w:shd w:fill="CCEEFF" w:val="clear"/>
          </w:tcPr>
          <w:p>
            <w:pPr>
              <w:pStyle w:val="TableContents"/>
              <w:spacing w:before="0" w:after="0"/>
              <w:rPr>
                <w:rFonts w:ascii="Times New Roman" w:hAnsi="Times New Roman"/>
                <w:sz w:val="20"/>
              </w:rPr>
            </w:pPr>
            <w:r>
              <w:rPr>
                <w:rFonts w:ascii="Times New Roman" w:hAnsi="Times New Roman"/>
                <w:sz w:val="20"/>
              </w:rPr>
              <w:t>Shares Held by Investor A</w:t>
            </w:r>
          </w:p>
        </w:tc>
        <w:tc>
          <w:tcPr>
            <w:tcW w:w="12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1109" w:type="dxa"/>
            <w:tcBorders/>
            <w:shd w:fill="CCEEFF" w:val="clear"/>
            <w:vAlign w:val="bottom"/>
          </w:tcPr>
          <w:p>
            <w:pPr>
              <w:pStyle w:val="TableContents"/>
              <w:spacing w:before="0" w:after="283"/>
              <w:jc w:val="right"/>
              <w:rPr/>
            </w:pPr>
            <w:r>
              <w:rPr/>
              <w:t>0</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3,789</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7,577</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15,154</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737"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 </w:t>
            </w:r>
          </w:p>
        </w:tc>
        <w:tc>
          <w:tcPr>
            <w:tcW w:w="1100" w:type="dxa"/>
            <w:tcBorders/>
            <w:shd w:fill="CCEEFF" w:val="clear"/>
            <w:vAlign w:val="bottom"/>
          </w:tcPr>
          <w:p>
            <w:pPr>
              <w:pStyle w:val="TableContents"/>
              <w:spacing w:before="0" w:after="283"/>
              <w:jc w:val="right"/>
              <w:rPr/>
            </w:pPr>
            <w:r>
              <w:rPr/>
              <w:t>18,943</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737"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r>
      <w:tr>
        <w:trPr/>
        <w:tc>
          <w:tcPr>
            <w:tcW w:w="1115" w:type="dxa"/>
            <w:tcBorders/>
            <w:shd w:fill="auto" w:val="clear"/>
          </w:tcPr>
          <w:p>
            <w:pPr>
              <w:pStyle w:val="TableContents"/>
              <w:spacing w:before="0" w:after="0"/>
              <w:rPr>
                <w:rFonts w:ascii="Times New Roman" w:hAnsi="Times New Roman"/>
                <w:sz w:val="20"/>
              </w:rPr>
            </w:pPr>
            <w:r>
              <w:rPr>
                <w:rFonts w:ascii="Times New Roman" w:hAnsi="Times New Roman"/>
                <w:sz w:val="20"/>
              </w:rPr>
              <w:t>Percentage Held by Investor A</w:t>
            </w:r>
          </w:p>
        </w:tc>
        <w:tc>
          <w:tcPr>
            <w:tcW w:w="1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1109" w:type="dxa"/>
            <w:tcBorders/>
            <w:shd w:fill="auto" w:val="clear"/>
            <w:vAlign w:val="bottom"/>
          </w:tcPr>
          <w:p>
            <w:pPr>
              <w:pStyle w:val="TableContents"/>
              <w:spacing w:before="0" w:after="283"/>
              <w:jc w:val="right"/>
              <w:rPr/>
            </w:pPr>
            <w:r>
              <w:rPr/>
              <w:t>0.00</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0.00</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0.01</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0.02</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737"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 </w:t>
            </w:r>
          </w:p>
        </w:tc>
        <w:tc>
          <w:tcPr>
            <w:tcW w:w="1100" w:type="dxa"/>
            <w:tcBorders/>
            <w:shd w:fill="auto" w:val="clear"/>
            <w:vAlign w:val="bottom"/>
          </w:tcPr>
          <w:p>
            <w:pPr>
              <w:pStyle w:val="TableContents"/>
              <w:spacing w:before="0" w:after="283"/>
              <w:jc w:val="right"/>
              <w:rPr/>
            </w:pPr>
            <w:r>
              <w:rPr/>
              <w:t>0.02</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737"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r>
      <w:tr>
        <w:trPr/>
        <w:tc>
          <w:tcPr>
            <w:tcW w:w="1115" w:type="dxa"/>
            <w:tcBorders/>
            <w:shd w:fill="CCEEFF" w:val="clear"/>
          </w:tcPr>
          <w:p>
            <w:pPr>
              <w:pStyle w:val="TableContents"/>
              <w:spacing w:before="0" w:after="0"/>
              <w:rPr>
                <w:rFonts w:ascii="Times New Roman" w:hAnsi="Times New Roman"/>
                <w:sz w:val="20"/>
              </w:rPr>
            </w:pPr>
            <w:r>
              <w:rPr>
                <w:rFonts w:ascii="Times New Roman" w:hAnsi="Times New Roman"/>
                <w:sz w:val="20"/>
              </w:rPr>
              <w:t>Total Net Asset Value Held by Investor A</w:t>
            </w:r>
          </w:p>
        </w:tc>
        <w:tc>
          <w:tcPr>
            <w:tcW w:w="12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w:t>
            </w:r>
          </w:p>
        </w:tc>
        <w:tc>
          <w:tcPr>
            <w:tcW w:w="1109" w:type="dxa"/>
            <w:tcBorders/>
            <w:shd w:fill="CCEEFF" w:val="clear"/>
            <w:vAlign w:val="bottom"/>
          </w:tcPr>
          <w:p>
            <w:pPr>
              <w:pStyle w:val="TableContents"/>
              <w:spacing w:before="0" w:after="283"/>
              <w:jc w:val="right"/>
              <w:rPr/>
            </w:pPr>
            <w:r>
              <w:rPr/>
              <w:t>0</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63,641</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126,426</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246,668</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737"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303,019</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737"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r>
      <w:tr>
        <w:trPr/>
        <w:tc>
          <w:tcPr>
            <w:tcW w:w="1115" w:type="dxa"/>
            <w:tcBorders/>
            <w:shd w:fill="auto" w:val="clear"/>
          </w:tcPr>
          <w:p>
            <w:pPr>
              <w:pStyle w:val="TableContents"/>
              <w:spacing w:before="0" w:after="0"/>
              <w:rPr>
                <w:rFonts w:ascii="Times New Roman" w:hAnsi="Times New Roman"/>
                <w:sz w:val="20"/>
              </w:rPr>
            </w:pPr>
            <w:r>
              <w:rPr>
                <w:rFonts w:ascii="Times New Roman" w:hAnsi="Times New Roman"/>
                <w:sz w:val="20"/>
              </w:rPr>
              <w:t>Total Investment by Investor A (At Price to Public)</w:t>
            </w:r>
          </w:p>
        </w:tc>
        <w:tc>
          <w:tcPr>
            <w:tcW w:w="1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sz w:val="4"/>
                <w:szCs w:val="4"/>
              </w:rPr>
            </w:pPr>
            <w:r>
              <w:rPr>
                <w:sz w:val="4"/>
                <w:szCs w:val="4"/>
              </w:rPr>
            </w:r>
          </w:p>
        </w:tc>
        <w:tc>
          <w:tcPr>
            <w:tcW w:w="1109"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63,800</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120,884</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214,904</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737"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251,841</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737"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r>
      <w:tr>
        <w:trPr/>
        <w:tc>
          <w:tcPr>
            <w:tcW w:w="1115" w:type="dxa"/>
            <w:tcBorders/>
            <w:shd w:fill="CCEEFF" w:val="clear"/>
          </w:tcPr>
          <w:p>
            <w:pPr>
              <w:pStyle w:val="TableContents"/>
              <w:spacing w:before="0" w:after="0"/>
              <w:rPr>
                <w:rFonts w:ascii="Times New Roman" w:hAnsi="Times New Roman"/>
                <w:sz w:val="20"/>
              </w:rPr>
            </w:pPr>
            <w:r>
              <w:rPr>
                <w:rFonts w:ascii="Times New Roman" w:hAnsi="Times New Roman"/>
                <w:sz w:val="20"/>
              </w:rPr>
              <w:t>Total Dilution/Accretion to Investor A (Total Net Asset Value Less Total Investment</w:t>
            </w:r>
          </w:p>
        </w:tc>
        <w:tc>
          <w:tcPr>
            <w:tcW w:w="12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sz w:val="4"/>
                <w:szCs w:val="4"/>
              </w:rPr>
            </w:pPr>
            <w:r>
              <w:rPr>
                <w:sz w:val="4"/>
                <w:szCs w:val="4"/>
              </w:rPr>
            </w:r>
          </w:p>
        </w:tc>
        <w:tc>
          <w:tcPr>
            <w:tcW w:w="1109"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(159</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5,543</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31,764</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737"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51,179</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737"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r>
      <w:tr>
        <w:trPr/>
        <w:tc>
          <w:tcPr>
            <w:tcW w:w="1115" w:type="dxa"/>
            <w:tcBorders/>
            <w:shd w:fill="auto" w:val="clear"/>
          </w:tcPr>
          <w:p>
            <w:pPr>
              <w:pStyle w:val="TableContents"/>
              <w:spacing w:before="0" w:after="0"/>
              <w:rPr>
                <w:rFonts w:ascii="Times New Roman" w:hAnsi="Times New Roman"/>
                <w:sz w:val="20"/>
              </w:rPr>
            </w:pPr>
            <w:r>
              <w:rPr>
                <w:rFonts w:ascii="Times New Roman" w:hAnsi="Times New Roman"/>
                <w:sz w:val="20"/>
              </w:rPr>
              <w:t>Investment per Share Held by Investor A</w:t>
            </w:r>
          </w:p>
        </w:tc>
        <w:tc>
          <w:tcPr>
            <w:tcW w:w="1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sz w:val="4"/>
                <w:szCs w:val="4"/>
              </w:rPr>
            </w:pPr>
            <w:r>
              <w:rPr>
                <w:sz w:val="4"/>
                <w:szCs w:val="4"/>
              </w:rPr>
            </w:r>
          </w:p>
        </w:tc>
        <w:tc>
          <w:tcPr>
            <w:tcW w:w="1109"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16.84</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15.95</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14.18</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737"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13.29</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737"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r>
      <w:tr>
        <w:trPr/>
        <w:tc>
          <w:tcPr>
            <w:tcW w:w="1115" w:type="dxa"/>
            <w:tcBorders/>
            <w:shd w:fill="CCEEFF" w:val="clear"/>
          </w:tcPr>
          <w:p>
            <w:pPr>
              <w:pStyle w:val="TableContents"/>
              <w:spacing w:before="0" w:after="0"/>
              <w:rPr>
                <w:rFonts w:ascii="Times New Roman" w:hAnsi="Times New Roman"/>
                <w:sz w:val="20"/>
              </w:rPr>
            </w:pPr>
            <w:r>
              <w:rPr>
                <w:rFonts w:ascii="Times New Roman" w:hAnsi="Times New Roman"/>
                <w:sz w:val="20"/>
              </w:rPr>
              <w:t>Net Asset Value per Share Held by Investor A</w:t>
            </w:r>
          </w:p>
        </w:tc>
        <w:tc>
          <w:tcPr>
            <w:tcW w:w="12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sz w:val="4"/>
                <w:szCs w:val="4"/>
              </w:rPr>
            </w:pPr>
            <w:r>
              <w:rPr>
                <w:sz w:val="4"/>
                <w:szCs w:val="4"/>
              </w:rPr>
            </w:r>
          </w:p>
        </w:tc>
        <w:tc>
          <w:tcPr>
            <w:tcW w:w="1109"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16.80</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16.69</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sz w:val="4"/>
                <w:szCs w:val="4"/>
              </w:rPr>
            </w:pPr>
            <w:r>
              <w:rPr>
                <w:sz w:val="4"/>
                <w:szCs w:val="4"/>
              </w:rPr>
            </w:r>
          </w:p>
        </w:tc>
        <w:tc>
          <w:tcPr>
            <w:tcW w:w="730"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16.28</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737"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pPr>
            <w:r>
              <w:rPr/>
              <w:t>$</w:t>
            </w:r>
          </w:p>
        </w:tc>
        <w:tc>
          <w:tcPr>
            <w:tcW w:w="1100" w:type="dxa"/>
            <w:tcBorders/>
            <w:shd w:fill="CCEEFF" w:val="clear"/>
            <w:vAlign w:val="bottom"/>
          </w:tcPr>
          <w:p>
            <w:pPr>
              <w:pStyle w:val="TableContents"/>
              <w:spacing w:before="0" w:after="283"/>
              <w:jc w:val="right"/>
              <w:rPr/>
            </w:pPr>
            <w:r>
              <w:rPr/>
              <w:t>16.00</w:t>
            </w:r>
          </w:p>
        </w:tc>
        <w:tc>
          <w:tcPr>
            <w:tcW w:w="275"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sz w:val="4"/>
                <w:szCs w:val="4"/>
              </w:rPr>
            </w:pPr>
            <w:r>
              <w:rPr>
                <w:sz w:val="4"/>
                <w:szCs w:val="4"/>
              </w:rPr>
            </w:r>
          </w:p>
        </w:tc>
        <w:tc>
          <w:tcPr>
            <w:tcW w:w="737" w:type="dxa"/>
            <w:tcBorders/>
            <w:shd w:fill="CCEEFF" w:val="clear"/>
            <w:vAlign w:val="bottom"/>
          </w:tcPr>
          <w:p>
            <w:pPr>
              <w:pStyle w:val="TableContents"/>
              <w:spacing w:before="0" w:after="283"/>
              <w:rPr>
                <w:sz w:val="4"/>
                <w:szCs w:val="4"/>
              </w:rPr>
            </w:pPr>
            <w:r>
              <w:rPr>
                <w:sz w:val="4"/>
                <w:szCs w:val="4"/>
              </w:rPr>
            </w:r>
          </w:p>
        </w:tc>
        <w:tc>
          <w:tcPr>
            <w:tcW w:w="350" w:type="dxa"/>
            <w:tcBorders/>
            <w:shd w:fill="CCEEFF" w:val="clear"/>
            <w:vAlign w:val="bottom"/>
          </w:tcPr>
          <w:p>
            <w:pPr>
              <w:pStyle w:val="TableContents"/>
              <w:spacing w:before="0" w:after="283"/>
              <w:rPr>
                <w:sz w:val="4"/>
                <w:szCs w:val="4"/>
              </w:rPr>
            </w:pPr>
            <w:r>
              <w:rPr>
                <w:sz w:val="4"/>
                <w:szCs w:val="4"/>
              </w:rPr>
            </w:r>
          </w:p>
        </w:tc>
      </w:tr>
      <w:tr>
        <w:trPr/>
        <w:tc>
          <w:tcPr>
            <w:tcW w:w="1115" w:type="dxa"/>
            <w:tcBorders/>
            <w:shd w:fill="auto" w:val="clear"/>
          </w:tcPr>
          <w:p>
            <w:pPr>
              <w:pStyle w:val="TableContents"/>
              <w:spacing w:before="0" w:after="0"/>
              <w:rPr>
                <w:rFonts w:ascii="Times New Roman" w:hAnsi="Times New Roman"/>
                <w:sz w:val="20"/>
              </w:rPr>
            </w:pPr>
            <w:r>
              <w:rPr>
                <w:rFonts w:ascii="Times New Roman" w:hAnsi="Times New Roman"/>
                <w:sz w:val="20"/>
              </w:rPr>
              <w:t>Dilution/Accretion per Share Held by Investor A (Net Asset Value per Share Less Investment per Share)</w:t>
            </w:r>
          </w:p>
        </w:tc>
        <w:tc>
          <w:tcPr>
            <w:tcW w:w="120"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sz w:val="4"/>
                <w:szCs w:val="4"/>
              </w:rPr>
            </w:pPr>
            <w:r>
              <w:rPr>
                <w:sz w:val="4"/>
                <w:szCs w:val="4"/>
              </w:rPr>
            </w:r>
          </w:p>
        </w:tc>
        <w:tc>
          <w:tcPr>
            <w:tcW w:w="1109" w:type="dxa"/>
            <w:tcBorders/>
            <w:shd w:fill="auto" w:val="clear"/>
            <w:vAlign w:val="bottom"/>
          </w:tcPr>
          <w:p>
            <w:pPr>
              <w:pStyle w:val="TableContents"/>
              <w:spacing w:before="0" w:after="283"/>
              <w:rPr>
                <w:sz w:val="4"/>
                <w:szCs w:val="4"/>
              </w:rPr>
            </w:pPr>
            <w:r>
              <w:rPr>
                <w:sz w:val="4"/>
                <w:szCs w:val="4"/>
              </w:rPr>
            </w:r>
          </w:p>
        </w:tc>
        <w:tc>
          <w:tcPr>
            <w:tcW w:w="2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(0.04</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0.73</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rPr>
                <w:sz w:val="4"/>
                <w:szCs w:val="4"/>
              </w:rPr>
            </w:pPr>
            <w:r>
              <w:rPr>
                <w:sz w:val="4"/>
                <w:szCs w:val="4"/>
              </w:rPr>
            </w:r>
          </w:p>
        </w:tc>
        <w:tc>
          <w:tcPr>
            <w:tcW w:w="730"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2.10</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737"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40" w:type="dxa"/>
            <w:tcBorders/>
            <w:shd w:fill="auto" w:val="clear"/>
            <w:vAlign w:val="bottom"/>
          </w:tcPr>
          <w:p>
            <w:pPr>
              <w:pStyle w:val="TableContents"/>
              <w:spacing w:before="0" w:after="283"/>
              <w:rPr/>
            </w:pPr>
            <w:r>
              <w:rPr/>
              <w:t>$</w:t>
            </w:r>
          </w:p>
        </w:tc>
        <w:tc>
          <w:tcPr>
            <w:tcW w:w="1100" w:type="dxa"/>
            <w:tcBorders/>
            <w:shd w:fill="auto" w:val="clear"/>
            <w:vAlign w:val="bottom"/>
          </w:tcPr>
          <w:p>
            <w:pPr>
              <w:pStyle w:val="TableContents"/>
              <w:spacing w:before="0" w:after="283"/>
              <w:jc w:val="right"/>
              <w:rPr/>
            </w:pPr>
            <w:r>
              <w:rPr/>
              <w:t>2.70</w:t>
            </w:r>
          </w:p>
        </w:tc>
        <w:tc>
          <w:tcPr>
            <w:tcW w:w="2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sz w:val="4"/>
                <w:szCs w:val="4"/>
              </w:rPr>
            </w:pPr>
            <w:r>
              <w:rPr>
                <w:sz w:val="4"/>
                <w:szCs w:val="4"/>
              </w:rPr>
            </w:r>
          </w:p>
        </w:tc>
        <w:tc>
          <w:tcPr>
            <w:tcW w:w="737" w:type="dxa"/>
            <w:tcBorders/>
            <w:shd w:fill="auto" w:val="clear"/>
            <w:vAlign w:val="bottom"/>
          </w:tcPr>
          <w:p>
            <w:pPr>
              <w:pStyle w:val="TableContents"/>
              <w:spacing w:before="0" w:after="283"/>
              <w:rPr>
                <w:sz w:val="4"/>
                <w:szCs w:val="4"/>
              </w:rPr>
            </w:pPr>
            <w:r>
              <w:rPr>
                <w:sz w:val="4"/>
                <w:szCs w:val="4"/>
              </w:rPr>
            </w:r>
          </w:p>
        </w:tc>
        <w:tc>
          <w:tcPr>
            <w:tcW w:w="350" w:type="dxa"/>
            <w:tcBorders/>
            <w:shd w:fill="auto" w:val="clear"/>
            <w:vAlign w:val="bottom"/>
          </w:tcPr>
          <w:p>
            <w:pPr>
              <w:pStyle w:val="TableContents"/>
              <w:spacing w:before="0" w:after="283"/>
              <w:rPr>
                <w:sz w:val="4"/>
                <w:szCs w:val="4"/>
              </w:rPr>
            </w:pPr>
            <w:r>
              <w:rPr>
                <w:sz w:val="4"/>
                <w:szCs w:val="4"/>
              </w:rPr>
            </w:r>
          </w:p>
        </w:tc>
      </w:tr>
      <w:tr>
        <w:trPr/>
        <w:tc>
          <w:tcPr>
            <w:tcW w:w="1115" w:type="dxa"/>
            <w:tcBorders/>
            <w:shd w:fill="CCEEFF" w:val="clear"/>
          </w:tcPr>
          <w:p>
            <w:pPr>
              <w:pStyle w:val="TableContents"/>
              <w:spacing w:before="0" w:after="0"/>
              <w:rPr>
                <w:rFonts w:ascii="Times New Roman" w:hAnsi="Times New Roman"/>
                <w:sz w:val="20"/>
              </w:rPr>
            </w:pPr>
            <w:r>
              <w:rPr>
                <w:rFonts w:ascii="Times New Roman" w:hAnsi="Times New Roman"/>
                <w:sz w:val="20"/>
              </w:rPr>
              <w:t>Percentage Dilution/Accretion to Investor A (Dilution per Share Divided by Investment per Share)</w:t>
            </w:r>
          </w:p>
        </w:tc>
        <w:tc>
          <w:tcPr>
            <w:tcW w:w="120"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sz w:val="4"/>
                <w:szCs w:val="4"/>
              </w:rPr>
            </w:pPr>
            <w:r>
              <w:rPr>
                <w:sz w:val="4"/>
                <w:szCs w:val="4"/>
              </w:rPr>
            </w:r>
          </w:p>
        </w:tc>
        <w:tc>
          <w:tcPr>
            <w:tcW w:w="1109"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pPr>
            <w:r>
              <w:rPr/>
              <w:t>(0.25</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85" w:type="dxa"/>
            <w:tcBorders/>
            <w:shd w:fill="CCEEFF" w:val="clear"/>
            <w:vAlign w:val="bottom"/>
          </w:tcPr>
          <w:p>
            <w:pPr>
              <w:pStyle w:val="TableContents"/>
              <w:spacing w:before="0" w:after="283"/>
              <w:rPr/>
            </w:pPr>
            <w:r>
              <w:rPr/>
              <w:t> </w:t>
            </w:r>
          </w:p>
        </w:tc>
        <w:tc>
          <w:tcPr>
            <w:tcW w:w="730" w:type="dxa"/>
            <w:tcBorders/>
            <w:shd w:fill="CCEEFF" w:val="clear"/>
            <w:vAlign w:val="bottom"/>
          </w:tcPr>
          <w:p>
            <w:pPr>
              <w:pStyle w:val="TableContents"/>
              <w:spacing w:before="0" w:after="283"/>
              <w:jc w:val="right"/>
              <w:rPr/>
            </w:pPr>
            <w:r>
              <w:rPr/>
              <w:t>4.59</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737" w:type="dxa"/>
            <w:tcBorders/>
            <w:shd w:fill="CCEEFF" w:val="clear"/>
            <w:vAlign w:val="bottom"/>
          </w:tcPr>
          <w:p>
            <w:pPr>
              <w:pStyle w:val="TableContents"/>
              <w:spacing w:before="0" w:after="283"/>
              <w:jc w:val="right"/>
              <w:rPr/>
            </w:pPr>
            <w:r>
              <w:rPr/>
              <w:t>14.78</w:t>
            </w:r>
          </w:p>
        </w:tc>
        <w:tc>
          <w:tcPr>
            <w:tcW w:w="350" w:type="dxa"/>
            <w:tcBorders/>
            <w:shd w:fill="CCEEFF" w:val="clear"/>
            <w:vAlign w:val="bottom"/>
          </w:tcPr>
          <w:p>
            <w:pPr>
              <w:pStyle w:val="TableContents"/>
              <w:spacing w:before="0" w:after="283"/>
              <w:rPr/>
            </w:pPr>
            <w:r>
              <w:rPr/>
              <w:t>% </w:t>
            </w:r>
          </w:p>
        </w:tc>
        <w:tc>
          <w:tcPr>
            <w:tcW w:w="60"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rPr>
                <w:sz w:val="4"/>
                <w:szCs w:val="4"/>
              </w:rPr>
            </w:pPr>
            <w:r>
              <w:rPr>
                <w:sz w:val="4"/>
                <w:szCs w:val="4"/>
              </w:rPr>
            </w:r>
          </w:p>
        </w:tc>
        <w:tc>
          <w:tcPr>
            <w:tcW w:w="1100" w:type="dxa"/>
            <w:tcBorders/>
            <w:shd w:fill="CCEEFF" w:val="clear"/>
            <w:vAlign w:val="bottom"/>
          </w:tcPr>
          <w:p>
            <w:pPr>
              <w:pStyle w:val="TableContents"/>
              <w:spacing w:before="0" w:after="283"/>
              <w:rPr>
                <w:sz w:val="4"/>
                <w:szCs w:val="4"/>
              </w:rPr>
            </w:pPr>
            <w:r>
              <w:rPr>
                <w:sz w:val="4"/>
                <w:szCs w:val="4"/>
              </w:rPr>
            </w:r>
          </w:p>
        </w:tc>
        <w:tc>
          <w:tcPr>
            <w:tcW w:w="275" w:type="dxa"/>
            <w:tcBorders/>
            <w:shd w:fill="CCEEFF" w:val="clear"/>
            <w:vAlign w:val="bottom"/>
          </w:tcPr>
          <w:p>
            <w:pPr>
              <w:pStyle w:val="TableContents"/>
              <w:spacing w:before="0" w:after="283"/>
              <w:rPr>
                <w:sz w:val="4"/>
                <w:szCs w:val="4"/>
              </w:rPr>
            </w:pPr>
            <w:r>
              <w:rPr>
                <w:sz w:val="4"/>
                <w:szCs w:val="4"/>
              </w:rPr>
            </w:r>
          </w:p>
        </w:tc>
        <w:tc>
          <w:tcPr>
            <w:tcW w:w="60" w:type="dxa"/>
            <w:tcBorders/>
            <w:shd w:fill="CCEEFF" w:val="clear"/>
            <w:vAlign w:val="bottom"/>
          </w:tcPr>
          <w:p>
            <w:pPr>
              <w:pStyle w:val="TableContents"/>
              <w:spacing w:before="0" w:after="283"/>
              <w:rPr/>
            </w:pPr>
            <w:r>
              <w:rPr/>
              <w:t> </w:t>
            </w:r>
          </w:p>
        </w:tc>
        <w:tc>
          <w:tcPr>
            <w:tcW w:w="78" w:type="dxa"/>
            <w:tcBorders/>
            <w:shd w:fill="CCEEFF" w:val="clear"/>
            <w:vAlign w:val="bottom"/>
          </w:tcPr>
          <w:p>
            <w:pPr>
              <w:pStyle w:val="TableContents"/>
              <w:spacing w:before="0" w:after="283"/>
              <w:rPr/>
            </w:pPr>
            <w:r>
              <w:rPr/>
              <w:t> </w:t>
            </w:r>
          </w:p>
        </w:tc>
        <w:tc>
          <w:tcPr>
            <w:tcW w:w="737" w:type="dxa"/>
            <w:tcBorders/>
            <w:shd w:fill="CCEEFF" w:val="clear"/>
            <w:vAlign w:val="bottom"/>
          </w:tcPr>
          <w:p>
            <w:pPr>
              <w:pStyle w:val="TableContents"/>
              <w:spacing w:before="0" w:after="283"/>
              <w:jc w:val="right"/>
              <w:rPr/>
            </w:pPr>
            <w:r>
              <w:rPr/>
              <w:t>20.32</w:t>
            </w:r>
          </w:p>
        </w:tc>
        <w:tc>
          <w:tcPr>
            <w:tcW w:w="350" w:type="dxa"/>
            <w:tcBorders/>
            <w:shd w:fill="CCEEFF" w:val="clear"/>
            <w:vAlign w:val="bottom"/>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5" w:name="rom451583_21"/>
      <w:bookmarkEnd w:id="25"/>
      <w:r>
        <w:rPr>
          <w:rFonts w:ascii="Times New Roman" w:hAnsi="Times New Roman"/>
          <w:b/>
          <w:sz w:val="20"/>
        </w:rPr>
        <w:t xml:space="preserve">DIVIDEND REINVESTMENT PLAN </w:t>
      </w:r>
    </w:p>
    <w:p>
      <w:pPr>
        <w:pStyle w:val="TextBody"/>
        <w:spacing w:before="240" w:after="0"/>
        <w:rPr>
          <w:rFonts w:ascii="Times New Roman" w:hAnsi="Times New Roman"/>
          <w:sz w:val="20"/>
        </w:rPr>
      </w:pPr>
      <w:r>
        <w:rPr>
          <w:rFonts w:ascii="Times New Roman" w:hAnsi="Times New Roman"/>
          <w:sz w:val="20"/>
        </w:rPr>
        <w:t xml:space="preserve">The information under the heading Dividend Reinvestment Plan in Part I, Item I of our 2021 Annual Report is incorporated by reference in this prospectus. </w:t>
      </w:r>
    </w:p>
    <w:p>
      <w:pPr>
        <w:pStyle w:val="TextBody"/>
        <w:spacing w:before="240" w:after="0"/>
        <w:rPr>
          <w:rFonts w:ascii="Times New Roman" w:hAnsi="Times New Roman"/>
          <w:sz w:val="20"/>
        </w:rPr>
      </w:pPr>
      <w:r>
        <w:rPr>
          <w:rFonts w:ascii="Times New Roman" w:hAnsi="Times New Roman"/>
          <w:sz w:val="20"/>
        </w:rPr>
        <w:t xml:space="preserve">A stockholder who does not opt out of the dividend reinvestment plan will be treated for U.S. federal income tax purposes as having received a cash dividend or distribution in an amount equal to the total dollar amount of the dividend or distribution payable to such stockholder, net of applicable withholding taxes, and then reinvesting that net cash for additional shares of our stock. Such a stockholder is subject to the same U.S. federal income tax consequences as stockholders who elect to receive their cash dividends or distributions in cash; however, because a stockholder that participates in the dividend reinvestment plan does not actually receive any cash, such a stockholder will not have such cash available to pay any applicable taxes on the deemed distribution. A stockholder that participates in the dividend reinvestment plan and thus is treated as having invested in additional shares of our stock will have a basis in such additional shares of stock equal to the total dollar amount of the cash dividend or distribution payable to the stockholder divided by the total numbers of shares issued to such stockholder pursuant to such dividend or distribution. The stockholders holding period for such stock will commence on the day following the day on which the shares are credited to the stockholders account. </w:t>
      </w:r>
    </w:p>
    <w:p>
      <w:pPr>
        <w:pStyle w:val="TextBody"/>
        <w:spacing w:before="240" w:after="0"/>
        <w:rPr>
          <w:rFonts w:ascii="Times New Roman" w:hAnsi="Times New Roman"/>
          <w:sz w:val="20"/>
        </w:rPr>
      </w:pPr>
      <w:r>
        <w:rPr>
          <w:rFonts w:ascii="Times New Roman" w:hAnsi="Times New Roman"/>
          <w:sz w:val="20"/>
        </w:rPr>
        <w:t xml:space="preserve">All correspondence concerning the plan should be directed to the plan administrator by mail at American Stock Transfer &amp; Trust Company, LLC, Transfer AgencySixth Street Specialty Lending, 6201 15th Avenue, Brooklyn, NY 11219. </w:t>
      </w:r>
    </w:p>
    <w:p>
      <w:pPr>
        <w:pStyle w:val="TextBody"/>
        <w:spacing w:before="240" w:after="0"/>
        <w:rPr>
          <w:rFonts w:ascii="Times New Roman" w:hAnsi="Times New Roman"/>
          <w:sz w:val="20"/>
        </w:rPr>
      </w:pPr>
      <w:r>
        <w:rPr>
          <w:rFonts w:ascii="Times New Roman" w:hAnsi="Times New Roman"/>
          <w:sz w:val="20"/>
        </w:rPr>
        <w:t xml:space="preserve">If you hold your common stock with a brokerage firm that does not participate in the plan, you will not be able to participate in the plan and any dividend reinvestment may be effected on different terms than those described above. Consult your financial advisor for more information.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6" w:name="rom451583_22"/>
      <w:bookmarkEnd w:id="26"/>
      <w:r>
        <w:rPr>
          <w:rFonts w:ascii="Times New Roman" w:hAnsi="Times New Roman"/>
          <w:b/>
          <w:sz w:val="20"/>
        </w:rPr>
        <w:t xml:space="preserve">MATERIAL U.S. FEDERAL INCOME TAX CONSIDERATIONS </w:t>
      </w:r>
    </w:p>
    <w:p>
      <w:pPr>
        <w:pStyle w:val="TextBody"/>
        <w:spacing w:before="240" w:after="0"/>
        <w:rPr>
          <w:rFonts w:ascii="Times New Roman" w:hAnsi="Times New Roman"/>
          <w:sz w:val="20"/>
        </w:rPr>
      </w:pPr>
      <w:r>
        <w:rPr>
          <w:rFonts w:ascii="Times New Roman" w:hAnsi="Times New Roman"/>
          <w:sz w:val="20"/>
        </w:rPr>
        <w:t xml:space="preserve">The following discussion is a summary of material U.S. federal income tax considerations applicable to us and to an investment in shares of our common stock or preferred stock. This summary deals only with beneficial owners (referred to in this summary as stockholders) of shares of our common stock or preferred stock that hold their shares as capital assets. This summary does not purport to be a complete description of the income tax considerations applicable to such an investment. For example, we have not described tax consequences that may be relevant to certain types of stockholders that are subject to special treatment under U.S. federal income tax laws, including: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stockholders subject to the alternative minimum tax;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tax-exempt organizations (except as discussed below);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insurance companies;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dealers in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traders in securities that elect to use a mark-to-market method of accounting for securities holdings;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pension plans (except as discussed below);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trusts (except as discussed below);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financial institutions;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entities taxed as partnerships or partners therein;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persons holding shares of common stock or preferred stock as part of a straddle, hedge, conversion transaction, synthetic security or other integrated investment;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persons who received our stock as compensation;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persons who hold our stock on behalf of another person as a nominee;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persons who are controlled foreign corporations;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U.S. expatriates,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U.S. stockholders (as defined below) who have a functional currency other than the U.S. dollar. </w:t>
            </w:r>
          </w:p>
        </w:tc>
      </w:tr>
    </w:tbl>
    <w:p>
      <w:pPr>
        <w:pStyle w:val="TextBody"/>
        <w:spacing w:before="240" w:after="0"/>
        <w:rPr>
          <w:rFonts w:ascii="Times New Roman" w:hAnsi="Times New Roman"/>
          <w:sz w:val="20"/>
        </w:rPr>
      </w:pPr>
      <w:r>
        <w:rPr>
          <w:rFonts w:ascii="Times New Roman" w:hAnsi="Times New Roman"/>
          <w:sz w:val="20"/>
        </w:rPr>
        <w:t xml:space="preserve">Finally, this summary does not address other U.S. federal tax consequences (such as estate, gift and Medicare contribution tax consequences), the alternative minimum tax or any state, local or foreign tax consequences. </w:t>
      </w:r>
    </w:p>
    <w:p>
      <w:pPr>
        <w:pStyle w:val="TextBody"/>
        <w:spacing w:before="240" w:after="0"/>
        <w:rPr>
          <w:rFonts w:ascii="Times New Roman" w:hAnsi="Times New Roman"/>
          <w:sz w:val="20"/>
        </w:rPr>
      </w:pPr>
      <w:r>
        <w:rPr>
          <w:rFonts w:ascii="Times New Roman" w:hAnsi="Times New Roman"/>
          <w:sz w:val="20"/>
        </w:rPr>
        <w:t xml:space="preserve">The discussion below is based upon the provisions of the Code, and U.S. Treasury Regulations, rulings and judicial decisions as of the date hereof. Those authorities may be changed, perhaps retroactively, so as to result in U.S. federal income tax consequences different from those discussed below. This summary does not address all aspects of U.S. federal income taxes and does not deal with all tax consequences that may be relevant to stockholders in light of their personal circumstances. </w:t>
      </w:r>
    </w:p>
    <w:p>
      <w:pPr>
        <w:pStyle w:val="TextBody"/>
        <w:spacing w:before="240" w:after="0"/>
        <w:rPr>
          <w:rFonts w:ascii="Times New Roman" w:hAnsi="Times New Roman"/>
          <w:sz w:val="20"/>
        </w:rPr>
      </w:pPr>
      <w:r>
        <w:rPr>
          <w:rFonts w:ascii="Times New Roman" w:hAnsi="Times New Roman"/>
          <w:sz w:val="20"/>
        </w:rPr>
        <w:t xml:space="preserve">If we issue preferred stock that may be convertible into or exercisable or exchangeable for securities or other property or preferred stock with other terms that may have different U.S. federal income tax consequences than those described in this summary, the U.S. federal income tax consequences of such preferred stock will be described in the relevant prospectus supplement. This summary does not discuss the consequences of an investment in our subscription rights, debt securities or warrants representing rights to purchase shares of our preferred stock, common stock or debt securities or as units in combination with such securities. The U.S. federal income tax consequences of such an investment will be discussed in the relevant prospectus supplement. </w:t>
      </w:r>
    </w:p>
    <w:p>
      <w:pPr>
        <w:pStyle w:val="TextBody"/>
        <w:spacing w:before="240" w:after="0"/>
        <w:rPr>
          <w:rFonts w:ascii="Times New Roman" w:hAnsi="Times New Roman"/>
          <w:sz w:val="20"/>
        </w:rPr>
      </w:pPr>
      <w:r>
        <w:rPr>
          <w:rFonts w:ascii="Times New Roman" w:hAnsi="Times New Roman"/>
          <w:sz w:val="20"/>
        </w:rPr>
        <w:t xml:space="preserve">For purposes of this discussion under the heading Material U.S. Federal Income Tax Considerations, a U.S. stockholder is a beneficial owner of shares of our common stock or preferred stock that is, for U.S. federal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income tax purposes, an individual who is a citizen or resident of the United States or a domestic corporation or otherwise subject to U.S. federal income tax on a net income basis in respect of our stock. </w:t>
      </w:r>
    </w:p>
    <w:p>
      <w:pPr>
        <w:pStyle w:val="TextBody"/>
        <w:spacing w:before="240" w:after="0"/>
        <w:rPr>
          <w:rFonts w:ascii="Times New Roman" w:hAnsi="Times New Roman"/>
          <w:sz w:val="20"/>
        </w:rPr>
      </w:pPr>
      <w:r>
        <w:rPr>
          <w:rFonts w:ascii="Times New Roman" w:hAnsi="Times New Roman"/>
          <w:sz w:val="20"/>
        </w:rPr>
        <w:t xml:space="preserve">A Non-U.S. stockholder is a beneficial owner of shares of our common stock or preferred stock that is not a U.S. stockholder and not an entity taxed as a partnership. </w:t>
      </w:r>
    </w:p>
    <w:p>
      <w:pPr>
        <w:pStyle w:val="TextBody"/>
        <w:spacing w:before="360" w:after="0"/>
        <w:rPr>
          <w:rFonts w:ascii="Times New Roman" w:hAnsi="Times New Roman"/>
          <w:b/>
          <w:sz w:val="20"/>
        </w:rPr>
      </w:pPr>
      <w:r>
        <w:rPr>
          <w:rFonts w:ascii="Times New Roman" w:hAnsi="Times New Roman"/>
          <w:b/>
          <w:sz w:val="20"/>
        </w:rPr>
        <w:t xml:space="preserve">Regulated Investment Company Classification </w:t>
      </w:r>
    </w:p>
    <w:p>
      <w:pPr>
        <w:pStyle w:val="TextBody"/>
        <w:spacing w:before="120" w:after="0"/>
        <w:rPr>
          <w:rFonts w:ascii="Times New Roman" w:hAnsi="Times New Roman"/>
          <w:sz w:val="20"/>
        </w:rPr>
      </w:pPr>
      <w:r>
        <w:rPr>
          <w:rFonts w:ascii="Times New Roman" w:hAnsi="Times New Roman"/>
          <w:sz w:val="20"/>
        </w:rPr>
        <w:t xml:space="preserve">As a BDC, we have elected to be treated as a RIC for U.S. federal income tax purposes. Our status as a RIC enables us to deduct qualifying distributions to our stockholders, so that we will be subject to corporate-level U.S. federal income taxation only in respect of income and gains that we retain and do not distribute. </w:t>
      </w:r>
    </w:p>
    <w:p>
      <w:pPr>
        <w:pStyle w:val="TextBody"/>
        <w:spacing w:before="240" w:after="0"/>
        <w:rPr>
          <w:rFonts w:ascii="Times New Roman" w:hAnsi="Times New Roman"/>
          <w:sz w:val="20"/>
        </w:rPr>
      </w:pPr>
      <w:r>
        <w:rPr>
          <w:rFonts w:ascii="Times New Roman" w:hAnsi="Times New Roman"/>
          <w:sz w:val="20"/>
        </w:rPr>
        <w:t xml:space="preserve">To maintain our status as a RIC, we must, among other things: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maintain our election under the 1940 Act to be treated as a BDC;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derive in each taxable year at least 90% of our gross income from dividends, interest, gains from the sale or other disposition of stock or securities and other specified categories of investment income;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maintain diversified holdings so that, subject to certain exceptions and cure periods, at the end of each quarter of our taxable year: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20"/>
        <w:gridCol w:w="203"/>
        <w:gridCol w:w="102"/>
        <w:gridCol w:w="8880"/>
      </w:tblGrid>
      <w:tr>
        <w:trPr/>
        <w:tc>
          <w:tcPr>
            <w:tcW w:w="102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1016"/>
        <w:gridCol w:w="210"/>
        <w:gridCol w:w="103"/>
        <w:gridCol w:w="8876"/>
      </w:tblGrid>
      <w:tr>
        <w:trPr/>
        <w:tc>
          <w:tcPr>
            <w:tcW w:w="1016" w:type="dxa"/>
            <w:tcBorders/>
            <w:shd w:fill="auto" w:val="clear"/>
            <w:vAlign w:val="center"/>
          </w:tcPr>
          <w:p>
            <w:pPr>
              <w:pStyle w:val="TableContents"/>
              <w:spacing w:before="0" w:after="283"/>
              <w:rPr/>
            </w:pPr>
            <w:r>
              <w:rPr/>
              <w:t> </w:t>
            </w:r>
          </w:p>
        </w:tc>
        <w:tc>
          <w:tcPr>
            <w:tcW w:w="210" w:type="dxa"/>
            <w:tcBorders/>
            <w:shd w:fill="auto" w:val="clear"/>
          </w:tcPr>
          <w:p>
            <w:pPr>
              <w:pStyle w:val="TableContents"/>
              <w:spacing w:before="0" w:after="283"/>
              <w:jc w:val="left"/>
              <w:rPr/>
            </w:pPr>
            <w:r>
              <w:rPr/>
              <w:t></w:t>
            </w:r>
          </w:p>
        </w:tc>
        <w:tc>
          <w:tcPr>
            <w:tcW w:w="103" w:type="dxa"/>
            <w:tcBorders/>
            <w:shd w:fill="auto" w:val="clear"/>
          </w:tcPr>
          <w:p>
            <w:pPr>
              <w:pStyle w:val="TableContents"/>
              <w:spacing w:before="0" w:after="283"/>
              <w:rPr/>
            </w:pPr>
            <w:r>
              <w:rPr/>
              <w:t> </w:t>
            </w:r>
          </w:p>
        </w:tc>
        <w:tc>
          <w:tcPr>
            <w:tcW w:w="887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 </w:t>
            </w:r>
          </w:p>
        </w:tc>
      </w:tr>
    </w:tbl>
    <w:p>
      <w:pPr>
        <w:pStyle w:val="TextBody"/>
        <w:spacing w:before="240" w:after="0"/>
        <w:rPr>
          <w:rFonts w:ascii="Times New Roman" w:hAnsi="Times New Roman"/>
          <w:sz w:val="20"/>
        </w:rPr>
      </w:pPr>
      <w:r>
        <w:rPr>
          <w:rFonts w:ascii="Times New Roman" w:hAnsi="Times New Roman"/>
          <w:sz w:val="20"/>
        </w:rPr>
        <w:t xml:space="preserve">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98% of our net ordinary income, excluding certain ordinary gains and losses, recognized during a calendar year;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98.2% of our capital gain net income, adjusted for certain ordinary gains and losses, recognized for the twelve-month period ending on October 31 of such calendar year;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100% of any income or gains recognized, but not distributed, in preceding years. </w:t>
            </w:r>
          </w:p>
        </w:tc>
      </w:tr>
    </w:tbl>
    <w:p>
      <w:pPr>
        <w:pStyle w:val="TextBody"/>
        <w:spacing w:before="240" w:after="0"/>
        <w:rPr>
          <w:rFonts w:ascii="Times New Roman" w:hAnsi="Times New Roman"/>
          <w:sz w:val="20"/>
        </w:rPr>
      </w:pPr>
      <w:r>
        <w:rPr>
          <w:rFonts w:ascii="Times New Roman" w:hAnsi="Times New Roman"/>
          <w:sz w:val="20"/>
        </w:rPr>
        <w:t xml:space="preserve">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We generally expect to distribute substantially all of our earnings on a quarterly basis, but will reinvest dividends on behalf of those investors that do not elect to receive their dividends in cash. See Price Range of Common Stock and Distributions and Dividend Reinvestment Plan for a description of our dividend policy and obligations. One or more of the considerations described below, however, could result in the deferral of dividend distributions until the end of the fiscal year: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may make investments that are subject to tax rules that require us to include amounts in our income before we receive cash corresponding to that income or that defer or limit our ability to claim the benefit of deductions or losses. For example, if we hold securities issued with original issue discount, that original issue discount may be accrued in income before we receive any corresponding cash payments.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cases where our taxable income exceeds our available cash flow, we will need to fund distributions with the proceeds of sale of securities or with borrowed money, and may raise funds for this purpose opportunistically over the course of the year. </w:t>
            </w:r>
          </w:p>
        </w:tc>
      </w:tr>
    </w:tbl>
    <w:p>
      <w:pPr>
        <w:pStyle w:val="TextBody"/>
        <w:spacing w:before="240" w:after="0"/>
        <w:rPr>
          <w:rFonts w:ascii="Times New Roman" w:hAnsi="Times New Roman"/>
          <w:sz w:val="20"/>
        </w:rPr>
      </w:pPr>
      <w:r>
        <w:rPr>
          <w:rFonts w:ascii="Times New Roman" w:hAnsi="Times New Roman"/>
          <w:sz w:val="20"/>
        </w:rPr>
        <w:t xml:space="preserve">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 </w:t>
      </w:r>
    </w:p>
    <w:p>
      <w:pPr>
        <w:pStyle w:val="TextBody"/>
        <w:spacing w:before="240" w:after="0"/>
        <w:rPr>
          <w:rFonts w:ascii="Times New Roman" w:hAnsi="Times New Roman"/>
          <w:sz w:val="20"/>
        </w:rPr>
      </w:pPr>
      <w:r>
        <w:rPr>
          <w:rFonts w:ascii="Times New Roman" w:hAnsi="Times New Roman"/>
          <w:sz w:val="20"/>
        </w:rPr>
        <w:t xml:space="preserve">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of our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years. </w:t>
      </w:r>
    </w:p>
    <w:p>
      <w:pPr>
        <w:pStyle w:val="TextBody"/>
        <w:spacing w:before="240" w:after="0"/>
        <w:rPr>
          <w:rFonts w:ascii="Times New Roman" w:hAnsi="Times New Roman"/>
          <w:sz w:val="20"/>
        </w:rPr>
      </w:pPr>
      <w:r>
        <w:rPr>
          <w:rFonts w:ascii="Times New Roman" w:hAnsi="Times New Roman"/>
          <w:sz w:val="20"/>
        </w:rPr>
        <w:t xml:space="preserve">In the event we invest in foreign securities, we may be subject to withholding and other foreign taxes with respect to those securities. We do not expect to satisfy the conditions necessary to pass through to our stockholders their share of the foreign taxes paid by us. </w:t>
      </w:r>
    </w:p>
    <w:p>
      <w:pPr>
        <w:pStyle w:val="TextBody"/>
        <w:spacing w:before="360" w:after="0"/>
        <w:rPr>
          <w:rFonts w:ascii="Times New Roman" w:hAnsi="Times New Roman"/>
          <w:b/>
          <w:i/>
          <w:sz w:val="20"/>
        </w:rPr>
      </w:pPr>
      <w:r>
        <w:rPr>
          <w:rFonts w:ascii="Times New Roman" w:hAnsi="Times New Roman"/>
          <w:b/>
          <w:i/>
          <w:sz w:val="20"/>
        </w:rPr>
        <w:t xml:space="preserve">Currency Fluctuations </w:t>
      </w:r>
    </w:p>
    <w:p>
      <w:pPr>
        <w:pStyle w:val="TextBody"/>
        <w:spacing w:before="120" w:after="0"/>
        <w:rPr>
          <w:rFonts w:ascii="Times New Roman" w:hAnsi="Times New Roman"/>
          <w:sz w:val="20"/>
        </w:rPr>
      </w:pPr>
      <w:r>
        <w:rPr>
          <w:rFonts w:ascii="Times New Roman" w:hAnsi="Times New Roman"/>
          <w:sz w:val="20"/>
        </w:rPr>
        <w:t xml:space="preserve">Under Section 988 of the Code, gains or losses attributable to fluctuations in exchange rates between the time we accrue income or receivables or expenses or other liabilities denominated in a foreign currency and the time we actually collect such income or receivables or pay such liabilities are generally treated as ordinary income or loss. Similarly, gains or losses on foreign currency, foreign currency forward contracts, certain foreign currency options or futures contracts and the disposition of debt securities denominated in foreign currency, to the extent attributable to fluctuations in exchange rates between the acquisition and disposition dates, are also treated as ordinary income or loss. </w:t>
      </w:r>
    </w:p>
    <w:p>
      <w:pPr>
        <w:pStyle w:val="TextBody"/>
        <w:spacing w:before="360" w:after="0"/>
        <w:rPr>
          <w:rFonts w:ascii="Times New Roman" w:hAnsi="Times New Roman"/>
          <w:b/>
          <w:sz w:val="20"/>
        </w:rPr>
      </w:pPr>
      <w:r>
        <w:rPr>
          <w:rFonts w:ascii="Times New Roman" w:hAnsi="Times New Roman"/>
          <w:b/>
          <w:sz w:val="20"/>
        </w:rPr>
        <w:t xml:space="preserve">Taxation of U.S. Stockholders </w:t>
      </w:r>
    </w:p>
    <w:p>
      <w:pPr>
        <w:pStyle w:val="TextBody"/>
        <w:spacing w:before="120" w:after="0"/>
        <w:rPr>
          <w:rFonts w:ascii="Times New Roman" w:hAnsi="Times New Roman"/>
          <w:sz w:val="20"/>
        </w:rPr>
      </w:pPr>
      <w:r>
        <w:rPr>
          <w:rFonts w:ascii="Times New Roman" w:hAnsi="Times New Roman"/>
          <w:sz w:val="20"/>
        </w:rPr>
        <w:t xml:space="preserve">Distributions from our investment company taxable income (consisting generally of net ordinary income, net short-term capital gain, and net gains from certain foreign currency transactions) generally will be taxable to U.S. stockholders as ordinary income to the extent made out of our current or accumulated earnings and profits. To the extent that such distributions paid by us to non-corporate U.S. stockholders (including individuals) are attributable to dividends from U.S. corporations and certain qualified foreign corporations, such distributions (qualified dividend income) may be eligible for a reduced maximum U.S. federal income tax rate. In this regard, it is anticipated that our distributions generally will not be attributable to dividends received by us and, therefore, generally will not qualify for the reduced rates that may be applicable to qualified dividend income. Distributions generally will not be eligible for the dividends received deduction allowed to corporate stockholders. Distributions derived from our net capital gains (which generally is the excess of our net long-term capital gain over net short-term capital loss) which we have reported as capital gain dividends will be taxable to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U.S. stockholders as long-term capital gain regardless of how long particular U.S. stockholders have held their shares. Distributions in excess of our current and accumulated earnings and profits first will reduce a U.S. stockholders adjusted tax basis in such U.S. stockholders common stock or preferred stock and, after the adjusted tax basis is reduced to zero, will constitute capital gains to such U.S. stockholder. </w:t>
      </w:r>
    </w:p>
    <w:p>
      <w:pPr>
        <w:pStyle w:val="TextBody"/>
        <w:spacing w:before="240" w:after="0"/>
        <w:rPr>
          <w:rFonts w:ascii="Times New Roman" w:hAnsi="Times New Roman"/>
          <w:sz w:val="20"/>
        </w:rPr>
      </w:pPr>
      <w:r>
        <w:rPr>
          <w:rFonts w:ascii="Times New Roman" w:hAnsi="Times New Roman"/>
          <w:sz w:val="20"/>
        </w:rPr>
        <w:t xml:space="preserve">Any dividends declared by us in October, November, or December of any calendar year, payable to stockholders of record on a specified date in such a month, which are actually paid during January of the following calendar year, will be treated as if paid by us and received by such stockholders during the quarter ended December 31 of the previous calendar year. In addition, we may elect to relate any undistributed investment company taxable income or net capital gains eligible for distribution as a dividend back to our immediately prior taxable year if we: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declare such dividend prior to the earlier of the 15th day of the ninth month following the close of that taxable year, or any applicable extended due date of our U.S. federal corporate income tax return for such prior taxable year;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distribute such amount in the 12-month period following the close of such prior taxable year;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make an election in our U.S. federal corporate income tax return for the taxable year in which such undistributed investment company taxable income or net capital gains were recognized. </w:t>
            </w:r>
          </w:p>
        </w:tc>
      </w:tr>
    </w:tbl>
    <w:p>
      <w:pPr>
        <w:pStyle w:val="TextBody"/>
        <w:spacing w:before="240" w:after="0"/>
        <w:rPr>
          <w:rFonts w:ascii="Times New Roman" w:hAnsi="Times New Roman"/>
          <w:sz w:val="20"/>
        </w:rPr>
      </w:pPr>
      <w:r>
        <w:rPr>
          <w:rFonts w:ascii="Times New Roman" w:hAnsi="Times New Roman"/>
          <w:sz w:val="20"/>
        </w:rPr>
        <w:t xml:space="preserve">Any such election will not alter the general rule that a U.S. stockholder will be treated as receiving a dividend in the taxable year in which the dividend is distributed, subject to the October, November, or December dividend declaration rule discussed immediately above. </w:t>
      </w:r>
    </w:p>
    <w:p>
      <w:pPr>
        <w:pStyle w:val="TextBody"/>
        <w:spacing w:before="240" w:after="0"/>
        <w:rPr>
          <w:rFonts w:ascii="Times New Roman" w:hAnsi="Times New Roman"/>
          <w:sz w:val="20"/>
        </w:rPr>
      </w:pPr>
      <w:r>
        <w:rPr>
          <w:rFonts w:ascii="Times New Roman" w:hAnsi="Times New Roman"/>
          <w:sz w:val="20"/>
        </w:rPr>
        <w:t xml:space="preserve">We have adopted a dividend reinvestment plan that will allow stockholders to elect to receive dividends in the form of additional shares instead of in cash. If a U.S. stockholder reinvests dividends in additional shares, such U.S. stockholder will be treated as if it had received a distribution in the amount of cash that it would have received if it had not made the election. Any such additional shares will have a tax basis equal to the amount of the distribution. </w:t>
      </w:r>
    </w:p>
    <w:p>
      <w:pPr>
        <w:pStyle w:val="TextBody"/>
        <w:spacing w:before="240" w:after="0"/>
        <w:rPr>
          <w:rFonts w:ascii="Times New Roman" w:hAnsi="Times New Roman"/>
          <w:sz w:val="20"/>
        </w:rPr>
      </w:pPr>
      <w:r>
        <w:rPr>
          <w:rFonts w:ascii="Times New Roman" w:hAnsi="Times New Roman"/>
          <w:sz w:val="20"/>
        </w:rPr>
        <w:t xml:space="preserve">Although we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distributed to the U.S. stockholder, and the U.S. stockholder will be entitled to claim a credit equal to his, her or its allocable share of the tax paid on the deemed distribution by us. The amount of the deemed distribution net of such tax will be added to the U.S. stockholders tax basis for their common stock or preferred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gains.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to claim a refund for the taxes we paid. To utilize the deemed distribution approach, we must provide written notice to our stockholders prior to the expiration of 60 days after the close of the relevant taxable year. We cannot treat any of our investment company taxable income as a deemed distribution. </w:t>
      </w:r>
    </w:p>
    <w:p>
      <w:pPr>
        <w:pStyle w:val="TextBody"/>
        <w:spacing w:before="240" w:after="0"/>
        <w:rPr>
          <w:rFonts w:ascii="Times New Roman" w:hAnsi="Times New Roman"/>
          <w:sz w:val="20"/>
        </w:rPr>
      </w:pPr>
      <w:r>
        <w:rPr>
          <w:rFonts w:ascii="Times New Roman" w:hAnsi="Times New Roman"/>
          <w:sz w:val="20"/>
        </w:rPr>
        <w:t xml:space="preserve">If an investor purchases shares of our common stock or preferred stock shortly before the record date of a distribution, the price of the shares will include the value of the distribution and the investor will be subject to tax on the distribution even though economically it may represent a return of his, her or its investment. </w:t>
      </w:r>
    </w:p>
    <w:p>
      <w:pPr>
        <w:pStyle w:val="TextBody"/>
        <w:spacing w:before="240" w:after="0"/>
        <w:rPr>
          <w:rFonts w:ascii="Times New Roman" w:hAnsi="Times New Roman"/>
          <w:sz w:val="20"/>
        </w:rPr>
      </w:pPr>
      <w:r>
        <w:rPr>
          <w:rFonts w:ascii="Times New Roman" w:hAnsi="Times New Roman"/>
          <w:sz w:val="20"/>
        </w:rPr>
        <w:t xml:space="preserve">If a U.S. stockholder sells or otherwise disposes of shares of our common stock or preferred stock, the U.S. stockholder will recognize gain or loss equal to the difference between its adjusted tax basis in the shares sold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otherwise disposed of and the amount received. Any such gain or loss will be treated as a capital gain or loss and will be long-term capital gain or loss if the shares have been held for more than one year. Any loss recognized on a sale or exchange of shares that were held for six months or less will be treated as long-term, rather than short-term, capital loss to the extent of any capital gain distributions previously received (or deemed to be received) thereon. In addition, all or a portion of any loss recognized upon a disposition of shares of our common stock or preferred stock may be disallowed if other shares of our common stock or preferred stock are purchased (whether through reinvestment of distributions or otherwise) within 30 days before or after the disposition. </w:t>
      </w:r>
    </w:p>
    <w:p>
      <w:pPr>
        <w:pStyle w:val="TextBody"/>
        <w:spacing w:before="240" w:after="0"/>
        <w:rPr>
          <w:rFonts w:ascii="Times New Roman" w:hAnsi="Times New Roman"/>
          <w:sz w:val="20"/>
        </w:rPr>
      </w:pPr>
      <w:r>
        <w:rPr>
          <w:rFonts w:ascii="Times New Roman" w:hAnsi="Times New Roman"/>
          <w:sz w:val="20"/>
        </w:rPr>
        <w:t xml:space="preserve">From time to time, we may offer to repurchase our outstanding shares. Stockholders who tender all shares held, or considered to be held, by them will be treated as having sold their shares and generally will realize a capital gain or loss. If a stockholder tenders fewer than all of its shares or fewer than all shares tendered are repurchased, such stockholder may be treated as having received a taxable dividend upon the tender of its shares. In such a case, there is a risk that non-tendering stockholders, and stockholders who tender some but not all of their shares or fewer than all of whose shares are repurchased, in each case whose percentage interests in us increase as a result of such tender, will be treated as having received a taxable distribution from us. The extent of such risk will vary depending upon the particular circumstances of the tender offer, and in particular whether such offer is a single and isolated event or is part of a plan for periodically redeeming shares. </w:t>
      </w:r>
    </w:p>
    <w:p>
      <w:pPr>
        <w:pStyle w:val="TextBody"/>
        <w:spacing w:before="240" w:after="0"/>
        <w:rPr>
          <w:rFonts w:ascii="Times New Roman" w:hAnsi="Times New Roman"/>
          <w:sz w:val="20"/>
        </w:rPr>
      </w:pPr>
      <w:r>
        <w:rPr>
          <w:rFonts w:ascii="Times New Roman" w:hAnsi="Times New Roman"/>
          <w:sz w:val="20"/>
        </w:rPr>
        <w:t xml:space="preserve">We will send to each of our U.S. stockholders, as promptly as possible after the end of each calendar year, a notice detailing, on a per share and per distribution basis, the amounts of such distributions includible in such U.S. stockholders taxable income for such year as ordinary dividends and capital gain dividends. In addition, the federal tax status of each years distributions generally will be reported to the IRS. Distributions may also be subject to additional state, local and foreign taxes depending on a U.S. stockholders particular situation. </w:t>
      </w:r>
    </w:p>
    <w:p>
      <w:pPr>
        <w:pStyle w:val="TextBody"/>
        <w:spacing w:before="240" w:after="0"/>
        <w:rPr>
          <w:rFonts w:ascii="Times New Roman" w:hAnsi="Times New Roman"/>
          <w:sz w:val="20"/>
        </w:rPr>
      </w:pPr>
      <w:r>
        <w:rPr>
          <w:rFonts w:ascii="Times New Roman" w:hAnsi="Times New Roman"/>
          <w:sz w:val="20"/>
        </w:rPr>
        <w:t xml:space="preserve">Under applicable U.S. Treasury regulations, if a U.S. stockholder recognizes a loss with respect to our common stock or preferred stock of $2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exempted from this reporting requirement, but under current guidance, U.S. stockholders of a RIC are not exempted. Future guidance may extend the current exception from this reporting requirement to U.S. stockholders of most or all RICs. The fact that a loss is reportable under these regulations does not affect the legal determination of whether the taxpayers treatment of the loss is proper. Significant monetary penalties apply to a failure to comply with this reporting requirement. States may also have a similar reporting requirement. U.S. stockholders should consult their own tax advisers to determine the applicability of these U.S. Treasury regulations in light of their individual circumstances. </w:t>
      </w:r>
    </w:p>
    <w:p>
      <w:pPr>
        <w:pStyle w:val="TextBody"/>
        <w:spacing w:before="240" w:after="0"/>
        <w:rPr>
          <w:rFonts w:ascii="Times New Roman" w:hAnsi="Times New Roman"/>
          <w:sz w:val="20"/>
        </w:rPr>
      </w:pPr>
      <w:r>
        <w:rPr>
          <w:rFonts w:ascii="Times New Roman" w:hAnsi="Times New Roman"/>
          <w:sz w:val="20"/>
        </w:rPr>
        <w:t xml:space="preserve">We will be required in certain cases to backup withhold and remit to the U.S. Treasury a portion of qualified dividend income, ordinary income dividends and capital gain dividends, and the proceeds of redemption of shares, paid to any stockholder (a) who has provided either an incorrect tax identification number or no number at all, (b) whom the IRS subjects to backup withholding for failure to report the receipt of interest or dividend income properly or (c) who has failed to certify to us that it is not subject to backup withholding or that it is an exempt recipient. Backup withholding is not an additional tax and any amounts withheld may be refunded or credited against a stockholders federal income tax liability, provided the appropriate information is timely furnished to the IRS. </w:t>
      </w:r>
    </w:p>
    <w:p>
      <w:pPr>
        <w:pStyle w:val="TextBody"/>
        <w:spacing w:before="360" w:after="0"/>
        <w:rPr>
          <w:rFonts w:ascii="Times New Roman" w:hAnsi="Times New Roman"/>
          <w:b/>
          <w:i/>
          <w:sz w:val="20"/>
        </w:rPr>
      </w:pPr>
      <w:r>
        <w:rPr>
          <w:rFonts w:ascii="Times New Roman" w:hAnsi="Times New Roman"/>
          <w:b/>
          <w:i/>
          <w:sz w:val="20"/>
        </w:rPr>
        <w:t xml:space="preserve">Potential Limitation with Respect to Certain U.S. Stockholders on Deductions for Certain Fees and Expenses </w:t>
      </w:r>
    </w:p>
    <w:p>
      <w:pPr>
        <w:pStyle w:val="TextBody"/>
        <w:spacing w:before="120" w:after="0"/>
        <w:rPr>
          <w:rFonts w:ascii="Times New Roman" w:hAnsi="Times New Roman"/>
          <w:sz w:val="20"/>
        </w:rPr>
      </w:pPr>
      <w:r>
        <w:rPr>
          <w:rFonts w:ascii="Times New Roman" w:hAnsi="Times New Roman"/>
          <w:sz w:val="20"/>
        </w:rPr>
        <w:t xml:space="preserve">We expect to be treated as a publicly offered regulated investment company (within the meaning of Section 67 of the Code) as a result of shares of our common stock being treated as regularly traded on an established securities market. If we are not treated as such for any calendar year, then, for purposes of computing the taxable income of U.S. stockholders that are individuals, trusts or estates, (i) our earnings will be computed without taking into account such U.S. stockholders allocable shares of the Management and Incentive Fees paid to our investment adviser and certain of our other expenses, (ii) each such U.S. stockholder will be treated as having received or accrued a dividend from us in the amount of such U.S. stockholders allocable share of these fees and expenses for the calendar year, (iii) each such U.S. stockholder will be treated as having paid or incurred such U.S. stockholders allocable share of these fees and expenses for the calendar year and (iv) each such U.S. stockholders allocable share of these fees and expenses will be treated as miscellaneous itemized deductions by such U.S. stockholder. In addition, we would be required to report the relevant income and expenses, including the Management Fee, on Form 1099-DIV. Miscellaneous itemized deductions generally are not deductible by individuals, trusts or estates for taxable years beginning after December 31, 2017 and before January 1, 2026.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Taxation of Tax-Exempt U.S. Stockholders </w:t>
      </w:r>
    </w:p>
    <w:p>
      <w:pPr>
        <w:pStyle w:val="TextBody"/>
        <w:spacing w:before="120" w:after="0"/>
        <w:rPr>
          <w:rFonts w:ascii="Times New Roman" w:hAnsi="Times New Roman"/>
          <w:sz w:val="20"/>
        </w:rPr>
      </w:pPr>
      <w:r>
        <w:rPr>
          <w:rFonts w:ascii="Times New Roman" w:hAnsi="Times New Roman"/>
          <w:sz w:val="20"/>
        </w:rPr>
        <w:t xml:space="preserve">A U.S. stockholder that is a tax-exempt organization for U.S. federal income tax purposes and therefore generally exempt from U.S. federal income taxation may nevertheless be subject to taxation to the extent that it is considered to derive unrelated business taxable income, or UBTI. The direct conduct by a tax-exempt U.S. stockholder of the activities that we propose to conduct could give rise to UBTI. However, a RIC is a corporation for U.S. federal income tax purposes and its business activities generally will not be attributed to its stockholders for purposes of determining their treatment under current law. Therefore, a tax-exempt U.S. stockholder will not be subject to U.S. taxation solely as a result of such stockholders ownership of our shares and receipt of dividends that we pay. In addition, under current law, if we incur indebtedness, such indebtedness will not be attributed to portfolio investors in our stock. Therefore, a tax-exempt U.S. stockholder will not be treated as earning income from debt-financed property and dividends we pay will not be treated as unrelated debt-financed income solely as a result of indebtedness that we incur. </w:t>
      </w:r>
    </w:p>
    <w:p>
      <w:pPr>
        <w:pStyle w:val="TextBody"/>
        <w:spacing w:before="360" w:after="0"/>
        <w:rPr>
          <w:rFonts w:ascii="Times New Roman" w:hAnsi="Times New Roman"/>
          <w:b/>
          <w:sz w:val="20"/>
        </w:rPr>
      </w:pPr>
      <w:r>
        <w:rPr>
          <w:rFonts w:ascii="Times New Roman" w:hAnsi="Times New Roman"/>
          <w:b/>
          <w:sz w:val="20"/>
        </w:rPr>
        <w:t xml:space="preserve">Taxation of Non-U.S. Stockholders </w:t>
      </w:r>
    </w:p>
    <w:p>
      <w:pPr>
        <w:pStyle w:val="TextBody"/>
        <w:spacing w:before="120" w:after="0"/>
        <w:rPr>
          <w:rFonts w:ascii="Times New Roman" w:hAnsi="Times New Roman"/>
          <w:sz w:val="20"/>
        </w:rPr>
      </w:pPr>
      <w:r>
        <w:rPr>
          <w:rFonts w:ascii="Times New Roman" w:hAnsi="Times New Roman"/>
          <w:sz w:val="20"/>
        </w:rPr>
        <w:t xml:space="preserve">Whether an investment in the shares of our common stock or preferred stock is appropriate for a Non-U.S. stockholder will depend upon that persons particular circumstances. An investment in the shares of our common stock or preferred stock by a Non-U.S. stockholder may have adverse tax consequences as compared to a direct investment in the assets in which we will invest. Non-U.S. stockholders should consult their tax advisors before investing in our common stock or preferred stock. </w:t>
      </w:r>
    </w:p>
    <w:p>
      <w:pPr>
        <w:pStyle w:val="TextBody"/>
        <w:spacing w:before="240" w:after="0"/>
        <w:rPr>
          <w:rFonts w:ascii="Times New Roman" w:hAnsi="Times New Roman"/>
          <w:sz w:val="20"/>
        </w:rPr>
      </w:pPr>
      <w:r>
        <w:rPr>
          <w:rFonts w:ascii="Times New Roman" w:hAnsi="Times New Roman"/>
          <w:sz w:val="20"/>
        </w:rPr>
        <w:t xml:space="preserve">Distributions of our investment company taxable income that we pay to a Non-U.S. stockholder will be subject to U.S. withholding tax at a 30% rate to the extent of our current or accumulated earnings and profits unless (i) such dividends qualify for the pass-through rules described below, and such stockholder could have received the underlying income free of tax; (ii) such stockholder qualifies for, and complies with the procedures for claiming, an exemption or reduced rate under an applicable income tax treaty; or (iii) such stockholder qualifies, and complies with the procedures for claiming, an exemption by reason of its status as a foreign government-related entity. </w:t>
      </w:r>
    </w:p>
    <w:p>
      <w:pPr>
        <w:pStyle w:val="TextBody"/>
        <w:spacing w:before="240" w:after="0"/>
        <w:rPr>
          <w:rFonts w:ascii="Times New Roman" w:hAnsi="Times New Roman"/>
          <w:sz w:val="20"/>
        </w:rPr>
      </w:pPr>
      <w:r>
        <w:rPr>
          <w:rFonts w:ascii="Times New Roman" w:hAnsi="Times New Roman"/>
          <w:sz w:val="20"/>
        </w:rPr>
        <w:t xml:space="preserve">Non-U.S. stockholders generally are not subject to U.S. federal income tax on capital gains realized on the sale of our shares or on actual or deemed distributions of our net capital gains. If we distribute our net capital gains in the form of deemed rather than actual distributions, a Non-U.S. stockholder will be entitled to a U.S. federal income tax credit or tax refund equal to the stockholders allocable share of the tax we pay on the capital gains deemed to have been distributed. To obtain the refund, the Non-U.S. stockholder must obtain a U.S. taxpayer identification number and file a U.S. federal income tax return, even if the Non-U.S. stockholder would not otherwise be required to obtain a U.S. taxpayer identification number or file a U.S. federal income tax return. </w:t>
      </w:r>
    </w:p>
    <w:p>
      <w:pPr>
        <w:pStyle w:val="TextBody"/>
        <w:spacing w:before="240" w:after="0"/>
        <w:rPr>
          <w:rFonts w:ascii="Times New Roman" w:hAnsi="Times New Roman"/>
          <w:sz w:val="20"/>
        </w:rPr>
      </w:pPr>
      <w:r>
        <w:rPr>
          <w:rFonts w:ascii="Times New Roman" w:hAnsi="Times New Roman"/>
          <w:sz w:val="20"/>
        </w:rPr>
        <w:t xml:space="preserve">At the end of 2015, Congress permanently renewed the pass-through rules under which certain dividend distributions by RICs derived from our qualified net interest income (generally, our U.S. source interest income, other than certain contingent interest and interest from obligations of a corporation or partnership in which we are at a least a 10% stockholder, reduced by expenses that are allocable to such income) or paid in connection with our qualified short-term capital gains (generally, the excess of our net short-term capital gain over our net long-term capital loss for such taxable year) qualify for an exemption from U.S. withholding tax. As a result, dividends that we designate as interest-related dividends or short-term capital gain dividends generally will be exempt from U.S. withholding tax if the underlying income is U.S.-source and the Non-U.S. stockholder could have received the underlying income free of tax. To the extent dividends are paid that do not qualify for this exemption (e.g., dividends related to foreign-source income or other income not treated as qualified net interest income or qualified short-term capital gains), some Non-U.S. stockholders may qualify for a reduced rate of U.S. withholding tax under an applicable tax treaty or for an exemption from U.S. withholding tax by reason of their status as a foreign sovereign or under special treaty provisions for certain foreign pension funds. Prospective investors should consult their own advisers regarding their eligibility for a reduced rate or exemption as described above.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To qualify for an exemption or reduced rate of U.S. withholding tax (under a treaty, by reason of an exemption for sovereign investors, or under the rules applicable to interest-related dividends or short-term capital gain dividends), a Non-U.S. stockholder must comply with the U.S. tax certification requirements described below. A Non-U.S. stockholder must deliver to the applicable withholding agent and maintain in effect a valid IRS Form W-8BEN-E or other applicable tax certification establishing its entitlement to the exemption or reduced rate, or otherwise establishing an exemption from backup withholding. </w:t>
      </w:r>
    </w:p>
    <w:p>
      <w:pPr>
        <w:pStyle w:val="TextBody"/>
        <w:spacing w:before="240" w:after="0"/>
        <w:rPr>
          <w:rFonts w:ascii="Times New Roman" w:hAnsi="Times New Roman"/>
          <w:sz w:val="20"/>
        </w:rPr>
      </w:pPr>
      <w:r>
        <w:rPr>
          <w:rFonts w:ascii="Times New Roman" w:hAnsi="Times New Roman"/>
          <w:sz w:val="20"/>
        </w:rPr>
        <w:t xml:space="preserve">We have adopted a dividend reinvestment plan that will allow stockholders to elect to receive dividends in the form of additional shares instead of in cash. If a Non-U.S. stockholder reinvests dividends in additional shares, such Non-U.S. stockholder will be treated as if it had received a distribution in the amount of cash that it would have received if it had not made the election. If the distribution is a distribution of our investment company taxable income and is not designated by us as a short-term capital gain dividend or interest-related dividend, if applicable, the amount distributed (to the extent of our current or accumulated earnings and profits) will be subject to withholding of U.S. federal income tax at a 30% rate (or lower rate provided by an applicable income tax treaty) and only the net after-tax amount will be reinvested in our common stock. The Non-U.S. stockholder will have an adjusted tax basis in the additional shares of our common stock purchased through the dividend reinvestment plan equal to the amount of the reinvested distribution. The additional shares will have a new holding period commencing on the day following the day on which the shares are credited to the Non-U.S. stockholders account. </w:t>
      </w:r>
    </w:p>
    <w:p>
      <w:pPr>
        <w:pStyle w:val="TextBody"/>
        <w:spacing w:before="240" w:after="0"/>
        <w:rPr>
          <w:rFonts w:ascii="Times New Roman" w:hAnsi="Times New Roman"/>
          <w:sz w:val="20"/>
        </w:rPr>
      </w:pPr>
      <w:r>
        <w:rPr>
          <w:rFonts w:ascii="Times New Roman" w:hAnsi="Times New Roman"/>
          <w:sz w:val="20"/>
        </w:rPr>
        <w:t xml:space="preserve">In the case of distributions made by the Company (other than capital gain dividends), additional requirements will apply to Non-U.S. stockholders that are considered for U.S. federal income tax purposes to be a foreign financial institution or non-financial foreign entity, as well as to Non-U.S. stockholders that hold their shares through such an institution or entity. In general, an exemption from U.S. withholding tax will be available only if the foreign financial institution, under an agreement it has entered into with the U.S. government or under certain intergovernmental agreements, collects and provides to the U.S. tax authorities information about its accountholders (including certain investors in such institution) and if the non-financial foreign entity has provided the withholding agent with a certification identifying certain of its direct and indirect U.S. owners. Any U.S. taxes withheld pursuant to the aforementioned requirements from distributions paid to affected Non-U.S. stockholders who are otherwise eligible for an exemption from, or reduction of, U.S. federal withholding taxes on such distributions may only be reclaimed by such Non-U.S. stockholders by timely filing a U.S. tax return with the IRS to claim the benefit of such exemption or reduction. </w:t>
      </w:r>
    </w:p>
    <w:p>
      <w:pPr>
        <w:pStyle w:val="TextBody"/>
        <w:spacing w:before="240" w:after="0"/>
        <w:rPr>
          <w:rFonts w:ascii="Times New Roman" w:hAnsi="Times New Roman"/>
          <w:sz w:val="20"/>
        </w:rPr>
      </w:pPr>
      <w:r>
        <w:rPr>
          <w:rFonts w:ascii="Times New Roman" w:hAnsi="Times New Roman"/>
          <w:sz w:val="20"/>
        </w:rPr>
        <w:t xml:space="preserve">A RIC is a corporation for U.S. federal income tax purposes. Under current law, a Non-U.S. stockholder will not be considered to be engaged in the conduct of a business in the United States solely by reason of its ownership in a RIC. </w:t>
      </w:r>
    </w:p>
    <w:p>
      <w:pPr>
        <w:pStyle w:val="TextBody"/>
        <w:spacing w:before="240" w:after="0"/>
        <w:rPr>
          <w:rFonts w:ascii="Times New Roman" w:hAnsi="Times New Roman"/>
          <w:sz w:val="20"/>
        </w:rPr>
      </w:pPr>
      <w:r>
        <w:rPr>
          <w:rFonts w:ascii="Times New Roman" w:hAnsi="Times New Roman"/>
          <w:sz w:val="20"/>
        </w:rPr>
        <w:t xml:space="preserve">Non-U.S. stockholders should consult their own tax advisors with respect to the U.S. federal income tax and withholding tax, and state, local and foreign tax consequences of an investment in the shares of our common stock or preferred stock. </w:t>
      </w:r>
    </w:p>
    <w:p>
      <w:pPr>
        <w:pStyle w:val="TextBody"/>
        <w:spacing w:before="240" w:after="0"/>
        <w:rPr>
          <w:rFonts w:ascii="Times New Roman" w:hAnsi="Times New Roman"/>
          <w:sz w:val="20"/>
        </w:rPr>
      </w:pPr>
      <w:r>
        <w:rPr>
          <w:rFonts w:ascii="Times New Roman" w:hAnsi="Times New Roman"/>
          <w:sz w:val="20"/>
        </w:rPr>
        <w:t xml:space="preserve">U.S. information reporting requirements will apply and backup withholding will not apply to dividends paid on our shares to a Non-U.S. stockholder, provided the Non-U.S. stockholder provides to the applicable withholding agent a Form W-8BEN-E (or satisfies certain documentary evidence requirements for establishing that it is not a United States person) or otherwise establishes an exemption. Similarly, information reporting requirements (but not backup withholding) will apply to a payment of the proceeds of a sale of our shares effected outside the United States by a foreign office of a broker if the broker (i) is a United States person, (ii) derives 50% or more of its gross income for certain periods from the conduct of a trade or business in the United States, (iii) is a controlled foreign corporation as to the United States, or (iv) is a foreign partnership that, at any time during its taxable year is more than 50% (by income or capital interest) owned by United States persons or is engaged in the conduct of a U.S. trade or business, unless in any such case the broker has documentary evidence in its records that the holder is a Non-U.S. stockholder and certain conditions are met,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such holder otherwise establishes an exemption. Payment by a United States office of a broker of the proceeds of a sale of our shares will be subject to both backup withholding and information reporting unless the Non-U.S. stockholder certifies its status that it is not a United States person under penalties of perjury or otherwise establishes an exemption. Backup withholding is not an additional tax. Any amounts withheld from payments made to a Non-U.S. stockholder may be refunded or credited against such stockholders U.S. federal income tax liability, if any, provided that the required information is timely furnished to the IRS.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7" w:name="rom451583_23"/>
      <w:bookmarkEnd w:id="27"/>
      <w:r>
        <w:rPr>
          <w:rFonts w:ascii="Times New Roman" w:hAnsi="Times New Roman"/>
          <w:b/>
          <w:sz w:val="20"/>
        </w:rPr>
        <w:t xml:space="preserve">DESCRIPTION OF OUR SECURITIES </w:t>
      </w:r>
    </w:p>
    <w:p>
      <w:pPr>
        <w:pStyle w:val="TextBody"/>
        <w:spacing w:before="240" w:after="0"/>
        <w:rPr>
          <w:rFonts w:ascii="Times New Roman" w:hAnsi="Times New Roman"/>
          <w:sz w:val="20"/>
        </w:rPr>
      </w:pPr>
      <w:r>
        <w:rPr>
          <w:rFonts w:ascii="Times New Roman" w:hAnsi="Times New Roman"/>
          <w:sz w:val="20"/>
        </w:rPr>
        <w:t xml:space="preserve">This prospectus contains a summary of our common stock, preferred stock, subscription rights, debt securities and warrants. These summaries are not meant to be a complete description of each security. However, this prospectus and the accompanying prospectus supplement will describe the material terms and conditions for each security. </w:t>
      </w:r>
    </w:p>
    <w:p>
      <w:pPr>
        <w:pStyle w:val="TextBody"/>
        <w:spacing w:before="480" w:after="0"/>
        <w:jc w:val="center"/>
        <w:rPr>
          <w:rFonts w:ascii="Times New Roman" w:hAnsi="Times New Roman"/>
          <w:b/>
          <w:sz w:val="20"/>
        </w:rPr>
      </w:pPr>
      <w:bookmarkStart w:id="28" w:name="rom451583_24"/>
      <w:bookmarkEnd w:id="28"/>
      <w:r>
        <w:rPr>
          <w:rFonts w:ascii="Times New Roman" w:hAnsi="Times New Roman"/>
          <w:b/>
          <w:sz w:val="20"/>
        </w:rPr>
        <w:t xml:space="preserve">DESCRIPTION OF OUR CAPITAL STOCK </w:t>
      </w:r>
    </w:p>
    <w:p>
      <w:pPr>
        <w:pStyle w:val="TextBody"/>
        <w:spacing w:before="240" w:after="0"/>
        <w:rPr>
          <w:rFonts w:ascii="Times New Roman" w:hAnsi="Times New Roman"/>
          <w:sz w:val="20"/>
        </w:rPr>
      </w:pPr>
      <w:r>
        <w:rPr>
          <w:rFonts w:ascii="Times New Roman" w:hAnsi="Times New Roman"/>
          <w:sz w:val="20"/>
        </w:rPr>
        <w:t xml:space="preserve">The following description is based on relevant portions of the Delaware General Corporate Law, or the DGCL, and on our certificate of incorporation and bylaws. This summary is not necessarily complete, and we refer you to the DGCL and our certificate of incorporation and bylaws for a more detailed description of the provisions summarized below. </w:t>
      </w:r>
    </w:p>
    <w:p>
      <w:pPr>
        <w:pStyle w:val="TextBody"/>
        <w:spacing w:before="360" w:after="0"/>
        <w:rPr>
          <w:rFonts w:ascii="Times New Roman" w:hAnsi="Times New Roman"/>
          <w:b/>
          <w:sz w:val="20"/>
        </w:rPr>
      </w:pPr>
      <w:r>
        <w:rPr>
          <w:rFonts w:ascii="Times New Roman" w:hAnsi="Times New Roman"/>
          <w:b/>
          <w:sz w:val="20"/>
        </w:rPr>
        <w:t xml:space="preserve">Capital Stock </w:t>
      </w:r>
    </w:p>
    <w:p>
      <w:pPr>
        <w:pStyle w:val="TextBody"/>
        <w:spacing w:before="120" w:after="0"/>
        <w:rPr>
          <w:rFonts w:ascii="Times New Roman" w:hAnsi="Times New Roman"/>
          <w:sz w:val="20"/>
        </w:rPr>
      </w:pPr>
      <w:r>
        <w:rPr>
          <w:rFonts w:ascii="Times New Roman" w:hAnsi="Times New Roman"/>
          <w:sz w:val="20"/>
        </w:rPr>
        <w:t xml:space="preserve">Under the terms of our restated certificate of incorporation, which was adopted on June 15, 2020, our authorized capital stock consists of 400,000,000 shares of common stock, par value $0.01 per share, of which 81,389,287 shares are outstanding as of January 12, 2023, and 100,000,000 shares of preferred stock, par value $0.01 per share, of which no shares are outstanding as of January 12, 2023. </w:t>
      </w:r>
    </w:p>
    <w:p>
      <w:pPr>
        <w:pStyle w:val="TextBody"/>
        <w:spacing w:before="240" w:after="0"/>
        <w:rPr>
          <w:rFonts w:ascii="Times New Roman" w:hAnsi="Times New Roman"/>
          <w:sz w:val="20"/>
        </w:rPr>
      </w:pPr>
      <w:r>
        <w:rPr>
          <w:rFonts w:ascii="Times New Roman" w:hAnsi="Times New Roman"/>
          <w:sz w:val="20"/>
        </w:rPr>
        <w:t xml:space="preserve">Our common stock is listed on the NYSE under the symbol TSLX. There are no outstanding options or warrants to purchase our stock. No stock has been authorized for issuance under any equity compensation plans. Under Delaware law, our stockholders generally are not personally liable for our debts or obligations. </w:t>
      </w:r>
    </w:p>
    <w:p>
      <w:pPr>
        <w:pStyle w:val="TextBody"/>
        <w:spacing w:before="240" w:after="0"/>
        <w:rPr>
          <w:rFonts w:ascii="Times New Roman" w:hAnsi="Times New Roman"/>
          <w:sz w:val="20"/>
        </w:rPr>
      </w:pPr>
      <w:r>
        <w:rPr>
          <w:rFonts w:ascii="Times New Roman" w:hAnsi="Times New Roman"/>
          <w:sz w:val="20"/>
        </w:rPr>
        <w:t xml:space="preserve">The following presents our outstanding classes of securities as of January 12, 2023: </w:t>
      </w:r>
    </w:p>
    <w:p>
      <w:pPr>
        <w:pStyle w:val="TextBody"/>
        <w:spacing w:before="0" w:after="0"/>
        <w:rPr/>
      </w:pPr>
      <w:r>
        <w:rPr/>
        <w:t> </w:t>
      </w:r>
    </w:p>
    <w:tbl>
      <w:tblPr>
        <w:tblW w:w="10525" w:type="dxa"/>
        <w:jc w:val="center"/>
        <w:tblInd w:w="0" w:type="dxa"/>
        <w:tblCellMar>
          <w:top w:w="0" w:type="dxa"/>
          <w:left w:w="0" w:type="dxa"/>
          <w:bottom w:w="0" w:type="dxa"/>
          <w:right w:w="0" w:type="dxa"/>
        </w:tblCellMar>
      </w:tblPr>
      <w:tblGrid>
        <w:gridCol w:w="965"/>
        <w:gridCol w:w="120"/>
        <w:gridCol w:w="97"/>
        <w:gridCol w:w="1978"/>
        <w:gridCol w:w="60"/>
        <w:gridCol w:w="120"/>
        <w:gridCol w:w="380"/>
        <w:gridCol w:w="2790"/>
        <w:gridCol w:w="440"/>
        <w:gridCol w:w="60"/>
        <w:gridCol w:w="178"/>
        <w:gridCol w:w="3277"/>
        <w:gridCol w:w="60"/>
      </w:tblGrid>
      <w:tr>
        <w:trPr/>
        <w:tc>
          <w:tcPr>
            <w:tcW w:w="96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978"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2790"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27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r>
      <w:tr>
        <w:trPr/>
        <w:tc>
          <w:tcPr>
            <w:tcW w:w="965" w:type="dxa"/>
            <w:tcBorders/>
            <w:shd w:fill="auto" w:val="clear"/>
            <w:vAlign w:val="bottom"/>
          </w:tcPr>
          <w:p>
            <w:pPr>
              <w:pStyle w:val="TableContents"/>
              <w:pBdr>
                <w:bottom w:val="single" w:sz="8" w:space="1" w:color="000000"/>
              </w:pBdr>
              <w:spacing w:before="0" w:after="0"/>
              <w:rPr>
                <w:rFonts w:ascii="Times New Roman" w:hAnsi="Times New Roman"/>
                <w:b/>
                <w:sz w:val="16"/>
              </w:rPr>
            </w:pPr>
            <w:r>
              <w:rPr>
                <w:rFonts w:ascii="Times New Roman" w:hAnsi="Times New Roman"/>
                <w:b/>
                <w:sz w:val="16"/>
              </w:rPr>
              <w:t>Title of Class</w:t>
            </w:r>
          </w:p>
        </w:tc>
        <w:tc>
          <w:tcPr>
            <w:tcW w:w="120" w:type="dxa"/>
            <w:tcBorders/>
            <w:shd w:fill="auto" w:val="clear"/>
            <w:vAlign w:val="bottom"/>
          </w:tcPr>
          <w:p>
            <w:pPr>
              <w:pStyle w:val="TableContents"/>
              <w:spacing w:before="0" w:after="283"/>
              <w:rPr/>
            </w:pPr>
            <w:r>
              <w:rPr/>
              <w:t>  </w:t>
            </w:r>
          </w:p>
        </w:tc>
        <w:tc>
          <w:tcPr>
            <w:tcW w:w="207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Amount Authorized</w:t>
            </w:r>
          </w:p>
        </w:tc>
        <w:tc>
          <w:tcPr>
            <w:tcW w:w="60" w:type="dxa"/>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3170"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Amount Held by Us or for Our</w:t>
              <w:br/>
              <w:t>Account</w:t>
            </w:r>
          </w:p>
        </w:tc>
        <w:tc>
          <w:tcPr>
            <w:tcW w:w="44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3455" w:type="dxa"/>
            <w:gridSpan w:val="2"/>
            <w:tcBorders>
              <w:bottom w:val="single" w:sz="8" w:space="0" w:color="000000"/>
            </w:tcBorders>
            <w:shd w:fill="auto" w:val="clear"/>
            <w:tcMar>
              <w:bottom w:w="28" w:type="dxa"/>
            </w:tcMar>
            <w:vAlign w:val="bottom"/>
          </w:tcPr>
          <w:p>
            <w:pPr>
              <w:pStyle w:val="TableContents"/>
              <w:spacing w:before="0" w:after="283"/>
              <w:jc w:val="center"/>
              <w:rPr>
                <w:b/>
              </w:rPr>
            </w:pPr>
            <w:r>
              <w:rPr>
                <w:b/>
              </w:rPr>
              <w:t>Amount Outstanding Exclusive of</w:t>
              <w:br/>
              <w:t>Amount Held by Us or for Our</w:t>
              <w:br/>
              <w:t>Account</w:t>
            </w:r>
          </w:p>
        </w:tc>
        <w:tc>
          <w:tcPr>
            <w:tcW w:w="60" w:type="dxa"/>
            <w:tcBorders/>
            <w:shd w:fill="auto" w:val="clear"/>
            <w:vAlign w:val="bottom"/>
          </w:tcPr>
          <w:p>
            <w:pPr>
              <w:pStyle w:val="TableContents"/>
              <w:spacing w:before="0" w:after="283"/>
              <w:rPr/>
            </w:pPr>
            <w:r>
              <w:rPr/>
              <w:t> </w:t>
            </w:r>
          </w:p>
        </w:tc>
      </w:tr>
      <w:tr>
        <w:trPr/>
        <w:tc>
          <w:tcPr>
            <w:tcW w:w="965" w:type="dxa"/>
            <w:tcBorders/>
            <w:shd w:fill="CCEEFF" w:val="clear"/>
          </w:tcPr>
          <w:p>
            <w:pPr>
              <w:pStyle w:val="TableContents"/>
              <w:spacing w:before="0" w:after="0"/>
              <w:rPr>
                <w:rFonts w:ascii="Times New Roman" w:hAnsi="Times New Roman"/>
                <w:sz w:val="20"/>
              </w:rPr>
            </w:pPr>
            <w:r>
              <w:rPr>
                <w:rFonts w:ascii="Times New Roman" w:hAnsi="Times New Roman"/>
                <w:sz w:val="20"/>
              </w:rPr>
              <w:t>Common Stock</w:t>
            </w:r>
          </w:p>
        </w:tc>
        <w:tc>
          <w:tcPr>
            <w:tcW w:w="120" w:type="dxa"/>
            <w:tcBorders/>
            <w:shd w:fill="CCEEFF" w:val="clear"/>
            <w:vAlign w:val="bottom"/>
          </w:tcPr>
          <w:p>
            <w:pPr>
              <w:pStyle w:val="TableContents"/>
              <w:spacing w:before="0" w:after="283"/>
              <w:rPr/>
            </w:pPr>
            <w:r>
              <w:rPr/>
              <w:t>  </w:t>
            </w:r>
          </w:p>
        </w:tc>
        <w:tc>
          <w:tcPr>
            <w:tcW w:w="97" w:type="dxa"/>
            <w:tcBorders/>
            <w:shd w:fill="CCEEFF" w:val="clear"/>
            <w:vAlign w:val="bottom"/>
          </w:tcPr>
          <w:p>
            <w:pPr>
              <w:pStyle w:val="TableContents"/>
              <w:spacing w:before="0" w:after="283"/>
              <w:rPr/>
            </w:pPr>
            <w:r>
              <w:rPr/>
              <w:t> </w:t>
            </w:r>
          </w:p>
        </w:tc>
        <w:tc>
          <w:tcPr>
            <w:tcW w:w="1978" w:type="dxa"/>
            <w:tcBorders/>
            <w:shd w:fill="CCEEFF" w:val="clear"/>
            <w:vAlign w:val="bottom"/>
          </w:tcPr>
          <w:p>
            <w:pPr>
              <w:pStyle w:val="TableContents"/>
              <w:spacing w:before="0" w:after="283"/>
              <w:jc w:val="right"/>
              <w:rPr/>
            </w:pPr>
            <w:r>
              <w:rPr/>
              <w:t>400,000,000</w:t>
            </w:r>
          </w:p>
        </w:tc>
        <w:tc>
          <w:tcPr>
            <w:tcW w:w="60" w:type="dxa"/>
            <w:tcBorders/>
            <w:shd w:fill="CCEEFF" w:val="clear"/>
            <w:vAlign w:val="bottom"/>
          </w:tcPr>
          <w:p>
            <w:pPr>
              <w:pStyle w:val="TableContents"/>
              <w:spacing w:before="0" w:after="283"/>
              <w:rPr/>
            </w:pPr>
            <w:r>
              <w:rPr/>
              <w:t> </w:t>
            </w:r>
          </w:p>
        </w:tc>
        <w:tc>
          <w:tcPr>
            <w:tcW w:w="120" w:type="dxa"/>
            <w:tcBorders/>
            <w:shd w:fill="CCEEFF" w:val="clear"/>
            <w:vAlign w:val="bottom"/>
          </w:tcPr>
          <w:p>
            <w:pPr>
              <w:pStyle w:val="TableContents"/>
              <w:spacing w:before="0" w:after="283"/>
              <w:rPr/>
            </w:pPr>
            <w:r>
              <w:rPr/>
              <w:t>  </w:t>
            </w:r>
          </w:p>
        </w:tc>
        <w:tc>
          <w:tcPr>
            <w:tcW w:w="380" w:type="dxa"/>
            <w:tcBorders/>
            <w:shd w:fill="CCEEFF" w:val="clear"/>
            <w:vAlign w:val="bottom"/>
          </w:tcPr>
          <w:p>
            <w:pPr>
              <w:pStyle w:val="TableContents"/>
              <w:spacing w:before="0" w:after="283"/>
              <w:rPr/>
            </w:pPr>
            <w:r>
              <w:rPr/>
              <w:t> </w:t>
            </w:r>
          </w:p>
        </w:tc>
        <w:tc>
          <w:tcPr>
            <w:tcW w:w="2790" w:type="dxa"/>
            <w:tcBorders/>
            <w:shd w:fill="CCEEFF" w:val="clear"/>
            <w:vAlign w:val="bottom"/>
          </w:tcPr>
          <w:p>
            <w:pPr>
              <w:pStyle w:val="TableContents"/>
              <w:spacing w:before="0" w:after="283"/>
              <w:jc w:val="right"/>
              <w:rPr/>
            </w:pPr>
            <w:r>
              <w:rPr/>
              <w:t>664,</w:t>
            </w:r>
          </w:p>
        </w:tc>
        <w:tc>
          <w:tcPr>
            <w:tcW w:w="440" w:type="dxa"/>
            <w:tcBorders/>
            <w:shd w:fill="CCEEFF" w:val="clear"/>
            <w:vAlign w:val="bottom"/>
          </w:tcPr>
          <w:p>
            <w:pPr>
              <w:pStyle w:val="TableContents"/>
              <w:spacing w:before="0" w:after="283"/>
              <w:rPr/>
            </w:pPr>
            <w:r>
              <w:rPr/>
              <w:t>250 </w:t>
            </w:r>
          </w:p>
        </w:tc>
        <w:tc>
          <w:tcPr>
            <w:tcW w:w="60" w:type="dxa"/>
            <w:tcBorders/>
            <w:shd w:fill="CCEEFF" w:val="clear"/>
            <w:vAlign w:val="bottom"/>
          </w:tcPr>
          <w:p>
            <w:pPr>
              <w:pStyle w:val="TableContents"/>
              <w:spacing w:before="0" w:after="283"/>
              <w:rPr/>
            </w:pPr>
            <w:r>
              <w:rPr/>
              <w:t> </w:t>
            </w:r>
          </w:p>
        </w:tc>
        <w:tc>
          <w:tcPr>
            <w:tcW w:w="178" w:type="dxa"/>
            <w:tcBorders/>
            <w:shd w:fill="CCEEFF" w:val="clear"/>
            <w:vAlign w:val="bottom"/>
          </w:tcPr>
          <w:p>
            <w:pPr>
              <w:pStyle w:val="TableContents"/>
              <w:spacing w:before="0" w:after="283"/>
              <w:rPr/>
            </w:pPr>
            <w:r>
              <w:rPr/>
              <w:t> </w:t>
            </w:r>
          </w:p>
        </w:tc>
        <w:tc>
          <w:tcPr>
            <w:tcW w:w="3277" w:type="dxa"/>
            <w:tcBorders/>
            <w:shd w:fill="CCEEFF" w:val="clear"/>
            <w:vAlign w:val="bottom"/>
          </w:tcPr>
          <w:p>
            <w:pPr>
              <w:pStyle w:val="TableContents"/>
              <w:spacing w:before="0" w:after="283"/>
              <w:jc w:val="right"/>
              <w:rPr/>
            </w:pPr>
            <w:r>
              <w:rPr/>
              <w:t>81,389,287</w:t>
            </w:r>
          </w:p>
        </w:tc>
        <w:tc>
          <w:tcPr>
            <w:tcW w:w="60" w:type="dxa"/>
            <w:tcBorders/>
            <w:shd w:fill="CCEEFF" w:val="clear"/>
            <w:vAlign w:val="bottom"/>
          </w:tcPr>
          <w:p>
            <w:pPr>
              <w:pStyle w:val="TableContents"/>
              <w:spacing w:before="0" w:after="283"/>
              <w:rPr/>
            </w:pPr>
            <w:r>
              <w:rPr/>
              <w:t> </w:t>
            </w:r>
          </w:p>
        </w:tc>
      </w:tr>
    </w:tbl>
    <w:p>
      <w:pPr>
        <w:pStyle w:val="TextBody"/>
        <w:spacing w:before="360" w:after="0"/>
        <w:rPr>
          <w:rFonts w:ascii="Times New Roman" w:hAnsi="Times New Roman"/>
          <w:b/>
          <w:i/>
          <w:sz w:val="20"/>
        </w:rPr>
      </w:pPr>
      <w:r>
        <w:rPr>
          <w:rFonts w:ascii="Times New Roman" w:hAnsi="Times New Roman"/>
          <w:b/>
          <w:i/>
          <w:sz w:val="20"/>
        </w:rPr>
        <w:t xml:space="preserve">Common Stock </w:t>
      </w:r>
    </w:p>
    <w:p>
      <w:pPr>
        <w:pStyle w:val="TextBody"/>
        <w:spacing w:before="120" w:after="0"/>
        <w:rPr>
          <w:rFonts w:ascii="Times New Roman" w:hAnsi="Times New Roman"/>
          <w:sz w:val="20"/>
        </w:rPr>
      </w:pPr>
      <w:r>
        <w:rPr>
          <w:rFonts w:ascii="Times New Roman" w:hAnsi="Times New Roman"/>
          <w:sz w:val="20"/>
        </w:rPr>
        <w:t xml:space="preserve">Under the terms of our certificate of incorporation, holders of common stock are entitled to one vote for each share held on all matters submitted to a vote of stockholders, and holders of common stock do not have cumulative voting rights. Accordingly, subject to the rights of any outstanding preferred stock, holders of a majority of the shares of common stock entitled to vote in any election of directors may elect all of the directors standing for election. Holders of common stock are entitled to receive proportionately any dividends declared by our Board, subject to any preferential dividend rights of outstanding preferred stock. Upon our liquidation, dissolution or winding up, the holders of common stock will be entitled to receive ratably our net assets available after the payment of all debts and other liabilities and will be subject to the prior rights of any outstanding preferred stock. Holders of common stock have no redemption or conversion rights. The rights, preferences and privileges of holders of common stock are subject to the rights of the holders of any series of preferred stock that we may designate and issue in the future. In addition, holders of our common stock may participate in our dividend reinvestment plan. </w:t>
      </w:r>
    </w:p>
    <w:p>
      <w:pPr>
        <w:pStyle w:val="TextBody"/>
        <w:spacing w:before="360" w:after="0"/>
        <w:rPr>
          <w:rFonts w:ascii="Times New Roman" w:hAnsi="Times New Roman"/>
          <w:b/>
          <w:i/>
          <w:sz w:val="20"/>
        </w:rPr>
      </w:pPr>
      <w:r>
        <w:rPr>
          <w:rFonts w:ascii="Times New Roman" w:hAnsi="Times New Roman"/>
          <w:b/>
          <w:i/>
          <w:sz w:val="20"/>
        </w:rPr>
        <w:t xml:space="preserve">Preferred Stock </w:t>
      </w:r>
    </w:p>
    <w:p>
      <w:pPr>
        <w:pStyle w:val="TextBody"/>
        <w:spacing w:before="120" w:after="0"/>
        <w:rPr>
          <w:rFonts w:ascii="Times New Roman" w:hAnsi="Times New Roman"/>
          <w:sz w:val="20"/>
        </w:rPr>
      </w:pPr>
      <w:r>
        <w:rPr>
          <w:rFonts w:ascii="Times New Roman" w:hAnsi="Times New Roman"/>
          <w:sz w:val="20"/>
        </w:rPr>
        <w:t xml:space="preserve">Under the terms of our certificate of incorporation, our Board is authorized to issue shares of preferred stock in one or more series without stockholder approval. See Description of Our Preferred Stock.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purpose of authorizing our Board to issue preferred stock and determine its rights and preferences is to eliminate delays associated with a stockholder vote on specific issuances. The issuance of preferred stock, while providing desirable flexibility in connection with providing leverage for our investment program, possible acquisitions and other corporate purposes, could make it more difficult for a third party to acquire, or could discourage a third party from acquiring, a majority of our outstanding voting stock. </w:t>
      </w:r>
    </w:p>
    <w:p>
      <w:pPr>
        <w:pStyle w:val="TextBody"/>
        <w:spacing w:before="360" w:after="0"/>
        <w:rPr>
          <w:rFonts w:ascii="Times New Roman" w:hAnsi="Times New Roman"/>
          <w:b/>
          <w:sz w:val="20"/>
        </w:rPr>
      </w:pPr>
      <w:r>
        <w:rPr>
          <w:rFonts w:ascii="Times New Roman" w:hAnsi="Times New Roman"/>
          <w:b/>
          <w:sz w:val="20"/>
        </w:rPr>
        <w:t xml:space="preserve">Limitation on Liability of Directors and Officers; Indemnification and Advance of Expenses </w:t>
      </w:r>
    </w:p>
    <w:p>
      <w:pPr>
        <w:pStyle w:val="TextBody"/>
        <w:spacing w:before="120" w:after="0"/>
        <w:rPr>
          <w:rFonts w:ascii="Times New Roman" w:hAnsi="Times New Roman"/>
          <w:sz w:val="20"/>
        </w:rPr>
      </w:pPr>
      <w:r>
        <w:rPr>
          <w:rFonts w:ascii="Times New Roman" w:hAnsi="Times New Roman"/>
          <w:sz w:val="20"/>
        </w:rPr>
        <w:t xml:space="preserve">Our certification of incorporation limits our directors liability to the fullest extent permitted under Delaware corporate law and the 1940 Act. Specifically, our directors will not be personally liable to us or our stockholders for any breach of fiduciary duty as a director, except for any liability: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508"/>
        <w:gridCol w:w="9289"/>
      </w:tblGrid>
      <w:tr>
        <w:trPr/>
        <w:tc>
          <w:tcPr>
            <w:tcW w:w="408"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(i)</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 any breach of the directors duty of loyalty to us or our stockholders,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509"/>
        <w:gridCol w:w="9289"/>
      </w:tblGrid>
      <w:tr>
        <w:trPr/>
        <w:tc>
          <w:tcPr>
            <w:tcW w:w="407"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(ii)</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 acts or omissions not in good faith or which involve willful misconduct, gross negligence, bad faith, reckless disregard or a knowing violation of law,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511"/>
        <w:gridCol w:w="9288"/>
      </w:tblGrid>
      <w:tr>
        <w:trPr/>
        <w:tc>
          <w:tcPr>
            <w:tcW w:w="406" w:type="dxa"/>
            <w:tcBorders/>
            <w:shd w:fill="auto" w:val="clear"/>
            <w:vAlign w:val="center"/>
          </w:tcPr>
          <w:p>
            <w:pPr>
              <w:pStyle w:val="TableContents"/>
              <w:spacing w:before="0" w:after="283"/>
              <w:rPr/>
            </w:pPr>
            <w:r>
              <w:rPr/>
              <w:t> </w:t>
            </w:r>
          </w:p>
        </w:tc>
        <w:tc>
          <w:tcPr>
            <w:tcW w:w="511" w:type="dxa"/>
            <w:tcBorders/>
            <w:shd w:fill="auto" w:val="clear"/>
          </w:tcPr>
          <w:p>
            <w:pPr>
              <w:pStyle w:val="TableContents"/>
              <w:spacing w:before="0" w:after="283"/>
              <w:jc w:val="left"/>
              <w:rPr/>
            </w:pPr>
            <w:r>
              <w:rPr/>
              <w:t>(iii)</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under Section 174 of the DGCL, which relates to unlawful payment of dividends or unlawful stock purchases or redemptions,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pPr>
            <w:r>
              <w:rPr/>
              <w:t>(iv)</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 any transaction from which the director derived an improper personal benefit. </w:t>
            </w:r>
          </w:p>
        </w:tc>
      </w:tr>
    </w:tbl>
    <w:p>
      <w:pPr>
        <w:pStyle w:val="TextBody"/>
        <w:spacing w:before="240" w:after="0"/>
        <w:rPr>
          <w:rFonts w:ascii="Times New Roman" w:hAnsi="Times New Roman"/>
          <w:sz w:val="20"/>
        </w:rPr>
      </w:pPr>
      <w:r>
        <w:rPr>
          <w:rFonts w:ascii="Times New Roman" w:hAnsi="Times New Roman"/>
          <w:sz w:val="20"/>
        </w:rPr>
        <w:t xml:space="preserve">If the DGCL is amended to permit further elimination or limitation of the personal liability of directors, then the liability of our directors will be eliminated or limited to the fullest extent permitted by the DGCL. So long as we are registered or regulated under the 1940 Act, any limitation of liability of our directors and officers as described above is limited to the extent prohibited by the 1940 Act or by any valid rule, regulation or order of the SEC. </w:t>
      </w:r>
    </w:p>
    <w:p>
      <w:pPr>
        <w:pStyle w:val="TextBody"/>
        <w:spacing w:before="240" w:after="0"/>
        <w:rPr>
          <w:rFonts w:ascii="Times New Roman" w:hAnsi="Times New Roman"/>
          <w:sz w:val="20"/>
        </w:rPr>
      </w:pPr>
      <w:r>
        <w:rPr>
          <w:rFonts w:ascii="Times New Roman" w:hAnsi="Times New Roman"/>
          <w:sz w:val="20"/>
        </w:rPr>
        <w:t xml:space="preserve">Section 145 of the DGCL allows for the indemnification of officers, directors, and any corporate agents in terms sufficiently broad to indemnify such person under certain circumstances for liabilities, including reimbursement for expenses, incurred arising under the Securities Act. Our certificate of incorporation and bylaws provide that we will indemnify our directors and officers to the fullest extent authorized or permitted by law and this right to indemnification will continue as to a person who has ceased to be a director or officer and will inure to the benefit of his or her heirs, executors and personal and legal representatives; however, for proceedings to enforce rights to indemnification, we are not obligated to indemnify any director or officer (or his or her heirs, executors or personal or legal representatives) in connection with a proceeding (or part thereof) initiated by such person unless that proceeding (or part thereof) was authorized or consented to by the Board. The right to indemnification includes the right to be paid by us the expenses incurred in defending or otherwise participating in any proceeding in advance of its final disposition. </w:t>
      </w:r>
    </w:p>
    <w:p>
      <w:pPr>
        <w:pStyle w:val="TextBody"/>
        <w:spacing w:before="240" w:after="0"/>
        <w:rPr>
          <w:rFonts w:ascii="Times New Roman" w:hAnsi="Times New Roman"/>
          <w:sz w:val="20"/>
        </w:rPr>
      </w:pPr>
      <w:r>
        <w:rPr>
          <w:rFonts w:ascii="Times New Roman" w:hAnsi="Times New Roman"/>
          <w:sz w:val="20"/>
        </w:rPr>
        <w:t xml:space="preserve">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 </w:t>
      </w:r>
    </w:p>
    <w:p>
      <w:pPr>
        <w:pStyle w:val="TextBody"/>
        <w:spacing w:before="240" w:after="0"/>
        <w:rPr>
          <w:rFonts w:ascii="Times New Roman" w:hAnsi="Times New Roman"/>
          <w:sz w:val="20"/>
        </w:rPr>
      </w:pPr>
      <w:r>
        <w:rPr>
          <w:rFonts w:ascii="Times New Roman" w:hAnsi="Times New Roman"/>
          <w:sz w:val="20"/>
        </w:rPr>
        <w:t xml:space="preserve">In addition, we have entered into indemnification agreements with our directors and officers that provide for a contractual right to indemnification to the fullest extent permitted by the DGCL. A form of the indemnification agreement has been filed as an exhibit to the registration statement of which this prospectus is a part. </w:t>
      </w:r>
    </w:p>
    <w:p>
      <w:pPr>
        <w:pStyle w:val="TextBody"/>
        <w:spacing w:before="240" w:after="0"/>
        <w:rPr>
          <w:rFonts w:ascii="Times New Roman" w:hAnsi="Times New Roman"/>
          <w:sz w:val="20"/>
        </w:rPr>
      </w:pPr>
      <w:r>
        <w:rPr>
          <w:rFonts w:ascii="Times New Roman" w:hAnsi="Times New Roman"/>
          <w:sz w:val="20"/>
        </w:rPr>
        <w:t xml:space="preserve">We may, to the extent authorized from time to time by the Board, provide rights to indemnification and to the advancement of expenses to our employees and agents similar to those conferred to our directors and officers. The rights to indemnification and to the advancement of expenses are subject to the requirements of the 1940 Act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to the extent applicable. Any repeal or modification of our certificate of incorporation by our stockholders will not adversely affect any rights to indemnification and to the advancement of expenses of a director or officer existing at the time of the repeal or modification with respect to any acts or omissions occurring prior to the repeal or modification. </w:t>
      </w:r>
    </w:p>
    <w:p>
      <w:pPr>
        <w:pStyle w:val="TextBody"/>
        <w:spacing w:before="240" w:after="0"/>
        <w:rPr>
          <w:rFonts w:ascii="Times New Roman" w:hAnsi="Times New Roman"/>
          <w:sz w:val="20"/>
        </w:rPr>
      </w:pPr>
      <w:r>
        <w:rPr>
          <w:rFonts w:ascii="Times New Roman" w:hAnsi="Times New Roman"/>
          <w:sz w:val="20"/>
        </w:rPr>
        <w:t xml:space="preserve">Under the Investment Advisory Agreement, we have, to the extent permitted by applicable law, indemnified the Adviser and certain of its affiliates, as described under Management AgreementsIndemnification in Part I, Item 1 of our 2021 Annual Report. </w:t>
      </w:r>
    </w:p>
    <w:p>
      <w:pPr>
        <w:pStyle w:val="TextBody"/>
        <w:spacing w:before="360" w:after="0"/>
        <w:rPr>
          <w:rFonts w:ascii="Times New Roman" w:hAnsi="Times New Roman"/>
          <w:b/>
          <w:sz w:val="20"/>
        </w:rPr>
      </w:pPr>
      <w:r>
        <w:rPr>
          <w:rFonts w:ascii="Times New Roman" w:hAnsi="Times New Roman"/>
          <w:b/>
          <w:sz w:val="20"/>
        </w:rPr>
        <w:t xml:space="preserve">Anti-Takeover Provisions </w:t>
      </w:r>
    </w:p>
    <w:p>
      <w:pPr>
        <w:pStyle w:val="TextBody"/>
        <w:spacing w:before="120" w:after="0"/>
        <w:rPr>
          <w:rFonts w:ascii="Times New Roman" w:hAnsi="Times New Roman"/>
          <w:sz w:val="20"/>
        </w:rPr>
      </w:pPr>
      <w:r>
        <w:rPr>
          <w:rFonts w:ascii="Times New Roman" w:hAnsi="Times New Roman"/>
          <w:sz w:val="20"/>
        </w:rPr>
        <w:t xml:space="preserve">The following summary outlines certain provisions of Delaware law and our certificate of incorporation regarding anti-takeover provisions. These provisions could have the effect of limiting the ability of other entities or persons to acquire control of us by means of a tender offer, proxy contest or otherwise, or to change the composition of our Board. These provisions are expected to discourage certain coercive takeover practices and inadequate takeover bids and to encourage persons seeking to acquire control of us to negotiate first with our Board. These measures, however, may delay, defer or prevent a transaction or a change in control that might otherwise be in the best interests of our stockholders and could have the effect of depriving stockholders of an opportunity to sell their shares at a premium over prevailing market prices. These attempts could also have the effect of increasing our expenses and disrupting our normal operation. We believe, however, that the benefits of these provisions outweigh the potential disadvantages of discouraging acquisition proposals because the negotiation of the proposals may improve their terms. </w:t>
      </w:r>
    </w:p>
    <w:p>
      <w:pPr>
        <w:pStyle w:val="TextBody"/>
        <w:spacing w:before="240" w:after="0"/>
        <w:rPr>
          <w:rFonts w:ascii="Times New Roman" w:hAnsi="Times New Roman"/>
          <w:sz w:val="20"/>
        </w:rPr>
      </w:pPr>
      <w:r>
        <w:rPr>
          <w:rFonts w:ascii="Times New Roman" w:hAnsi="Times New Roman"/>
          <w:sz w:val="20"/>
        </w:rPr>
        <w:t xml:space="preserve">We are subject to the provisions of Section 203 of the DGCL. In general, the statute prohibits a publicly held Delaware corporation from engaging in a business combination with interested stockholders for a period of three years after the date of the transaction in which the person became an interested stockholder, unless the business combination is approved in a prescribed manner. A business combination includes certain mergers, asset sales and other transactions resulting in a financial benefit to the interested stockholder. Subject to exceptions (including an exception for our Adviser and certain of its affiliates), an interested stockholder with which business combinations may be restricted is a person that, together with its affiliates and associates, owns, or is an affiliate or associate of the corporation and within the prior three years did own, 15% or more of the corporations voting stock. </w:t>
      </w:r>
    </w:p>
    <w:p>
      <w:pPr>
        <w:pStyle w:val="TextBody"/>
        <w:spacing w:before="240" w:after="0"/>
        <w:rPr>
          <w:rFonts w:ascii="Times New Roman" w:hAnsi="Times New Roman"/>
          <w:sz w:val="20"/>
        </w:rPr>
      </w:pPr>
      <w:r>
        <w:rPr>
          <w:rFonts w:ascii="Times New Roman" w:hAnsi="Times New Roman"/>
          <w:sz w:val="20"/>
        </w:rPr>
        <w:t xml:space="preserve">Our certificate of incorporation and bylaws provide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Board be divided into three classes, as nearly equal in size as possible, with staggered three-year terms (and the number of directors shall not be fewer than four or greater than nine);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directors may be removed only for cause by the affirmative vote of 75% of the holders of our capital stock then outstanding and entitled to vote in the election of directors, voting together as a single class;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subject to the rights of any holders of preferred stock, any vacancy on the Board, however the vacancy occurs, including a vacancy due to an enlargement of the Board, may only be filled by vote of a majority of the directors then in office. </w:t>
            </w:r>
          </w:p>
        </w:tc>
      </w:tr>
    </w:tbl>
    <w:p>
      <w:pPr>
        <w:pStyle w:val="TextBody"/>
        <w:spacing w:before="240" w:after="0"/>
        <w:rPr>
          <w:rFonts w:ascii="Times New Roman" w:hAnsi="Times New Roman"/>
          <w:sz w:val="20"/>
        </w:rPr>
      </w:pPr>
      <w:r>
        <w:rPr>
          <w:rFonts w:ascii="Times New Roman" w:hAnsi="Times New Roman"/>
          <w:sz w:val="20"/>
        </w:rPr>
        <w:t xml:space="preserve">The classification of our Board and the limitations on removal of directors and filling of vacancies could have the effect of making it more difficult for a third party to acquire us, or of discouraging a third party from acquiring us. We believe, however, that the longer time required to elect a majority of a classified board of directors helps to ensure the continuity and stability of our management and policies. </w:t>
      </w:r>
    </w:p>
    <w:p>
      <w:pPr>
        <w:pStyle w:val="TextBody"/>
        <w:spacing w:before="240" w:after="0"/>
        <w:rPr>
          <w:rFonts w:ascii="Times New Roman" w:hAnsi="Times New Roman"/>
          <w:sz w:val="20"/>
        </w:rPr>
      </w:pPr>
      <w:r>
        <w:rPr>
          <w:rFonts w:ascii="Times New Roman" w:hAnsi="Times New Roman"/>
          <w:sz w:val="20"/>
        </w:rPr>
        <w:t xml:space="preserve">Our bylaws also provide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action required or permitted to be taken by the stockholders at an annual meeting or special meeting of stockholders may only be taken if it is properly brought before such meeting; and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special meetings of the stockholders may only be called by our Board, Chairman, or a Chief Executive Officer. </w:t>
            </w:r>
          </w:p>
        </w:tc>
      </w:tr>
    </w:tbl>
    <w:p>
      <w:pPr>
        <w:pStyle w:val="TextBody"/>
        <w:spacing w:before="240" w:after="0"/>
        <w:rPr>
          <w:rFonts w:ascii="Times New Roman" w:hAnsi="Times New Roman"/>
          <w:sz w:val="20"/>
        </w:rPr>
      </w:pPr>
      <w:r>
        <w:rPr>
          <w:rFonts w:ascii="Times New Roman" w:hAnsi="Times New Roman"/>
          <w:sz w:val="20"/>
        </w:rPr>
        <w:t xml:space="preserve">Our bylaws provide that for nominations and any other matters to be considered properly brought before a meeting, a stockholder must comply with requirements regarding advance notice to us. The purpose of requiring stockholders to give us advance notice of nominations and other business is to afford our Nominating and Corporate Governance Committee a meaningful opportunity to consider the qualifications of the proposed nominees and the advisability of any other proposed business and, to the extent deemed necessary or desirable by our Board, to inform stockholders and make recommendations about such qualifications or business, as well as to provide a more orderly procedure for conducting meetings of stockholders. Our certificate of incorporation further provides that stockholders may not take action by written consent in lieu of a meeting. These provisions may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 </w:t>
      </w:r>
    </w:p>
    <w:p>
      <w:pPr>
        <w:pStyle w:val="TextBody"/>
        <w:spacing w:before="240" w:after="0"/>
        <w:rPr>
          <w:rFonts w:ascii="Times New Roman" w:hAnsi="Times New Roman"/>
          <w:sz w:val="20"/>
        </w:rPr>
      </w:pPr>
      <w:r>
        <w:rPr>
          <w:rFonts w:ascii="Times New Roman" w:hAnsi="Times New Roman"/>
          <w:sz w:val="20"/>
        </w:rPr>
        <w:t xml:space="preserve">The DGCL provides generally that the affirmative vote of a majority of the shares entitled to vote on any matter is required to amend a corporations certificate of incorporation or bylaws, unless a corporations certificate of incorporation or bylaws requires a greater percentage. Our certificate of incorporation requires the affirmative vote of at least 75% of the holders of our capital stock then outstanding and entitled to vote in the election of directors, voting together as a single class, to amend certain specified provisions of the certificate relating to our Board, limitation of liability, indemnification procedures, and amendments to our certificate of incorporation. </w:t>
      </w:r>
    </w:p>
    <w:p>
      <w:pPr>
        <w:pStyle w:val="TextBody"/>
        <w:spacing w:before="240" w:after="0"/>
        <w:rPr>
          <w:rFonts w:ascii="Times New Roman" w:hAnsi="Times New Roman"/>
          <w:sz w:val="20"/>
        </w:rPr>
      </w:pPr>
      <w:r>
        <w:rPr>
          <w:rFonts w:ascii="Times New Roman" w:hAnsi="Times New Roman"/>
          <w:sz w:val="20"/>
        </w:rPr>
        <w:t xml:space="preserve">Our certificate of incorporation permits our Board to amend or repeal our bylaws. Our bylaws generally can be amended or repealed by approval of at least 75% of the total number of authorized directors then in office. Additionally, our stockholders have the power to adopt, amend or repeal our bylaws, upon the affirmative vote of at least 75% of the holders of our capital stock then outstanding and entitled to vote on any matter. </w:t>
      </w:r>
    </w:p>
    <w:p>
      <w:pPr>
        <w:pStyle w:val="TextBody"/>
        <w:spacing w:before="240" w:after="0"/>
        <w:rPr>
          <w:rFonts w:ascii="Times New Roman" w:hAnsi="Times New Roman"/>
          <w:sz w:val="20"/>
        </w:rPr>
      </w:pPr>
      <w:r>
        <w:rPr>
          <w:rFonts w:ascii="Times New Roman" w:hAnsi="Times New Roman"/>
          <w:sz w:val="20"/>
        </w:rPr>
        <w:t xml:space="preserve">A director may be removed from office, but only for cause and at a meeting called for that purpose, by the affirmative vote of 75% of the holders of our capital stock then outstanding and entitled to vote in the election of directors, voting together as a single class. </w:t>
      </w:r>
    </w:p>
    <w:p>
      <w:pPr>
        <w:pStyle w:val="TextBody"/>
        <w:spacing w:before="240" w:after="0"/>
        <w:rPr>
          <w:rFonts w:ascii="Times New Roman" w:hAnsi="Times New Roman"/>
          <w:sz w:val="20"/>
        </w:rPr>
      </w:pPr>
      <w:r>
        <w:rPr>
          <w:rFonts w:ascii="Times New Roman" w:hAnsi="Times New Roman"/>
          <w:sz w:val="20"/>
        </w:rPr>
        <w:t xml:space="preserve">In addition, our certificate of incorporation requires the favorable vote of a majority of our Board followed by the favorable vote of the holders of at least 75% of our outstanding shares of common stock, to approve, adopt or authorize certain transactions with 10% or greater holders of our outstanding common stock and their affiliates or associates, unless the transaction has been approved by at least 80% of our Board, in which case approval by a majority of the outstanding voting securities (as defined in the 1940 Act) will be required. For purposes of these provisions, a 10% or greater holder of our outstanding common stock, or a principal stockholder, refers to any person who, whether directly or indirectly and whether alone or together with its affiliates and associates, beneficially owns 10% or more of the outstanding shares of our common stock. </w:t>
      </w:r>
    </w:p>
    <w:p>
      <w:pPr>
        <w:pStyle w:val="TextBody"/>
        <w:spacing w:before="240" w:after="0"/>
        <w:rPr>
          <w:rFonts w:ascii="Times New Roman" w:hAnsi="Times New Roman"/>
          <w:sz w:val="20"/>
        </w:rPr>
      </w:pPr>
      <w:r>
        <w:rPr>
          <w:rFonts w:ascii="Times New Roman" w:hAnsi="Times New Roman"/>
          <w:sz w:val="20"/>
        </w:rPr>
        <w:t xml:space="preserve">The 10% holder transactions subject to these special approval requirements are: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merger or consolidation of us or any subsidiary of ours with or into any principal stockholder;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issuance of any of our securities to any principal stockholder for cash, except pursuant to any automatic dividend reinvestment plan or the exercise of any preemptive rights granted in our certificate of incorporation (which are no longer applicable following our IPO) or pursuant to any subscription agreement by and among us, the Adviser and such principal stockholder entered into prior to our IPO;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sale, lease or exchange of all or any substantial part of our assets to any principal stockholder, except assets having an aggregate fair market value of less than 5% of our total assets, aggregating for the purpose of this computation all assets sold, leased or exchanged in any series of similar transactions within a twelve-month period; and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sale, lease or exchange to us or any subsidiary of ours, in exchange for our securities, of any assets of any principal stockholder, except assets having an aggregate fair market value of less than 5% of our total assets, aggregating for purposes of this computation all assets sold, leased or exchanged in any series of similar transactions within a twelve-month period. </w:t>
            </w:r>
          </w:p>
        </w:tc>
      </w:tr>
    </w:tbl>
    <w:p>
      <w:pPr>
        <w:pStyle w:val="TextBody"/>
        <w:spacing w:before="240" w:after="0"/>
        <w:rPr>
          <w:rFonts w:ascii="Times New Roman" w:hAnsi="Times New Roman"/>
          <w:sz w:val="20"/>
        </w:rPr>
      </w:pPr>
      <w:r>
        <w:rPr>
          <w:rFonts w:ascii="Times New Roman" w:hAnsi="Times New Roman"/>
          <w:sz w:val="20"/>
        </w:rPr>
        <w:t xml:space="preserve">To convert us to an open-end investment company, to merge or consolidate us with any entity in a transaction as a result of which the governing documents of the surviving entity do not contain substantially the same anti-takeover provisions as are provided in our certificate of incorporation, to liquidate and dissolve us or to amend any of the provisions discussed herein, our certificate of incorporation requires the favorable vote of at least 80% of the holders of our common stock then outstanding, or the approval of a majority of the continuing directors and at least 75% of the holders of our capital stock then outstanding entitled to vote in the election of directors, voting together as a single class. If approved in the foregoing manner, our conversion to an open-end investment company could not occur until 90 days after the stockholders meeting at which the conversion was approved and would also require at least 30 days prior notice to all stockholders. As part of the conversion to an open-end investment company, substantially all of our investment policies and strategies and portfolio would have to be modified to assure the degree of portfolio liquidity required for open-end investment companies. In the event of conversion, the common shares would cease to be listed on any national securities exchange or market system. Stockholders of an open-end investment company may require the company to redeem their shares at any time, except in certain circumstances as authorized by or under the 1940 Act, at their net asset value, less such redemption charge, if any, as might be in effect at the time of a redemption. You should assume that it is not likely that our Board would vote to convert us to an open-end fund. </w:t>
      </w:r>
    </w:p>
    <w:p>
      <w:pPr>
        <w:pStyle w:val="TextBody"/>
        <w:spacing w:before="240" w:after="0"/>
        <w:rPr>
          <w:rFonts w:ascii="Times New Roman" w:hAnsi="Times New Roman"/>
          <w:sz w:val="20"/>
        </w:rPr>
      </w:pPr>
      <w:r>
        <w:rPr>
          <w:rFonts w:ascii="Times New Roman" w:hAnsi="Times New Roman"/>
          <w:sz w:val="20"/>
        </w:rPr>
        <w:t xml:space="preserve">The 1940 Act defines a majority of the outstanding voting securities as the lesser of: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67% or more of the companys voting stock present at a meeting if more than 50% of the outstanding voting securities of the company are present or represented by proxy;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more than 50% of the outstanding voting securities of the company. </w:t>
            </w:r>
          </w:p>
        </w:tc>
      </w:tr>
    </w:tbl>
    <w:p>
      <w:pPr>
        <w:pStyle w:val="TextBody"/>
        <w:spacing w:before="240" w:after="0"/>
        <w:rPr>
          <w:rFonts w:ascii="Times New Roman" w:hAnsi="Times New Roman"/>
          <w:sz w:val="20"/>
        </w:rPr>
      </w:pPr>
      <w:r>
        <w:rPr>
          <w:rFonts w:ascii="Times New Roman" w:hAnsi="Times New Roman"/>
          <w:sz w:val="20"/>
        </w:rPr>
        <w:t xml:space="preserve">For the purposes of calculating a majority of the outstanding voting securities under our certificate of incorporation, each class and series of our shares will vote together as a single class, except to the extent required by the 1940 Act or our certificate of incorporation, with respect to any class or series of shares. If a separate class vote is required, the applicable proportion of shares of the class or series, voting as a separate class or series, also will be required. </w:t>
      </w:r>
    </w:p>
    <w:p>
      <w:pPr>
        <w:pStyle w:val="TextBody"/>
        <w:spacing w:before="240" w:after="0"/>
        <w:rPr>
          <w:rFonts w:ascii="Times New Roman" w:hAnsi="Times New Roman"/>
          <w:sz w:val="20"/>
        </w:rPr>
      </w:pPr>
      <w:r>
        <w:rPr>
          <w:rFonts w:ascii="Times New Roman" w:hAnsi="Times New Roman"/>
          <w:sz w:val="20"/>
        </w:rPr>
        <w:t xml:space="preserve">Our Board has determined that provisions with respect to the Board and the stockholder voting requirements described above, which voting requirements are greater than the minimum requirements under Delaware law or the 1940 Act, are in the best interest of stockholders generally.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29" w:name="rom451583_25"/>
      <w:bookmarkEnd w:id="29"/>
      <w:r>
        <w:rPr>
          <w:rFonts w:ascii="Times New Roman" w:hAnsi="Times New Roman"/>
          <w:b/>
          <w:sz w:val="20"/>
        </w:rPr>
        <w:t xml:space="preserve">DESCRIPTION OF OUR PREFERRED STOCK </w:t>
      </w:r>
    </w:p>
    <w:p>
      <w:pPr>
        <w:pStyle w:val="TextBody"/>
        <w:spacing w:before="240" w:after="0"/>
        <w:rPr>
          <w:rFonts w:ascii="Times New Roman" w:hAnsi="Times New Roman"/>
          <w:sz w:val="20"/>
        </w:rPr>
      </w:pPr>
      <w:r>
        <w:rPr>
          <w:rFonts w:ascii="Times New Roman" w:hAnsi="Times New Roman"/>
          <w:sz w:val="20"/>
        </w:rPr>
        <w:t xml:space="preserve">In addition to shares of common stock, we have 100,000,000 shares of preferred stock authorized under our certificate of incorporation, par value $0.01 per share, of which no shares are currently outstanding. If we offer preferred stock under this prospectus, we will issue an appropriate prospectus supplement. We may issue preferred stock from time to time in one or more classes or series, without stockholder approval. Prior to issuance of shares of each class or series, our Board is required by Delaware law and by our certificate of incorporation to set the terms, preferences, conversion or other rights, voting powers, restrictions, limitations as to dividends or other distributions, qualifications and terms or conditions of redemption for each class or series. Any such issuance must adhere to the requirements of the 1940 Act, Delaware law and any other limitations imposed by law. </w:t>
      </w:r>
    </w:p>
    <w:p>
      <w:pPr>
        <w:pStyle w:val="TextBody"/>
        <w:spacing w:before="240" w:after="0"/>
        <w:rPr>
          <w:rFonts w:ascii="Times New Roman" w:hAnsi="Times New Roman"/>
          <w:sz w:val="20"/>
        </w:rPr>
      </w:pPr>
      <w:r>
        <w:rPr>
          <w:rFonts w:ascii="Times New Roman" w:hAnsi="Times New Roman"/>
          <w:sz w:val="20"/>
        </w:rPr>
        <w:t xml:space="preserve">The Board has discretion to establish the number of shares to be included in each series and to fix the voting powers (if any), designations, powers, preferences, and relative, participating, optional or other rights, if any, of the shares of each series, and any qualifications, limitations, or restrictions. The 1940 Act limits our flexibility as to certain rights and preferences of the preferred stock under our certificate of incorporation. In particular, every share of stock issued by a BDC must be voting stock and have equal voting rights with every other outstanding class of voting stock, except to the extent that the stock satisfies the requirements for being treated as a senior security, which requires, among other things,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immediately after issuance and before any distribution is made with respect to common stock, we must meet a coverage ratio of total assets (less total liabilities other than indebtedness) to total indebtedness plus preferred stock, of at least 150%;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holders of shares of preferred stock must be entitled as a class to elect two directors at all times and to elect a majority of the directors if and for so long as dividends on the preferred stock are unpaid in an amount equal to two full years of dividends on the preferred stock. </w:t>
            </w:r>
          </w:p>
        </w:tc>
      </w:tr>
    </w:tbl>
    <w:p>
      <w:pPr>
        <w:pStyle w:val="TextBody"/>
        <w:spacing w:before="240" w:after="0"/>
        <w:rPr>
          <w:rFonts w:ascii="Times New Roman" w:hAnsi="Times New Roman"/>
          <w:sz w:val="20"/>
        </w:rPr>
      </w:pPr>
      <w:r>
        <w:rPr>
          <w:rFonts w:ascii="Times New Roman" w:hAnsi="Times New Roman"/>
          <w:sz w:val="20"/>
        </w:rPr>
        <w:t xml:space="preserve">The features of the preferred stock are further limited by the requirements applicable to RICs under the Code. </w:t>
      </w:r>
    </w:p>
    <w:p>
      <w:pPr>
        <w:pStyle w:val="TextBody"/>
        <w:spacing w:before="240" w:after="0"/>
        <w:rPr>
          <w:rFonts w:ascii="Times New Roman" w:hAnsi="Times New Roman"/>
          <w:sz w:val="20"/>
        </w:rPr>
      </w:pPr>
      <w:r>
        <w:rPr>
          <w:rFonts w:ascii="Times New Roman" w:hAnsi="Times New Roman"/>
          <w:sz w:val="20"/>
        </w:rPr>
        <w:t xml:space="preserve">For any series of preferred stock that we may issue, our Board will determine and the amendment to our certificate of incorporation and the prospectus supplement relating to such series will describe: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designation and number of shares of such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rate and time at which, and the preferences and conditions under which, any dividends will be paid on shares of such series, as well as whether such dividends are participating or non-participating;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provisions relating to convertibility or exchangeability of the shares of such series, including adjustments to the conversion price of such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rights and preferences, if any, of holders of shares of such series upon our liquidation, dissolution or winding up of our affairs;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voting powers, if any, of the holders of shares of such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provisions relating to the redemption of the shares of such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0"/>
        <w:gridCol w:w="9290"/>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limitations on our ability to pay dividends or make distributions on, or acquire or redeem, other securities while shares of such series are outstanding;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conditions or restrictions on our ability to issue additional shares of such series or other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applicable, a discussion of certain U.S. federal income tax considerations;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other relative powers, preferences and participating, optional or special rights of shares of such series, and the qualifications, limitations or restrictions thereof. </w:t>
            </w:r>
          </w:p>
        </w:tc>
      </w:tr>
    </w:tbl>
    <w:p>
      <w:pPr>
        <w:pStyle w:val="TextBody"/>
        <w:spacing w:before="240" w:after="0"/>
        <w:rPr>
          <w:rFonts w:ascii="Times New Roman" w:hAnsi="Times New Roman"/>
          <w:sz w:val="20"/>
        </w:rPr>
      </w:pPr>
      <w:r>
        <w:rPr>
          <w:rFonts w:ascii="Times New Roman" w:hAnsi="Times New Roman"/>
          <w:sz w:val="20"/>
        </w:rPr>
        <w:t xml:space="preserve">All shares of preferred stock that we may issue will be identical and of equal rank except as to the particular terms thereof that may be fixed by our Board. All shares of each series of preferred stock will differ only as to the dates from which dividends, if any, thereon will be cumulative.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0" w:name="rom451583_26"/>
      <w:bookmarkEnd w:id="30"/>
      <w:r>
        <w:rPr>
          <w:rFonts w:ascii="Times New Roman" w:hAnsi="Times New Roman"/>
          <w:b/>
          <w:sz w:val="20"/>
        </w:rPr>
        <w:t xml:space="preserve">DESCRIPTION OF OUR SUBSCRIPTION RIGHTS </w:t>
      </w:r>
    </w:p>
    <w:p>
      <w:pPr>
        <w:pStyle w:val="TextBody"/>
        <w:spacing w:before="240" w:after="0"/>
        <w:rPr>
          <w:rFonts w:ascii="Times New Roman" w:hAnsi="Times New Roman"/>
          <w:sz w:val="20"/>
        </w:rPr>
      </w:pPr>
      <w:r>
        <w:rPr>
          <w:rFonts w:ascii="Times New Roman" w:hAnsi="Times New Roman"/>
          <w:sz w:val="20"/>
        </w:rPr>
        <w:t xml:space="preserve">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 </w:t>
      </w:r>
    </w:p>
    <w:p>
      <w:pPr>
        <w:pStyle w:val="TextBody"/>
        <w:spacing w:before="240" w:after="0"/>
        <w:rPr>
          <w:rFonts w:ascii="Times New Roman" w:hAnsi="Times New Roman"/>
          <w:sz w:val="20"/>
        </w:rPr>
      </w:pPr>
      <w:r>
        <w:rPr>
          <w:rFonts w:ascii="Times New Roman" w:hAnsi="Times New Roman"/>
          <w:sz w:val="20"/>
        </w:rPr>
        <w:t xml:space="preserve">The applicable prospectus supplement would describe the following terms of subscription rights in respect of which this prospectus is being delivered: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period of time the offering would remain open (which shall be open a minimum number of days such that all record holders would be eligible to participate in the offering and shall not be open longer than 120 days);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title of such subscription rights;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exercise price for such subscription rights (or method of calculation thereof);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ratio of the offering (which, in the case of transferable rights, will require a minimum of three shares to be held of record before a person is entitled to purchase an additional share);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number of such subscription rights issued to each stockholder;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extent to which such subscription rights are transferable and the market on which they may be traded if they are transferable;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applicable, a discussion of certain U.S. federal income tax considerations applicable to the issuance or exercise of such subscription rights;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date on which the right to exercise such subscription rights shall commence, and the date on which such right shall expire (subject to any extension);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extent to which such subscription rights include an over-subscription privilege with respect to unsubscribed securities and the terms of such over-subscription privilege;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termination right we may have in connection with such subscription rights offering;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other terms of such subscription rights, including exercise, settlement and other procedures and limitations relating to the transfer and exercise of such subscription rights. </w:t>
            </w:r>
          </w:p>
        </w:tc>
      </w:tr>
    </w:tbl>
    <w:p>
      <w:pPr>
        <w:pStyle w:val="TextBody"/>
        <w:spacing w:before="360" w:after="0"/>
        <w:rPr>
          <w:rFonts w:ascii="Times New Roman" w:hAnsi="Times New Roman"/>
          <w:b/>
          <w:sz w:val="20"/>
        </w:rPr>
      </w:pPr>
      <w:r>
        <w:rPr>
          <w:rFonts w:ascii="Times New Roman" w:hAnsi="Times New Roman"/>
          <w:b/>
          <w:sz w:val="20"/>
        </w:rPr>
        <w:t xml:space="preserve">Exercise of Subscription Rights </w:t>
      </w:r>
    </w:p>
    <w:p>
      <w:pPr>
        <w:pStyle w:val="TextBody"/>
        <w:spacing w:before="120" w:after="0"/>
        <w:rPr>
          <w:rFonts w:ascii="Times New Roman" w:hAnsi="Times New Roman"/>
          <w:sz w:val="20"/>
        </w:rPr>
      </w:pPr>
      <w:r>
        <w:rPr>
          <w:rFonts w:ascii="Times New Roman" w:hAnsi="Times New Roman"/>
          <w:sz w:val="20"/>
        </w:rPr>
        <w:t xml:space="preserve">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 </w:t>
      </w:r>
    </w:p>
    <w:p>
      <w:pPr>
        <w:pStyle w:val="TextBody"/>
        <w:spacing w:before="240" w:after="0"/>
        <w:rPr>
          <w:rFonts w:ascii="Times New Roman" w:hAnsi="Times New Roman"/>
          <w:sz w:val="20"/>
        </w:rPr>
      </w:pPr>
      <w:r>
        <w:rPr>
          <w:rFonts w:ascii="Times New Roman" w:hAnsi="Times New Roman"/>
          <w:sz w:val="20"/>
        </w:rPr>
        <w:t xml:space="preserve">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offered securities directly to persons other than stockholders, to or through agents, underwriters or dealers or through a combination of such methods, as set forth in the applicable prospectus supplement.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Dilutive Effects </w:t>
      </w:r>
    </w:p>
    <w:p>
      <w:pPr>
        <w:pStyle w:val="TextBody"/>
        <w:spacing w:before="120" w:after="0"/>
        <w:rPr>
          <w:rFonts w:ascii="Times New Roman" w:hAnsi="Times New Roman"/>
          <w:sz w:val="20"/>
        </w:rPr>
      </w:pPr>
      <w:r>
        <w:rPr>
          <w:rFonts w:ascii="Times New Roman" w:hAnsi="Times New Roman"/>
          <w:sz w:val="20"/>
        </w:rPr>
        <w:t xml:space="preserve">Any stockholder who chooses not to participate in a rights offering should expect to own a smaller interest in us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net asset value per share, the rights offering may reduce our net asset value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1" w:name="rom451583_27"/>
      <w:bookmarkEnd w:id="31"/>
      <w:r>
        <w:rPr>
          <w:rFonts w:ascii="Times New Roman" w:hAnsi="Times New Roman"/>
          <w:b/>
          <w:sz w:val="20"/>
        </w:rPr>
        <w:t xml:space="preserve">DESCRIPTION OF OUR WARRANTS </w:t>
      </w:r>
    </w:p>
    <w:p>
      <w:pPr>
        <w:pStyle w:val="TextBody"/>
        <w:spacing w:before="240" w:after="0"/>
        <w:rPr>
          <w:rFonts w:ascii="Times New Roman" w:hAnsi="Times New Roman"/>
          <w:sz w:val="20"/>
        </w:rPr>
      </w:pPr>
      <w:r>
        <w:rPr>
          <w:rFonts w:ascii="Times New Roman" w:hAnsi="Times New Roman"/>
          <w:sz w:val="20"/>
        </w:rPr>
        <w:t xml:space="preserve">The following is a general description of the terms of the warrants we may issue from time to time. Particular terms of any warrants we offer will be described in the prospectus supplement relating to such warrants. </w:t>
      </w:r>
    </w:p>
    <w:p>
      <w:pPr>
        <w:pStyle w:val="TextBody"/>
        <w:spacing w:before="240" w:after="0"/>
        <w:rPr>
          <w:rFonts w:ascii="Times New Roman" w:hAnsi="Times New Roman"/>
          <w:sz w:val="20"/>
        </w:rPr>
      </w:pPr>
      <w:r>
        <w:rPr>
          <w:rFonts w:ascii="Times New Roman" w:hAnsi="Times New Roman"/>
          <w:sz w:val="20"/>
        </w:rPr>
        <w:t xml:space="preserve">We may issue warrants to purchase shares of our common stock, preferred stock or debt securities. Such warrants may be issued independently or together with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 </w:t>
      </w:r>
    </w:p>
    <w:p>
      <w:pPr>
        <w:pStyle w:val="TextBody"/>
        <w:spacing w:before="240" w:after="0"/>
        <w:rPr>
          <w:rFonts w:ascii="Times New Roman" w:hAnsi="Times New Roman"/>
          <w:sz w:val="20"/>
        </w:rPr>
      </w:pPr>
      <w:r>
        <w:rPr>
          <w:rFonts w:ascii="Times New Roman" w:hAnsi="Times New Roman"/>
          <w:sz w:val="20"/>
        </w:rPr>
        <w:t xml:space="preserve">A prospectus supplement will describe the particular terms of any series of warrants we may issue, including the following: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title of such warrants;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aggregate number of such warrants;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price or prices at which such warrants will be issued;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currency or currencies, including composite currencies, in which the price of such warrants may be payable;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the warrants are issued and the number of warrants issued with each such security or each principal amount of such security;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date on which the right to exercise such warrants shall commence and the date on which such right will expire;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whether such warrants will be issued in registered form or bearer form;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applicable, the minimum or maximum amount of such warrants which may be exercised at any one time;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applicable, the date on and after which such warrants and the related securities will be separately transferable;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terms of the securities issuable upon exercise of the warrants;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applicable, a discussion of certain U.S. federal income tax considerations;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other terms of such warrants, including terms, procedures and limitations relating to the exchange and exercise of such warrants. </w:t>
            </w:r>
          </w:p>
        </w:tc>
      </w:tr>
    </w:tbl>
    <w:p>
      <w:pPr>
        <w:pStyle w:val="TextBody"/>
        <w:spacing w:before="240" w:after="0"/>
        <w:rPr>
          <w:rFonts w:ascii="Times New Roman" w:hAnsi="Times New Roman"/>
          <w:sz w:val="20"/>
        </w:rPr>
      </w:pPr>
      <w:r>
        <w:rPr>
          <w:rFonts w:ascii="Times New Roman" w:hAnsi="Times New Roman"/>
          <w:sz w:val="20"/>
        </w:rPr>
        <w:t xml:space="preserve">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 </w:t>
      </w:r>
    </w:p>
    <w:p>
      <w:pPr>
        <w:pStyle w:val="TextBody"/>
        <w:spacing w:before="240" w:after="0"/>
        <w:rPr>
          <w:rFonts w:ascii="Times New Roman" w:hAnsi="Times New Roman"/>
          <w:sz w:val="20"/>
        </w:rPr>
      </w:pPr>
      <w:r>
        <w:rPr>
          <w:rFonts w:ascii="Times New Roman" w:hAnsi="Times New Roman"/>
          <w:sz w:val="20"/>
        </w:rPr>
        <w:t xml:space="preserve">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approves such issuance on the basis that the issuance is in the best interests of us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as well as options and rights, at the time of issuance may not exceed 25% of our outstanding voting securities.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2" w:name="rom451583_28"/>
      <w:bookmarkEnd w:id="32"/>
      <w:r>
        <w:rPr>
          <w:rFonts w:ascii="Times New Roman" w:hAnsi="Times New Roman"/>
          <w:b/>
          <w:sz w:val="20"/>
        </w:rPr>
        <w:t xml:space="preserve">DESCRIPTION OF OUR DEBT SECURITIES </w:t>
      </w:r>
    </w:p>
    <w:p>
      <w:pPr>
        <w:pStyle w:val="TextBody"/>
        <w:spacing w:before="240" w:after="0"/>
        <w:rPr>
          <w:rFonts w:ascii="Times New Roman" w:hAnsi="Times New Roman"/>
          <w:sz w:val="20"/>
        </w:rPr>
      </w:pPr>
      <w:r>
        <w:rPr>
          <w:rFonts w:ascii="Times New Roman" w:hAnsi="Times New Roman"/>
          <w:sz w:val="20"/>
        </w:rPr>
        <w:t xml:space="preserve">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 </w:t>
      </w:r>
    </w:p>
    <w:p>
      <w:pPr>
        <w:pStyle w:val="TextBody"/>
        <w:spacing w:before="240" w:after="0"/>
        <w:rPr>
          <w:rFonts w:ascii="Times New Roman" w:hAnsi="Times New Roman"/>
          <w:sz w:val="20"/>
        </w:rPr>
      </w:pPr>
      <w:r>
        <w:rPr>
          <w:rFonts w:ascii="Times New Roman" w:hAnsi="Times New Roman"/>
          <w:sz w:val="20"/>
        </w:rPr>
        <w:t xml:space="preserve">As required by federal law for all bonds and notes of companies that are publicly offered, the debt securities are governed by a document called an indenture. An indenture is a contract between us and Computershare Trust Company, N.A., as successor to Wells Fargo Bank, National Association, a financial institution acting as trustee on your behalf, and is subject to and governed by the Trust Indenture Act of 1939, as amended. The debt securities will be issued under an indenture dated January 22, 2018 between us and Wells Fargo Bank, National Association. </w:t>
      </w:r>
    </w:p>
    <w:p>
      <w:pPr>
        <w:pStyle w:val="TextBody"/>
        <w:spacing w:before="240" w:after="0"/>
        <w:rPr>
          <w:rFonts w:ascii="Times New Roman" w:hAnsi="Times New Roman"/>
          <w:sz w:val="20"/>
        </w:rPr>
      </w:pPr>
      <w:r>
        <w:rPr>
          <w:rFonts w:ascii="Times New Roman" w:hAnsi="Times New Roman"/>
          <w:sz w:val="20"/>
        </w:rPr>
        <w:t xml:space="preserve">Subject to the provisions of the indenture, the trustee has two main roles. First, the trustee can enforce your rights against us if we default. There are some limitations on the extent to which the trustee acts on your behalf, described in the second paragraph under  Events of DefaultRemedies If an Event of Default Occurs. Second, the trustee performs certain administrative duties for us. </w:t>
      </w:r>
    </w:p>
    <w:p>
      <w:pPr>
        <w:pStyle w:val="TextBody"/>
        <w:spacing w:before="240" w:after="0"/>
        <w:rPr>
          <w:rFonts w:ascii="Times New Roman" w:hAnsi="Times New Roman"/>
          <w:sz w:val="20"/>
        </w:rPr>
      </w:pPr>
      <w:r>
        <w:rPr>
          <w:rFonts w:ascii="Times New Roman" w:hAnsi="Times New Roman"/>
          <w:sz w:val="20"/>
        </w:rPr>
        <w:t xml:space="preserve">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indentures with the SEC. See Available Information for information on how to obtain a copy of the applicable indenture. </w:t>
      </w:r>
    </w:p>
    <w:p>
      <w:pPr>
        <w:pStyle w:val="TextBody"/>
        <w:spacing w:before="240" w:after="0"/>
        <w:rPr>
          <w:rFonts w:ascii="Times New Roman" w:hAnsi="Times New Roman"/>
          <w:sz w:val="20"/>
        </w:rPr>
      </w:pPr>
      <w:r>
        <w:rPr>
          <w:rFonts w:ascii="Times New Roman" w:hAnsi="Times New Roman"/>
          <w:sz w:val="20"/>
        </w:rPr>
        <w:t xml:space="preserve">The prospectus supplement, which will accompany this prospectus, will describe the particular series of debt securities being offered, including, among other things: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designation or title of the series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total principal amount of the series of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percentage of the principal amount at which the series of debt securities will be offered;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306"/>
        <w:gridCol w:w="101"/>
        <w:gridCol w:w="9290"/>
      </w:tblGrid>
      <w:tr>
        <w:trPr/>
        <w:tc>
          <w:tcPr>
            <w:tcW w:w="5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date or dates on which principal will be payable;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rate or rates (which may be either fixed or variable) and/or the method of determining such rate or rates of interest, if 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date or dates from which any interest will accrue, or the method of determining such date or dates, and the date or dates on which any interest will be payable;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whether any interest may be paid by issuing additional securities of the same series in lieu of cash (and the terms upon which any such interest may be paid by issuing additional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terms for redemption, extension or early repayment, if any;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currencies in which the series of debt securities are issued and payable;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place or places, if any, other than or in addition to the Borough of Manhattan in the City of New York, of payment, transfer, conversion and/or exchange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denominations in which the offered debt securities will be issued (if other than $1,000 and any integral multiple thereof);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provision for any sinking fund;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restrictive covenants;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Events of Default;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whether the series of debt securities is issuable in certificated form;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provisions for defeasance or covenant defeasance;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special federal income tax implications, including, if applicable, U.S. federal income tax considerations relating to original issue discount;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whether and under what circumstances we will pay additional amounts in respect of any tax, assessment or governmental charge and, if so, whether we will have the option to redeem the debt securities rather than pay the additional amounts (and the terms of this option);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provisions for convertibility or exchangeability of the debt securities into or for any other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whether the debt securities are subject to subordination and the terms of such subordination;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whether the debt securities are secured and the terms of any security interest;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listing, if any, on a securities exchange;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other terms. </w:t>
            </w:r>
          </w:p>
        </w:tc>
      </w:tr>
    </w:tbl>
    <w:p>
      <w:pPr>
        <w:pStyle w:val="TextBody"/>
        <w:spacing w:before="240" w:after="0"/>
        <w:rPr>
          <w:rFonts w:ascii="Times New Roman" w:hAnsi="Times New Roman"/>
          <w:sz w:val="20"/>
        </w:rPr>
      </w:pPr>
      <w:r>
        <w:rPr>
          <w:rFonts w:ascii="Times New Roman" w:hAnsi="Times New Roman"/>
          <w:sz w:val="20"/>
        </w:rPr>
        <w:t xml:space="preserve">The debt securities may be secured or unsecured obligations. Unless the prospectus supplement states otherwise, principal (and premium, if any) and interest, if any, will be paid by us in immediately available funds. </w:t>
      </w:r>
    </w:p>
    <w:p>
      <w:pPr>
        <w:pStyle w:val="TextBody"/>
        <w:spacing w:before="240" w:after="0"/>
        <w:rPr>
          <w:rFonts w:ascii="Times New Roman" w:hAnsi="Times New Roman"/>
          <w:sz w:val="20"/>
        </w:rPr>
      </w:pPr>
      <w:r>
        <w:rPr>
          <w:rFonts w:ascii="Times New Roman" w:hAnsi="Times New Roman"/>
          <w:sz w:val="20"/>
        </w:rPr>
        <w:t xml:space="preserve">We are permitted, under specified conditions, to issue multiple classes of indebtedness and one class of shares senior to our common stock if our asset coverage, calculated pursuant to the 1940 Act, is at least equal to 150% immediately after each such issuance. In addition, while any indebtedness and senior securities remain outstanding, we must make provisions to prohibit the distribution to our stockholders or the repurchase of such indebtedness or securities unless we meet the applicable asset coverage ratios at the time of the distribution or repurchase. Specifically, we may be precluded from declaring dividends or repurchasing shares of our common stock unless our asset coverage is at least 150%. We may also borrow amounts up to 5% of the value of our total assets for temporary or emergency purposes without regard to asset coverage. For a discussion of the risks associated with leverage, see Risk FactorsRegulations governing our operation as a BDC affect our ability to, and the way in which we, raise additional capital in Part II, Item 1A of our 3Q 2022 Quarterly Report. </w:t>
      </w:r>
    </w:p>
    <w:p>
      <w:pPr>
        <w:pStyle w:val="TextBody"/>
        <w:spacing w:before="360" w:after="0"/>
        <w:rPr>
          <w:rFonts w:ascii="Times New Roman" w:hAnsi="Times New Roman"/>
          <w:b/>
          <w:sz w:val="20"/>
        </w:rPr>
      </w:pPr>
      <w:r>
        <w:rPr>
          <w:rFonts w:ascii="Times New Roman" w:hAnsi="Times New Roman"/>
          <w:b/>
          <w:sz w:val="20"/>
        </w:rPr>
        <w:t xml:space="preserve">General </w:t>
      </w:r>
    </w:p>
    <w:p>
      <w:pPr>
        <w:pStyle w:val="TextBody"/>
        <w:spacing w:before="120" w:after="0"/>
        <w:rPr>
          <w:rFonts w:ascii="Times New Roman" w:hAnsi="Times New Roman"/>
          <w:sz w:val="20"/>
        </w:rPr>
      </w:pPr>
      <w:r>
        <w:rPr>
          <w:rFonts w:ascii="Times New Roman" w:hAnsi="Times New Roman"/>
          <w:sz w:val="20"/>
        </w:rPr>
        <w:t xml:space="preserve">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 </w:t>
      </w:r>
    </w:p>
    <w:p>
      <w:pPr>
        <w:pStyle w:val="TextBody"/>
        <w:spacing w:before="240" w:after="0"/>
        <w:rPr>
          <w:rFonts w:ascii="Times New Roman" w:hAnsi="Times New Roman"/>
          <w:sz w:val="20"/>
        </w:rPr>
      </w:pPr>
      <w:r>
        <w:rPr>
          <w:rFonts w:ascii="Times New Roman" w:hAnsi="Times New Roman"/>
          <w:sz w:val="20"/>
        </w:rPr>
        <w:t xml:space="preserve">For purposes of this prospectus, any reference to the payment of principal of, or premium or interest, if any, on, debt securities will include additional amounts if required by the terms of the debt securities. </w:t>
      </w:r>
    </w:p>
    <w:p>
      <w:pPr>
        <w:pStyle w:val="TextBody"/>
        <w:spacing w:before="240" w:after="0"/>
        <w:rPr>
          <w:rFonts w:ascii="Times New Roman" w:hAnsi="Times New Roman"/>
          <w:sz w:val="20"/>
        </w:rPr>
      </w:pPr>
      <w:r>
        <w:rPr>
          <w:rFonts w:ascii="Times New Roman" w:hAnsi="Times New Roman"/>
          <w:sz w:val="20"/>
        </w:rPr>
        <w:t xml:space="preserve">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 </w:t>
      </w:r>
    </w:p>
    <w:p>
      <w:pPr>
        <w:pStyle w:val="TextBody"/>
        <w:spacing w:before="240" w:after="0"/>
        <w:rPr>
          <w:rFonts w:ascii="Times New Roman" w:hAnsi="Times New Roman"/>
          <w:sz w:val="20"/>
        </w:rPr>
      </w:pPr>
      <w:r>
        <w:rPr>
          <w:rFonts w:ascii="Times New Roman" w:hAnsi="Times New Roman"/>
          <w:sz w:val="20"/>
        </w:rPr>
        <w:t xml:space="preserve">The indenture does not contain any provisions that give you protection in the event we issue a large amount of debt or we are acquired by another entity. </w:t>
      </w:r>
    </w:p>
    <w:p>
      <w:pPr>
        <w:pStyle w:val="TextBody"/>
        <w:spacing w:before="240" w:after="0"/>
        <w:rPr>
          <w:rFonts w:ascii="Times New Roman" w:hAnsi="Times New Roman"/>
          <w:sz w:val="20"/>
        </w:rPr>
      </w:pPr>
      <w:r>
        <w:rPr>
          <w:rFonts w:ascii="Times New Roman" w:hAnsi="Times New Roman"/>
          <w:sz w:val="20"/>
        </w:rPr>
        <w:t xml:space="preserve">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 </w:t>
      </w:r>
    </w:p>
    <w:p>
      <w:pPr>
        <w:pStyle w:val="TextBody"/>
        <w:spacing w:before="240" w:after="0"/>
        <w:rPr>
          <w:rFonts w:ascii="Times New Roman" w:hAnsi="Times New Roman"/>
          <w:sz w:val="20"/>
        </w:rPr>
      </w:pPr>
      <w:r>
        <w:rPr>
          <w:rFonts w:ascii="Times New Roman" w:hAnsi="Times New Roman"/>
          <w:sz w:val="20"/>
        </w:rPr>
        <w:t xml:space="preserve">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 </w:t>
      </w:r>
    </w:p>
    <w:p>
      <w:pPr>
        <w:pStyle w:val="TextBody"/>
        <w:spacing w:before="240" w:after="0"/>
        <w:rPr>
          <w:rFonts w:ascii="Times New Roman" w:hAnsi="Times New Roman"/>
          <w:sz w:val="20"/>
        </w:rPr>
      </w:pPr>
      <w:r>
        <w:rPr>
          <w:rFonts w:ascii="Times New Roman" w:hAnsi="Times New Roman"/>
          <w:sz w:val="20"/>
        </w:rPr>
        <w:t xml:space="preserve">We expect that we will usually issue debt securities in book-entry only form represented by global securities. </w:t>
      </w:r>
    </w:p>
    <w:p>
      <w:pPr>
        <w:pStyle w:val="TextBody"/>
        <w:spacing w:before="360" w:after="0"/>
        <w:rPr>
          <w:rFonts w:ascii="Times New Roman" w:hAnsi="Times New Roman"/>
          <w:b/>
          <w:sz w:val="20"/>
        </w:rPr>
      </w:pPr>
      <w:r>
        <w:rPr>
          <w:rFonts w:ascii="Times New Roman" w:hAnsi="Times New Roman"/>
          <w:b/>
          <w:sz w:val="20"/>
        </w:rPr>
        <w:t xml:space="preserve">Conversion and Exchange </w:t>
      </w:r>
    </w:p>
    <w:p>
      <w:pPr>
        <w:pStyle w:val="TextBody"/>
        <w:spacing w:before="120" w:after="0"/>
        <w:rPr>
          <w:rFonts w:ascii="Times New Roman" w:hAnsi="Times New Roman"/>
          <w:sz w:val="20"/>
        </w:rPr>
      </w:pPr>
      <w:r>
        <w:rPr>
          <w:rFonts w:ascii="Times New Roman" w:hAnsi="Times New Roman"/>
          <w:sz w:val="20"/>
        </w:rPr>
        <w:t xml:space="preserve">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 </w:t>
      </w:r>
    </w:p>
    <w:p>
      <w:pPr>
        <w:pStyle w:val="TextBody"/>
        <w:spacing w:before="360" w:after="0"/>
        <w:rPr>
          <w:rFonts w:ascii="Times New Roman" w:hAnsi="Times New Roman"/>
          <w:b/>
          <w:sz w:val="20"/>
        </w:rPr>
      </w:pPr>
      <w:r>
        <w:rPr>
          <w:rFonts w:ascii="Times New Roman" w:hAnsi="Times New Roman"/>
          <w:b/>
          <w:sz w:val="20"/>
        </w:rPr>
        <w:t xml:space="preserve">Payment and Paying Agents </w:t>
      </w:r>
    </w:p>
    <w:p>
      <w:pPr>
        <w:pStyle w:val="TextBody"/>
        <w:spacing w:before="120" w:after="0"/>
        <w:rPr>
          <w:rFonts w:ascii="Times New Roman" w:hAnsi="Times New Roman"/>
          <w:sz w:val="20"/>
        </w:rPr>
      </w:pPr>
      <w:r>
        <w:rPr>
          <w:rFonts w:ascii="Times New Roman" w:hAnsi="Times New Roman"/>
          <w:sz w:val="20"/>
        </w:rPr>
        <w:t xml:space="preserve">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 </w:t>
      </w:r>
    </w:p>
    <w:p>
      <w:pPr>
        <w:pStyle w:val="TextBody"/>
        <w:spacing w:before="360" w:after="0"/>
        <w:rPr>
          <w:rFonts w:ascii="Times New Roman" w:hAnsi="Times New Roman"/>
          <w:b/>
          <w:sz w:val="20"/>
        </w:rPr>
      </w:pPr>
      <w:r>
        <w:rPr>
          <w:rFonts w:ascii="Times New Roman" w:hAnsi="Times New Roman"/>
          <w:b/>
          <w:sz w:val="20"/>
        </w:rPr>
        <w:t xml:space="preserve">Payments on Global Securities </w:t>
      </w:r>
    </w:p>
    <w:p>
      <w:pPr>
        <w:pStyle w:val="TextBody"/>
        <w:spacing w:before="120" w:after="0"/>
        <w:rPr>
          <w:rFonts w:ascii="Times New Roman" w:hAnsi="Times New Roman"/>
          <w:sz w:val="20"/>
        </w:rPr>
      </w:pPr>
      <w:r>
        <w:rPr>
          <w:rFonts w:ascii="Times New Roman" w:hAnsi="Times New Roman"/>
          <w:sz w:val="20"/>
        </w:rPr>
        <w:t xml:space="preserve">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w:t>
      </w:r>
    </w:p>
    <w:p>
      <w:pPr>
        <w:pStyle w:val="TextBody"/>
        <w:spacing w:before="360" w:after="0"/>
        <w:rPr>
          <w:rFonts w:ascii="Times New Roman" w:hAnsi="Times New Roman"/>
          <w:b/>
          <w:sz w:val="20"/>
        </w:rPr>
      </w:pPr>
      <w:r>
        <w:rPr>
          <w:rFonts w:ascii="Times New Roman" w:hAnsi="Times New Roman"/>
          <w:b/>
          <w:sz w:val="20"/>
        </w:rPr>
        <w:t xml:space="preserve">Payments on Certificated Securities </w:t>
      </w:r>
    </w:p>
    <w:p>
      <w:pPr>
        <w:pStyle w:val="TextBody"/>
        <w:spacing w:before="120" w:after="0"/>
        <w:rPr>
          <w:rFonts w:ascii="Times New Roman" w:hAnsi="Times New Roman"/>
          <w:sz w:val="20"/>
        </w:rPr>
      </w:pPr>
      <w:r>
        <w:rPr>
          <w:rFonts w:ascii="Times New Roman" w:hAnsi="Times New Roman"/>
          <w:sz w:val="20"/>
        </w:rPr>
        <w:t xml:space="preserve">We will make payments on a certificated debt security as follows. We will pay interest that is due on an interest payment date by check mailed on the interest payment date to the holder at his or her address shown 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the trustees records as of the close of business on the regular record date. We will make all payments of principal and premium, if any, by check at the office of the applicable trustee in New York, NY and/or at other offices that may be specified in the prospectus supplement or in a notice to holders against surrender of the debt security. </w:t>
      </w:r>
    </w:p>
    <w:p>
      <w:pPr>
        <w:pStyle w:val="TextBody"/>
        <w:spacing w:before="240" w:after="0"/>
        <w:rPr>
          <w:rFonts w:ascii="Times New Roman" w:hAnsi="Times New Roman"/>
          <w:sz w:val="20"/>
        </w:rPr>
      </w:pPr>
      <w:r>
        <w:rPr>
          <w:rFonts w:ascii="Times New Roman" w:hAnsi="Times New Roman"/>
          <w:sz w:val="20"/>
        </w:rPr>
        <w:t xml:space="preserve">Alternatively, if the holder asks us to do so, we will pay any amount that becomes due on the debt security by wire transfer of immediately available funds to an account at a bank in New York City,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 </w:t>
      </w:r>
    </w:p>
    <w:p>
      <w:pPr>
        <w:pStyle w:val="TextBody"/>
        <w:spacing w:before="360" w:after="0"/>
        <w:rPr>
          <w:rFonts w:ascii="Times New Roman" w:hAnsi="Times New Roman"/>
          <w:b/>
          <w:sz w:val="20"/>
        </w:rPr>
      </w:pPr>
      <w:r>
        <w:rPr>
          <w:rFonts w:ascii="Times New Roman" w:hAnsi="Times New Roman"/>
          <w:b/>
          <w:sz w:val="20"/>
        </w:rPr>
        <w:t xml:space="preserve">Payment When Offices Are Closed </w:t>
      </w:r>
    </w:p>
    <w:p>
      <w:pPr>
        <w:pStyle w:val="TextBody"/>
        <w:spacing w:before="120" w:after="0"/>
        <w:rPr>
          <w:rFonts w:ascii="Times New Roman" w:hAnsi="Times New Roman"/>
          <w:sz w:val="20"/>
        </w:rPr>
      </w:pPr>
      <w:r>
        <w:rPr>
          <w:rFonts w:ascii="Times New Roman" w:hAnsi="Times New Roman"/>
          <w:sz w:val="20"/>
        </w:rPr>
        <w:t xml:space="preserve">Except as otherwise indicated in the applicable prospectus supplement, 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applicable prospectus supplement. Such payment will not result in a default under any debt security or the indenture, and no interest will accrue on the payment amount from the original due date to the next day that is a business day. </w:t>
      </w:r>
    </w:p>
    <w:p>
      <w:pPr>
        <w:pStyle w:val="TextBody"/>
        <w:spacing w:before="240" w:after="0"/>
        <w:rPr>
          <w:rFonts w:ascii="Times New Roman" w:hAnsi="Times New Roman"/>
          <w:sz w:val="20"/>
        </w:rPr>
      </w:pPr>
      <w:r>
        <w:rPr>
          <w:rFonts w:ascii="Times New Roman" w:hAnsi="Times New Roman"/>
          <w:sz w:val="20"/>
        </w:rPr>
        <w:t xml:space="preserve">Book-entry and other indirect holders should consult their banks or brokers for information on how they will receive payments on their debt securities. </w:t>
      </w:r>
    </w:p>
    <w:p>
      <w:pPr>
        <w:pStyle w:val="TextBody"/>
        <w:spacing w:before="360" w:after="0"/>
        <w:rPr>
          <w:rFonts w:ascii="Times New Roman" w:hAnsi="Times New Roman"/>
          <w:b/>
          <w:sz w:val="20"/>
        </w:rPr>
      </w:pPr>
      <w:r>
        <w:rPr>
          <w:rFonts w:ascii="Times New Roman" w:hAnsi="Times New Roman"/>
          <w:b/>
          <w:sz w:val="20"/>
        </w:rPr>
        <w:t xml:space="preserve">Events of Default </w:t>
      </w:r>
    </w:p>
    <w:p>
      <w:pPr>
        <w:pStyle w:val="TextBody"/>
        <w:spacing w:before="120" w:after="0"/>
        <w:rPr>
          <w:rFonts w:ascii="Times New Roman" w:hAnsi="Times New Roman"/>
          <w:sz w:val="20"/>
        </w:rPr>
      </w:pPr>
      <w:r>
        <w:rPr>
          <w:rFonts w:ascii="Times New Roman" w:hAnsi="Times New Roman"/>
          <w:sz w:val="20"/>
        </w:rPr>
        <w:t xml:space="preserve">You will have rights if an Event of Default occurs in respect of the debt securities of your series and is not cured, as described later in this subsection. </w:t>
      </w:r>
    </w:p>
    <w:p>
      <w:pPr>
        <w:pStyle w:val="TextBody"/>
        <w:spacing w:before="240" w:after="0"/>
        <w:rPr>
          <w:rFonts w:ascii="Times New Roman" w:hAnsi="Times New Roman"/>
          <w:sz w:val="20"/>
        </w:rPr>
      </w:pPr>
      <w:r>
        <w:rPr>
          <w:rFonts w:ascii="Times New Roman" w:hAnsi="Times New Roman"/>
          <w:sz w:val="20"/>
        </w:rPr>
        <w:t xml:space="preserve">The term Event of Default in respect of the debt securities of your series means any of the following (unless the prospectus supplement relating to such debt securities states otherwise):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do not pay the principal of, or any premium on, a debt security of the series on its due date, including upon any redemption date or required repurchase date.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do not pay interest on a debt security of the series when due, and such default is not cured within 30 days.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do not deposit any sinking fund payment in respect of debt securities of the series on its due date, and do not cure this default within five days.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remain in breach of a covenant in respect of debt securities of the series for 60 days after we receive a written notice of default stating we are in breach. The notice must be sent by either the trustee (if a Responsible Officer has actual knowledge of such default) or holders of at least 25% of the principal amount of debt securities of the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file for bankruptcy or certain other events of bankruptcy, insolvency or reorganization occur and remain undischarged or unstayed for a period of 90 days.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or any of our significant subsidiaries (as defined in in Rule 1-02(w) of Regulation S-X, other than subsidiaries that are non-recourse or limited recourse subsidiaries, bankruptcy remote special purpose vehicles and any subsidiaries that are not consolidated with us for GAAP purposes) default, with respect to any mortgage, agreement or other instrument under which there may be outstanding, or by which there may be secured or evidenced, any indebtedness for money borrowed in excess of $50 million in the aggregate of us and/or any such subsidiary, (i) resulting in such indebtedness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916"/>
        <w:gridCol w:w="9289"/>
      </w:tblGrid>
      <w:tr>
        <w:trPr/>
        <w:tc>
          <w:tcPr>
            <w:tcW w:w="916" w:type="dxa"/>
            <w:tcBorders/>
            <w:shd w:fill="auto" w:val="clear"/>
            <w:vAlign w:val="center"/>
          </w:tcPr>
          <w:p>
            <w:pPr>
              <w:pStyle w:val="TableContents"/>
              <w:spacing w:before="0" w:after="283"/>
              <w:rPr/>
            </w:pPr>
            <w:r>
              <w:rPr/>
              <w:t> </w:t>
            </w:r>
          </w:p>
        </w:tc>
        <w:tc>
          <w:tcPr>
            <w:tcW w:w="9289" w:type="dxa"/>
            <w:tcBorders/>
            <w:shd w:fill="auto" w:val="clear"/>
          </w:tcPr>
          <w:p>
            <w:pPr>
              <w:pStyle w:val="TableContents"/>
              <w:spacing w:before="0" w:after="0"/>
              <w:rPr>
                <w:rFonts w:ascii="Times New Roman" w:hAnsi="Times New Roman"/>
                <w:sz w:val="20"/>
              </w:rPr>
            </w:pPr>
            <w:r>
              <w:rPr>
                <w:rFonts w:ascii="Times New Roman" w:hAnsi="Times New Roman"/>
                <w:sz w:val="20"/>
              </w:rPr>
              <w:t xml:space="preserve">becoming or being declared due and payable or (ii) constituting a failure to pay the principal or interest of any such debt when due and payable at its stated maturity, upon required repurchase, upon declaration of acceleration or otherwise, unless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debt securities of the series then outstanding.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On the last business day of each of twenty-four consecutive calendar months, we have an asset coverage of less than 100%, giving effect to any amendments to Section 18(a)(1)(C)(ii) and Section 61 of the 1940 Act or to any exemptive relief granted to us by the SEC.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Any other Event of Default in respect of debt securities of the series described in the applicable prospectus supplement occurs. </w:t>
            </w:r>
          </w:p>
        </w:tc>
      </w:tr>
    </w:tbl>
    <w:p>
      <w:pPr>
        <w:pStyle w:val="TextBody"/>
        <w:spacing w:before="240" w:after="0"/>
        <w:rPr>
          <w:rFonts w:ascii="Times New Roman" w:hAnsi="Times New Roman"/>
          <w:sz w:val="20"/>
        </w:rPr>
      </w:pPr>
      <w:r>
        <w:rPr>
          <w:rFonts w:ascii="Times New Roman" w:hAnsi="Times New Roman"/>
          <w:sz w:val="20"/>
        </w:rPr>
        <w:t xml:space="preserve">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determines in good faith that the withholding of notice is in the interests of the holders. </w:t>
      </w:r>
    </w:p>
    <w:p>
      <w:pPr>
        <w:pStyle w:val="TextBody"/>
        <w:spacing w:before="360" w:after="0"/>
        <w:rPr>
          <w:rFonts w:ascii="Times New Roman" w:hAnsi="Times New Roman"/>
          <w:b/>
          <w:i/>
          <w:sz w:val="20"/>
        </w:rPr>
      </w:pPr>
      <w:r>
        <w:rPr>
          <w:rFonts w:ascii="Times New Roman" w:hAnsi="Times New Roman"/>
          <w:b/>
          <w:i/>
          <w:sz w:val="20"/>
        </w:rPr>
        <w:t xml:space="preserve">Remedies If an Event of Default Occurs </w:t>
      </w:r>
    </w:p>
    <w:p>
      <w:pPr>
        <w:pStyle w:val="TextBody"/>
        <w:spacing w:before="120" w:after="0"/>
        <w:rPr>
          <w:rFonts w:ascii="Times New Roman" w:hAnsi="Times New Roman"/>
          <w:sz w:val="20"/>
        </w:rPr>
      </w:pPr>
      <w:r>
        <w:rPr>
          <w:rFonts w:ascii="Times New Roman" w:hAnsi="Times New Roman"/>
          <w:sz w:val="20"/>
        </w:rPr>
        <w:t xml:space="preserve">If an Event of Default has occurred and has not been cured, the trustee (if a Responsible Officer has actual knowledge of such Event of Default) or the holders of at least 25% in principal amount of the debt securities of the affected series may declare the entire principal amount of all the debt securities of that series to be due and immediately payable. This is called a declaration of acceleration of maturity. In certain circumstances, a declaration of acceleration of maturity may be canceled by the holders of a majority in principal amount of the debt securities of the affected series. </w:t>
      </w:r>
    </w:p>
    <w:p>
      <w:pPr>
        <w:pStyle w:val="TextBody"/>
        <w:spacing w:before="240" w:after="0"/>
        <w:rPr>
          <w:rFonts w:ascii="Times New Roman" w:hAnsi="Times New Roman"/>
          <w:sz w:val="20"/>
        </w:rPr>
      </w:pPr>
      <w:r>
        <w:rPr>
          <w:rFonts w:ascii="Times New Roman" w:hAnsi="Times New Roman"/>
          <w:sz w:val="20"/>
        </w:rPr>
        <w:t xml:space="preserve">The trustee is not required to take any action under the indenture at the request of any holders unless the holders offer the trustee protection from expenses and liability (called an indemnity) (Section 315 of the Trust Indenture Act of 1939). If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 </w:t>
      </w:r>
    </w:p>
    <w:p>
      <w:pPr>
        <w:pStyle w:val="TextBody"/>
        <w:spacing w:before="240" w:after="0"/>
        <w:rPr>
          <w:rFonts w:ascii="Times New Roman" w:hAnsi="Times New Roman"/>
          <w:sz w:val="20"/>
        </w:rPr>
      </w:pPr>
      <w:r>
        <w:rPr>
          <w:rFonts w:ascii="Times New Roman" w:hAnsi="Times New Roman"/>
          <w:sz w:val="20"/>
        </w:rPr>
        <w:t xml:space="preserve">Before you are allowed to bypass your trustee and bring your own lawsuit or other formal legal action or take other steps to enforce your rights or protect your interests relating to the debt securities, the following must occur: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You must give your trustee written notice that an Event of Default has occurred and remains uncured.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holders of at least 25% in principal amount of all outstanding debt securities of the relevant series must make a written request that the trustee take action because of the default and must offer indemnity to the trustee against the cost and other liabilities of taking that action.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trustee must not have taken action for 60 days after receipt of the above notice and offer of indemnity.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holders of a majority in principal amount of the debt securities must not have given the trustee a direction inconsistent with the above notice during that 60 day period. </w:t>
            </w:r>
          </w:p>
        </w:tc>
      </w:tr>
    </w:tbl>
    <w:p>
      <w:pPr>
        <w:pStyle w:val="TextBody"/>
        <w:spacing w:before="240" w:after="0"/>
        <w:rPr>
          <w:rFonts w:ascii="Times New Roman" w:hAnsi="Times New Roman"/>
          <w:sz w:val="20"/>
        </w:rPr>
      </w:pPr>
      <w:r>
        <w:rPr>
          <w:rFonts w:ascii="Times New Roman" w:hAnsi="Times New Roman"/>
          <w:sz w:val="20"/>
        </w:rPr>
        <w:t xml:space="preserve">However, you are entitled at any time to bring a lawsuit for the payment of money due on your debt securities on or after the due date.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Holders of a majority in principal amount of the debt securities of the affected series may waive any past defaults other than: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the payment of principal, any premium or interest; or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in respect of a covenant that cannot be modified or amended without the consent of each holder. </w:t>
            </w:r>
          </w:p>
        </w:tc>
      </w:tr>
    </w:tbl>
    <w:p>
      <w:pPr>
        <w:pStyle w:val="TextBody"/>
        <w:spacing w:before="360" w:after="0"/>
        <w:rPr>
          <w:rFonts w:ascii="Times New Roman" w:hAnsi="Times New Roman"/>
          <w:b/>
          <w:sz w:val="20"/>
        </w:rPr>
      </w:pPr>
      <w:r>
        <w:rPr>
          <w:rFonts w:ascii="Times New Roman" w:hAnsi="Times New Roman"/>
          <w:b/>
          <w:sz w:val="20"/>
        </w:rPr>
        <w:t xml:space="preserve">Book-entry and other indirect holders should consult their banks or brokers for information on how to give notice or direction to or make a request of the trustee and how to declare or cancel an acceleration of maturity. </w:t>
      </w:r>
    </w:p>
    <w:p>
      <w:pPr>
        <w:pStyle w:val="TextBody"/>
        <w:spacing w:before="120" w:after="0"/>
        <w:rPr>
          <w:rFonts w:ascii="Times New Roman" w:hAnsi="Times New Roman"/>
          <w:sz w:val="20"/>
        </w:rPr>
      </w:pPr>
      <w:r>
        <w:rPr>
          <w:rFonts w:ascii="Times New Roman" w:hAnsi="Times New Roman"/>
          <w:sz w:val="20"/>
        </w:rPr>
        <w:t xml:space="preserve">Each year, we will furnish to each trustee a written statement of certain of our officers certifying that to their knowledge we are in compliance with the indenture and the debt securities, or else specifying any default. </w:t>
      </w:r>
    </w:p>
    <w:p>
      <w:pPr>
        <w:pStyle w:val="TextBody"/>
        <w:spacing w:before="360" w:after="0"/>
        <w:rPr>
          <w:rFonts w:ascii="Times New Roman" w:hAnsi="Times New Roman"/>
          <w:b/>
          <w:sz w:val="20"/>
        </w:rPr>
      </w:pPr>
      <w:r>
        <w:rPr>
          <w:rFonts w:ascii="Times New Roman" w:hAnsi="Times New Roman"/>
          <w:b/>
          <w:sz w:val="20"/>
        </w:rPr>
        <w:t xml:space="preserve">Covenants </w:t>
      </w:r>
    </w:p>
    <w:p>
      <w:pPr>
        <w:pStyle w:val="TextBody"/>
        <w:spacing w:before="120" w:after="0"/>
        <w:rPr>
          <w:rFonts w:ascii="Times New Roman" w:hAnsi="Times New Roman"/>
          <w:b/>
          <w:i/>
          <w:sz w:val="20"/>
        </w:rPr>
      </w:pPr>
      <w:r>
        <w:rPr>
          <w:rFonts w:ascii="Times New Roman" w:hAnsi="Times New Roman"/>
          <w:b/>
          <w:i/>
          <w:sz w:val="20"/>
        </w:rPr>
        <w:t xml:space="preserve">Merger, Consolidation or Sale of Assets </w:t>
      </w:r>
    </w:p>
    <w:p>
      <w:pPr>
        <w:pStyle w:val="TextBody"/>
        <w:spacing w:before="120" w:after="0"/>
        <w:rPr>
          <w:rFonts w:ascii="Times New Roman" w:hAnsi="Times New Roman"/>
          <w:sz w:val="20"/>
        </w:rPr>
      </w:pPr>
      <w:r>
        <w:rPr>
          <w:rFonts w:ascii="Times New Roman" w:hAnsi="Times New Roman"/>
          <w:sz w:val="20"/>
        </w:rPr>
        <w:t xml:space="preserve">Under the terms of the indenture, we are generally permitted to consolidate or merge with another entity. We are also permitted to sell all or substantially all of our assets to another entity. However, unless the prospectus supplement relating to certain debt securities states otherwise, we may not take any of these actions unless all the following conditions are met: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Where we merge out of existence or sell all or substantially all our assets, the resulting entity or transferee must be organized and existing in the United States and must agree to be legally responsible for our obligations under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Immediately before and immediately after giving effect to such transaction, no Default or Event of Default shall have happened and be continuing.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must deliver certain certificates and documents to the trustee.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must satisfy any other requirements specified in the prospectus supplement relating to a particular series of debt securities. </w:t>
            </w:r>
          </w:p>
        </w:tc>
      </w:tr>
    </w:tbl>
    <w:p>
      <w:pPr>
        <w:pStyle w:val="TextBody"/>
        <w:spacing w:before="360" w:after="0"/>
        <w:rPr>
          <w:rFonts w:ascii="Times New Roman" w:hAnsi="Times New Roman"/>
          <w:b/>
          <w:i/>
          <w:sz w:val="20"/>
        </w:rPr>
      </w:pPr>
      <w:r>
        <w:rPr>
          <w:rFonts w:ascii="Times New Roman" w:hAnsi="Times New Roman"/>
          <w:b/>
          <w:i/>
          <w:sz w:val="20"/>
        </w:rPr>
        <w:t xml:space="preserve">Other Covenants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 the period of time during which debt securities of any series are outstanding, we will not violate, whether or not we are subject thereto, Section 18(a)(1)(A) as modified by Section 61(a)(1) and (2) of the 1940 Act or any successor provisions, but giving effect, in either case, to any exemptive relief granted to us by the SEC.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at any time, we are not subject to the reporting requirements of Sections 13 or 15(d) of the Exchange Act to file any periodic reports with the SEC, we agree to furnish to holders of the any series of debt securities outstanding and the trustee, for the period of time during which the such debt securities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GAAP, as applicable. </w:t>
            </w:r>
          </w:p>
        </w:tc>
      </w:tr>
    </w:tbl>
    <w:p>
      <w:pPr>
        <w:pStyle w:val="TextBody"/>
        <w:spacing w:before="360" w:after="0"/>
        <w:rPr>
          <w:rFonts w:ascii="Times New Roman" w:hAnsi="Times New Roman"/>
          <w:b/>
          <w:sz w:val="20"/>
        </w:rPr>
      </w:pPr>
      <w:r>
        <w:rPr>
          <w:rFonts w:ascii="Times New Roman" w:hAnsi="Times New Roman"/>
          <w:b/>
          <w:sz w:val="20"/>
        </w:rPr>
        <w:t xml:space="preserve">Modification or Waiver </w:t>
      </w:r>
    </w:p>
    <w:p>
      <w:pPr>
        <w:pStyle w:val="TextBody"/>
        <w:spacing w:before="120" w:after="0"/>
        <w:rPr>
          <w:rFonts w:ascii="Times New Roman" w:hAnsi="Times New Roman"/>
          <w:sz w:val="20"/>
        </w:rPr>
      </w:pPr>
      <w:r>
        <w:rPr>
          <w:rFonts w:ascii="Times New Roman" w:hAnsi="Times New Roman"/>
          <w:sz w:val="20"/>
        </w:rPr>
        <w:t xml:space="preserve">There are three types of changes we can make to the indenture and the debt securities issued thereunder. </w:t>
      </w:r>
    </w:p>
    <w:p>
      <w:pPr>
        <w:pStyle w:val="TextBody"/>
        <w:spacing w:before="360" w:after="0"/>
        <w:rPr>
          <w:rFonts w:ascii="Times New Roman" w:hAnsi="Times New Roman"/>
          <w:b/>
          <w:i/>
          <w:sz w:val="20"/>
        </w:rPr>
      </w:pPr>
      <w:r>
        <w:rPr>
          <w:rFonts w:ascii="Times New Roman" w:hAnsi="Times New Roman"/>
          <w:b/>
          <w:i/>
          <w:sz w:val="20"/>
        </w:rPr>
        <w:t xml:space="preserve">Changes Requiring Your Approval </w:t>
      </w:r>
    </w:p>
    <w:p>
      <w:pPr>
        <w:pStyle w:val="TextBody"/>
        <w:spacing w:before="120" w:after="0"/>
        <w:rPr>
          <w:rFonts w:ascii="Times New Roman" w:hAnsi="Times New Roman"/>
          <w:sz w:val="20"/>
        </w:rPr>
      </w:pPr>
      <w:r>
        <w:rPr>
          <w:rFonts w:ascii="Times New Roman" w:hAnsi="Times New Roman"/>
          <w:sz w:val="20"/>
        </w:rPr>
        <w:t xml:space="preserve">First, there are changes that we cannot make to your debt securities without your specific approval. The following is a list of those types of changes: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8"/>
        <w:gridCol w:w="306"/>
        <w:gridCol w:w="101"/>
        <w:gridCol w:w="9290"/>
      </w:tblGrid>
      <w:tr>
        <w:trPr/>
        <w:tc>
          <w:tcPr>
            <w:tcW w:w="5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 the stated maturity of the principal of or interest on a debt security;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reduce any amounts due on a debt security;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reduce the amount of principal payable upon acceleration of the maturity of a security following a default;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adversely affect any right of repayment at the holders option;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 the place (except as otherwise described in the prospectus or prospectus supplement) or currency of payment on a debt security;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impair your right to sue for payment;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adversely affect any right to convert or exchange a debt security in accordance with its terms;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modify the subordination provisions in the indenture in a manner that is adverse to outstanding holders of the debt securities;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reduce the percentage of holders of debt securities whose consent is needed to modify or amend the indenture;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reduce the percentage of holders of debt securities whose consent is needed to waive compliance with certain provisions of the indenture or to waive certain defaults;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modify certain of the provisions of the indenture dealing with supplemental indentures, modification and waiver of past defaults, changes to the quorum or voting requirements or the waiver of certain covenants;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change any obligation we have to pay additional amounts. </w:t>
            </w:r>
          </w:p>
        </w:tc>
      </w:tr>
    </w:tbl>
    <w:p>
      <w:pPr>
        <w:pStyle w:val="TextBody"/>
        <w:spacing w:before="360" w:after="0"/>
        <w:rPr>
          <w:rFonts w:ascii="Times New Roman" w:hAnsi="Times New Roman"/>
          <w:b/>
          <w:i/>
          <w:sz w:val="20"/>
        </w:rPr>
      </w:pPr>
      <w:r>
        <w:rPr>
          <w:rFonts w:ascii="Times New Roman" w:hAnsi="Times New Roman"/>
          <w:b/>
          <w:i/>
          <w:sz w:val="20"/>
        </w:rPr>
        <w:t xml:space="preserve">Changes Not Requiring Approval </w:t>
      </w:r>
    </w:p>
    <w:p>
      <w:pPr>
        <w:pStyle w:val="TextBody"/>
        <w:spacing w:before="120" w:after="0"/>
        <w:rPr>
          <w:rFonts w:ascii="Times New Roman" w:hAnsi="Times New Roman"/>
          <w:sz w:val="20"/>
        </w:rPr>
      </w:pPr>
      <w:r>
        <w:rPr>
          <w:rFonts w:ascii="Times New Roman" w:hAnsi="Times New Roman"/>
          <w:sz w:val="20"/>
        </w:rPr>
        <w:t xml:space="preserve">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including adding additional covenants or event of default. We also do not need any approval to make any change that affects only debt securities to be issued under the indenture after the change takes effect. </w:t>
      </w:r>
    </w:p>
    <w:p>
      <w:pPr>
        <w:pStyle w:val="TextBody"/>
        <w:spacing w:before="360" w:after="0"/>
        <w:rPr>
          <w:rFonts w:ascii="Times New Roman" w:hAnsi="Times New Roman"/>
          <w:b/>
          <w:i/>
          <w:sz w:val="20"/>
        </w:rPr>
      </w:pPr>
      <w:r>
        <w:rPr>
          <w:rFonts w:ascii="Times New Roman" w:hAnsi="Times New Roman"/>
          <w:b/>
          <w:i/>
          <w:sz w:val="20"/>
        </w:rPr>
        <w:t xml:space="preserve">Changes Requiring Majority Approval </w:t>
      </w:r>
    </w:p>
    <w:p>
      <w:pPr>
        <w:pStyle w:val="TextBody"/>
        <w:spacing w:before="120" w:after="0"/>
        <w:rPr>
          <w:rFonts w:ascii="Times New Roman" w:hAnsi="Times New Roman"/>
          <w:sz w:val="20"/>
        </w:rPr>
      </w:pPr>
      <w:r>
        <w:rPr>
          <w:rFonts w:ascii="Times New Roman" w:hAnsi="Times New Roman"/>
          <w:sz w:val="20"/>
        </w:rPr>
        <w:t xml:space="preserve">Any other change to the indenture and the debt securities would require the following approval: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the change affects only one series of debt securities, it must be approved by the holders of a majority in principal amount of that series.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the change affects more than one series of debt securities issued under the same indenture, it must be approved by the holders of a majority in principal amount of all of the series affected by the change, with all affected series voting together as one class for this purpose. </w:t>
            </w:r>
          </w:p>
        </w:tc>
      </w:tr>
    </w:tbl>
    <w:p>
      <w:pPr>
        <w:pStyle w:val="TextBody"/>
        <w:spacing w:before="240" w:after="0"/>
        <w:rPr>
          <w:rFonts w:ascii="Times New Roman" w:hAnsi="Times New Roman"/>
          <w:sz w:val="20"/>
        </w:rPr>
      </w:pPr>
      <w:r>
        <w:rPr>
          <w:rFonts w:ascii="Times New Roman" w:hAnsi="Times New Roman"/>
          <w:sz w:val="20"/>
        </w:rPr>
        <w:t xml:space="preserve">The holders of a majority in principal amount of a series of debt securities issued under an indenture, or all series, voting together as one class for this purpose, may waive our compliance with some of our covenants in that indenture. However, we cannot obtain a waiver of a payment default or of any of the matters covered by the bullet points included above under Changes Requiring Your Approval. </w:t>
      </w:r>
    </w:p>
    <w:p>
      <w:pPr>
        <w:pStyle w:val="TextBody"/>
        <w:spacing w:before="360" w:after="0"/>
        <w:rPr>
          <w:rFonts w:ascii="Times New Roman" w:hAnsi="Times New Roman"/>
          <w:b/>
          <w:sz w:val="20"/>
        </w:rPr>
      </w:pPr>
      <w:r>
        <w:rPr>
          <w:rFonts w:ascii="Times New Roman" w:hAnsi="Times New Roman"/>
          <w:b/>
          <w:sz w:val="20"/>
        </w:rPr>
        <w:t xml:space="preserve">Further Details Concerning Voting </w:t>
      </w:r>
    </w:p>
    <w:p>
      <w:pPr>
        <w:pStyle w:val="TextBody"/>
        <w:spacing w:before="120" w:after="0"/>
        <w:rPr>
          <w:rFonts w:ascii="Times New Roman" w:hAnsi="Times New Roman"/>
          <w:sz w:val="20"/>
        </w:rPr>
      </w:pPr>
      <w:r>
        <w:rPr>
          <w:rFonts w:ascii="Times New Roman" w:hAnsi="Times New Roman"/>
          <w:sz w:val="20"/>
        </w:rPr>
        <w:t xml:space="preserve">When taking a vote, we will use the following rules to decide how much principal to attribute to a debt security: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1"/>
        <w:gridCol w:w="9289"/>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 original issue discount securities, we will use the principal amount that would be due and payable on the voting date if the maturity of these debt securities were accelerated to that date because of a default.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10"/>
        <w:gridCol w:w="306"/>
        <w:gridCol w:w="102"/>
        <w:gridCol w:w="9287"/>
      </w:tblGrid>
      <w:tr>
        <w:trPr/>
        <w:tc>
          <w:tcPr>
            <w:tcW w:w="510"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 debt securities whose principal amount is not known (for example, because it is based on an index), we will use a special rule for that debt security described in the prospectus supplement.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For debt securities denominated in one or more foreign currencies, we will use the U.S. dollar equivalent.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10"/>
        <w:gridCol w:w="305"/>
        <w:gridCol w:w="102"/>
        <w:gridCol w:w="9288"/>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Debt securities will not be considered outstanding, and therefore not eligible to vote, if we have deposited or set aside in trust money for their payment or redemption. Debt securities will also not be eligible to vote if they have been fully defeased as described later under DefeasanceFull Defeasance. </w:t>
            </w:r>
          </w:p>
        </w:tc>
      </w:tr>
    </w:tbl>
    <w:p>
      <w:pPr>
        <w:pStyle w:val="TextBody"/>
        <w:spacing w:before="240" w:after="0"/>
        <w:rPr>
          <w:rFonts w:ascii="Times New Roman" w:hAnsi="Times New Roman"/>
          <w:sz w:val="20"/>
        </w:rPr>
      </w:pPr>
      <w:r>
        <w:rPr>
          <w:rFonts w:ascii="Times New Roman" w:hAnsi="Times New Roman"/>
          <w:sz w:val="20"/>
        </w:rPr>
        <w:t xml:space="preserve">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 </w:t>
      </w:r>
    </w:p>
    <w:p>
      <w:pPr>
        <w:pStyle w:val="TextBody"/>
        <w:spacing w:before="240" w:after="0"/>
        <w:rPr>
          <w:rFonts w:ascii="Times New Roman" w:hAnsi="Times New Roman"/>
          <w:sz w:val="20"/>
        </w:rPr>
      </w:pPr>
      <w:r>
        <w:rPr>
          <w:rFonts w:ascii="Times New Roman" w:hAnsi="Times New Roman"/>
          <w:sz w:val="20"/>
        </w:rPr>
        <w:t xml:space="preserve">Book-entry and other indirect holders should consult their banks or brokers for information on how approval may be granted or denied if we seek to change the indenture or the debt securities or request a waiver. </w:t>
      </w:r>
    </w:p>
    <w:p>
      <w:pPr>
        <w:pStyle w:val="TextBody"/>
        <w:spacing w:before="360" w:after="0"/>
        <w:rPr>
          <w:rFonts w:ascii="Times New Roman" w:hAnsi="Times New Roman"/>
          <w:b/>
          <w:sz w:val="20"/>
        </w:rPr>
      </w:pPr>
      <w:r>
        <w:rPr>
          <w:rFonts w:ascii="Times New Roman" w:hAnsi="Times New Roman"/>
          <w:b/>
          <w:sz w:val="20"/>
        </w:rPr>
        <w:t xml:space="preserve">Defeasance </w:t>
      </w:r>
    </w:p>
    <w:p>
      <w:pPr>
        <w:pStyle w:val="TextBody"/>
        <w:spacing w:before="120" w:after="0"/>
        <w:rPr>
          <w:rFonts w:ascii="Times New Roman" w:hAnsi="Times New Roman"/>
          <w:sz w:val="20"/>
        </w:rPr>
      </w:pPr>
      <w:r>
        <w:rPr>
          <w:rFonts w:ascii="Times New Roman" w:hAnsi="Times New Roman"/>
          <w:sz w:val="20"/>
        </w:rPr>
        <w:t xml:space="preserve">The following provisions will be applicable to each series of debt securities unless we state in the applicable prospectus supplement that the provisions of covenant defeasance and full defeasance will not be applicable to that series. </w:t>
      </w:r>
    </w:p>
    <w:p>
      <w:pPr>
        <w:pStyle w:val="TextBody"/>
        <w:spacing w:before="360" w:after="0"/>
        <w:rPr>
          <w:rFonts w:ascii="Times New Roman" w:hAnsi="Times New Roman"/>
          <w:b/>
          <w:i/>
          <w:sz w:val="20"/>
        </w:rPr>
      </w:pPr>
      <w:r>
        <w:rPr>
          <w:rFonts w:ascii="Times New Roman" w:hAnsi="Times New Roman"/>
          <w:b/>
          <w:i/>
          <w:sz w:val="20"/>
        </w:rPr>
        <w:t xml:space="preserve">Covenant Defeasance </w:t>
      </w:r>
    </w:p>
    <w:p>
      <w:pPr>
        <w:pStyle w:val="TextBody"/>
        <w:spacing w:before="120" w:after="0"/>
        <w:rPr>
          <w:rFonts w:ascii="Times New Roman" w:hAnsi="Times New Roman"/>
          <w:sz w:val="20"/>
        </w:rPr>
      </w:pPr>
      <w:r>
        <w:rPr>
          <w:rFonts w:ascii="Times New Roman" w:hAnsi="Times New Roman"/>
          <w:sz w:val="20"/>
        </w:rPr>
        <w:t xml:space="preserve">If certain conditions are satisfied,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Indenture ProvisionsSubordination below. In order to achieve covenant defeasance, we must do the following: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must deliver to the trustee a legal opinion of our counsel confirming that, under current U.S. federal income tax law, we may make the above deposit without causing you to be taxed on the debt securities any differently than if we did not make the deposit and repaid the debt securities at maturity.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must deliver to the trustee a legal opinion and officers certificate stating that all conditions precedent to covenant defeasance have been complied with. </w:t>
            </w:r>
          </w:p>
        </w:tc>
      </w:tr>
    </w:tbl>
    <w:p>
      <w:pPr>
        <w:pStyle w:val="TextBody"/>
        <w:spacing w:before="240" w:after="0"/>
        <w:rPr>
          <w:rFonts w:ascii="Times New Roman" w:hAnsi="Times New Roman"/>
          <w:sz w:val="20"/>
        </w:rPr>
      </w:pPr>
      <w:r>
        <w:rPr>
          <w:rFonts w:ascii="Times New Roman" w:hAnsi="Times New Roman"/>
          <w:sz w:val="20"/>
        </w:rPr>
        <w:t xml:space="preserve">If we accomplished covenant defeasance, you can still look to us for repayment of the debt securities if there were a shortfall in the trust deposit or the trustee is prevented from making payment. For example, if one of the remaining Events of Default occurred (such as our bankruptcy) and the debt securities became immediately due and payable, there might be a shortfall. Depending on the event causing the default, you may not be able to obtain payment of the shortfall.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i/>
          <w:sz w:val="20"/>
        </w:rPr>
      </w:pPr>
      <w:r>
        <w:rPr>
          <w:rFonts w:ascii="Times New Roman" w:hAnsi="Times New Roman"/>
          <w:b/>
          <w:i/>
          <w:sz w:val="20"/>
        </w:rPr>
        <w:t xml:space="preserve">Full Defeasance </w:t>
      </w:r>
    </w:p>
    <w:p>
      <w:pPr>
        <w:pStyle w:val="TextBody"/>
        <w:spacing w:before="120" w:after="0"/>
        <w:rPr>
          <w:rFonts w:ascii="Times New Roman" w:hAnsi="Times New Roman"/>
          <w:sz w:val="20"/>
        </w:rPr>
      </w:pPr>
      <w:r>
        <w:rPr>
          <w:rFonts w:ascii="Times New Roman" w:hAnsi="Times New Roman"/>
          <w:sz w:val="20"/>
        </w:rPr>
        <w:t xml:space="preserve">If there is a change in U.S. federal tax law, as described below, we can legally release ourselves from all payment and other obligations on the debt securities of a particular series (called full defeasance) if we put in place the following other arrangements for you to be repaid: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If the debt securities of the particular series are denominated in U.S. dollars, we must deposit in trust for the benefit of all holders of such debt securities a combination of money and United States government or United States government agency notes or bonds that will generate enough cash to make interest, principal and any other payments on the debt securities on their various due dates.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and repaid the debt securities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We must deliver to the trustee a legal opinion and officers certificate stating that all conditions precedent to defeasance have been complied with. </w:t>
            </w:r>
          </w:p>
        </w:tc>
      </w:tr>
    </w:tbl>
    <w:p>
      <w:pPr>
        <w:pStyle w:val="TextBody"/>
        <w:spacing w:before="240" w:after="0"/>
        <w:rPr>
          <w:rFonts w:ascii="Times New Roman" w:hAnsi="Times New Roman"/>
          <w:sz w:val="20"/>
        </w:rPr>
      </w:pPr>
      <w:r>
        <w:rPr>
          <w:rFonts w:ascii="Times New Roman" w:hAnsi="Times New Roman"/>
          <w:sz w:val="20"/>
        </w:rPr>
        <w:t xml:space="preserve">If we ever accomplished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Indenture ProvisionsSubordination. </w:t>
      </w:r>
    </w:p>
    <w:p>
      <w:pPr>
        <w:pStyle w:val="TextBody"/>
        <w:spacing w:before="360" w:after="0"/>
        <w:rPr>
          <w:rFonts w:ascii="Times New Roman" w:hAnsi="Times New Roman"/>
          <w:b/>
          <w:sz w:val="20"/>
        </w:rPr>
      </w:pPr>
      <w:r>
        <w:rPr>
          <w:rFonts w:ascii="Times New Roman" w:hAnsi="Times New Roman"/>
          <w:b/>
          <w:sz w:val="20"/>
        </w:rPr>
        <w:t xml:space="preserve">Form, Exchange and Transfer of Certificated Registered Securities </w:t>
      </w:r>
    </w:p>
    <w:p>
      <w:pPr>
        <w:pStyle w:val="TextBody"/>
        <w:spacing w:before="120" w:after="0"/>
        <w:rPr>
          <w:rFonts w:ascii="Times New Roman" w:hAnsi="Times New Roman"/>
          <w:sz w:val="20"/>
        </w:rPr>
      </w:pPr>
      <w:r>
        <w:rPr>
          <w:rFonts w:ascii="Times New Roman" w:hAnsi="Times New Roman"/>
          <w:sz w:val="20"/>
        </w:rPr>
        <w:t xml:space="preserve">Holders may exchange their certificated securities, if any, for debt securities of smaller denominations or combined into fewer debt securities of larger denominations, as long as the total principal amount is not changed. </w:t>
      </w:r>
    </w:p>
    <w:p>
      <w:pPr>
        <w:pStyle w:val="TextBody"/>
        <w:spacing w:before="240" w:after="0"/>
        <w:rPr>
          <w:rFonts w:ascii="Times New Roman" w:hAnsi="Times New Roman"/>
          <w:sz w:val="20"/>
        </w:rPr>
      </w:pPr>
      <w:r>
        <w:rPr>
          <w:rFonts w:ascii="Times New Roman" w:hAnsi="Times New Roman"/>
          <w:sz w:val="20"/>
        </w:rPr>
        <w:t xml:space="preserve">Holders may exchange or transfer their certificated securities, if any, at the office of their trustee. We have appointed the trustee to act as our agent for registering debt securities in the names of holders transferring debt securities. We may appoint another entity to perform these functions or perform them ourselves. </w:t>
      </w:r>
    </w:p>
    <w:p>
      <w:pPr>
        <w:pStyle w:val="TextBody"/>
        <w:spacing w:before="240" w:after="0"/>
        <w:rPr>
          <w:rFonts w:ascii="Times New Roman" w:hAnsi="Times New Roman"/>
          <w:sz w:val="20"/>
        </w:rPr>
      </w:pPr>
      <w:r>
        <w:rPr>
          <w:rFonts w:ascii="Times New Roman" w:hAnsi="Times New Roman"/>
          <w:sz w:val="20"/>
        </w:rPr>
        <w:t xml:space="preserve">Holders will not be required to pay a service charge to transfer or exchange their certificated securities, if any, but they may be required to pay any tax or other governmental charge associated with the transfer or exchange. The transfer or exchange will be made only if our transfer agent is satisfied with the holders proof of legal ownership. </w:t>
      </w:r>
    </w:p>
    <w:p>
      <w:pPr>
        <w:pStyle w:val="TextBody"/>
        <w:spacing w:before="240" w:after="0"/>
        <w:rPr>
          <w:rFonts w:ascii="Times New Roman" w:hAnsi="Times New Roman"/>
          <w:sz w:val="20"/>
        </w:rPr>
      </w:pPr>
      <w:r>
        <w:rPr>
          <w:rFonts w:ascii="Times New Roman" w:hAnsi="Times New Roman"/>
          <w:sz w:val="20"/>
        </w:rPr>
        <w:t xml:space="preserve">If we have designated additional transfer agents for your debt security, they will be named in your prospectus supplement. We may appoint additional transfer agents or cancel the appointment of any particular transfer agent. We may also approve a change in the office through which any transfer agent acts. </w:t>
      </w:r>
    </w:p>
    <w:p>
      <w:pPr>
        <w:pStyle w:val="TextBody"/>
        <w:spacing w:before="240" w:after="0"/>
        <w:rPr>
          <w:rFonts w:ascii="Times New Roman" w:hAnsi="Times New Roman"/>
          <w:sz w:val="20"/>
        </w:rPr>
      </w:pPr>
      <w:r>
        <w:rPr>
          <w:rFonts w:ascii="Times New Roman" w:hAnsi="Times New Roman"/>
          <w:sz w:val="20"/>
        </w:rPr>
        <w:t xml:space="preserve">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b/>
          <w:sz w:val="20"/>
        </w:rPr>
      </w:pPr>
      <w:r>
        <w:rPr>
          <w:rFonts w:ascii="Times New Roman" w:hAnsi="Times New Roman"/>
          <w:b/>
          <w:sz w:val="20"/>
        </w:rPr>
        <w:t xml:space="preserve">Resignation of Trustee </w:t>
      </w:r>
    </w:p>
    <w:p>
      <w:pPr>
        <w:pStyle w:val="TextBody"/>
        <w:spacing w:before="120" w:after="0"/>
        <w:rPr>
          <w:rFonts w:ascii="Times New Roman" w:hAnsi="Times New Roman"/>
          <w:sz w:val="20"/>
        </w:rPr>
      </w:pPr>
      <w:r>
        <w:rPr>
          <w:rFonts w:ascii="Times New Roman" w:hAnsi="Times New Roman"/>
          <w:sz w:val="20"/>
        </w:rPr>
        <w:t xml:space="preserve">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 </w:t>
      </w:r>
    </w:p>
    <w:p>
      <w:pPr>
        <w:pStyle w:val="TextBody"/>
        <w:spacing w:before="360" w:after="0"/>
        <w:rPr>
          <w:rFonts w:ascii="Times New Roman" w:hAnsi="Times New Roman"/>
          <w:b/>
          <w:sz w:val="20"/>
        </w:rPr>
      </w:pPr>
      <w:r>
        <w:rPr>
          <w:rFonts w:ascii="Times New Roman" w:hAnsi="Times New Roman"/>
          <w:b/>
          <w:sz w:val="20"/>
        </w:rPr>
        <w:t xml:space="preserve">Indenture ProvisionsSubordination </w:t>
      </w:r>
    </w:p>
    <w:p>
      <w:pPr>
        <w:pStyle w:val="TextBody"/>
        <w:spacing w:before="120" w:after="0"/>
        <w:rPr>
          <w:rFonts w:ascii="Times New Roman" w:hAnsi="Times New Roman"/>
          <w:sz w:val="20"/>
        </w:rPr>
      </w:pPr>
      <w:r>
        <w:rPr>
          <w:rFonts w:ascii="Times New Roman" w:hAnsi="Times New Roman"/>
          <w:sz w:val="20"/>
        </w:rPr>
        <w:t xml:space="preserve">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 </w:t>
      </w:r>
    </w:p>
    <w:p>
      <w:pPr>
        <w:pStyle w:val="TextBody"/>
        <w:spacing w:before="240" w:after="0"/>
        <w:rPr>
          <w:rFonts w:ascii="Times New Roman" w:hAnsi="Times New Roman"/>
          <w:sz w:val="20"/>
        </w:rPr>
      </w:pPr>
      <w:r>
        <w:rPr>
          <w:rFonts w:ascii="Times New Roman" w:hAnsi="Times New Roman"/>
          <w:sz w:val="20"/>
        </w:rPr>
        <w:t xml:space="preserve">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 </w:t>
      </w:r>
    </w:p>
    <w:p>
      <w:pPr>
        <w:pStyle w:val="TextBody"/>
        <w:spacing w:before="240" w:after="0"/>
        <w:rPr>
          <w:rFonts w:ascii="Times New Roman" w:hAnsi="Times New Roman"/>
          <w:sz w:val="20"/>
        </w:rPr>
      </w:pPr>
      <w:r>
        <w:rPr>
          <w:rFonts w:ascii="Times New Roman" w:hAnsi="Times New Roman"/>
          <w:sz w:val="20"/>
        </w:rPr>
        <w:t xml:space="preserve">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 </w:t>
      </w:r>
    </w:p>
    <w:p>
      <w:pPr>
        <w:pStyle w:val="TextBody"/>
        <w:spacing w:before="240" w:after="0"/>
        <w:rPr>
          <w:rFonts w:ascii="Times New Roman" w:hAnsi="Times New Roman"/>
          <w:sz w:val="20"/>
        </w:rPr>
      </w:pPr>
      <w:r>
        <w:rPr>
          <w:rFonts w:ascii="Times New Roman" w:hAnsi="Times New Roman"/>
          <w:sz w:val="20"/>
        </w:rPr>
        <w:t xml:space="preserve">Senior Indebtedness is defined in the indenture as the principal of (and premium, if any) and unpaid interest on: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renewals, extensions, modifications and refinancings of any of this indebtedness. </w:t>
            </w:r>
          </w:p>
        </w:tc>
      </w:tr>
    </w:tbl>
    <w:p>
      <w:pPr>
        <w:pStyle w:val="TextBody"/>
        <w:spacing w:before="240" w:after="0"/>
        <w:rPr>
          <w:rFonts w:ascii="Times New Roman" w:hAnsi="Times New Roman"/>
          <w:sz w:val="20"/>
        </w:rPr>
      </w:pPr>
      <w:r>
        <w:rPr>
          <w:rFonts w:ascii="Times New Roman" w:hAnsi="Times New Roman"/>
          <w:sz w:val="20"/>
        </w:rPr>
        <w:t xml:space="preserve">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 </w:t>
      </w:r>
    </w:p>
    <w:p>
      <w:pPr>
        <w:pStyle w:val="TextBody"/>
        <w:spacing w:before="360" w:after="0"/>
        <w:rPr>
          <w:rFonts w:ascii="Times New Roman" w:hAnsi="Times New Roman"/>
          <w:b/>
          <w:sz w:val="20"/>
        </w:rPr>
      </w:pPr>
      <w:r>
        <w:rPr>
          <w:rFonts w:ascii="Times New Roman" w:hAnsi="Times New Roman"/>
          <w:b/>
          <w:sz w:val="20"/>
        </w:rPr>
        <w:t xml:space="preserve">Secured Indebtedness and Ranking </w:t>
      </w:r>
    </w:p>
    <w:p>
      <w:pPr>
        <w:pStyle w:val="TextBody"/>
        <w:spacing w:before="120" w:after="0"/>
        <w:rPr>
          <w:rFonts w:ascii="Times New Roman" w:hAnsi="Times New Roman"/>
          <w:sz w:val="20"/>
        </w:rPr>
      </w:pPr>
      <w:r>
        <w:rPr>
          <w:rFonts w:ascii="Times New Roman" w:hAnsi="Times New Roman"/>
          <w:sz w:val="20"/>
        </w:rPr>
        <w:t xml:space="preserve">We may issue two types of unsecured indebtedness obligations: senior and subordinated. Senior unsecured indebtedness obligations refer to those that rank senior in right of payment to all of our future indebtedness that is expressly subordinated in right of payment to such indebtedness. Subordinated unsecured indebtedness obligations refer to those that are expressly subordinated in right of payment to other unsecured obligations.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Our debt securities, whether secured or unsecured, will rank structurally junior to all existing and future indebtedness (including trade payables) incurred by our subsidiaries, financing vehicles or similar facilities. </w:t>
      </w:r>
    </w:p>
    <w:p>
      <w:pPr>
        <w:pStyle w:val="TextBody"/>
        <w:spacing w:before="240" w:after="0"/>
        <w:rPr>
          <w:rFonts w:ascii="Times New Roman" w:hAnsi="Times New Roman"/>
          <w:sz w:val="20"/>
        </w:rPr>
      </w:pPr>
      <w:r>
        <w:rPr>
          <w:rFonts w:ascii="Times New Roman" w:hAnsi="Times New Roman"/>
          <w:sz w:val="20"/>
        </w:rPr>
        <w:t xml:space="preserve">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As a result, the holders of unsecured indenture securities may recover less, ratably, than holders of any of our secured indebtedness. </w:t>
      </w:r>
    </w:p>
    <w:p>
      <w:pPr>
        <w:pStyle w:val="TextBody"/>
        <w:spacing w:before="360" w:after="0"/>
        <w:rPr>
          <w:rFonts w:ascii="Times New Roman" w:hAnsi="Times New Roman"/>
          <w:b/>
          <w:sz w:val="20"/>
        </w:rPr>
      </w:pPr>
      <w:r>
        <w:rPr>
          <w:rFonts w:ascii="Times New Roman" w:hAnsi="Times New Roman"/>
          <w:b/>
          <w:sz w:val="20"/>
        </w:rPr>
        <w:t xml:space="preserve">The Trustee under the Indenture </w:t>
      </w:r>
    </w:p>
    <w:p>
      <w:pPr>
        <w:pStyle w:val="TextBody"/>
        <w:spacing w:before="120" w:after="0"/>
        <w:rPr>
          <w:rFonts w:ascii="Times New Roman" w:hAnsi="Times New Roman"/>
          <w:sz w:val="20"/>
        </w:rPr>
      </w:pPr>
      <w:r>
        <w:rPr>
          <w:rFonts w:ascii="Times New Roman" w:hAnsi="Times New Roman"/>
          <w:sz w:val="20"/>
        </w:rPr>
        <w:t xml:space="preserve">Computershare Trust Company, N.A., as successor to Wells Fargo Bank, National Association, will serve as the trustee under the indenture. This document and the related documents do not provide a comprehensive description of the rights, benefits, protections, immunities, indemnities, and privileges of the trustee. Rather, the indenture sets forth the trustees rights, benefits, protections, immunities, indemnities, and privileges. The trustee assumes (and shall have) no responsibility or liability for the accuracy, correctness, or completeness of the information (including such information concerning us or our affiliates or any other party) contained in this document or the related documents or for any failure by us or any other party to disclose events that may have occurred and may affect the significance or accuracy of such information. </w:t>
      </w:r>
    </w:p>
    <w:p>
      <w:pPr>
        <w:pStyle w:val="TextBody"/>
        <w:spacing w:before="360" w:after="0"/>
        <w:rPr>
          <w:rFonts w:ascii="Times New Roman" w:hAnsi="Times New Roman"/>
          <w:b/>
          <w:sz w:val="20"/>
        </w:rPr>
      </w:pPr>
      <w:r>
        <w:rPr>
          <w:rFonts w:ascii="Times New Roman" w:hAnsi="Times New Roman"/>
          <w:b/>
          <w:sz w:val="20"/>
        </w:rPr>
        <w:t xml:space="preserve">Certain Considerations Relating To Foreign Currencies </w:t>
      </w:r>
    </w:p>
    <w:p>
      <w:pPr>
        <w:pStyle w:val="TextBody"/>
        <w:spacing w:before="120" w:after="0"/>
        <w:rPr>
          <w:rFonts w:ascii="Times New Roman" w:hAnsi="Times New Roman"/>
          <w:sz w:val="20"/>
        </w:rPr>
      </w:pPr>
      <w:r>
        <w:rPr>
          <w:rFonts w:ascii="Times New Roman" w:hAnsi="Times New Roman"/>
          <w:sz w:val="20"/>
        </w:rPr>
        <w:t xml:space="preserve">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 </w:t>
      </w:r>
    </w:p>
    <w:p>
      <w:pPr>
        <w:pStyle w:val="TextBody"/>
        <w:spacing w:before="360" w:after="0"/>
        <w:rPr>
          <w:rFonts w:ascii="Times New Roman" w:hAnsi="Times New Roman"/>
          <w:b/>
          <w:sz w:val="20"/>
        </w:rPr>
      </w:pPr>
      <w:r>
        <w:rPr>
          <w:rFonts w:ascii="Times New Roman" w:hAnsi="Times New Roman"/>
          <w:b/>
          <w:sz w:val="20"/>
        </w:rPr>
        <w:t xml:space="preserve">Book-Entry Debt Securities </w:t>
      </w:r>
    </w:p>
    <w:p>
      <w:pPr>
        <w:pStyle w:val="TextBody"/>
        <w:spacing w:before="120" w:after="0"/>
        <w:rPr>
          <w:rFonts w:ascii="Times New Roman" w:hAnsi="Times New Roman"/>
          <w:sz w:val="20"/>
        </w:rPr>
      </w:pPr>
      <w:r>
        <w:rPr>
          <w:rFonts w:ascii="Times New Roman" w:hAnsi="Times New Roman"/>
          <w:sz w:val="20"/>
        </w:rPr>
        <w:t xml:space="preserve">The Depository Trust Company, New York, NY, or DTC, will act as securities depository for the debt securities. The debt securities will be issued as fully-registered securities registered in the name of Cede &amp; Co. (DTCs partnership nominee) or such other name as may be requested by an authorized representative of DTC. One fully registered certificate will be issued for the debt securities, in the aggregate principal amount of such issue, and will be deposited with DTC. If, however, the aggregate principal amount of any issue exceeds $500 million, one certificate will be issued with respect to each $500 million of principal amount, and an additional certificate will be issued with respect to any remaining principal amount of such issue. </w:t>
      </w:r>
    </w:p>
    <w:p>
      <w:pPr>
        <w:pStyle w:val="TextBody"/>
        <w:spacing w:before="240" w:after="0"/>
        <w:rPr>
          <w:rFonts w:ascii="Times New Roman" w:hAnsi="Times New Roman"/>
          <w:sz w:val="20"/>
        </w:rPr>
      </w:pPr>
      <w:r>
        <w:rPr>
          <w:rFonts w:ascii="Times New Roman" w:hAnsi="Times New Roman"/>
          <w:sz w:val="20"/>
        </w:rPr>
        <w:t xml:space="preserve">DTC, the worlds largest securities depository,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U.S. and non-U.S. equity, corporate and municipal debt issues, and money market instruments from over 100 countries that DTCs participants, or Direct Participants, deposit with DTC. DTC also facilitates the post-trade settlement among Direct Participants of sales and other securities transactions in deposited securities through electronic computerized book-entry transfers and pledges between Direct Participants accounts. This eliminates the need for physical movement of securities certificates. Direct Participants include both U.S. and non-U.S. securities brokers and dealers, banks, trust companies, clearing corporations, and certain other organizations. DTC is a wholly owned subsidiary of The Depository Trust &amp; Clearing Corporation, or DTCC. </w:t>
      </w:r>
    </w:p>
    <w:p>
      <w:pPr>
        <w:pStyle w:val="TextBody"/>
        <w:spacing w:before="240" w:after="0"/>
        <w:rPr>
          <w:rFonts w:ascii="Times New Roman" w:hAnsi="Times New Roman"/>
          <w:sz w:val="20"/>
        </w:rPr>
      </w:pPr>
      <w:r>
        <w:rPr>
          <w:rFonts w:ascii="Times New Roman" w:hAnsi="Times New Roman"/>
          <w:sz w:val="20"/>
        </w:rPr>
        <w:t xml:space="preserve">DTCC is the holding company for DTC, National Securities Clearing Corporation and Fixed Income Clearing Corporation, all of which are registered clearing agencies. DTCC is owned by the users of its regulated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subsidiaries. Access to the DTC system is also available to others such as both U.S. and non-U.S. securities brokers and dealers, banks, trust companies and clearing corporations that clear through or maintain a custodial relationship with a Direct Participant, either directly or indirectly, or Indirect Participants. The DTC Rules applicable to its Participants are on file with the SEC. </w:t>
      </w:r>
    </w:p>
    <w:p>
      <w:pPr>
        <w:pStyle w:val="TextBody"/>
        <w:spacing w:before="240" w:after="0"/>
        <w:rPr>
          <w:rFonts w:ascii="Times New Roman" w:hAnsi="Times New Roman"/>
          <w:sz w:val="20"/>
        </w:rPr>
      </w:pPr>
      <w:r>
        <w:rPr>
          <w:rFonts w:ascii="Times New Roman" w:hAnsi="Times New Roman"/>
          <w:sz w:val="20"/>
        </w:rPr>
        <w:t xml:space="preserve">Purchases of debt securities under the DTC system must be made by or through Direct Participants, which will receive a credit for the debt securities on DTCs records. The ownership interest of each actual purchaser of each security, or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debt securities are to be accomplished by entries made on the books of Direct and Indirect Participants acting on behalf of Beneficial Owners. Beneficial Owners will not receive certificates representing their ownership interests in debt securities, except in the event that use of the book-entry system for the debt securities is discontinued. </w:t>
      </w:r>
    </w:p>
    <w:p>
      <w:pPr>
        <w:pStyle w:val="TextBody"/>
        <w:spacing w:before="240" w:after="0"/>
        <w:rPr>
          <w:rFonts w:ascii="Times New Roman" w:hAnsi="Times New Roman"/>
          <w:sz w:val="20"/>
        </w:rPr>
      </w:pPr>
      <w:r>
        <w:rPr>
          <w:rFonts w:ascii="Times New Roman" w:hAnsi="Times New Roman"/>
          <w:sz w:val="20"/>
        </w:rPr>
        <w:t xml:space="preserve">To facilitate subsequent transfers, all debt securities deposited by Direct Participants with DTC are registered in the name of DTCs partnership nominee, Cede &amp; Co. or such other name as may be requested by an authorized representative of DTC. The deposit of debt securities with DTC and their registration in the name of Cede &amp; Co. or such other DTC nominee do not effect any change in beneficial ownership. DTC has no knowledge of the actual Beneficial Owners of the debt securities; DTCs records reflect only the identity of the Direct Participants to whose accounts such debt securities are credited, which may or may not be the Beneficial Owners. The Direct and Indirect Participants will remain responsible for keeping account of their holdings on behalf of their customers. </w:t>
      </w:r>
    </w:p>
    <w:p>
      <w:pPr>
        <w:pStyle w:val="TextBody"/>
        <w:spacing w:before="240" w:after="0"/>
        <w:rPr>
          <w:rFonts w:ascii="Times New Roman" w:hAnsi="Times New Roman"/>
          <w:sz w:val="20"/>
        </w:rPr>
      </w:pPr>
      <w:r>
        <w:rPr>
          <w:rFonts w:ascii="Times New Roman" w:hAnsi="Times New Roman"/>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 </w:t>
      </w:r>
    </w:p>
    <w:p>
      <w:pPr>
        <w:pStyle w:val="TextBody"/>
        <w:spacing w:before="240" w:after="0"/>
        <w:rPr>
          <w:rFonts w:ascii="Times New Roman" w:hAnsi="Times New Roman"/>
          <w:sz w:val="20"/>
        </w:rPr>
      </w:pPr>
      <w:r>
        <w:rPr>
          <w:rFonts w:ascii="Times New Roman" w:hAnsi="Times New Roman"/>
          <w:sz w:val="20"/>
        </w:rPr>
        <w:t xml:space="preserve">Redemption notices shall be sent to DTC. If less than all of the debt securities within an issue are being redeemed, DTCs practice is to determine by lot the amount of the interest of each Direct Participant in such issue to be redeemed. </w:t>
      </w:r>
    </w:p>
    <w:p>
      <w:pPr>
        <w:pStyle w:val="TextBody"/>
        <w:spacing w:before="240" w:after="0"/>
        <w:rPr>
          <w:rFonts w:ascii="Times New Roman" w:hAnsi="Times New Roman"/>
          <w:sz w:val="20"/>
        </w:rPr>
      </w:pPr>
      <w:r>
        <w:rPr>
          <w:rFonts w:ascii="Times New Roman" w:hAnsi="Times New Roman"/>
          <w:sz w:val="20"/>
        </w:rPr>
        <w:t xml:space="preserve">Neither DTC nor Cede &amp; Co. (nor any other DTC nominee) will consent or vote with respect to the debt securities unless authorized by a Direct Participant in accordance with DTCs Procedures. Under its usual procedures, DTC mails an Omnibus Proxy to us as soon as possible after the record date. The Omnibus Proxy assigns Cede &amp; Co.s consenting or voting rights to those Direct Participants to whose accounts the debt securities are credited on the record date (identified in a listing attached to the Omnibus Proxy). </w:t>
      </w:r>
    </w:p>
    <w:p>
      <w:pPr>
        <w:pStyle w:val="TextBody"/>
        <w:spacing w:before="240" w:after="0"/>
        <w:rPr>
          <w:rFonts w:ascii="Times New Roman" w:hAnsi="Times New Roman"/>
          <w:sz w:val="20"/>
        </w:rPr>
      </w:pPr>
      <w:r>
        <w:rPr>
          <w:rFonts w:ascii="Times New Roman" w:hAnsi="Times New Roman"/>
          <w:sz w:val="20"/>
        </w:rPr>
        <w:t xml:space="preserve">Redemption proceeds, distributions, and dividend payments on the debt securities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or its nominee, the trustee, or us, subject to any statutory or regulatory requirements as may be in effect from time to time. Payment of redemption proceeds, distributions, and dividend payments to Cede &amp; Co. (or such other nominee as may be requested by an authorized representative of DTC) is the responsibility of us or the trustee, but disbursement of such payments to Direct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Participants will be the responsibility of DTC, and disbursement of such payments to the Beneficial Owners will be the responsibility of Direct and Indirect Participants. </w:t>
      </w:r>
    </w:p>
    <w:p>
      <w:pPr>
        <w:pStyle w:val="TextBody"/>
        <w:spacing w:before="240" w:after="0"/>
        <w:rPr>
          <w:rFonts w:ascii="Times New Roman" w:hAnsi="Times New Roman"/>
          <w:sz w:val="20"/>
        </w:rPr>
      </w:pPr>
      <w:r>
        <w:rPr>
          <w:rFonts w:ascii="Times New Roman" w:hAnsi="Times New Roman"/>
          <w:sz w:val="20"/>
        </w:rPr>
        <w:t xml:space="preserve">DTC may discontinue providing its services as depository with respect to the debt securities at any time by giving reasonable notice to us or to the trustee. Under such circumstances, in the event that a successor depository is not obtained, certificates are required to be printed and delivered. We may decide to discontinue use of the system of book-entry-only transfers through DTC (or a successor securities depository). In that event, certificates will be printed and delivered to DTC. </w:t>
      </w:r>
    </w:p>
    <w:p>
      <w:pPr>
        <w:pStyle w:val="TextBody"/>
        <w:spacing w:before="240" w:after="0"/>
        <w:rPr>
          <w:rFonts w:ascii="Times New Roman" w:hAnsi="Times New Roman"/>
          <w:sz w:val="20"/>
        </w:rPr>
      </w:pPr>
      <w:r>
        <w:rPr>
          <w:rFonts w:ascii="Times New Roman" w:hAnsi="Times New Roman"/>
          <w:sz w:val="20"/>
        </w:rPr>
        <w:t xml:space="preserve">The information in this section concerning DTC and DTCs book-entry system has been obtained from sources that we believe to be reliable, but we take no responsibility for the accuracy thereof.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3" w:name="rom451583_31"/>
      <w:bookmarkEnd w:id="33"/>
      <w:r>
        <w:rPr>
          <w:rFonts w:ascii="Times New Roman" w:hAnsi="Times New Roman"/>
          <w:b/>
          <w:sz w:val="20"/>
        </w:rPr>
        <w:t xml:space="preserve">CUSTODIAN, TRANSFER AND DIVIDEND PAYING AGENT AND REGISTRAR </w:t>
      </w:r>
    </w:p>
    <w:p>
      <w:pPr>
        <w:pStyle w:val="TextBody"/>
        <w:spacing w:before="240" w:after="0"/>
        <w:rPr>
          <w:rFonts w:ascii="Times New Roman" w:hAnsi="Times New Roman"/>
          <w:sz w:val="20"/>
        </w:rPr>
      </w:pPr>
      <w:r>
        <w:rPr>
          <w:rFonts w:ascii="Times New Roman" w:hAnsi="Times New Roman"/>
          <w:sz w:val="20"/>
        </w:rPr>
        <w:t xml:space="preserve">Our securities and loan documents are held by State Street Bank and Trust Company pursuant to a custodian agreement and American Stock Transfer &amp; Trust Company, LLC serves as our transfer agent, distribution paying agent and registrar. The principal business address of State Street Bank and Trust Company is 1 Lincoln Street, Boston, Massachusetts 02111. The principal business address of American Stock Transfer  &amp; Trust Company, LLC is 6201 15th Avenue, Brooklyn, NY 11219. </w:t>
      </w:r>
    </w:p>
    <w:p>
      <w:pPr>
        <w:pStyle w:val="TextBody"/>
        <w:spacing w:before="480" w:after="0"/>
        <w:jc w:val="center"/>
        <w:rPr>
          <w:rFonts w:ascii="Times New Roman" w:hAnsi="Times New Roman"/>
          <w:b/>
          <w:sz w:val="20"/>
        </w:rPr>
      </w:pPr>
      <w:bookmarkStart w:id="34" w:name="rom451583_32"/>
      <w:bookmarkEnd w:id="34"/>
      <w:r>
        <w:rPr>
          <w:rFonts w:ascii="Times New Roman" w:hAnsi="Times New Roman"/>
          <w:b/>
          <w:sz w:val="20"/>
        </w:rPr>
        <w:t xml:space="preserve">BROKERAGE ALLOCATION AND OTHER PRACTICES </w:t>
      </w:r>
    </w:p>
    <w:p>
      <w:pPr>
        <w:pStyle w:val="TextBody"/>
        <w:spacing w:before="240" w:after="0"/>
        <w:rPr>
          <w:rFonts w:ascii="Times New Roman" w:hAnsi="Times New Roman"/>
          <w:sz w:val="20"/>
        </w:rPr>
      </w:pPr>
      <w:r>
        <w:rPr>
          <w:rFonts w:ascii="Times New Roman" w:hAnsi="Times New Roman"/>
          <w:sz w:val="20"/>
        </w:rPr>
        <w:t xml:space="preserve">Since we will acquire and dispose of many of our investments in privately negotiated transactions, many of the transactions that we engage in will not require the use of brokers or the payment of brokerage commissions. </w:t>
      </w:r>
    </w:p>
    <w:p>
      <w:pPr>
        <w:pStyle w:val="TextBody"/>
        <w:spacing w:before="240" w:after="0"/>
        <w:rPr>
          <w:rFonts w:ascii="Times New Roman" w:hAnsi="Times New Roman"/>
          <w:sz w:val="20"/>
        </w:rPr>
      </w:pPr>
      <w:r>
        <w:rPr>
          <w:rFonts w:ascii="Times New Roman" w:hAnsi="Times New Roman"/>
          <w:sz w:val="20"/>
        </w:rPr>
        <w:t xml:space="preserve">Subject to policies established by our Board, the Adviser will be primarily responsible for selecting brokers and dealers to execute transactions with respect to the publicly traded securities portion of our portfolio transactions and the allocation of brokerage commissions. The Adviser does not expect to execute transactions through any particular broker or dealer but will seek to obtain the best net results for us under the circumstances, taking into account such factors as price (including the applicable brokerage commission or dealer spread), size of order, difficulty of execution and operational facilities of the firm and the firms risk and skill in positioning blocks of securities. </w:t>
      </w:r>
    </w:p>
    <w:p>
      <w:pPr>
        <w:pStyle w:val="TextBody"/>
        <w:spacing w:before="240" w:after="0"/>
        <w:rPr>
          <w:rFonts w:ascii="Times New Roman" w:hAnsi="Times New Roman"/>
          <w:sz w:val="20"/>
        </w:rPr>
      </w:pPr>
      <w:r>
        <w:rPr>
          <w:rFonts w:ascii="Times New Roman" w:hAnsi="Times New Roman"/>
          <w:sz w:val="20"/>
        </w:rPr>
        <w:t xml:space="preserve">The Adviser generally will seek reasonably competitive trade execution costs but will not necessarily pay the lowest spread or commission available. Subject to applicable legal requirements and consistent with Section 28(e) of the Exchange Act, the Adviser may select a broker based upon brokerage or research services provided to the Adviser and us and any other clients. In return for such services, we may pay a higher commission than other brokers would charge if the Adviser determines in good faith that such commission is reasonable in relation to the services provided. </w:t>
      </w:r>
    </w:p>
    <w:p>
      <w:pPr>
        <w:pStyle w:val="TextBody"/>
        <w:spacing w:before="240" w:after="0"/>
        <w:rPr>
          <w:rFonts w:ascii="Times New Roman" w:hAnsi="Times New Roman"/>
          <w:sz w:val="20"/>
        </w:rPr>
      </w:pPr>
      <w:r>
        <w:rPr>
          <w:rFonts w:ascii="Times New Roman" w:hAnsi="Times New Roman"/>
          <w:sz w:val="20"/>
        </w:rPr>
        <w:t xml:space="preserve">We also pay brokerage commissions incurred in connection with purchases pursuant to the Company 10b5-1 Plan. </w:t>
      </w:r>
    </w:p>
    <w:p>
      <w:pPr>
        <w:pStyle w:val="TextBody"/>
        <w:spacing w:before="240" w:after="0"/>
        <w:rPr>
          <w:rFonts w:ascii="Times New Roman" w:hAnsi="Times New Roman"/>
          <w:sz w:val="20"/>
        </w:rPr>
      </w:pPr>
      <w:r>
        <w:rPr>
          <w:rFonts w:ascii="Times New Roman" w:hAnsi="Times New Roman"/>
          <w:sz w:val="20"/>
        </w:rPr>
        <w:t xml:space="preserve">The aggregate amount of brokerage commissions paid by us during the three most recent completed fiscal years is less than $0.4 million.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5" w:name="rom451583_33"/>
      <w:bookmarkEnd w:id="35"/>
      <w:r>
        <w:rPr>
          <w:rFonts w:ascii="Times New Roman" w:hAnsi="Times New Roman"/>
          <w:b/>
          <w:sz w:val="20"/>
        </w:rPr>
        <w:t xml:space="preserve">PLAN OF DISTRIBUTION </w:t>
      </w:r>
    </w:p>
    <w:p>
      <w:pPr>
        <w:pStyle w:val="TextBody"/>
        <w:spacing w:before="240" w:after="0"/>
        <w:rPr>
          <w:rFonts w:ascii="Times New Roman" w:hAnsi="Times New Roman"/>
          <w:sz w:val="20"/>
        </w:rPr>
      </w:pPr>
      <w:r>
        <w:rPr>
          <w:rFonts w:ascii="Times New Roman" w:hAnsi="Times New Roman"/>
          <w:sz w:val="20"/>
        </w:rPr>
        <w:t xml:space="preserve">We may offer, from time to time, in one or more offerings or series, our common stock, preferred stock, debt securities, subscription rights to purchase shares of our common stock or warrants representing rights to purchase shares of our common stock, preferred stock or debt securities, in one or more underwritten public offerings, at-the-market offerings, negotiated transactions, block trades, best efforts offerings or a combination of these methods. </w:t>
      </w:r>
    </w:p>
    <w:p>
      <w:pPr>
        <w:pStyle w:val="TextBody"/>
        <w:spacing w:before="240" w:after="0"/>
        <w:rPr>
          <w:rFonts w:ascii="Times New Roman" w:hAnsi="Times New Roman"/>
          <w:sz w:val="20"/>
        </w:rPr>
      </w:pPr>
      <w:r>
        <w:rPr>
          <w:rFonts w:ascii="Times New Roman" w:hAnsi="Times New Roman"/>
          <w:sz w:val="20"/>
        </w:rPr>
        <w:t xml:space="preserve">We may sell the securities through underwriters or dealers, directly to one or more purchasers, including existing stockholders in a rights offering, through agents designated from time to time by us, in at the market offerings within the meaning of Rule 415(a)(4) of the Securities Act, to our thought a market maker or into an existing trading market, on an exchange or otherwise, in forward contracts of similar arrangements or through a combination of any such methods of sale.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will receive from the sale; any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any securities exchange or market on which the securities may be listed; and, in the case of a rights offering, the number of shares of our common stock issuable upon the exercise of each right. Only underwriters named in the prospectus supplement will be underwriters of the securities offered by the prospectus supplement. </w:t>
      </w:r>
    </w:p>
    <w:p>
      <w:pPr>
        <w:pStyle w:val="TextBody"/>
        <w:spacing w:before="240" w:after="0"/>
        <w:rPr>
          <w:rFonts w:ascii="Times New Roman" w:hAnsi="Times New Roman"/>
          <w:sz w:val="20"/>
        </w:rPr>
      </w:pPr>
      <w:r>
        <w:rPr>
          <w:rFonts w:ascii="Times New Roman" w:hAnsi="Times New Roman"/>
          <w:sz w:val="20"/>
        </w:rPr>
        <w:t xml:space="preserve">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any common stock offered by us, less any underwriting commissions or discounts, must equal or exceed the net asset value per share of our common stock at the time of the offering except (a) in connection with a rights offering to our existing stockholders, (b) with the consent of the majority of our outstanding voting securities or (c) under such circumstances as the SEC may permit. The price at which securities may be distributed may represent a discount from prevailing market prices. </w:t>
      </w:r>
    </w:p>
    <w:p>
      <w:pPr>
        <w:pStyle w:val="TextBody"/>
        <w:spacing w:before="240" w:after="0"/>
        <w:rPr>
          <w:rFonts w:ascii="Times New Roman" w:hAnsi="Times New Roman"/>
          <w:sz w:val="20"/>
        </w:rPr>
      </w:pPr>
      <w:r>
        <w:rPr>
          <w:rFonts w:ascii="Times New Roman" w:hAnsi="Times New Roman"/>
          <w:sz w:val="20"/>
        </w:rPr>
        <w:t xml:space="preserve">In connection with the sale of the securities, underwriters or agents may receive compensation from us or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the securities may be deemed to be underwriters under the Securities Act, and any discounts and commissions they receive from us and any profit realized by them on the resale of the securities may be deemed to be underwriting discounts and commissions under the Securities Act. Any such underwriter or agent will be identified and any such compensation received from us will be described in the applicable prospectus supplement. The maximum aggregate commission or discount to be received by any member of the Financial Industry Regulatory Authority, or FINRA, or independent broker-dealer will not be greater than 8% of the gross proceeds of the sale of securities offered pursuant to this prospectus and any applicable prospectus supplement. We may also reimburse the underwriter or agent for certain fees and legal expenses incurred by it. </w:t>
      </w:r>
    </w:p>
    <w:p>
      <w:pPr>
        <w:pStyle w:val="TextBody"/>
        <w:spacing w:before="240" w:after="0"/>
        <w:rPr>
          <w:rFonts w:ascii="Times New Roman" w:hAnsi="Times New Roman"/>
          <w:sz w:val="20"/>
        </w:rPr>
      </w:pPr>
      <w:r>
        <w:rPr>
          <w:rFonts w:ascii="Times New Roman" w:hAnsi="Times New Roman"/>
          <w:sz w:val="20"/>
        </w:rPr>
        <w:t xml:space="preserve">Any underwriter may engage in over-allotment, stabilizing transactions, short-covering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option to purchase additional shares from us or in the open market after the distribution is completed, to cover short positions. Penalty bids permit the underwriters to reclaim a selling concession from a dealer when the securities originally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rPr>
          <w:rFonts w:ascii="Times New Roman" w:hAnsi="Times New Roman"/>
          <w:sz w:val="20"/>
        </w:rPr>
      </w:pPr>
      <w:r>
        <w:rPr>
          <w:rFonts w:ascii="Times New Roman" w:hAnsi="Times New Roman"/>
          <w:sz w:val="20"/>
        </w:rPr>
        <w:t xml:space="preserve">sold by the dealer are purchased in a stabilizing or covering transaction to cover short positions. Those activities may cause the price of the securities to be higher than it would otherwise be. If commenced, the underwriters may discontinue any of the activities at any time. </w:t>
      </w:r>
    </w:p>
    <w:p>
      <w:pPr>
        <w:pStyle w:val="TextBody"/>
        <w:spacing w:before="240" w:after="0"/>
        <w:rPr>
          <w:rFonts w:ascii="Times New Roman" w:hAnsi="Times New Roman"/>
          <w:sz w:val="20"/>
        </w:rPr>
      </w:pPr>
      <w:r>
        <w:rPr>
          <w:rFonts w:ascii="Times New Roman" w:hAnsi="Times New Roman"/>
          <w:sz w:val="20"/>
        </w:rPr>
        <w:t xml:space="preserve">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the agent will act on a best-efforts basis for the period of its appointment. </w:t>
      </w:r>
    </w:p>
    <w:p>
      <w:pPr>
        <w:pStyle w:val="TextBody"/>
        <w:spacing w:before="240" w:after="0"/>
        <w:rPr>
          <w:rFonts w:ascii="Times New Roman" w:hAnsi="Times New Roman"/>
          <w:sz w:val="20"/>
        </w:rPr>
      </w:pPr>
      <w:r>
        <w:rPr>
          <w:rFonts w:ascii="Times New Roman" w:hAnsi="Times New Roman"/>
          <w:sz w:val="20"/>
        </w:rPr>
        <w:t xml:space="preserve">Unless otherwise specified in the applicable prospectus supplement, each class or series of securities will be a new issue with no trading market, other than our common stock, which is traded on the NYSE. We may elect to list any other class or series of securities on any exchanges, but we are not obligated to do so. We cannot guarantee the liquidity of the trading markets for any securities. </w:t>
      </w:r>
    </w:p>
    <w:p>
      <w:pPr>
        <w:pStyle w:val="TextBody"/>
        <w:spacing w:before="240" w:after="0"/>
        <w:rPr>
          <w:rFonts w:ascii="Times New Roman" w:hAnsi="Times New Roman"/>
          <w:sz w:val="20"/>
        </w:rPr>
      </w:pPr>
      <w:r>
        <w:rPr>
          <w:rFonts w:ascii="Times New Roman" w:hAnsi="Times New Roman"/>
          <w:sz w:val="20"/>
        </w:rPr>
        <w:t xml:space="preserve">Under agreements that we may enter, underwriters, dealers and agents who participate in the distribution of the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 </w:t>
      </w:r>
    </w:p>
    <w:p>
      <w:pPr>
        <w:pStyle w:val="TextBody"/>
        <w:spacing w:before="240" w:after="0"/>
        <w:rPr>
          <w:rFonts w:ascii="Times New Roman" w:hAnsi="Times New Roman"/>
          <w:sz w:val="20"/>
        </w:rPr>
      </w:pPr>
      <w:r>
        <w:rPr>
          <w:rFonts w:ascii="Times New Roman" w:hAnsi="Times New Roman"/>
          <w:sz w:val="20"/>
        </w:rPr>
        <w:t xml:space="preserve">If so indicated in the applicable prospectus supplement, we will authorize underwriters or other persons acting as agents to solicit offers by certain institutions to purchase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 </w:t>
      </w:r>
    </w:p>
    <w:p>
      <w:pPr>
        <w:pStyle w:val="TextBody"/>
        <w:spacing w:before="240" w:after="0"/>
        <w:rPr>
          <w:rFonts w:ascii="Times New Roman" w:hAnsi="Times New Roman"/>
          <w:sz w:val="20"/>
        </w:rPr>
      </w:pPr>
      <w:r>
        <w:rPr>
          <w:rFonts w:ascii="Times New Roman" w:hAnsi="Times New Roman"/>
          <w:sz w:val="20"/>
        </w:rPr>
        <w:t xml:space="preserve">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 </w:t>
      </w:r>
    </w:p>
    <w:p>
      <w:pPr>
        <w:pStyle w:val="TextBody"/>
        <w:spacing w:before="240" w:after="0"/>
        <w:rPr>
          <w:rFonts w:ascii="Times New Roman" w:hAnsi="Times New Roman"/>
          <w:sz w:val="20"/>
        </w:rPr>
      </w:pPr>
      <w:r>
        <w:rPr>
          <w:rFonts w:ascii="Times New Roman" w:hAnsi="Times New Roman"/>
          <w:sz w:val="20"/>
        </w:rPr>
        <w:t xml:space="preserve">In order to comply with the securities laws of certain states, if applicable, the securities offered hereby will be sold in such jurisdictions only through registered or licensed brokers or dealers.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6" w:name="rom451583_34"/>
      <w:bookmarkEnd w:id="36"/>
      <w:r>
        <w:rPr>
          <w:rFonts w:ascii="Times New Roman" w:hAnsi="Times New Roman"/>
          <w:b/>
          <w:sz w:val="20"/>
        </w:rPr>
        <w:t xml:space="preserve">LEGAL MATTERS </w:t>
      </w:r>
    </w:p>
    <w:p>
      <w:pPr>
        <w:pStyle w:val="TextBody"/>
        <w:spacing w:before="240" w:after="0"/>
        <w:rPr>
          <w:rFonts w:ascii="Times New Roman" w:hAnsi="Times New Roman"/>
          <w:sz w:val="20"/>
        </w:rPr>
      </w:pPr>
      <w:r>
        <w:rPr>
          <w:rFonts w:ascii="Times New Roman" w:hAnsi="Times New Roman"/>
          <w:sz w:val="20"/>
        </w:rPr>
        <w:t xml:space="preserve">The legality of the securities offered hereby will be passed upon for us by Cleary Gottlieb Steen &amp; Hamilton LLP, New York, New York. In addition, Schulte Roth &amp; Zabel LLP and Morris, Nichols, Arsht &amp; Tunnell LLP will pass on certain legal matters for us. Cleary Gottlieb Steen &amp; Hamilton LLP and Schulte Roth &amp; Zabel LLP also represent the Adviser. Certain legal matters in connection with the offering will be passed upon for the underwriters, if any, by the counsel named in the prospectus supplement. </w:t>
      </w:r>
    </w:p>
    <w:p>
      <w:pPr>
        <w:pStyle w:val="TextBody"/>
        <w:spacing w:before="480" w:after="0"/>
        <w:jc w:val="center"/>
        <w:rPr>
          <w:rFonts w:ascii="Times New Roman" w:hAnsi="Times New Roman"/>
          <w:b/>
          <w:sz w:val="20"/>
        </w:rPr>
      </w:pPr>
      <w:bookmarkStart w:id="37" w:name="rom451583_35"/>
      <w:bookmarkEnd w:id="37"/>
      <w:r>
        <w:rPr>
          <w:rFonts w:ascii="Times New Roman" w:hAnsi="Times New Roman"/>
          <w:b/>
          <w:sz w:val="20"/>
        </w:rPr>
        <w:t xml:space="preserve">EXPERTS </w:t>
      </w:r>
    </w:p>
    <w:p>
      <w:pPr>
        <w:pStyle w:val="TextBody"/>
        <w:spacing w:before="240" w:after="0"/>
        <w:rPr>
          <w:rFonts w:ascii="Times New Roman" w:hAnsi="Times New Roman"/>
          <w:sz w:val="20"/>
        </w:rPr>
      </w:pPr>
      <w:r>
        <w:rPr>
          <w:rFonts w:ascii="Times New Roman" w:hAnsi="Times New Roman"/>
          <w:sz w:val="20"/>
        </w:rPr>
        <w:t xml:space="preserve">The consolidated financial statements of Sixth Street Specialty Lending, Inc. (and subsidiaries) as of December 31, 2021 and 2020, and for each of the years in the three-year period ended December 31, 2021 and the Senior Securities table covering the last ten fiscal years ended December 31, 2021 under the heading Senior Securities have been incorporated by reference in this prospectus and included elsewhere in the registration statement, respectively, in reliance upon the reports of KPMG LLP, 345 Park Avenue, New York, New York 10154, independent registered public accounting firm, incorporated by reference, respectively, and upon the authority of said firm as experts in accounting and auditing. </w:t>
      </w:r>
    </w:p>
    <w:p>
      <w:pPr>
        <w:pStyle w:val="TextBody"/>
        <w:spacing w:before="480" w:after="0"/>
        <w:jc w:val="center"/>
        <w:rPr>
          <w:rFonts w:ascii="Times New Roman" w:hAnsi="Times New Roman"/>
          <w:b/>
          <w:sz w:val="20"/>
        </w:rPr>
      </w:pPr>
      <w:bookmarkStart w:id="38" w:name="rom451583_36"/>
      <w:bookmarkEnd w:id="38"/>
      <w:r>
        <w:rPr>
          <w:rFonts w:ascii="Times New Roman" w:hAnsi="Times New Roman"/>
          <w:b/>
          <w:sz w:val="20"/>
        </w:rPr>
        <w:t xml:space="preserve">AVAILABLE INFORMATION </w:t>
      </w:r>
    </w:p>
    <w:p>
      <w:pPr>
        <w:pStyle w:val="TextBody"/>
        <w:spacing w:before="240" w:after="0"/>
        <w:rPr>
          <w:rFonts w:ascii="Times New Roman" w:hAnsi="Times New Roman"/>
          <w:sz w:val="20"/>
        </w:rPr>
      </w:pPr>
      <w:r>
        <w:rPr>
          <w:rFonts w:ascii="Times New Roman" w:hAnsi="Times New Roman"/>
          <w:sz w:val="20"/>
        </w:rPr>
        <w:t xml:space="preserve">We have filed with the SEC a registration statement on Form N-2, together with all amendments and related exhibits, under the Securities Act, with respect to the securities offered by this prospectus. The registration statement contains additional information about us and the securities being offered by this prospectus. </w:t>
      </w:r>
    </w:p>
    <w:p>
      <w:pPr>
        <w:pStyle w:val="TextBody"/>
        <w:spacing w:before="240" w:after="0"/>
        <w:rPr>
          <w:rFonts w:ascii="Times New Roman" w:hAnsi="Times New Roman"/>
          <w:sz w:val="20"/>
        </w:rPr>
      </w:pPr>
      <w:r>
        <w:rPr>
          <w:rFonts w:ascii="Times New Roman" w:hAnsi="Times New Roman"/>
          <w:sz w:val="20"/>
        </w:rPr>
        <w:t xml:space="preserve">We file with or submit to the SEC periodic and current reports, proxy statements and other information meeting the informational requirements of the Exchange Act. </w:t>
      </w:r>
    </w:p>
    <w:p>
      <w:pPr>
        <w:pStyle w:val="TextBody"/>
        <w:spacing w:before="240" w:after="0"/>
        <w:rPr>
          <w:rFonts w:ascii="Times New Roman" w:hAnsi="Times New Roman"/>
          <w:sz w:val="20"/>
        </w:rPr>
      </w:pPr>
      <w:r>
        <w:rPr>
          <w:rFonts w:ascii="Times New Roman" w:hAnsi="Times New Roman"/>
          <w:sz w:val="20"/>
        </w:rPr>
        <w:t xml:space="preserve">We maintain a website at https://sixthstreetspecialtylending.com and make all of our periodic and current reports, proxy statements and other publicly filed information available, free of charge, on or through our website. Information contained on our website is not incorporated into this prospectus, and you should not consider information on our website to be part of this prospectus. You may also obtain such information by contacting us in writing at 888 7th Avenue, 41st Floor, New York, NY 10106, Attention: TSLX Investor Relations, or by emailing us at IRTSLX@sixthstreet.com. The SEC maintains a website that contains reports, proxy and information statements and other information we file with the SEC at www.sec.gov. Copies of these reports, proxy and information statements and other information may also be obtained, after paying a duplicating fee, by electronic request at the following e-mail address: publicinfo@sec.gov. </w:t>
      </w:r>
    </w:p>
    <w:p>
      <w:pPr>
        <w:pStyle w:val="TextBody"/>
        <w:spacing w:before="360" w:after="0"/>
        <w:rPr>
          <w:rFonts w:ascii="Times New Roman" w:hAnsi="Times New Roman"/>
          <w:b/>
          <w:i/>
          <w:sz w:val="20"/>
        </w:rPr>
      </w:pPr>
      <w:r>
        <w:rPr>
          <w:rFonts w:ascii="Times New Roman" w:hAnsi="Times New Roman"/>
          <w:b/>
          <w:i/>
          <w:sz w:val="20"/>
        </w:rPr>
        <w:t xml:space="preserve">Code of Ethics </w:t>
      </w:r>
    </w:p>
    <w:p>
      <w:pPr>
        <w:pStyle w:val="TextBody"/>
        <w:spacing w:before="120" w:after="0"/>
        <w:rPr>
          <w:rFonts w:ascii="Times New Roman" w:hAnsi="Times New Roman"/>
          <w:sz w:val="20"/>
        </w:rPr>
      </w:pPr>
      <w:r>
        <w:rPr>
          <w:rFonts w:ascii="Times New Roman" w:hAnsi="Times New Roman"/>
          <w:sz w:val="20"/>
        </w:rPr>
        <w:t xml:space="preserve">Our codes of ethics are attached as exhibits to the registration statement of which this prospectus is a part, and are available on the EDGAR Databased on the SECs internet site at http://www.sec.gov. You may also obtain copies of the codes of ethics, after paying a duplicating fee, by electronic request at the following e-mail address: publicinfo@sec.gov. </w:t>
      </w:r>
    </w:p>
    <w:p>
      <w:pPr>
        <w:pStyle w:val="TextBody"/>
        <w:spacing w:before="360" w:after="0"/>
        <w:rPr>
          <w:rFonts w:ascii="Times New Roman" w:hAnsi="Times New Roman"/>
          <w:b/>
          <w:i/>
          <w:sz w:val="20"/>
        </w:rPr>
      </w:pPr>
      <w:r>
        <w:rPr>
          <w:rFonts w:ascii="Times New Roman" w:hAnsi="Times New Roman"/>
          <w:b/>
          <w:i/>
          <w:sz w:val="20"/>
        </w:rPr>
        <w:t xml:space="preserve">Proxy Voting Policies and Procedures </w:t>
      </w:r>
    </w:p>
    <w:p>
      <w:pPr>
        <w:pStyle w:val="TextBody"/>
        <w:spacing w:before="120" w:after="0"/>
        <w:rPr>
          <w:rFonts w:ascii="Times New Roman" w:hAnsi="Times New Roman"/>
          <w:sz w:val="20"/>
        </w:rPr>
      </w:pPr>
      <w:r>
        <w:rPr>
          <w:rFonts w:ascii="Times New Roman" w:hAnsi="Times New Roman"/>
          <w:sz w:val="20"/>
        </w:rPr>
        <w:t xml:space="preserve">You may obtain information about how the Adviser voted proxies, free of charge, by making a written request for proxy voting information to: Sixth Street Specialty Lending Advisers, 888 7th Avenue, 41st Floor, New York, NY 10106, Attention: TSLX Investor Relations, or by emailing us at IRTSLX@sixthstreet.com. The SEC also maintains a website at http://www.sec.gov that contains such information.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Times New Roman" w:hAnsi="Times New Roman"/>
          <w:b/>
          <w:sz w:val="20"/>
        </w:rPr>
      </w:pPr>
      <w:bookmarkStart w:id="39" w:name="rom451583_37"/>
      <w:bookmarkEnd w:id="39"/>
      <w:r>
        <w:rPr>
          <w:rFonts w:ascii="Times New Roman" w:hAnsi="Times New Roman"/>
          <w:b/>
          <w:sz w:val="20"/>
        </w:rPr>
        <w:t xml:space="preserve">INFORMATION INCORPORATED BY REFERENCE </w:t>
      </w:r>
    </w:p>
    <w:p>
      <w:pPr>
        <w:pStyle w:val="TextBody"/>
        <w:spacing w:before="240" w:after="0"/>
        <w:rPr>
          <w:rFonts w:ascii="Times New Roman" w:hAnsi="Times New Roman"/>
          <w:sz w:val="20"/>
        </w:rPr>
      </w:pPr>
      <w:r>
        <w:rPr>
          <w:rFonts w:ascii="Times New Roman" w:hAnsi="Times New Roman"/>
          <w:sz w:val="20"/>
        </w:rPr>
        <w:t xml:space="preserve">This prospectus is part of a registration statement that we have filed with the SEC. Pursuant to the SBCAA, we are allowed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 Any reports filed by us with the SEC before the date that any offering of any securities by means of this prospectus and any accompanying prospectus supplement is terminated will automatically update and, where applicable, supersede any information contained in this prospectus or incorporated by reference in this prospectus. This prospectus incorporates by reference the documents listed below: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6"/>
        <w:gridCol w:w="102"/>
        <w:gridCol w:w="9288"/>
      </w:tblGrid>
      <w:tr>
        <w:trPr/>
        <w:tc>
          <w:tcPr>
            <w:tcW w:w="509"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8" w:type="dxa"/>
            <w:tcBorders/>
            <w:shd w:fill="auto" w:val="clear"/>
          </w:tcPr>
          <w:p>
            <w:pPr>
              <w:pStyle w:val="TableContents"/>
              <w:spacing w:before="0" w:after="0"/>
              <w:jc w:val="left"/>
              <w:rPr/>
            </w:pPr>
            <w:r>
              <w:rPr>
                <w:rFonts w:ascii="Times New Roman" w:hAnsi="Times New Roman"/>
                <w:sz w:val="20"/>
              </w:rPr>
              <w:t xml:space="preserve">Our Annual Report on </w:t>
            </w:r>
            <w:hyperlink r:id="rId8">
              <w:r>
                <w:rPr>
                  <w:rStyle w:val="InternetLink"/>
                  <w:rFonts w:ascii="Times New Roman" w:hAnsi="Times New Roman"/>
                  <w:sz w:val="20"/>
                </w:rPr>
                <w:t>Form 10-K for the fiscal year ended December 31, 2021</w:t>
              </w:r>
            </w:hyperlink>
            <w:r>
              <w:rPr>
                <w:rFonts w:ascii="Times New Roman" w:hAnsi="Times New Roman"/>
                <w:sz w:val="20"/>
              </w:rPr>
              <w:t xml:space="preserve">, filed with the SEC on February 17, 2022, including the information specifically incorporated by reference into the Form 10-K from our Definitive Proxy Statement on Schedule 14A relating to our 2022 Annual Meeting of Stockholders, </w:t>
            </w:r>
            <w:hyperlink r:id="rId9">
              <w:r>
                <w:rPr>
                  <w:rStyle w:val="InternetLink"/>
                  <w:rFonts w:ascii="Times New Roman" w:hAnsi="Times New Roman"/>
                  <w:sz w:val="20"/>
                </w:rPr>
                <w:t>filed with the SEC on April 13, 2022</w:t>
              </w:r>
            </w:hyperlink>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left"/>
              <w:rPr/>
            </w:pPr>
            <w:r>
              <w:rPr>
                <w:rFonts w:ascii="Times New Roman" w:hAnsi="Times New Roman"/>
                <w:sz w:val="20"/>
              </w:rPr>
              <w:t xml:space="preserve">Our Quarterly Reports on Form 10-Q for the </w:t>
            </w:r>
            <w:hyperlink r:id="rId10">
              <w:r>
                <w:rPr>
                  <w:rStyle w:val="InternetLink"/>
                  <w:rFonts w:ascii="Times New Roman" w:hAnsi="Times New Roman"/>
                  <w:sz w:val="20"/>
                </w:rPr>
                <w:t>three months ended March 31, 2022</w:t>
              </w:r>
            </w:hyperlink>
            <w:r>
              <w:rPr>
                <w:rFonts w:ascii="Times New Roman" w:hAnsi="Times New Roman"/>
                <w:sz w:val="20"/>
              </w:rPr>
              <w:t xml:space="preserve">, filed with the SEC on May 4, 2022, for the three months </w:t>
            </w:r>
            <w:hyperlink r:id="rId11">
              <w:r>
                <w:rPr>
                  <w:rStyle w:val="InternetLink"/>
                  <w:rFonts w:ascii="Times New Roman" w:hAnsi="Times New Roman"/>
                  <w:sz w:val="20"/>
                </w:rPr>
                <w:t>ended June  30, 2022, filed with the SEC on August 2, 2022</w:t>
              </w:r>
            </w:hyperlink>
            <w:r>
              <w:rPr>
                <w:rFonts w:ascii="Times New Roman" w:hAnsi="Times New Roman"/>
                <w:sz w:val="20"/>
              </w:rPr>
              <w:t xml:space="preserve">, and for the </w:t>
            </w:r>
            <w:hyperlink r:id="rId12">
              <w:r>
                <w:rPr>
                  <w:rStyle w:val="InternetLink"/>
                  <w:rFonts w:ascii="Times New Roman" w:hAnsi="Times New Roman"/>
                  <w:sz w:val="20"/>
                </w:rPr>
                <w:t>three months ended September 30, 2022, filed with the SEC on November 1, 2022</w:t>
              </w:r>
            </w:hyperlink>
            <w:r>
              <w:rPr>
                <w:rFonts w:ascii="Times New Roman" w:hAnsi="Times New Roman"/>
                <w:sz w:val="20"/>
              </w:rPr>
              <w:t xml:space="preserve">;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left"/>
              <w:rPr/>
            </w:pPr>
            <w:r>
              <w:rPr>
                <w:rFonts w:ascii="Times New Roman" w:hAnsi="Times New Roman"/>
                <w:sz w:val="20"/>
              </w:rPr>
              <w:t xml:space="preserve">Our Current Reports on Form 8-K, filed with the SEC on </w:t>
            </w:r>
            <w:hyperlink r:id="rId13">
              <w:r>
                <w:rPr>
                  <w:rStyle w:val="InternetLink"/>
                  <w:rFonts w:ascii="Times New Roman" w:hAnsi="Times New Roman"/>
                  <w:sz w:val="20"/>
                </w:rPr>
                <w:t>April 29, 2022</w:t>
              </w:r>
            </w:hyperlink>
            <w:r>
              <w:rPr>
                <w:rFonts w:ascii="Times New Roman" w:hAnsi="Times New Roman"/>
                <w:sz w:val="20"/>
              </w:rPr>
              <w:t xml:space="preserve">, </w:t>
            </w:r>
            <w:hyperlink r:id="rId14">
              <w:r>
                <w:rPr>
                  <w:rStyle w:val="InternetLink"/>
                  <w:rFonts w:ascii="Times New Roman" w:hAnsi="Times New Roman"/>
                  <w:sz w:val="20"/>
                </w:rPr>
                <w:t>May 27, 2022</w:t>
              </w:r>
            </w:hyperlink>
            <w:r>
              <w:rPr>
                <w:rFonts w:ascii="Times New Roman" w:hAnsi="Times New Roman"/>
                <w:sz w:val="20"/>
              </w:rPr>
              <w:t xml:space="preserve"> and </w:t>
            </w:r>
            <w:hyperlink r:id="rId15">
              <w:r>
                <w:rPr>
                  <w:rStyle w:val="InternetLink"/>
                  <w:rFonts w:ascii="Times New Roman" w:hAnsi="Times New Roman"/>
                  <w:sz w:val="20"/>
                </w:rPr>
                <w:t>July 1, 2022</w:t>
              </w:r>
            </w:hyperlink>
            <w:r>
              <w:rPr>
                <w:rFonts w:ascii="Times New Roman" w:hAnsi="Times New Roman"/>
                <w:sz w:val="20"/>
              </w:rPr>
              <w:t xml:space="preserve">. </w:t>
            </w:r>
          </w:p>
        </w:tc>
      </w:tr>
    </w:tbl>
    <w:p>
      <w:pPr>
        <w:pStyle w:val="TextBody"/>
        <w:spacing w:before="240" w:after="0"/>
        <w:rPr>
          <w:rFonts w:ascii="Times New Roman" w:hAnsi="Times New Roman"/>
          <w:sz w:val="20"/>
        </w:rPr>
      </w:pPr>
      <w:r>
        <w:rPr>
          <w:rFonts w:ascii="Times New Roman" w:hAnsi="Times New Roman"/>
          <w:sz w:val="20"/>
        </w:rPr>
        <w:t xml:space="preserve">We incorporate by reference into this prospectus additional documents that we may file with the SEC under Section 13(a), 13(c), 14 or 15(d) of the Exchange Act, until all of the securities offered by this prospectus and any accompanying prospectus supplement have been sold or we otherwise terminate the offering of these securities; provided, however, that information furnished under Item 2.02 or Item 7.01 of Form 8-K or other information furnished to the SEC which is not deemed filed is not incorporated by reference in this prospectus and any accompanying prospectus supplement. Information that we file with the SEC will automatically update and may supersede information in this prospectus, any accompanying prospectus supplement and information previously filed with the SEC. </w:t>
      </w:r>
    </w:p>
    <w:p>
      <w:pPr>
        <w:pStyle w:val="TextBody"/>
        <w:spacing w:before="240" w:after="0"/>
        <w:rPr>
          <w:rFonts w:ascii="Times New Roman" w:hAnsi="Times New Roman"/>
          <w:sz w:val="20"/>
        </w:rPr>
      </w:pPr>
      <w:r>
        <w:rPr>
          <w:rFonts w:ascii="Times New Roman" w:hAnsi="Times New Roman"/>
          <w:sz w:val="20"/>
        </w:rPr>
        <w:t xml:space="preserve">We will provide without charge to each person, including any beneficial owner, to whom a copy of this prospectus is delivered, upon written request of any such person, a copy of any or all of the documents that has been or may be incorporated by reference into this prospectus (excluding certain exhibits to the documents) at no cost. Any such request may be made by contacting us in writing at the following address: </w:t>
      </w:r>
    </w:p>
    <w:p>
      <w:pPr>
        <w:pStyle w:val="TextBody"/>
        <w:spacing w:before="240" w:after="0"/>
        <w:jc w:val="center"/>
        <w:rPr>
          <w:rFonts w:ascii="Times New Roman" w:hAnsi="Times New Roman"/>
          <w:sz w:val="20"/>
        </w:rPr>
      </w:pPr>
      <w:r>
        <w:rPr>
          <w:rFonts w:ascii="Times New Roman" w:hAnsi="Times New Roman"/>
          <w:sz w:val="20"/>
        </w:rPr>
        <w:t xml:space="preserve">Sixth Street Specialty Lending, Inc. </w:t>
      </w:r>
    </w:p>
    <w:p>
      <w:pPr>
        <w:pStyle w:val="TextBody"/>
        <w:spacing w:before="0" w:after="0"/>
        <w:jc w:val="center"/>
        <w:rPr>
          <w:rFonts w:ascii="Times New Roman" w:hAnsi="Times New Roman"/>
          <w:sz w:val="20"/>
        </w:rPr>
      </w:pPr>
      <w:r>
        <w:rPr>
          <w:rFonts w:ascii="Times New Roman" w:hAnsi="Times New Roman"/>
          <w:sz w:val="20"/>
        </w:rPr>
        <w:t xml:space="preserve">888 7th Avenue, 41st Floor </w:t>
      </w:r>
    </w:p>
    <w:p>
      <w:pPr>
        <w:pStyle w:val="TextBody"/>
        <w:spacing w:before="0" w:after="0"/>
        <w:jc w:val="center"/>
        <w:rPr>
          <w:rFonts w:ascii="Times New Roman" w:hAnsi="Times New Roman"/>
          <w:sz w:val="20"/>
        </w:rPr>
      </w:pPr>
      <w:r>
        <w:rPr>
          <w:rFonts w:ascii="Times New Roman" w:hAnsi="Times New Roman"/>
          <w:sz w:val="20"/>
        </w:rPr>
        <w:t xml:space="preserve">New York, NY 10106 </w:t>
      </w:r>
    </w:p>
    <w:p>
      <w:pPr>
        <w:pStyle w:val="TextBody"/>
        <w:spacing w:before="0" w:after="0"/>
        <w:jc w:val="center"/>
        <w:rPr>
          <w:rFonts w:ascii="Times New Roman" w:hAnsi="Times New Roman"/>
          <w:sz w:val="20"/>
        </w:rPr>
      </w:pPr>
      <w:r>
        <w:rPr>
          <w:rFonts w:ascii="Times New Roman" w:hAnsi="Times New Roman"/>
          <w:sz w:val="20"/>
        </w:rPr>
        <w:t xml:space="preserve">Attention: TSLX Investor Relations </w:t>
      </w:r>
    </w:p>
    <w:p>
      <w:pPr>
        <w:pStyle w:val="TextBody"/>
        <w:spacing w:before="0" w:after="0"/>
        <w:jc w:val="center"/>
        <w:rPr>
          <w:rFonts w:ascii="Times New Roman" w:hAnsi="Times New Roman"/>
          <w:sz w:val="20"/>
        </w:rPr>
      </w:pPr>
      <w:r>
        <w:rPr>
          <w:rFonts w:ascii="Times New Roman" w:hAnsi="Times New Roman"/>
          <w:sz w:val="20"/>
          <w:u w:val="single"/>
        </w:rPr>
        <w:t>Email</w:t>
      </w:r>
      <w:r>
        <w:rPr>
          <w:rFonts w:ascii="Times New Roman" w:hAnsi="Times New Roman"/>
          <w:sz w:val="20"/>
        </w:rPr>
        <w:t xml:space="preserve">: IRTSLX@sixthstreet.com. </w:t>
      </w:r>
    </w:p>
    <w:p>
      <w:pPr>
        <w:pStyle w:val="TextBody"/>
        <w:spacing w:before="240" w:after="0"/>
        <w:rPr>
          <w:rFonts w:ascii="Times New Roman" w:hAnsi="Times New Roman"/>
          <w:sz w:val="20"/>
        </w:rPr>
      </w:pPr>
      <w:r>
        <w:rPr>
          <w:rFonts w:ascii="Times New Roman" w:hAnsi="Times New Roman"/>
          <w:sz w:val="20"/>
        </w:rPr>
        <w:t xml:space="preserve">You should rely only on the information incorporated by reference or provided in this prospectus or any prospectus supplement. We have not authorized anyone to provide you with different or additional information, and you should not rely on such information if you receive it. We are not making an offer of or soliciting an offer to buy, any securities in any state or other jurisdiction where such offer or sale is not permitted. You should not assume that the information in this prospectus or in the documents incorporated by reference is accurate as of any date other than the date on the front of this prospectus or those documents.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pBdr>
          <w:bottom w:val="single" w:sz="16"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600" w:after="0"/>
        <w:jc w:val="center"/>
        <w:rPr>
          <w:rFonts w:ascii="Times New Roman" w:hAnsi="Times New Roman"/>
          <w:b/>
          <w:sz w:val="32"/>
        </w:rPr>
      </w:pPr>
      <w:r>
        <w:rPr>
          <w:rFonts w:ascii="Times New Roman" w:hAnsi="Times New Roman"/>
          <w:b/>
          <w:sz w:val="32"/>
        </w:rPr>
        <w:t xml:space="preserve">4,500,000 Shares </w:t>
      </w:r>
    </w:p>
    <w:p>
      <w:pPr>
        <w:pStyle w:val="TextBody"/>
        <w:spacing w:before="0" w:after="0"/>
        <w:jc w:val="left"/>
        <w:rPr/>
      </w:pPr>
      <w:r>
        <w:rPr/>
        <w:t> </w:t>
      </w:r>
    </w:p>
    <w:p>
      <w:pPr>
        <w:pStyle w:val="TextBody"/>
        <w:spacing w:before="0" w:after="0"/>
        <w:jc w:val="center"/>
        <w:rPr/>
      </w:pPr>
      <w:r>
        <w:rPr/>
        <w:drawing>
          <wp:inline distT="0" distB="0" distL="0" distR="0">
            <wp:extent cx="1600200" cy="6953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6"/>
                    <a:stretch>
                      <a:fillRect/>
                    </a:stretch>
                  </pic:blipFill>
                  <pic:spPr bwMode="auto">
                    <a:xfrm>
                      <a:off x="0" y="0"/>
                      <a:ext cx="1600200" cy="695325"/>
                    </a:xfrm>
                    <a:prstGeom prst="rect">
                      <a:avLst/>
                    </a:prstGeom>
                  </pic:spPr>
                </pic:pic>
              </a:graphicData>
            </a:graphic>
          </wp:inline>
        </w:drawing>
      </w:r>
      <w:r>
        <w:rPr/>
        <w:t xml:space="preserve"> </w:t>
      </w:r>
    </w:p>
    <w:p>
      <w:pPr>
        <w:pStyle w:val="TextBody"/>
        <w:spacing w:before="480" w:after="0"/>
        <w:jc w:val="center"/>
        <w:rPr>
          <w:rFonts w:ascii="Times New Roman" w:hAnsi="Times New Roman"/>
          <w:b/>
          <w:sz w:val="28"/>
        </w:rPr>
      </w:pPr>
      <w:r>
        <w:rPr>
          <w:rFonts w:ascii="Times New Roman" w:hAnsi="Times New Roman"/>
          <w:b/>
          <w:sz w:val="28"/>
        </w:rPr>
        <w:t xml:space="preserve">Common Stock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4"/>
        </w:rPr>
      </w:pPr>
      <w:r>
        <w:rPr>
          <w:rFonts w:ascii="Times New Roman" w:hAnsi="Times New Roman"/>
          <w:b/>
          <w:sz w:val="24"/>
        </w:rPr>
        <w:t xml:space="preserve">PROSPECTUS SUPPLEMENT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1440" w:after="0"/>
        <w:jc w:val="center"/>
        <w:rPr>
          <w:rFonts w:ascii="Times New Roman" w:hAnsi="Times New Roman"/>
          <w:b/>
          <w:i/>
          <w:sz w:val="24"/>
        </w:rPr>
      </w:pPr>
      <w:r>
        <w:rPr>
          <w:rFonts w:ascii="Times New Roman" w:hAnsi="Times New Roman"/>
          <w:b/>
          <w:i/>
          <w:sz w:val="24"/>
        </w:rPr>
        <w:t xml:space="preserve">Joint Book-Running Managers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411"/>
        <w:gridCol w:w="2157"/>
        <w:gridCol w:w="1679"/>
        <w:gridCol w:w="2157"/>
        <w:gridCol w:w="60"/>
        <w:gridCol w:w="1678"/>
        <w:gridCol w:w="63"/>
      </w:tblGrid>
      <w:tr>
        <w:trPr/>
        <w:tc>
          <w:tcPr>
            <w:tcW w:w="2411" w:type="dxa"/>
            <w:tcBorders/>
            <w:shd w:fill="auto" w:val="clear"/>
            <w:vAlign w:val="center"/>
          </w:tcPr>
          <w:p>
            <w:pPr>
              <w:pStyle w:val="TableContents"/>
              <w:spacing w:before="0" w:after="283"/>
              <w:rPr>
                <w:sz w:val="4"/>
                <w:szCs w:val="4"/>
              </w:rPr>
            </w:pPr>
            <w:r>
              <w:rPr>
                <w:sz w:val="4"/>
                <w:szCs w:val="4"/>
              </w:rPr>
            </w:r>
          </w:p>
        </w:tc>
        <w:tc>
          <w:tcPr>
            <w:tcW w:w="2157" w:type="dxa"/>
            <w:tcBorders/>
            <w:shd w:fill="auto" w:val="clear"/>
            <w:vAlign w:val="bottom"/>
          </w:tcPr>
          <w:p>
            <w:pPr>
              <w:pStyle w:val="TableContents"/>
              <w:spacing w:before="0" w:after="283"/>
              <w:rPr>
                <w:sz w:val="4"/>
                <w:szCs w:val="4"/>
              </w:rPr>
            </w:pPr>
            <w:r>
              <w:rPr>
                <w:sz w:val="4"/>
                <w:szCs w:val="4"/>
              </w:rPr>
            </w:r>
          </w:p>
        </w:tc>
        <w:tc>
          <w:tcPr>
            <w:tcW w:w="1679" w:type="dxa"/>
            <w:tcBorders/>
            <w:shd w:fill="auto" w:val="clear"/>
            <w:vAlign w:val="center"/>
          </w:tcPr>
          <w:p>
            <w:pPr>
              <w:pStyle w:val="TableContents"/>
              <w:spacing w:before="0" w:after="283"/>
              <w:rPr>
                <w:sz w:val="4"/>
                <w:szCs w:val="4"/>
              </w:rPr>
            </w:pPr>
            <w:r>
              <w:rPr>
                <w:sz w:val="4"/>
                <w:szCs w:val="4"/>
              </w:rPr>
            </w:r>
          </w:p>
        </w:tc>
        <w:tc>
          <w:tcPr>
            <w:tcW w:w="2157"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678"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2411" w:type="dxa"/>
            <w:tcBorders/>
            <w:shd w:fill="auto" w:val="clear"/>
          </w:tcPr>
          <w:p>
            <w:pPr>
              <w:pStyle w:val="TableContents"/>
              <w:spacing w:before="0" w:after="283"/>
              <w:rPr>
                <w:b/>
              </w:rPr>
            </w:pPr>
            <w:r>
              <w:rPr>
                <w:b/>
              </w:rPr>
              <w:t>Wells Fargo Securities</w:t>
            </w:r>
          </w:p>
        </w:tc>
        <w:tc>
          <w:tcPr>
            <w:tcW w:w="2157" w:type="dxa"/>
            <w:tcBorders/>
            <w:shd w:fill="auto" w:val="clear"/>
            <w:vAlign w:val="bottom"/>
          </w:tcPr>
          <w:p>
            <w:pPr>
              <w:pStyle w:val="TableContents"/>
              <w:spacing w:before="0" w:after="283"/>
              <w:rPr/>
            </w:pPr>
            <w:r>
              <w:rPr/>
              <w:t> </w:t>
            </w:r>
          </w:p>
        </w:tc>
        <w:tc>
          <w:tcPr>
            <w:tcW w:w="1679" w:type="dxa"/>
            <w:tcBorders/>
            <w:shd w:fill="auto" w:val="clear"/>
          </w:tcPr>
          <w:p>
            <w:pPr>
              <w:pStyle w:val="TableContents"/>
              <w:spacing w:before="0" w:after="283"/>
              <w:jc w:val="center"/>
              <w:rPr>
                <w:b/>
              </w:rPr>
            </w:pPr>
            <w:r>
              <w:rPr>
                <w:b/>
              </w:rPr>
              <w:t>Morgan Stanley</w:t>
            </w:r>
          </w:p>
        </w:tc>
        <w:tc>
          <w:tcPr>
            <w:tcW w:w="2157"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283"/>
              <w:rPr/>
            </w:pPr>
            <w:r>
              <w:rPr/>
              <w:t> </w:t>
            </w:r>
          </w:p>
        </w:tc>
        <w:tc>
          <w:tcPr>
            <w:tcW w:w="1678" w:type="dxa"/>
            <w:tcBorders/>
            <w:shd w:fill="auto" w:val="clear"/>
          </w:tcPr>
          <w:p>
            <w:pPr>
              <w:pStyle w:val="TableContents"/>
              <w:spacing w:before="0" w:after="283"/>
              <w:jc w:val="right"/>
              <w:rPr>
                <w:b/>
              </w:rPr>
            </w:pPr>
            <w:r>
              <w:rPr>
                <w:b/>
              </w:rPr>
              <w:t>BofA Securities</w:t>
            </w:r>
          </w:p>
        </w:tc>
        <w:tc>
          <w:tcPr>
            <w:tcW w:w="63" w:type="dxa"/>
            <w:tcBorders/>
            <w:shd w:fill="auto" w:val="clear"/>
          </w:tcPr>
          <w:p>
            <w:pPr>
              <w:pStyle w:val="TableContents"/>
              <w:spacing w:before="0" w:after="283"/>
              <w:rPr/>
            </w:pPr>
            <w:r>
              <w:rPr/>
              <w:t>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70"/>
        <w:gridCol w:w="102"/>
        <w:gridCol w:w="3265"/>
        <w:gridCol w:w="102"/>
        <w:gridCol w:w="3266"/>
      </w:tblGrid>
      <w:tr>
        <w:trPr/>
        <w:tc>
          <w:tcPr>
            <w:tcW w:w="347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tcPr>
          <w:p>
            <w:pPr>
              <w:pStyle w:val="TableContents"/>
              <w:spacing w:before="0" w:after="283"/>
              <w:rPr>
                <w:b/>
              </w:rPr>
            </w:pPr>
            <w:r>
              <w:rPr>
                <w:b/>
              </w:rPr>
              <w:t>RBC Capital Markets</w:t>
            </w:r>
          </w:p>
        </w:tc>
        <w:tc>
          <w:tcPr>
            <w:tcW w:w="102" w:type="dxa"/>
            <w:tcBorders/>
            <w:shd w:fill="auto" w:val="clear"/>
            <w:vAlign w:val="bottom"/>
          </w:tcPr>
          <w:p>
            <w:pPr>
              <w:pStyle w:val="TableContents"/>
              <w:spacing w:before="0" w:after="283"/>
              <w:rPr/>
            </w:pPr>
            <w:r>
              <w:rPr/>
              <w:t> </w:t>
            </w:r>
          </w:p>
        </w:tc>
        <w:tc>
          <w:tcPr>
            <w:tcW w:w="3265" w:type="dxa"/>
            <w:tcBorders/>
            <w:shd w:fill="auto" w:val="clear"/>
          </w:tcPr>
          <w:p>
            <w:pPr>
              <w:pStyle w:val="TableContents"/>
              <w:spacing w:before="0" w:after="0"/>
              <w:jc w:val="center"/>
              <w:rPr>
                <w:rFonts w:ascii="Times New Roman" w:hAnsi="Times New Roman"/>
                <w:b/>
                <w:sz w:val="22"/>
              </w:rPr>
            </w:pPr>
            <w:r>
              <w:rPr>
                <w:rFonts w:ascii="Times New Roman" w:hAnsi="Times New Roman"/>
                <w:b/>
                <w:sz w:val="22"/>
              </w:rPr>
              <w:t>Keefe, Bruyette &amp; Woods,      </w:t>
            </w:r>
          </w:p>
          <w:p>
            <w:pPr>
              <w:pStyle w:val="TableContents"/>
              <w:spacing w:before="0" w:after="20"/>
              <w:jc w:val="center"/>
              <w:rPr/>
            </w:pPr>
            <w:r>
              <w:rPr/>
              <w:t>               </w:t>
            </w:r>
            <w:r>
              <w:rPr>
                <w:rFonts w:ascii="Times New Roman" w:hAnsi="Times New Roman"/>
                <w:b/>
                <w:i/>
                <w:sz w:val="22"/>
              </w:rPr>
              <w:t>A Stifel  Company</w:t>
            </w:r>
            <w:r>
              <w:rPr>
                <w:rFonts w:ascii="Times New Roman" w:hAnsi="Times New Roman"/>
                <w:sz w:val="22"/>
              </w:rPr>
              <w:t>      </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right"/>
              <w:rPr>
                <w:b/>
              </w:rPr>
            </w:pPr>
            <w:r>
              <w:rPr>
                <w:b/>
              </w:rPr>
              <w:t>Raymond James</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55"/>
        <w:gridCol w:w="102"/>
        <w:gridCol w:w="4948"/>
      </w:tblGrid>
      <w:tr>
        <w:trPr/>
        <w:tc>
          <w:tcPr>
            <w:tcW w:w="5155"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948" w:type="dxa"/>
            <w:tcBorders/>
            <w:shd w:fill="auto" w:val="clear"/>
            <w:vAlign w:val="center"/>
          </w:tcPr>
          <w:p>
            <w:pPr>
              <w:pStyle w:val="TableContents"/>
              <w:spacing w:before="0" w:after="283"/>
              <w:rPr>
                <w:sz w:val="4"/>
                <w:szCs w:val="4"/>
              </w:rPr>
            </w:pPr>
            <w:r>
              <w:rPr>
                <w:sz w:val="4"/>
                <w:szCs w:val="4"/>
              </w:rPr>
            </w:r>
          </w:p>
        </w:tc>
      </w:tr>
      <w:tr>
        <w:trPr/>
        <w:tc>
          <w:tcPr>
            <w:tcW w:w="5155" w:type="dxa"/>
            <w:tcBorders/>
            <w:shd w:fill="auto" w:val="clear"/>
          </w:tcPr>
          <w:p>
            <w:pPr>
              <w:pStyle w:val="TableContents"/>
              <w:spacing w:before="0" w:after="283"/>
              <w:jc w:val="center"/>
              <w:rPr>
                <w:b/>
              </w:rPr>
            </w:pPr>
            <w:r>
              <w:rPr>
                <w:b/>
              </w:rPr>
              <w:t>Goldman Sachs &amp; Co. LLC</w:t>
            </w:r>
          </w:p>
        </w:tc>
        <w:tc>
          <w:tcPr>
            <w:tcW w:w="102" w:type="dxa"/>
            <w:tcBorders/>
            <w:shd w:fill="auto" w:val="clear"/>
            <w:vAlign w:val="bottom"/>
          </w:tcPr>
          <w:p>
            <w:pPr>
              <w:pStyle w:val="TableContents"/>
              <w:spacing w:before="0" w:after="283"/>
              <w:rPr/>
            </w:pPr>
            <w:r>
              <w:rPr/>
              <w:t> </w:t>
            </w:r>
          </w:p>
        </w:tc>
        <w:tc>
          <w:tcPr>
            <w:tcW w:w="4948" w:type="dxa"/>
            <w:tcBorders/>
            <w:shd w:fill="auto" w:val="clear"/>
          </w:tcPr>
          <w:p>
            <w:pPr>
              <w:pStyle w:val="TableContents"/>
              <w:spacing w:before="0" w:after="283"/>
              <w:jc w:val="center"/>
              <w:rPr>
                <w:b/>
              </w:rPr>
            </w:pPr>
            <w:r>
              <w:rPr>
                <w:b/>
              </w:rPr>
              <w:t>J.P. Morgan</w:t>
            </w:r>
          </w:p>
        </w:tc>
      </w:tr>
    </w:tbl>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720" w:after="0"/>
        <w:jc w:val="center"/>
        <w:rPr>
          <w:rFonts w:ascii="Times New Roman" w:hAnsi="Times New Roman"/>
          <w:b/>
          <w:sz w:val="20"/>
        </w:rPr>
      </w:pPr>
      <w:r>
        <w:rPr>
          <w:rFonts w:ascii="Times New Roman" w:hAnsi="Times New Roman"/>
          <w:b/>
          <w:sz w:val="20"/>
        </w:rPr>
        <w:t xml:space="preserve">May     , 2023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16" w:space="1" w:color="000000"/>
        </w:pBdr>
        <w:spacing w:lineRule="atLeast" w:line="141" w:before="0" w:after="40"/>
        <w:jc w:val="left"/>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Arial Narrow">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508655/000095017023003042/tslx-20221231.htm" TargetMode="External"/><Relationship Id="rId4" Type="http://schemas.openxmlformats.org/officeDocument/2006/relationships/hyperlink" Target="http://www.sec.gov/Archives/edgar/data/../../../ix?doc=/Archives/edgar/data/0001508655/000095017023018777/tslx-20230331.htm" TargetMode="External"/><Relationship Id="rId5" Type="http://schemas.openxmlformats.org/officeDocument/2006/relationships/hyperlink" Target="http://www.sec.gov/Archives/edgar/data/../../../ix?doc=/Archives/edgar/data/0001508655/000095017023003042/tslx-20221231.htm" TargetMode="External"/><Relationship Id="rId6" Type="http://schemas.openxmlformats.org/officeDocument/2006/relationships/hyperlink" Target="http://www.sec.gov/Archives/edgar/data/1508655/000119312523100535/d393322ddef14a.htm" TargetMode="External"/><Relationship Id="rId7" Type="http://schemas.openxmlformats.org/officeDocument/2006/relationships/image" Target="media/image2.jpeg"/><Relationship Id="rId8" Type="http://schemas.openxmlformats.org/officeDocument/2006/relationships/hyperlink" Target="http://www.sec.gov/Archives/edgar/data/1508655/000156459022005558/tslx-10k_20211231.htm" TargetMode="External"/><Relationship Id="rId9" Type="http://schemas.openxmlformats.org/officeDocument/2006/relationships/hyperlink" Target="http://www.sec.gov/Archives/edgar/data/1508655/000119312522104268/d423137ddef14a.htm" TargetMode="External"/><Relationship Id="rId10" Type="http://schemas.openxmlformats.org/officeDocument/2006/relationships/hyperlink" Target="http://www.sec.gov/Archives/edgar/data/1508655/000156459022017420/tslx-10q_20220331.htm" TargetMode="External"/><Relationship Id="rId11" Type="http://schemas.openxmlformats.org/officeDocument/2006/relationships/hyperlink" Target="http://www.sec.gov/Archives/edgar/data/1508655/000095017022013859/tslx-10-q-20220630-non_x.htm" TargetMode="External"/><Relationship Id="rId12" Type="http://schemas.openxmlformats.org/officeDocument/2006/relationships/hyperlink" Target="http://www.sec.gov/Archives/edgar/data/1508655/000095017022020830/tslx-20220930.htm" TargetMode="External"/><Relationship Id="rId13" Type="http://schemas.openxmlformats.org/officeDocument/2006/relationships/hyperlink" Target="http://www.sec.gov/Archives/edgar/data/1508655/000119312522133581/d353862d8k.htm" TargetMode="External"/><Relationship Id="rId14" Type="http://schemas.openxmlformats.org/officeDocument/2006/relationships/hyperlink" Target="http://www.sec.gov/Archives/edgar/data/1508655/000119312522162469/d361714d8k.htm" TargetMode="External"/><Relationship Id="rId15" Type="http://schemas.openxmlformats.org/officeDocument/2006/relationships/hyperlink" Target="http://www.sec.gov/Archives/edgar/data/1508655/000119312522187202/d376461d8k.htm" TargetMode="External"/><Relationship Id="rId16" Type="http://schemas.openxmlformats.org/officeDocument/2006/relationships/image" Target="media/image3.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109</Pages>
  <Words>66480</Words>
  <CharactersWithSpaces>412235</CharactersWithSpaces>
  <Paragraphs>12895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424B2</dc:title>
</cp:coreProperties>
</file>