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(RULE 14a-101)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Securities Exchange Act of 1934</w:t>
      </w:r>
    </w:p>
    <w:p>
      <w:pPr>
        <w:spacing w:after="0" w:line="163" w:lineRule="exact"/>
        <w:rPr>
          <w:sz w:val="24"/>
          <w:szCs w:val="24"/>
          <w:color w:val="auto"/>
        </w:rPr>
      </w:pPr>
    </w:p>
    <w:p>
      <w:pPr>
        <w:ind w:left="200"/>
        <w:spacing w:after="0" w:line="207" w:lineRule="exact"/>
        <w:tabs>
          <w:tab w:leader="none" w:pos="28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760" w:hanging="556"/>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760" w:hanging="55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760" w:hanging="556"/>
        <w:spacing w:after="0"/>
        <w:tabs>
          <w:tab w:leader="none" w:pos="7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TPG Specialty Lending, Inc.</w:t>
      </w:r>
    </w:p>
    <w:p>
      <w:pPr>
        <w:spacing w:after="0" w:line="3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09"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640" w:hanging="436"/>
        <w:spacing w:after="0"/>
        <w:tabs>
          <w:tab w:leader="none" w:pos="6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40" w:hanging="436"/>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320" w:hanging="684"/>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684"/>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684"/>
        <w:spacing w:after="0" w:line="277" w:lineRule="auto"/>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320" w:hanging="684"/>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320" w:hanging="684"/>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40" w:hanging="436"/>
        <w:spacing w:after="0"/>
        <w:tabs>
          <w:tab w:leader="none" w:pos="6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40" w:hanging="436"/>
        <w:spacing w:after="0" w:line="308" w:lineRule="auto"/>
        <w:tabs>
          <w:tab w:leader="none" w:pos="6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320" w:hanging="684"/>
        <w:spacing w:after="0"/>
        <w:tabs>
          <w:tab w:leader="none" w:pos="13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-3088640</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-2642870</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-2059940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-1614170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-1167765</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306705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11160"/>
          </w:cols>
          <w:pgMar w:left="240" w:top="230" w:right="499" w:bottom="694" w:gutter="0" w:footer="0" w:header="0"/>
        </w:sectPr>
      </w:pPr>
    </w:p>
    <w:bookmarkStart w:id="1" w:name="page2"/>
    <w:bookmarkEnd w:id="1"/>
    <w:p>
      <w:pPr>
        <w:ind w:left="684" w:hanging="684"/>
        <w:spacing w:after="0"/>
        <w:tabs>
          <w:tab w:leader="none" w:pos="684"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684" w:hanging="684"/>
        <w:spacing w:after="0"/>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684" w:hanging="684"/>
        <w:spacing w:after="0"/>
        <w:tabs>
          <w:tab w:leader="none" w:pos="684"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433070</wp:posOffset>
            </wp:positionH>
            <wp:positionV relativeFrom="paragraph">
              <wp:posOffset>-584835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-139065</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433070</wp:posOffset>
            </wp:positionH>
            <wp:positionV relativeFrom="paragraph">
              <wp:posOffset>306705</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r>
    </w:p>
    <w:p>
      <w:pPr>
        <w:sectPr>
          <w:pgSz w:w="11900" w:h="16838" w:orient="portrait"/>
          <w:cols w:equalWidth="0" w:num="1">
            <w:col w:w="9583"/>
          </w:cols>
          <w:pgMar w:left="876"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 76102</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pleased to invite you to attend the 2019 Annual Meeting of Stockholders of TPG Specialty Lending, Inc. to be held on May 16, 2019, at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9:00 a.m., local time, at the offices of Cleary Gottlieb Steen &amp; Hamilton LLP, 450 Park Avenue, 28th Floor, New York, NY 10022.</w:t>
      </w:r>
    </w:p>
    <w:p>
      <w:pPr>
        <w:spacing w:after="0" w:line="21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following pages include a formal notice of the meeting and our proxy statement. The Notice of Internet Availability of Proxy Materials you received in the mail and this proxy statement describe various matters on the agenda for the meeting. Please read these materials so that you will know what we plan to do at the meeting. It is important that your shares be represented at the annual meeting, regardless of whether you plan to attend the meeting in person. Please vote your shares as soon as possible through any of the voting options available to you as described in the Notice of Internet Availability of Proxy Materials and this proxy statement.</w:t>
      </w:r>
    </w:p>
    <w:p>
      <w:pPr>
        <w:spacing w:after="0" w:line="18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You will also receive separate proxy materials for a special meeting of stockholders, which will be held at the same place and on the same date stated above, but not at the same time. Please be certain to vote separately each proxy card that you receive from us.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behalf of management and our Board of Directors, we thank you for your continued support of TPG Specialty Lending, Inc.</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Chairman of the Board of Directors</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ectPr>
          <w:pgSz w:w="11900" w:h="16838" w:orient="portrait"/>
          <w:cols w:equalWidth="0" w:num="1">
            <w:col w:w="11060"/>
          </w:cols>
          <w:pgMar w:left="240" w:top="459" w:right="5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Important Notice Regarding the Availability of Proxy Material for the Annual Meeting of Stockholders to Be Held on May 16, 2019.</w:t>
      </w:r>
    </w:p>
    <w:p>
      <w:pPr>
        <w:spacing w:after="0" w:line="24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proxy statement and annual report on Form 10-K for the year ended December 31, 2018 are available online at www.proxyvote.com.</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information applicable to the Annual Meeting of Stockholders may be found in the proxy statement and accompanying proxy card:</w:t>
      </w:r>
    </w:p>
    <w:p>
      <w:pPr>
        <w:spacing w:after="0" w:line="154" w:lineRule="exact"/>
        <w:rPr>
          <w:sz w:val="20"/>
          <w:szCs w:val="20"/>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time and location of the meeting;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list of the matters intended to be acted on and our recommendations regarding those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control/identification numbers that you need to access proxy material online;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about attending the meeting and voting in person.</w:t>
      </w:r>
    </w:p>
    <w:p>
      <w:pPr>
        <w:sectPr>
          <w:pgSz w:w="11900" w:h="16838" w:orient="portrait"/>
          <w:cols w:equalWidth="0" w:num="1">
            <w:col w:w="11160"/>
          </w:cols>
          <w:pgMar w:left="24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Notice of the 2019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163195</wp:posOffset>
            </wp:positionV>
            <wp:extent cx="146621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NOTICE IS HEREBY GIVEN that the 2019 Annual Meeting of Stockholders of TPG Specialty Lending, Inc. will be held at the offices of Cleary Gottlieb Steen &amp; Hamilton LLP, 450 Park Avenue, 28th Floor, New York, NY 10022 on May 16, 2019, at 9:00 a.m., local time. The 2019 Annual Meeting of Stockholders is being held for the following purposes:</w:t>
      </w:r>
    </w:p>
    <w:p>
      <w:pPr>
        <w:spacing w:after="0" w:line="73" w:lineRule="exact"/>
        <w:rPr>
          <w:sz w:val="20"/>
          <w:szCs w:val="20"/>
          <w:color w:val="auto"/>
        </w:rPr>
      </w:pPr>
    </w:p>
    <w:p>
      <w:pPr>
        <w:ind w:left="640" w:right="280" w:firstLine="428"/>
        <w:spacing w:after="0" w:line="277"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elect two Class II directors, each to serve for a three-year term and until a successor has been duly elected and qualified or until the director’s earlier resignation or removal.</w:t>
      </w:r>
    </w:p>
    <w:p>
      <w:pPr>
        <w:spacing w:after="0" w:line="62" w:lineRule="exact"/>
        <w:rPr>
          <w:rFonts w:ascii="Arial" w:cs="Arial" w:eastAsia="Arial" w:hAnsi="Arial"/>
          <w:sz w:val="18"/>
          <w:szCs w:val="18"/>
          <w:color w:val="auto"/>
        </w:rPr>
      </w:pPr>
    </w:p>
    <w:p>
      <w:pPr>
        <w:ind w:left="640" w:right="720" w:firstLine="428"/>
        <w:spacing w:after="0" w:line="277"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ratify the selection of KPMG LLP as the Company’s independent registered public accounting firm for the fiscal year ending December 31, 2019.</w:t>
      </w:r>
    </w:p>
    <w:p>
      <w:pPr>
        <w:spacing w:after="0" w:line="62" w:lineRule="exact"/>
        <w:rPr>
          <w:rFonts w:ascii="Arial" w:cs="Arial" w:eastAsia="Arial" w:hAnsi="Arial"/>
          <w:sz w:val="18"/>
          <w:szCs w:val="18"/>
          <w:color w:val="auto"/>
        </w:rPr>
      </w:pPr>
    </w:p>
    <w:p>
      <w:pPr>
        <w:ind w:left="640" w:right="760" w:firstLine="428"/>
        <w:spacing w:after="0" w:line="277" w:lineRule="auto"/>
        <w:tabs>
          <w:tab w:leader="none" w:pos="1243"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2019 Annual Meeting of Stockholders or any postponement or adjournment thereof.</w:t>
      </w:r>
    </w:p>
    <w:p>
      <w:pPr>
        <w:spacing w:after="0" w:line="170"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Only stockholders of record at the close of business on March 22, 2019, are entitled to notice of and to vote at the 2019 Annual Meeting of Stockholders or any postponement or adjournment thereof.</w:t>
      </w:r>
    </w:p>
    <w:p>
      <w:pPr>
        <w:spacing w:after="0" w:line="170"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We are furnishing a proxy statement, annual report and proxy card to our stockholders on the internet, rather than mailing printed copies of those materials to each stockholder. If you received a Notice of Internet Availability of Proxy Materials by mail, you will not receive a printed copy of the proxy statement, annual report and proxy card unless you request them. Instead, the Notice of Internet Availability of Proxy Materials will instruct you as to how you may access and review the proxy statement and annual report, and vote your proxy, on the internet.</w:t>
      </w:r>
    </w:p>
    <w:p>
      <w:pPr>
        <w:spacing w:after="0" w:line="167"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b w:val="1"/>
          <w:bCs w:val="1"/>
          <w:color w:val="auto"/>
        </w:rPr>
        <w:t>Your vote is extremely important to us</w:t>
      </w:r>
      <w:r>
        <w:rPr>
          <w:rFonts w:ascii="Arial" w:cs="Arial" w:eastAsia="Arial" w:hAnsi="Arial"/>
          <w:sz w:val="18"/>
          <w:szCs w:val="18"/>
          <w:color w:val="auto"/>
        </w:rPr>
        <w:t>. If you are unable to attend the 2019 Annual Meeting of Stockholders, we encourage you to vote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w:t>
      </w:r>
    </w:p>
    <w:p>
      <w:pPr>
        <w:spacing w:after="0" w:line="184"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Further, from time to time we may repurchase shares of our common stock and are notifying you of this ability as required by applicable securities law. See “Stock Repurchase Plan” in the proxy statement.</w:t>
      </w:r>
    </w:p>
    <w:p>
      <w:pPr>
        <w:spacing w:after="0" w:line="19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 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14605</wp:posOffset>
            </wp:positionV>
            <wp:extent cx="27959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Ken Burke</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Fort Worth, TX</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April 5, 2019</w:t>
      </w:r>
    </w:p>
    <w:p>
      <w:pPr>
        <w:spacing w:after="0" w:line="207" w:lineRule="exact"/>
        <w:rPr>
          <w:sz w:val="20"/>
          <w:szCs w:val="20"/>
          <w:color w:val="auto"/>
        </w:rPr>
      </w:pPr>
    </w:p>
    <w:p>
      <w:pPr>
        <w:ind w:left="200" w:right="160"/>
        <w:spacing w:after="0" w:line="261" w:lineRule="auto"/>
        <w:rPr>
          <w:sz w:val="20"/>
          <w:szCs w:val="20"/>
          <w:color w:val="auto"/>
        </w:rPr>
      </w:pPr>
      <w:r>
        <w:rPr>
          <w:rFonts w:ascii="Arial" w:cs="Arial" w:eastAsia="Arial" w:hAnsi="Arial"/>
          <w:sz w:val="18"/>
          <w:szCs w:val="18"/>
          <w:b w:val="1"/>
          <w:bCs w:val="1"/>
          <w:u w:val="single" w:color="auto"/>
          <w:color w:val="auto"/>
        </w:rPr>
        <w:t>YOUR VOTE IS IMPORTANT</w:t>
      </w:r>
      <w:r>
        <w:rPr>
          <w:rFonts w:ascii="Arial" w:cs="Arial" w:eastAsia="Arial" w:hAnsi="Arial"/>
          <w:sz w:val="18"/>
          <w:szCs w:val="18"/>
          <w:b w:val="1"/>
          <w:bCs w:val="1"/>
          <w:color w:val="auto"/>
        </w:rPr>
        <w:t>! WE HOPE YOU WILL VOTE OVER THE INTERNET, BY PHONE OR BY MARKING, SIGNING AND RETURNING YOUR PROXY AS SOON AS POSSIBLE, WHETHER OR NOT YOU PLAN TO ATTEND THE MEETING. EVEN IF YOU VOTE YOUR SHARES PRIOR TO THE MEETING, YOU STILL MAY ATTEND THE MEETING AND VOTE YOUR SHARES IN PERSON.</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300" w:type="dxa"/>
            <w:vAlign w:val="bottom"/>
            <w:gridSpan w:val="3"/>
          </w:tcPr>
          <w:p>
            <w:pPr>
              <w:ind w:left="19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720" w:type="dxa"/>
            <w:vAlign w:val="bottom"/>
            <w:tcBorders>
              <w:top w:val="single" w:sz="8" w:color="CCEEFF"/>
            </w:tcBorders>
            <w:gridSpan w:val="13"/>
            <w:shd w:val="clear" w:color="auto" w:fill="CCEEFF"/>
          </w:tcPr>
          <w:p>
            <w:pPr>
              <w:spacing w:after="0" w:line="136" w:lineRule="exact"/>
              <w:rPr>
                <w:rFonts w:ascii="Arial" w:cs="Arial" w:eastAsia="Arial" w:hAnsi="Arial"/>
                <w:sz w:val="15"/>
                <w:szCs w:val="15"/>
                <w:color w:val="0000EE"/>
              </w:rPr>
            </w:pPr>
            <w:hyperlink w:anchor="page7">
              <w:r>
                <w:rPr>
                  <w:rFonts w:ascii="Arial" w:cs="Arial" w:eastAsia="Arial" w:hAnsi="Arial"/>
                  <w:sz w:val="15"/>
                  <w:szCs w:val="15"/>
                  <w:color w:val="0000EE"/>
                </w:rPr>
                <w:t>Proxy Statement for the 2019 Annual Meeting of Stockholders</w:t>
              </w:r>
            </w:hyperlink>
          </w:p>
        </w:tc>
        <w:tc>
          <w:tcPr>
            <w:tcW w:w="19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10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7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720" w:type="dxa"/>
            <w:vAlign w:val="bottom"/>
            <w:gridSpan w:val="13"/>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Security Ownership of Certain Beneficial Owners and Management</w:t>
              </w:r>
            </w:hyperlink>
          </w:p>
        </w:tc>
        <w:tc>
          <w:tcPr>
            <w:tcW w:w="2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7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20" w:type="dxa"/>
            <w:vAlign w:val="bottom"/>
            <w:gridSpan w:val="13"/>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Proposal No. 1—Election of Directors</w:t>
              </w:r>
            </w:hyperlink>
          </w:p>
        </w:tc>
        <w:tc>
          <w:tcPr>
            <w:tcW w:w="2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274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Corporate Governance</w:t>
              </w:r>
            </w:hyperlink>
          </w:p>
        </w:tc>
        <w:tc>
          <w:tcPr>
            <w:tcW w:w="5980" w:type="dxa"/>
            <w:vAlign w:val="bottom"/>
            <w:tcBorders>
              <w:top w:val="single" w:sz="8" w:color="CCEEFF"/>
            </w:tcBorders>
            <w:gridSpan w:val="5"/>
          </w:tcPr>
          <w:p>
            <w:pPr>
              <w:spacing w:after="0"/>
              <w:rPr>
                <w:sz w:val="15"/>
                <w:szCs w:val="15"/>
                <w:color w:val="auto"/>
              </w:rPr>
            </w:pPr>
          </w:p>
        </w:tc>
        <w:tc>
          <w:tcPr>
            <w:tcW w:w="22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11</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678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Proposal No. 2—Ratification of Selection of Independent Registered Public Accounting Firm</w:t>
              </w:r>
            </w:hyperlink>
          </w:p>
        </w:tc>
        <w:tc>
          <w:tcPr>
            <w:tcW w:w="194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20" w:type="dxa"/>
            <w:vAlign w:val="bottom"/>
            <w:gridSpan w:val="13"/>
          </w:tcPr>
          <w:p>
            <w:pPr>
              <w:spacing w:after="0" w:line="176" w:lineRule="exact"/>
              <w:rPr>
                <w:rFonts w:ascii="Arial" w:cs="Arial" w:eastAsia="Arial" w:hAnsi="Arial"/>
                <w:sz w:val="18"/>
                <w:szCs w:val="18"/>
                <w:color w:val="0000EE"/>
              </w:rPr>
            </w:pPr>
            <w:hyperlink w:anchor="page36">
              <w:r>
                <w:rPr>
                  <w:rFonts w:ascii="Arial" w:cs="Arial" w:eastAsia="Arial" w:hAnsi="Arial"/>
                  <w:sz w:val="18"/>
                  <w:szCs w:val="18"/>
                  <w:color w:val="0000EE"/>
                </w:rPr>
                <w:t>Audit Committee Report</w:t>
              </w:r>
            </w:hyperlink>
          </w:p>
        </w:tc>
        <w:tc>
          <w:tcPr>
            <w:tcW w:w="2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108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6"/>
              </w:rPr>
            </w:pPr>
            <w:hyperlink w:anchor="page38">
              <w:r>
                <w:rPr>
                  <w:rFonts w:ascii="Arial" w:cs="Arial" w:eastAsia="Arial" w:hAnsi="Arial"/>
                  <w:sz w:val="18"/>
                  <w:szCs w:val="18"/>
                  <w:color w:val="0000EE"/>
                  <w:w w:val="86"/>
                </w:rPr>
                <w:t>Other Business</w:t>
              </w:r>
            </w:hyperlink>
          </w:p>
        </w:tc>
        <w:tc>
          <w:tcPr>
            <w:tcW w:w="7640" w:type="dxa"/>
            <w:vAlign w:val="bottom"/>
            <w:tcBorders>
              <w:bottom w:val="single" w:sz="8" w:color="CCEEFF"/>
            </w:tcBorders>
            <w:gridSpan w:val="11"/>
            <w:shd w:val="clear" w:color="auto" w:fill="CCEEFF"/>
          </w:tcPr>
          <w:p>
            <w:pPr>
              <w:spacing w:after="0"/>
              <w:rPr>
                <w:sz w:val="17"/>
                <w:szCs w:val="17"/>
                <w:color w:val="auto"/>
              </w:rPr>
            </w:pPr>
          </w:p>
        </w:tc>
        <w:tc>
          <w:tcPr>
            <w:tcW w:w="224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720" w:type="dxa"/>
            <w:vAlign w:val="bottom"/>
            <w:gridSpan w:val="13"/>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Stock Repurchase Plan</w:t>
              </w:r>
            </w:hyperlink>
          </w:p>
        </w:tc>
        <w:tc>
          <w:tcPr>
            <w:tcW w:w="2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20" w:type="dxa"/>
            <w:vAlign w:val="bottom"/>
            <w:gridSpan w:val="13"/>
            <w:shd w:val="clear" w:color="auto" w:fill="CCEEFF"/>
          </w:tcPr>
          <w:p>
            <w:pPr>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Stockholder Proposals and Nominations for the 2020 Annual Meeting of Stockholders</w:t>
              </w:r>
            </w:hyperlink>
          </w:p>
        </w:tc>
        <w:tc>
          <w:tcPr>
            <w:tcW w:w="2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6200" w:type="dxa"/>
            <w:vAlign w:val="bottom"/>
            <w:tcBorders>
              <w:top w:val="single" w:sz="8" w:color="0000EE"/>
            </w:tcBorders>
            <w:gridSpan w:val="11"/>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Annual Report</w:t>
              </w:r>
            </w:hyperlink>
          </w:p>
        </w:tc>
        <w:tc>
          <w:tcPr>
            <w:tcW w:w="2520" w:type="dxa"/>
            <w:vAlign w:val="bottom"/>
            <w:tcBorders>
              <w:top w:val="single" w:sz="8" w:color="CCEEFF"/>
            </w:tcBorders>
            <w:gridSpan w:val="2"/>
          </w:tcPr>
          <w:p>
            <w:pPr>
              <w:spacing w:after="0"/>
              <w:rPr>
                <w:sz w:val="15"/>
                <w:szCs w:val="15"/>
                <w:color w:val="auto"/>
              </w:rPr>
            </w:pPr>
          </w:p>
        </w:tc>
        <w:tc>
          <w:tcPr>
            <w:tcW w:w="22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33</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720" w:type="dxa"/>
            <w:vAlign w:val="bottom"/>
            <w:gridSpan w:val="13"/>
            <w:shd w:val="clear" w:color="auto" w:fill="CCEEFF"/>
          </w:tcPr>
          <w:p>
            <w:pPr>
              <w:spacing w:after="0" w:line="176" w:lineRule="exact"/>
              <w:rPr>
                <w:rFonts w:ascii="Arial" w:cs="Arial" w:eastAsia="Arial" w:hAnsi="Arial"/>
                <w:sz w:val="18"/>
                <w:szCs w:val="18"/>
                <w:color w:val="0000EE"/>
              </w:rPr>
            </w:pPr>
            <w:hyperlink w:anchor="page39">
              <w:r>
                <w:rPr>
                  <w:rFonts w:ascii="Arial" w:cs="Arial" w:eastAsia="Arial" w:hAnsi="Arial"/>
                  <w:sz w:val="18"/>
                  <w:szCs w:val="18"/>
                  <w:color w:val="0000EE"/>
                </w:rPr>
                <w:t>Householding of Proxy Materials</w:t>
              </w:r>
            </w:hyperlink>
          </w:p>
        </w:tc>
        <w:tc>
          <w:tcPr>
            <w:tcW w:w="22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0000EE"/>
              <w:bottom w:val="single" w:sz="8" w:color="0000EE"/>
            </w:tcBorders>
          </w:tcPr>
          <w:p>
            <w:pPr>
              <w:spacing w:after="0"/>
              <w:rPr>
                <w:sz w:val="15"/>
                <w:szCs w:val="15"/>
                <w:color w:val="auto"/>
              </w:rPr>
            </w:pPr>
          </w:p>
        </w:tc>
        <w:tc>
          <w:tcPr>
            <w:tcW w:w="1300" w:type="dxa"/>
            <w:vAlign w:val="bottom"/>
            <w:tcBorders>
              <w:top w:val="single" w:sz="8" w:color="0000EE"/>
              <w:bottom w:val="single" w:sz="8" w:color="0000EE"/>
            </w:tcBorders>
            <w:gridSpan w:val="3"/>
          </w:tcPr>
          <w:p>
            <w:pPr>
              <w:spacing w:after="0" w:line="17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Privacy Principles</w:t>
              </w:r>
            </w:hyperlink>
          </w:p>
        </w:tc>
        <w:tc>
          <w:tcPr>
            <w:tcW w:w="1080" w:type="dxa"/>
            <w:vAlign w:val="bottom"/>
            <w:tcBorders>
              <w:top w:val="single" w:sz="8" w:color="0000EE"/>
            </w:tcBorders>
            <w:gridSpan w:val="4"/>
          </w:tcPr>
          <w:p>
            <w:pPr>
              <w:spacing w:after="0"/>
              <w:rPr>
                <w:sz w:val="15"/>
                <w:szCs w:val="15"/>
                <w:color w:val="auto"/>
              </w:rPr>
            </w:pPr>
          </w:p>
        </w:tc>
        <w:tc>
          <w:tcPr>
            <w:tcW w:w="6340" w:type="dxa"/>
            <w:vAlign w:val="bottom"/>
            <w:tcBorders>
              <w:top w:val="single" w:sz="8" w:color="CCEEFF"/>
            </w:tcBorders>
            <w:gridSpan w:val="6"/>
          </w:tcPr>
          <w:p>
            <w:pPr>
              <w:spacing w:after="0"/>
              <w:rPr>
                <w:sz w:val="15"/>
                <w:szCs w:val="15"/>
                <w:color w:val="auto"/>
              </w:rPr>
            </w:pPr>
          </w:p>
        </w:tc>
        <w:tc>
          <w:tcPr>
            <w:tcW w:w="224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34</w:t>
            </w: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1337945" cy="5657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3794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TPG Specialty Lending,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301 Commerce Street, Suite 3300</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Fort Worth, TX 76102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160020</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2019</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151765</wp:posOffset>
            </wp:positionV>
            <wp:extent cx="146621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26"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The accompanying proxy is solicited on behalf of the Board of Directors (the “Board”) of TPG Specialty Lending, Inc., which is sometimes referred to in this proxy statement as “TSL,” “TSLX,” “we,” “us,” “our,” or the “Company,” for use at the 2019 Annual Meeting of Stockholders (the “Meeting”) to be held at the offices of Cleary Gottlieb Steen &amp; Hamilton LLP, 450 Park Avenue, 28th Floor, New York, NY 10022 on May 16, 2019, at 9:00 a.m., local time. Only holders of record of our common stock at the close of business on March 22, 2019, which is the record date, will be entitled to vote at the Meeting. At the close of business on the record date, we had 65,625,635 shares of common stock outstanding and entitled to vote.</w:t>
      </w:r>
    </w:p>
    <w:p>
      <w:pPr>
        <w:spacing w:after="0" w:line="158" w:lineRule="exact"/>
        <w:rPr>
          <w:sz w:val="20"/>
          <w:szCs w:val="20"/>
          <w:color w:val="auto"/>
        </w:rPr>
      </w:pPr>
    </w:p>
    <w:p>
      <w:pPr>
        <w:jc w:val="both"/>
        <w:ind w:left="200" w:firstLine="441"/>
        <w:spacing w:after="0" w:line="259" w:lineRule="auto"/>
        <w:rPr>
          <w:sz w:val="20"/>
          <w:szCs w:val="20"/>
          <w:color w:val="auto"/>
        </w:rPr>
      </w:pPr>
      <w:r>
        <w:rPr>
          <w:rFonts w:ascii="Arial" w:cs="Arial" w:eastAsia="Arial" w:hAnsi="Arial"/>
          <w:sz w:val="18"/>
          <w:szCs w:val="18"/>
          <w:color w:val="auto"/>
        </w:rPr>
        <w:t>It is anticipated that the Notice of Internet Availability of Proxy Materials will first be sent to Stockholders on or about April 5, 2019. This proxy statement, including the accompanying form of proxy (collectively, the “Proxy Statement”), and the Company’s Annual Report for the fiscal year ended December 31, 2018 will first be made available to stockholders on or about April 5, 2019. The Annual Report and Proxy Statement can both be accessed online at www.proxyvote.com.</w:t>
      </w:r>
    </w:p>
    <w:p>
      <w:pPr>
        <w:spacing w:after="0" w:line="18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(1)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the Class II director candidates nominated by the Board and (2)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KPMG LLP as the Company’s independent registered public accounting firm for the fiscal year ending December 31, 2019. Should any matter not described above be properly presented at the Meeting, the named proxies will vote in accordance with their judgment as permitted.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Holders of our common stock are entitled to one vote for each share held as of the record date.</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2019 Annual Meeting of Stockholders is being held for the following purposes:</w:t>
      </w:r>
    </w:p>
    <w:p>
      <w:pPr>
        <w:spacing w:after="0" w:line="225" w:lineRule="exact"/>
        <w:rPr>
          <w:sz w:val="20"/>
          <w:szCs w:val="20"/>
          <w:color w:val="auto"/>
        </w:rPr>
      </w:pPr>
    </w:p>
    <w:p>
      <w:pPr>
        <w:ind w:left="200" w:right="720" w:firstLine="444"/>
        <w:spacing w:after="0" w:line="277" w:lineRule="auto"/>
        <w:tabs>
          <w:tab w:leader="none" w:pos="821"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elect two Class II directors, each to serve for a three-year term and until a successor has been duly elected and qualified or until the director’s earlier resignation or removal.</w:t>
      </w:r>
    </w:p>
    <w:p>
      <w:pPr>
        <w:spacing w:after="0" w:line="170" w:lineRule="exact"/>
        <w:rPr>
          <w:rFonts w:ascii="Arial" w:cs="Arial" w:eastAsia="Arial" w:hAnsi="Arial"/>
          <w:sz w:val="18"/>
          <w:szCs w:val="18"/>
          <w:color w:val="auto"/>
        </w:rPr>
      </w:pPr>
    </w:p>
    <w:p>
      <w:pPr>
        <w:ind w:left="820" w:hanging="17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ratify the selection of KPMG LLP as the Company’s independent registered public accounting firm for the fiscal year ending December 31,</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2019.</w:t>
      </w:r>
    </w:p>
    <w:p>
      <w:pPr>
        <w:spacing w:after="0" w:line="210" w:lineRule="exact"/>
        <w:rPr>
          <w:rFonts w:ascii="Arial" w:cs="Arial" w:eastAsia="Arial" w:hAnsi="Arial"/>
          <w:sz w:val="16"/>
          <w:szCs w:val="16"/>
          <w:color w:val="auto"/>
        </w:rPr>
      </w:pPr>
    </w:p>
    <w:p>
      <w:pPr>
        <w:ind w:left="820" w:hanging="176"/>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 transact such other business as may properly come before the 2019 Annual Meeting of Stockholders or any postponement or adjournment</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thereof.</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Quorum, Effect of Abstentions and Broker Non-Votes, Vote Required to Approve the Proposals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A majority of the outstanding shares of common stock must be present or represented by proxy at the Meeting in order to have a quorum. If you have properly voted by proxy online, by phone, or via mail, you will</w:t>
      </w:r>
    </w:p>
    <w:p>
      <w:pPr>
        <w:sectPr>
          <w:pgSz w:w="11900" w:h="16838" w:orient="portrait"/>
          <w:cols w:equalWidth="0" w:num="1">
            <w:col w:w="11220"/>
          </w:cols>
          <w:pgMar w:left="24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57" w:lineRule="auto"/>
        <w:rPr>
          <w:sz w:val="20"/>
          <w:szCs w:val="20"/>
          <w:color w:val="auto"/>
        </w:rPr>
      </w:pPr>
      <w:r>
        <w:rPr>
          <w:rFonts w:ascii="Arial" w:cs="Arial" w:eastAsia="Arial" w:hAnsi="Arial"/>
          <w:sz w:val="18"/>
          <w:szCs w:val="18"/>
          <w:color w:val="auto"/>
        </w:rPr>
        <w:t>be considered part of the quorum. We will count “abstain” and “withhold” votes as present for the purpose of establishing a quorum for the transaction of business at the Meeting.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w:t>
      </w:r>
    </w:p>
    <w:p>
      <w:pPr>
        <w:spacing w:after="0" w:line="18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Provided a quorum is present, directors are elected by a plurality of the votes represented at the meeting and voted for nominee(s) in the election. Broker non-votes, if any, though counted for purposes of establishing a quorum, will not affect the outcome of the voting on the elections. A proxy marked “withhold” with respect to a director nominee will result in such director nominee receiving one fewer “FOR” vote that would count towards a plurality.</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affirmative vote of the majority of shares represented at the meeting and voting on the proposal will determine the outcome of the ratification of the independent registered public accounting firm. For each of these proposals, “abstain” votes and broker non-votes, if any, though counted for purposes of establishing a quorum, will have no effect on the outcome of the vote.</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inspector of elections appointed for the Meeting will separately tabulate affirmative votes, “against” votes or “withhold” votes, as applicable, “abstain” votes and broker non-votes.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Adjournment of Meeting</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At such adjourned meeting at which a quorum shall be present or represented by proxy,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Any such adjournment proposed by a stockholder or person named as a proxy would require the affirmative vote of the majority of the outstanding shares present in person or represented by proxy at the Meeting.</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Proxies for the Meeting</w:t>
      </w:r>
    </w:p>
    <w:p>
      <w:pPr>
        <w:spacing w:after="0" w:line="12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named proxies for the Meeting are Ian Simmonds and Ken Burke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Information Regarding This Proxy</w:t>
      </w:r>
    </w:p>
    <w:p>
      <w:pPr>
        <w:spacing w:after="0" w:line="121"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The Company will pay the expenses of soliciting proxies to be voted at the Meeting. The Company has retained Broadridge Investor Communications Solutions, Inc. to assist with the distribution and collection of proxies for a fee of approximately $65,000, plus reimbursement of expenses.</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to the solicitation of proxies by the use of the Internet, proxies may be solicited in person and/or by telephone, mail or facsimile transmission by directors or officers of the Company and/or officers or employees of TSL Advisers, LLC, the Company’s investment adviser (the “Adviser”). No additional compensation will be paid to such directors, officers or regular employees for such services. The address of the Adviser is 301 Commerce Street, Suite 3300, Fort Worth, TX 76102.</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Revocability of Proxies</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w:t>
      </w:r>
    </w:p>
    <w:p>
      <w:pPr>
        <w:spacing w:after="0" w:line="166"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Contact Information for Proxy Solicitation</w:t>
      </w:r>
    </w:p>
    <w:p>
      <w:pPr>
        <w:spacing w:after="0" w:line="121"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You can contact us by mail sent to the attention of the Secretary of the Company, Ken Burke, TPG Specialty Lending, Inc., 888 7</w:t>
      </w:r>
      <w:r>
        <w:rPr>
          <w:rFonts w:ascii="Arial" w:cs="Arial" w:eastAsia="Arial" w:hAnsi="Arial"/>
          <w:sz w:val="13"/>
          <w:szCs w:val="13"/>
          <w:color w:val="auto"/>
        </w:rPr>
        <w:t>th</w:t>
      </w:r>
      <w:r>
        <w:rPr>
          <w:rFonts w:ascii="Arial" w:cs="Arial" w:eastAsia="Arial" w:hAnsi="Arial"/>
          <w:sz w:val="16"/>
          <w:szCs w:val="16"/>
          <w:color w:val="auto"/>
        </w:rPr>
        <w:t xml:space="preserve"> Avenue, 35</w:t>
      </w:r>
      <w:r>
        <w:rPr>
          <w:rFonts w:ascii="Arial" w:cs="Arial" w:eastAsia="Arial" w:hAnsi="Arial"/>
          <w:sz w:val="13"/>
          <w:szCs w:val="13"/>
          <w:color w:val="auto"/>
        </w:rPr>
        <w:t>th</w:t>
      </w:r>
      <w:r>
        <w:rPr>
          <w:rFonts w:ascii="Arial" w:cs="Arial" w:eastAsia="Arial" w:hAnsi="Arial"/>
          <w:sz w:val="16"/>
          <w:szCs w:val="16"/>
          <w:color w:val="auto"/>
        </w:rPr>
        <w:t xml:space="preserve"> Floor, New York, NY 10106. You can call us by dialing (212) 601-4753. You can access our proxy materials online at www.proxyvote.com.</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22, 2019,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w:t>
      </w:r>
    </w:p>
    <w:p>
      <w:pPr>
        <w:spacing w:after="0" w:line="192" w:lineRule="exact"/>
        <w:rPr>
          <w:sz w:val="20"/>
          <w:szCs w:val="20"/>
          <w:color w:val="auto"/>
        </w:rPr>
      </w:pPr>
    </w:p>
    <w:p>
      <w:pPr>
        <w:ind w:left="200" w:right="320" w:firstLine="441"/>
        <w:spacing w:after="0" w:line="259" w:lineRule="auto"/>
        <w:rPr>
          <w:sz w:val="20"/>
          <w:szCs w:val="20"/>
          <w:color w:val="auto"/>
        </w:rPr>
      </w:pPr>
      <w:r>
        <w:rPr>
          <w:rFonts w:ascii="Arial" w:cs="Arial" w:eastAsia="Arial" w:hAnsi="Arial"/>
          <w:sz w:val="18"/>
          <w:szCs w:val="18"/>
          <w:color w:val="auto"/>
        </w:rPr>
        <w:t>The percentage ownership is based on 65,625,635 shares of common stock outstanding as of March 22, 2019.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301 Commerce Street, Suite 3300, Fort Worth, TX 76102.</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900" w:type="dxa"/>
            <w:vAlign w:val="bottom"/>
          </w:tcPr>
          <w:p>
            <w:pPr>
              <w:spacing w:after="0"/>
              <w:rPr>
                <w:sz w:val="14"/>
                <w:szCs w:val="14"/>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Shares of</w:t>
            </w:r>
          </w:p>
        </w:tc>
        <w:tc>
          <w:tcPr>
            <w:tcW w:w="9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380" w:type="dxa"/>
            <w:vAlign w:val="bottom"/>
            <w:gridSpan w:val="2"/>
          </w:tcPr>
          <w:p>
            <w:pPr>
              <w:jc w:val="center"/>
              <w:ind w:left="1331"/>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2080" w:type="dxa"/>
            <w:vAlign w:val="bottom"/>
            <w:gridSpan w:val="3"/>
          </w:tcPr>
          <w:p>
            <w:pPr>
              <w:jc w:val="center"/>
              <w:ind w:left="591"/>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6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Individual or Identity of Group</w:t>
            </w:r>
          </w:p>
        </w:tc>
        <w:tc>
          <w:tcPr>
            <w:tcW w:w="14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00" w:type="dxa"/>
            <w:vAlign w:val="bottom"/>
          </w:tcPr>
          <w:p>
            <w:pPr>
              <w:spacing w:after="0"/>
              <w:rPr>
                <w:sz w:val="12"/>
                <w:szCs w:val="12"/>
                <w:color w:val="auto"/>
              </w:rPr>
            </w:pPr>
          </w:p>
        </w:tc>
        <w:tc>
          <w:tcPr>
            <w:tcW w:w="11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58"/>
        </w:trPr>
        <w:tc>
          <w:tcPr>
            <w:tcW w:w="6580" w:type="dxa"/>
            <w:vAlign w:val="bottom"/>
            <w:gridSpan w:val="3"/>
            <w:vMerge w:val="continue"/>
          </w:tcPr>
          <w:p>
            <w:pPr>
              <w:spacing w:after="0"/>
              <w:rPr>
                <w:sz w:val="13"/>
                <w:szCs w:val="13"/>
                <w:color w:val="auto"/>
              </w:rPr>
            </w:pPr>
          </w:p>
        </w:tc>
        <w:tc>
          <w:tcPr>
            <w:tcW w:w="1420" w:type="dxa"/>
            <w:vAlign w:val="bottom"/>
          </w:tcPr>
          <w:p>
            <w:pPr>
              <w:spacing w:after="0"/>
              <w:rPr>
                <w:sz w:val="13"/>
                <w:szCs w:val="13"/>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900" w:type="dxa"/>
            <w:vAlign w:val="bottom"/>
          </w:tcPr>
          <w:p>
            <w:pPr>
              <w:spacing w:after="0"/>
              <w:rPr>
                <w:sz w:val="13"/>
                <w:szCs w:val="13"/>
                <w:color w:val="auto"/>
              </w:rPr>
            </w:pPr>
          </w:p>
        </w:tc>
        <w:tc>
          <w:tcPr>
            <w:tcW w:w="11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Owned</w:t>
            </w:r>
            <w:r>
              <w:rPr>
                <w:rFonts w:ascii="Arial" w:cs="Arial" w:eastAsia="Arial" w:hAnsi="Arial"/>
                <w:sz w:val="12"/>
                <w:szCs w:val="12"/>
                <w:b w:val="1"/>
                <w:bCs w:val="1"/>
                <w:color w:val="auto"/>
                <w:w w:val="94"/>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bottom w:val="single" w:sz="8" w:color="CCEEFF"/>
            </w:tcBorders>
            <w:shd w:val="clear" w:color="auto" w:fill="000000"/>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5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i w:val="1"/>
                <w:iCs w:val="1"/>
                <w:color w:val="auto"/>
              </w:rPr>
              <w:t>Interested Directors</w:t>
            </w: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Joshua Easterly</w:t>
            </w:r>
            <w:r>
              <w:rPr>
                <w:rFonts w:ascii="Arial" w:cs="Arial" w:eastAsia="Arial" w:hAnsi="Arial"/>
                <w:sz w:val="15"/>
                <w:szCs w:val="15"/>
                <w:color w:val="auto"/>
              </w:rPr>
              <w:t>(2)</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36,943</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Michael Fishman</w:t>
            </w:r>
            <w:r>
              <w:rPr>
                <w:rFonts w:ascii="Arial" w:cs="Arial" w:eastAsia="Arial" w:hAnsi="Arial"/>
                <w:sz w:val="15"/>
                <w:szCs w:val="15"/>
                <w:color w:val="auto"/>
              </w:rPr>
              <w:t>(3)</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36,366</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Jennifer Gordon (Director Nominee)</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i w:val="1"/>
                <w:iCs w:val="1"/>
                <w:color w:val="auto"/>
              </w:rPr>
              <w:t>Independent Directors</w:t>
            </w:r>
          </w:p>
        </w:tc>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Hurley Doddy</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Richard Higginbotham</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22,000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John Ross (Director Nominee)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22,701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Ronald Tanemura</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86,516</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Named Executive Officers Who Are Not Directors</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ind w:left="340"/>
              <w:spacing w:after="0"/>
              <w:rPr>
                <w:sz w:val="20"/>
                <w:szCs w:val="20"/>
                <w:color w:val="auto"/>
              </w:rPr>
            </w:pPr>
            <w:r>
              <w:rPr>
                <w:rFonts w:ascii="Arial" w:cs="Arial" w:eastAsia="Arial" w:hAnsi="Arial"/>
                <w:sz w:val="18"/>
                <w:szCs w:val="18"/>
                <w:color w:val="auto"/>
              </w:rPr>
              <w:t>Ian Simmonds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2,700</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Robert (Bo) Stanley</w:t>
            </w:r>
            <w:r>
              <w:rPr>
                <w:rFonts w:ascii="Arial" w:cs="Arial" w:eastAsia="Arial" w:hAnsi="Arial"/>
                <w:sz w:val="15"/>
                <w:szCs w:val="15"/>
                <w:color w:val="auto"/>
              </w:rPr>
              <w:t>(4)</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3,907</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(15 persons)</w:t>
            </w:r>
            <w:r>
              <w:rPr>
                <w:rFonts w:ascii="Arial" w:cs="Arial" w:eastAsia="Arial" w:hAnsi="Arial"/>
                <w:sz w:val="15"/>
                <w:szCs w:val="15"/>
                <w:color w:val="auto"/>
              </w:rPr>
              <w:t>(5)(6)</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2,902,098</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Five-Percent Stockholders:</w:t>
            </w:r>
          </w:p>
        </w:tc>
        <w:tc>
          <w:tcPr>
            <w:tcW w:w="1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FMR LLC</w:t>
            </w:r>
            <w:r>
              <w:rPr>
                <w:rFonts w:ascii="Arial" w:cs="Arial" w:eastAsia="Arial" w:hAnsi="Arial"/>
                <w:sz w:val="15"/>
                <w:szCs w:val="15"/>
                <w:color w:val="auto"/>
              </w:rPr>
              <w:t>(7)</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5,514,942</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 Teachers Retirement Board of Ohio</w:t>
            </w:r>
            <w:r>
              <w:rPr>
                <w:rFonts w:ascii="Arial" w:cs="Arial" w:eastAsia="Arial" w:hAnsi="Arial"/>
                <w:sz w:val="15"/>
                <w:szCs w:val="15"/>
                <w:color w:val="auto"/>
              </w:rPr>
              <w:t>(8)</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5,238,665</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Division of Investment, Department of Treasury, State of New Jersey</w:t>
            </w:r>
            <w:r>
              <w:rPr>
                <w:rFonts w:ascii="Arial" w:cs="Arial" w:eastAsia="Arial" w:hAnsi="Arial"/>
                <w:sz w:val="15"/>
                <w:szCs w:val="15"/>
                <w:color w:val="auto"/>
              </w:rPr>
              <w:t>(9)</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4,300,000</w:t>
            </w:r>
          </w:p>
        </w:tc>
        <w:tc>
          <w:tcPr>
            <w:tcW w:w="2080" w:type="dxa"/>
            <w:vAlign w:val="bottom"/>
            <w:gridSpan w:val="3"/>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Wells Fargo &amp; Company</w:t>
            </w:r>
            <w:r>
              <w:rPr>
                <w:rFonts w:ascii="Arial" w:cs="Arial" w:eastAsia="Arial" w:hAnsi="Arial"/>
                <w:sz w:val="15"/>
                <w:szCs w:val="15"/>
                <w:color w:val="auto"/>
              </w:rPr>
              <w:t>(10)</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3,406,808</w:t>
            </w:r>
          </w:p>
        </w:tc>
        <w:tc>
          <w:tcPr>
            <w:tcW w:w="2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Represents less than 0.1%.</w:t>
      </w:r>
    </w:p>
    <w:p>
      <w:pPr>
        <w:spacing w:after="0" w:line="23" w:lineRule="exact"/>
        <w:rPr>
          <w:sz w:val="20"/>
          <w:szCs w:val="20"/>
          <w:color w:val="auto"/>
        </w:rPr>
      </w:pPr>
    </w:p>
    <w:p>
      <w:pPr>
        <w:ind w:left="640" w:right="20" w:hanging="436"/>
        <w:spacing w:after="0" w:line="290" w:lineRule="auto"/>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00"/>
        <w:spacing w:after="0" w:line="274" w:lineRule="auto"/>
        <w:rPr>
          <w:sz w:val="20"/>
          <w:szCs w:val="20"/>
          <w:color w:val="auto"/>
        </w:rPr>
      </w:pPr>
      <w:r>
        <w:rPr>
          <w:rFonts w:ascii="Arial" w:cs="Arial" w:eastAsia="Arial" w:hAnsi="Arial"/>
          <w:sz w:val="17"/>
          <w:szCs w:val="17"/>
          <w:color w:val="auto"/>
        </w:rPr>
        <w:t>in the case of directors and executive officers as a group). Except as otherwise noted, each beneficial owner of more than five percent of common stock and each director and executive officer has sole voting and/or investment power over the shares reported.</w:t>
      </w:r>
    </w:p>
    <w:p>
      <w:pPr>
        <w:ind w:left="640" w:right="2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9,745 shares of common stock beneficially owned by Mr. Easterly have been pledged as security in connection with a line of credit with a third party financial institution unaffiliated with the Company.</w:t>
      </w:r>
    </w:p>
    <w:p>
      <w:pPr>
        <w:ind w:left="640" w:right="26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36,366 shares of common stock beneficially owned by Mr. Fishman have been pledged as security in connection with a line of credit with a third party financial institution unaffiliated with the Company.</w:t>
      </w:r>
    </w:p>
    <w:p>
      <w:pPr>
        <w:ind w:left="640" w:right="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3,907 shares of common stock beneficially owned by Mr. Stanley have been pledged as security in connection with a line of credit with a third party financial institution unaffiliated with the Company.</w:t>
      </w:r>
    </w:p>
    <w:p>
      <w:pPr>
        <w:ind w:left="640" w:right="18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shares owned by officers that are not “Named Executive Officers,” as defined in Item 402 of Regulation S-K, as promulgated under the Securities Act of 1933, as amended. 55,562 shares of common stock beneficially owned by certain officers have been pledged as security in connection with lines of credit with a third party financial institution unaffiliated with the Company.</w:t>
      </w:r>
    </w:p>
    <w:p>
      <w:pPr>
        <w:spacing w:after="0" w:line="1" w:lineRule="exact"/>
        <w:rPr>
          <w:rFonts w:ascii="Arial" w:cs="Arial" w:eastAsia="Arial" w:hAnsi="Arial"/>
          <w:sz w:val="18"/>
          <w:szCs w:val="18"/>
          <w:color w:val="auto"/>
        </w:rPr>
      </w:pPr>
    </w:p>
    <w:p>
      <w:pPr>
        <w:ind w:left="640" w:right="40" w:hanging="436"/>
        <w:spacing w:after="0" w:line="281" w:lineRule="auto"/>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TSL Advisers, LLC holds 2,716,977 shares of common stock, or the TSL Advisers Shares. The business and affairs of TSL Advisers are managed by TSSP HoldCo Management, LLC, a Delaware limited liability company, the managing member of TSL Advisers. TSSP HoldCo Management is managed by its board of directors, whose members are David Bonderman, James Coulter and Alan Waxman. Any decision or determination by the board of directors of TSSP HoldCo Management requires unanimous approval of the directors in attendance once a quorum is established.</w:t>
      </w:r>
    </w:p>
    <w:p>
      <w:pPr>
        <w:spacing w:after="0" w:line="2" w:lineRule="exact"/>
        <w:rPr>
          <w:rFonts w:ascii="Arial" w:cs="Arial" w:eastAsia="Arial" w:hAnsi="Arial"/>
          <w:sz w:val="16"/>
          <w:szCs w:val="16"/>
          <w:color w:val="auto"/>
        </w:rPr>
      </w:pPr>
    </w:p>
    <w:p>
      <w:pPr>
        <w:jc w:val="both"/>
        <w:ind w:left="640" w:right="140"/>
        <w:spacing w:after="0" w:line="250" w:lineRule="auto"/>
        <w:rPr>
          <w:rFonts w:ascii="Arial" w:cs="Arial" w:eastAsia="Arial" w:hAnsi="Arial"/>
          <w:sz w:val="16"/>
          <w:szCs w:val="16"/>
          <w:color w:val="auto"/>
        </w:rPr>
      </w:pPr>
      <w:r>
        <w:rPr>
          <w:rFonts w:ascii="Arial" w:cs="Arial" w:eastAsia="Arial" w:hAnsi="Arial"/>
          <w:sz w:val="18"/>
          <w:szCs w:val="18"/>
          <w:color w:val="auto"/>
        </w:rPr>
        <w:t>Mr. Waxman is a Vice President of the Company. Because Mr. Waxman is a member of the board of directors of TSSP HoldCo Management, he may be deemed to beneficially own the TSL Advisers Shares. Mr. Waxman disclaims beneficial ownership of the TSL Advisers Shares except to the extent of his pecuniary interest therein.</w:t>
      </w:r>
    </w:p>
    <w:p>
      <w:pPr>
        <w:spacing w:after="0" w:line="1" w:lineRule="exact"/>
        <w:rPr>
          <w:rFonts w:ascii="Arial" w:cs="Arial" w:eastAsia="Arial" w:hAnsi="Arial"/>
          <w:sz w:val="16"/>
          <w:szCs w:val="16"/>
          <w:color w:val="auto"/>
        </w:rPr>
      </w:pPr>
    </w:p>
    <w:p>
      <w:pPr>
        <w:ind w:left="640" w:hanging="436"/>
        <w:spacing w:after="0" w:line="265"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upon a Schedule 13G filed with the SEC on February 13, 2019 by FMR LLC and Abigail P. Johnson. As of February 13, 2019 FMR LLC had (i) sole power to vote 543,328 shares and (ii) sole power to dispose of 5,514,942 shares. Abigail P. Johnson had sole power to dispose of 5,514,942 shares.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1940 Act, to form a controlling group with respect to FMR LLC. Neither FMR LLC nor Abigail P. Johnson has the sole power to vote or direct the voting of the shares owned directly by the various investment companies registered under the 1940 Act, or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of each of FMR LLC and Abigail P. Johnson is 245 Summer Street, Boston, MA 02210.</w:t>
      </w:r>
    </w:p>
    <w:p>
      <w:pPr>
        <w:spacing w:after="0" w:line="3" w:lineRule="exact"/>
        <w:rPr>
          <w:rFonts w:ascii="Arial" w:cs="Arial" w:eastAsia="Arial" w:hAnsi="Arial"/>
          <w:sz w:val="17"/>
          <w:szCs w:val="17"/>
          <w:color w:val="auto"/>
        </w:rPr>
      </w:pPr>
    </w:p>
    <w:p>
      <w:pPr>
        <w:ind w:left="640" w:hanging="436"/>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State Teachers Retirement Board of Ohio is 275 East Broad Street, Columbus, OH 43215.</w:t>
      </w:r>
    </w:p>
    <w:p>
      <w:pPr>
        <w:spacing w:after="0" w:line="9" w:lineRule="exact"/>
        <w:rPr>
          <w:rFonts w:ascii="Arial" w:cs="Arial" w:eastAsia="Arial" w:hAnsi="Arial"/>
          <w:sz w:val="18"/>
          <w:szCs w:val="18"/>
          <w:color w:val="auto"/>
        </w:rPr>
      </w:pPr>
    </w:p>
    <w:p>
      <w:pPr>
        <w:ind w:left="640" w:right="140" w:hanging="436"/>
        <w:spacing w:after="0" w:line="250"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address of the Division of Investment, Department of Treasury, State of New Jersey is 50 West State Street, 9th Floor, PO Box 290, Trenton, NJ 08625.</w:t>
      </w:r>
    </w:p>
    <w:p>
      <w:pPr>
        <w:ind w:left="640" w:right="560" w:hanging="436"/>
        <w:spacing w:after="0" w:line="261" w:lineRule="auto"/>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upon a Schedule 13G filed with the SEC on January 22, 2019 by Wells Fargo &amp; Company on its own behalf and on behalf of certain subsidiaries. The address of Wells Fargo &amp; Company is 420 Montgomery Street, San Francisco, CA 94163.</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1</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ELECTION OF DIRECTORS</w:t>
      </w:r>
    </w:p>
    <w:p>
      <w:pPr>
        <w:spacing w:after="0" w:line="211"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Pursuant to our certificate of incorporation, our Board consists of seven members. The Board is divided into three classes, with the members of each class each serving staggered, three-year terms. The terms of our Class I directors will expire at the 2021 annual meeting of stockholders; the terms of our Class II directors will expire at the Meeting; and the terms of our Class III directors will expire at the 2020 annual meeting of stockholders.</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Board has nominated John Ross and Jennifer Gordon as Class II directors, each to serve until his or her successor is duly elected and qualified at the annual meeting of stockholders held in 2022 or until his or her earlier death, resignation or removal. Mr. Ross and Ms. Gordon are currently directors of TSLX.</w:t>
      </w:r>
    </w:p>
    <w:p>
      <w:pPr>
        <w:spacing w:after="0" w:line="181"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Mr. Ross and Ms. Gordon have consented to being named in this proxy statement and to serving as directors if elected at the Meeting. If, for any reason, either or both of them become unable or unwilling to serve at the time of the Meeting, the persons named as proxies in the proxy will have the authority to vote for a substitute nominee or nominees. We do not anticipate that either Mr. Ross or Ms. Gordon will be unable or unwilling to serve.</w:t>
      </w:r>
    </w:p>
    <w:p>
      <w:pPr>
        <w:spacing w:after="0" w:line="14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Board has determined that Mr. Ross is not an “interested person” of the Company, of the Adviser, or of any of their respective affiliates as defined in Section 2(a)(19) of the 1940 Act.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Board recommends that stockholders vote “FOR” the Company’s nominees for Class II Director.</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Biographical Information</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Set forth below are brief biographies of Mr. Ross and Ms. Gordon and of all other members of the Board who will continue in office. Also included below following each biography is a brief discussion of the specific experience, qualifications, attributes or skills that led our Board to conclude that the applicable director should serve on our Board at this time. In addition, set forth further below is a biography of each of our executive officers who is not a director.</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Nominees for Election as Class II Director</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56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0"/>
              </w:rPr>
              <w:t>Age</w:t>
            </w:r>
          </w:p>
        </w:tc>
        <w:tc>
          <w:tcPr>
            <w:tcW w:w="4400" w:type="dxa"/>
            <w:vAlign w:val="bottom"/>
          </w:tcPr>
          <w:p>
            <w:pPr>
              <w:jc w:val="center"/>
              <w:spacing w:after="0"/>
              <w:rPr>
                <w:sz w:val="20"/>
                <w:szCs w:val="20"/>
                <w:color w:val="auto"/>
              </w:rPr>
            </w:pPr>
            <w:r>
              <w:rPr>
                <w:rFonts w:ascii="Arial" w:cs="Arial" w:eastAsia="Arial" w:hAnsi="Arial"/>
                <w:sz w:val="14"/>
                <w:szCs w:val="14"/>
                <w:b w:val="1"/>
                <w:bCs w:val="1"/>
                <w:color w:val="auto"/>
                <w:w w:val="86"/>
              </w:rPr>
              <w:t>Position</w:t>
            </w:r>
          </w:p>
        </w:tc>
        <w:tc>
          <w:tcPr>
            <w:tcW w:w="20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Expiration of Term</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Director Since</w:t>
            </w:r>
          </w:p>
        </w:tc>
      </w:tr>
      <w:tr>
        <w:trPr>
          <w:trHeight w:val="210"/>
        </w:trPr>
        <w:tc>
          <w:tcPr>
            <w:tcW w:w="20" w:type="dxa"/>
            <w:vAlign w:val="bottom"/>
          </w:tcPr>
          <w:p>
            <w:pPr>
              <w:spacing w:after="0"/>
              <w:rPr>
                <w:sz w:val="18"/>
                <w:szCs w:val="18"/>
                <w:color w:val="auto"/>
              </w:rPr>
            </w:pPr>
          </w:p>
        </w:tc>
        <w:tc>
          <w:tcPr>
            <w:tcW w:w="2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Jennifer Gordon</w:t>
            </w:r>
          </w:p>
        </w:tc>
        <w:tc>
          <w:tcPr>
            <w:tcW w:w="9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380" w:type="dxa"/>
            <w:vAlign w:val="bottom"/>
            <w:tcBorders>
              <w:top w:val="single" w:sz="8" w:color="CCEEFF"/>
            </w:tcBorders>
            <w:shd w:val="clear" w:color="auto" w:fill="CCEEFF"/>
          </w:tcPr>
          <w:p>
            <w:pPr>
              <w:spacing w:after="0"/>
              <w:rPr>
                <w:sz w:val="18"/>
                <w:szCs w:val="18"/>
                <w:color w:val="auto"/>
              </w:rPr>
            </w:pPr>
          </w:p>
        </w:tc>
        <w:tc>
          <w:tcPr>
            <w:tcW w:w="4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Director (Interested)</w:t>
            </w:r>
          </w:p>
        </w:tc>
        <w:tc>
          <w:tcPr>
            <w:tcW w:w="3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John Ross</w:t>
            </w:r>
          </w:p>
        </w:tc>
        <w:tc>
          <w:tcPr>
            <w:tcW w:w="1180" w:type="dxa"/>
            <w:vAlign w:val="bottom"/>
            <w:gridSpan w:val="2"/>
          </w:tcPr>
          <w:p>
            <w:pPr>
              <w:jc w:val="center"/>
              <w:ind w:left="839"/>
              <w:spacing w:after="0"/>
              <w:rPr>
                <w:sz w:val="20"/>
                <w:szCs w:val="20"/>
                <w:color w:val="auto"/>
              </w:rPr>
            </w:pPr>
            <w:r>
              <w:rPr>
                <w:rFonts w:ascii="Arial" w:cs="Arial" w:eastAsia="Arial" w:hAnsi="Arial"/>
                <w:sz w:val="18"/>
                <w:szCs w:val="18"/>
                <w:color w:val="auto"/>
                <w:w w:val="89"/>
              </w:rPr>
              <w:t>74</w:t>
            </w:r>
          </w:p>
        </w:tc>
        <w:tc>
          <w:tcPr>
            <w:tcW w:w="38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color w:val="auto"/>
                <w:w w:val="91"/>
              </w:rPr>
              <w:t>Director (Independent)</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Jennifer Gordon </w:t>
      </w:r>
      <w:r>
        <w:rPr>
          <w:rFonts w:ascii="Arial" w:cs="Arial" w:eastAsia="Arial" w:hAnsi="Arial"/>
          <w:sz w:val="16"/>
          <w:szCs w:val="16"/>
          <w:color w:val="auto"/>
        </w:rPr>
        <w:t>was elected a director of TSLX in January 2019. Ms. Gordon is a Partner and the Chief Compliance Officer and Deputy Chief</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Operating Officer of TPG Sixth Street Partners (“TSSP”). Until Ms. Gordon’s election to the Company’s Board, she also served as the Chief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Compliance Officer and Secretary of the Company since 2015. Prior to joining TSSP, from 2004 to 2014, she held various positions at Goldman,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Sachs &amp; Co., including most recently as a Managing Director and Co-Head of Americas Securities Division Compliance. Ms. Gordon was previously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associate at the law firm of White &amp; Case LLP. Ms. Gordon holds a J.D. from Fordham University School of Law and B.A. from the University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Michigan. Ms. Gordon’s regulatory and operational knowledge provides the Board with valuable insight in the financial services sector.</w:t>
      </w:r>
    </w:p>
    <w:p>
      <w:pPr>
        <w:spacing w:after="0" w:line="207" w:lineRule="exact"/>
        <w:rPr>
          <w:sz w:val="20"/>
          <w:szCs w:val="20"/>
          <w:color w:val="auto"/>
        </w:rPr>
      </w:pPr>
    </w:p>
    <w:p>
      <w:pPr>
        <w:ind w:left="200" w:right="20" w:firstLine="441"/>
        <w:spacing w:after="0" w:line="261" w:lineRule="auto"/>
        <w:rPr>
          <w:sz w:val="20"/>
          <w:szCs w:val="20"/>
          <w:color w:val="auto"/>
        </w:rPr>
      </w:pPr>
      <w:r>
        <w:rPr>
          <w:rFonts w:ascii="Arial" w:cs="Arial" w:eastAsia="Arial" w:hAnsi="Arial"/>
          <w:sz w:val="18"/>
          <w:szCs w:val="18"/>
          <w:b w:val="1"/>
          <w:bCs w:val="1"/>
          <w:color w:val="auto"/>
        </w:rPr>
        <w:t xml:space="preserve">John Ross </w:t>
      </w:r>
      <w:r>
        <w:rPr>
          <w:rFonts w:ascii="Arial" w:cs="Arial" w:eastAsia="Arial" w:hAnsi="Arial"/>
          <w:sz w:val="18"/>
          <w:szCs w:val="18"/>
          <w:color w:val="auto"/>
        </w:rPr>
        <w:t>was elected a director of TSLX in March 2011. From 2003 to 2011, Mr. Ross was a director and member of the board risk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of DBS Bank Ltd., Singapore, as well as Chairman of its Nominating Committee between 2008 and 2011. In addition, between 2009 and 2011, he was Non-Executive Chairman of DBS Bank China Ltd., a wholly owned subsidiary of DBS Bank Ltd. where he also served as Chairman of its Audit Committee from 2009 to 2010. From 1992 to 2002, Mr. Ross worked at Deutsche Bank</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240" w:top="459" w:right="4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9" w:lineRule="auto"/>
        <w:rPr>
          <w:sz w:val="20"/>
          <w:szCs w:val="20"/>
          <w:color w:val="auto"/>
        </w:rPr>
      </w:pPr>
      <w:r>
        <w:rPr>
          <w:rFonts w:ascii="Arial" w:cs="Arial" w:eastAsia="Arial" w:hAnsi="Arial"/>
          <w:sz w:val="17"/>
          <w:szCs w:val="17"/>
          <w:color w:val="auto"/>
        </w:rPr>
        <w:t>Group, where he served as Corporate Chief Operating Officer from 2001 to 2002. Mr. Ross holds a B.A. in American History from Hobart &amp; William Smith Colleges and an M.B.A. from The Wharton School of the University of Pennsylvania. Mr. Ross’s experience serving as a director of a regulated bank, as well as his past experience as a chief operating officer, provides the Board and, specifically, the Audit Committee, which he chairs, with valuable knowledge and insight in the financial services sector, as well as experience in financial and accounting matters.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Incumbent Class I Directors: Term Expiring 2021</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380" w:type="dxa"/>
            <w:vAlign w:val="bottom"/>
            <w:gridSpan w:val="3"/>
          </w:tcPr>
          <w:p>
            <w:pPr>
              <w:jc w:val="center"/>
              <w:ind w:left="299"/>
              <w:spacing w:after="0"/>
              <w:rPr>
                <w:sz w:val="20"/>
                <w:szCs w:val="20"/>
                <w:color w:val="auto"/>
              </w:rPr>
            </w:pPr>
            <w:r>
              <w:rPr>
                <w:rFonts w:ascii="Arial" w:cs="Arial" w:eastAsia="Arial" w:hAnsi="Arial"/>
                <w:sz w:val="14"/>
                <w:szCs w:val="14"/>
                <w:b w:val="1"/>
                <w:bCs w:val="1"/>
                <w:color w:val="auto"/>
                <w:w w:val="90"/>
              </w:rPr>
              <w:t>Age</w:t>
            </w:r>
          </w:p>
        </w:tc>
        <w:tc>
          <w:tcPr>
            <w:tcW w:w="4320" w:type="dxa"/>
            <w:vAlign w:val="bottom"/>
          </w:tcPr>
          <w:p>
            <w:pPr>
              <w:jc w:val="center"/>
              <w:spacing w:after="0"/>
              <w:rPr>
                <w:sz w:val="20"/>
                <w:szCs w:val="20"/>
                <w:color w:val="auto"/>
              </w:rPr>
            </w:pPr>
            <w:r>
              <w:rPr>
                <w:rFonts w:ascii="Arial" w:cs="Arial" w:eastAsia="Arial" w:hAnsi="Arial"/>
                <w:sz w:val="14"/>
                <w:szCs w:val="14"/>
                <w:b w:val="1"/>
                <w:bCs w:val="1"/>
                <w:color w:val="auto"/>
                <w:w w:val="90"/>
              </w:rPr>
              <w:t>Position</w:t>
            </w:r>
          </w:p>
        </w:tc>
        <w:tc>
          <w:tcPr>
            <w:tcW w:w="19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Expiration of Term</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Director Since</w:t>
            </w:r>
          </w:p>
        </w:tc>
      </w:tr>
      <w:tr>
        <w:trPr>
          <w:trHeight w:val="210"/>
        </w:trPr>
        <w:tc>
          <w:tcPr>
            <w:tcW w:w="20" w:type="dxa"/>
            <w:vAlign w:val="bottom"/>
          </w:tcPr>
          <w:p>
            <w:pPr>
              <w:spacing w:after="0"/>
              <w:rPr>
                <w:sz w:val="18"/>
                <w:szCs w:val="18"/>
                <w:color w:val="auto"/>
              </w:rPr>
            </w:pPr>
          </w:p>
        </w:tc>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Richard Higginbotham</w:t>
            </w:r>
          </w:p>
        </w:tc>
        <w:tc>
          <w:tcPr>
            <w:tcW w:w="7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71</w:t>
            </w:r>
          </w:p>
        </w:tc>
        <w:tc>
          <w:tcPr>
            <w:tcW w:w="38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Director (Independent)</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Ronald Tanemura</w:t>
            </w:r>
          </w:p>
        </w:tc>
        <w:tc>
          <w:tcPr>
            <w:tcW w:w="1000" w:type="dxa"/>
            <w:vAlign w:val="bottom"/>
            <w:gridSpan w:val="2"/>
          </w:tcPr>
          <w:p>
            <w:pPr>
              <w:jc w:val="center"/>
              <w:ind w:left="659"/>
              <w:spacing w:after="0"/>
              <w:rPr>
                <w:sz w:val="20"/>
                <w:szCs w:val="20"/>
                <w:color w:val="auto"/>
              </w:rPr>
            </w:pPr>
            <w:r>
              <w:rPr>
                <w:rFonts w:ascii="Arial" w:cs="Arial" w:eastAsia="Arial" w:hAnsi="Arial"/>
                <w:sz w:val="18"/>
                <w:szCs w:val="18"/>
                <w:color w:val="auto"/>
                <w:w w:val="89"/>
              </w:rPr>
              <w:t>55</w:t>
            </w:r>
          </w:p>
        </w:tc>
        <w:tc>
          <w:tcPr>
            <w:tcW w:w="380" w:type="dxa"/>
            <w:vAlign w:val="bottom"/>
          </w:tcPr>
          <w:p>
            <w:pPr>
              <w:spacing w:after="0"/>
              <w:rPr>
                <w:sz w:val="20"/>
                <w:szCs w:val="20"/>
                <w:color w:val="auto"/>
              </w:rPr>
            </w:pPr>
          </w:p>
        </w:tc>
        <w:tc>
          <w:tcPr>
            <w:tcW w:w="4320" w:type="dxa"/>
            <w:vAlign w:val="bottom"/>
          </w:tcPr>
          <w:p>
            <w:pPr>
              <w:jc w:val="center"/>
              <w:spacing w:after="0"/>
              <w:rPr>
                <w:sz w:val="20"/>
                <w:szCs w:val="20"/>
                <w:color w:val="auto"/>
              </w:rPr>
            </w:pPr>
            <w:r>
              <w:rPr>
                <w:rFonts w:ascii="Arial" w:cs="Arial" w:eastAsia="Arial" w:hAnsi="Arial"/>
                <w:sz w:val="18"/>
                <w:szCs w:val="18"/>
                <w:color w:val="auto"/>
                <w:w w:val="92"/>
              </w:rPr>
              <w:t>Director (Independent)</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b w:val="1"/>
          <w:bCs w:val="1"/>
          <w:color w:val="auto"/>
        </w:rPr>
        <w:t xml:space="preserve">Richard Higginbotham </w:t>
      </w:r>
      <w:r>
        <w:rPr>
          <w:rFonts w:ascii="Arial" w:cs="Arial" w:eastAsia="Arial" w:hAnsi="Arial"/>
          <w:sz w:val="16"/>
          <w:szCs w:val="16"/>
          <w:color w:val="auto"/>
        </w:rPr>
        <w:t>was elected a director of TSLX in March 2011. From 2010 to 2013, he was a director of Healthcare Finance Group LLC.</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July 2008 and March 2010, Mr. Higginbotham was a director and then chairman of Tygris Commercial Finance Group, Inc., a portfolio company of TPG Global, LLC (“TPG”), where he also served on the risk committee. From 2004 to 2005, Mr. Higginbotham was the President of Asset Based Lending and Leasing at Bank of America. Prior to that, he worked for 35 years, including in various senior executive positions, at Fleet Bank, Fleet Financial Group, Inc. and FleetBoston Financial, Inc. Mr. Higginbotham holds a B.A. in Political Science from Brown University.</w:t>
      </w:r>
    </w:p>
    <w:p>
      <w:pPr>
        <w:spacing w:after="0" w:line="2" w:lineRule="exact"/>
        <w:rPr>
          <w:sz w:val="20"/>
          <w:szCs w:val="20"/>
          <w:color w:val="auto"/>
        </w:rPr>
      </w:pPr>
    </w:p>
    <w:p>
      <w:pPr>
        <w:ind w:left="200" w:right="260"/>
        <w:spacing w:after="0" w:line="261" w:lineRule="auto"/>
        <w:rPr>
          <w:sz w:val="20"/>
          <w:szCs w:val="20"/>
          <w:color w:val="auto"/>
        </w:rPr>
      </w:pPr>
      <w:r>
        <w:rPr>
          <w:rFonts w:ascii="Arial" w:cs="Arial" w:eastAsia="Arial" w:hAnsi="Arial"/>
          <w:sz w:val="18"/>
          <w:szCs w:val="18"/>
          <w:color w:val="auto"/>
        </w:rPr>
        <w:t>Mr. Higginbotham’s depth of experience in senior executive positions in the financial sector provides the Board with valuable experience, insight and perspective in the credit sector.</w:t>
      </w:r>
    </w:p>
    <w:p>
      <w:pPr>
        <w:spacing w:after="0" w:line="180"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b w:val="1"/>
          <w:bCs w:val="1"/>
          <w:color w:val="auto"/>
        </w:rPr>
        <w:t xml:space="preserve">Ronald Tanemura </w:t>
      </w:r>
      <w:r>
        <w:rPr>
          <w:rFonts w:ascii="Arial" w:cs="Arial" w:eastAsia="Arial" w:hAnsi="Arial"/>
          <w:sz w:val="16"/>
          <w:szCs w:val="16"/>
          <w:color w:val="auto"/>
        </w:rPr>
        <w:t>was elected a director of TSLX in March 2011. Since 2012, Mr. Tanemura has served as a director of post-reorganization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Lehman Brothers Holdings Inc. in New York. Also, since November 2012, he has served as a non-executive director of ICE Clear Credit in Chicago and, since 2009, he has served as a non-executive director of ICE Clear Europe in London, both wholly owned subsidiaries of Intercontinental Exchange, Inc. Prior to that, from 2004 to 2006, Mr. Tanemura was an Advisory Director at Goldman, Sachs &amp; Co. From 2000 to 2004, Mr. Tanemura was a Partner at Goldman, Sachs &amp; Co. and the Global Co-Head of Credit Derivatives and a member of the Fixed Income, Currency and Commodities Risk Committee and Firmwide Credit Policy Committee. In addition, Mr. Tanemura has led a variety of fixed income businesses, working at Deutsche Bank from 1996 to 2000 and at Salomon Brothers from 1985 to 1996. Mr. Tanemura holds an A.B. in Computer Science from the University of California, Berkeley. Mr. Tanemura’s extensive experience in the financial markets provides the Board with valuable industry-specific knowledge.</w:t>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Incumbent Class III Directors: Term Expiring 2020</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40" w:type="dxa"/>
            <w:vAlign w:val="bottom"/>
            <w:gridSpan w:val="3"/>
          </w:tcPr>
          <w:p>
            <w:pPr>
              <w:jc w:val="center"/>
              <w:ind w:left="196"/>
              <w:spacing w:after="0"/>
              <w:rPr>
                <w:sz w:val="20"/>
                <w:szCs w:val="20"/>
                <w:color w:val="auto"/>
              </w:rPr>
            </w:pPr>
            <w:r>
              <w:rPr>
                <w:rFonts w:ascii="Arial" w:cs="Arial" w:eastAsia="Arial" w:hAnsi="Arial"/>
                <w:sz w:val="14"/>
                <w:szCs w:val="14"/>
                <w:b w:val="1"/>
                <w:bCs w:val="1"/>
                <w:color w:val="auto"/>
                <w:w w:val="90"/>
              </w:rPr>
              <w:t>Age</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86"/>
              </w:rPr>
              <w:t>Position</w:t>
            </w:r>
          </w:p>
        </w:tc>
        <w:tc>
          <w:tcPr>
            <w:tcW w:w="19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Expiration of Term</w:t>
            </w:r>
          </w:p>
        </w:tc>
        <w:tc>
          <w:tcPr>
            <w:tcW w:w="9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0"/>
              </w:rPr>
              <w:t>Director Since</w:t>
            </w:r>
          </w:p>
        </w:tc>
      </w:tr>
      <w:tr>
        <w:trPr>
          <w:trHeight w:val="210"/>
        </w:trPr>
        <w:tc>
          <w:tcPr>
            <w:tcW w:w="20" w:type="dxa"/>
            <w:vAlign w:val="bottom"/>
          </w:tcPr>
          <w:p>
            <w:pPr>
              <w:spacing w:after="0"/>
              <w:rPr>
                <w:sz w:val="18"/>
                <w:szCs w:val="18"/>
                <w:color w:val="auto"/>
              </w:rPr>
            </w:pPr>
          </w:p>
        </w:tc>
        <w:tc>
          <w:tcPr>
            <w:tcW w:w="1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Hurley Doddy</w:t>
            </w:r>
          </w:p>
        </w:tc>
        <w:tc>
          <w:tcPr>
            <w:tcW w:w="6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360" w:type="dxa"/>
            <w:vAlign w:val="bottom"/>
            <w:tcBorders>
              <w:top w:val="single" w:sz="8" w:color="CCEEFF"/>
            </w:tcBorders>
            <w:shd w:val="clear" w:color="auto" w:fill="CCEEFF"/>
          </w:tcPr>
          <w:p>
            <w:pPr>
              <w:spacing w:after="0"/>
              <w:rPr>
                <w:sz w:val="18"/>
                <w:szCs w:val="18"/>
                <w:color w:val="auto"/>
              </w:rPr>
            </w:pPr>
          </w:p>
        </w:tc>
        <w:tc>
          <w:tcPr>
            <w:tcW w:w="5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Director (Independent)</w:t>
            </w:r>
          </w:p>
        </w:tc>
        <w:tc>
          <w:tcPr>
            <w:tcW w:w="3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Joshua Easterly</w:t>
            </w:r>
          </w:p>
        </w:tc>
        <w:tc>
          <w:tcPr>
            <w:tcW w:w="880" w:type="dxa"/>
            <w:vAlign w:val="bottom"/>
            <w:gridSpan w:val="2"/>
          </w:tcPr>
          <w:p>
            <w:pPr>
              <w:jc w:val="center"/>
              <w:ind w:left="536"/>
              <w:spacing w:after="0"/>
              <w:rPr>
                <w:sz w:val="20"/>
                <w:szCs w:val="20"/>
                <w:color w:val="auto"/>
              </w:rPr>
            </w:pPr>
            <w:r>
              <w:rPr>
                <w:rFonts w:ascii="Arial" w:cs="Arial" w:eastAsia="Arial" w:hAnsi="Arial"/>
                <w:sz w:val="18"/>
                <w:szCs w:val="18"/>
                <w:color w:val="auto"/>
                <w:w w:val="89"/>
              </w:rPr>
              <w:t>42</w:t>
            </w:r>
          </w:p>
        </w:tc>
        <w:tc>
          <w:tcPr>
            <w:tcW w:w="360" w:type="dxa"/>
            <w:vAlign w:val="bottom"/>
          </w:tcPr>
          <w:p>
            <w:pPr>
              <w:spacing w:after="0"/>
              <w:rPr>
                <w:sz w:val="18"/>
                <w:szCs w:val="18"/>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3"/>
              </w:rPr>
              <w:t>Chairman, Director and Chief Executive Officer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2020</w:t>
            </w: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Michael Fishman</w:t>
            </w:r>
          </w:p>
        </w:tc>
        <w:tc>
          <w:tcPr>
            <w:tcW w:w="880" w:type="dxa"/>
            <w:vAlign w:val="bottom"/>
            <w:gridSpan w:val="2"/>
            <w:shd w:val="clear" w:color="auto" w:fill="CCEEFF"/>
          </w:tcPr>
          <w:p>
            <w:pPr>
              <w:jc w:val="center"/>
              <w:ind w:left="536"/>
              <w:spacing w:after="0"/>
              <w:rPr>
                <w:sz w:val="20"/>
                <w:szCs w:val="20"/>
                <w:color w:val="auto"/>
              </w:rPr>
            </w:pPr>
            <w:r>
              <w:rPr>
                <w:rFonts w:ascii="Arial" w:cs="Arial" w:eastAsia="Arial" w:hAnsi="Arial"/>
                <w:sz w:val="18"/>
                <w:szCs w:val="18"/>
                <w:color w:val="auto"/>
                <w:w w:val="89"/>
              </w:rPr>
              <w:t>56</w:t>
            </w:r>
          </w:p>
        </w:tc>
        <w:tc>
          <w:tcPr>
            <w:tcW w:w="360" w:type="dxa"/>
            <w:vAlign w:val="bottom"/>
            <w:shd w:val="clear" w:color="auto" w:fill="CCEEFF"/>
          </w:tcPr>
          <w:p>
            <w:pPr>
              <w:spacing w:after="0"/>
              <w:rPr>
                <w:sz w:val="18"/>
                <w:szCs w:val="18"/>
                <w:color w:val="auto"/>
              </w:rPr>
            </w:pPr>
          </w:p>
        </w:tc>
        <w:tc>
          <w:tcPr>
            <w:tcW w:w="5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Director and Vice President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200" w:right="20" w:firstLine="441"/>
        <w:spacing w:after="0" w:line="274" w:lineRule="auto"/>
        <w:rPr>
          <w:sz w:val="20"/>
          <w:szCs w:val="20"/>
          <w:color w:val="auto"/>
        </w:rPr>
      </w:pPr>
      <w:r>
        <w:rPr>
          <w:rFonts w:ascii="Arial" w:cs="Arial" w:eastAsia="Arial" w:hAnsi="Arial"/>
          <w:sz w:val="17"/>
          <w:szCs w:val="17"/>
          <w:b w:val="1"/>
          <w:bCs w:val="1"/>
          <w:color w:val="auto"/>
        </w:rPr>
        <w:t xml:space="preserve">Hurley Doddy </w:t>
      </w:r>
      <w:r>
        <w:rPr>
          <w:rFonts w:ascii="Arial" w:cs="Arial" w:eastAsia="Arial" w:hAnsi="Arial"/>
          <w:sz w:val="17"/>
          <w:szCs w:val="17"/>
          <w:color w:val="auto"/>
        </w:rPr>
        <w:t>was elected a director of TSLX in January 2019. Mr. Doddy is a Managing Director, Founding Partner and Co-Chief Executive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 of Emerging Capital Partners, a private equity fund manager focused on Africa. Prior to founding Emerging Capital Partners in 1999, Mr. Doddy was an Executive Director at Sumitomo Finance International in London. Mr. Doddy’s career in finance began at Salomon Brothers in 1984, lasting over 14 years with assignments in New York, Tokyo, and Sao Paulo. Mr. Doddy holds an A.B. in Economics from Princeton University and a Chartered Financial Analyst (CFA) designation. Mr. Doddy’s breadth of experience across financial markets and products, geographies, along with his focus on risk management, provides the Board with valuable insight and perspective in the credit sector.</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color w:val="auto"/>
        </w:rPr>
        <w:t xml:space="preserve">Joshua Easterly </w:t>
      </w:r>
      <w:r>
        <w:rPr>
          <w:rFonts w:ascii="Arial" w:cs="Arial" w:eastAsia="Arial" w:hAnsi="Arial"/>
          <w:sz w:val="17"/>
          <w:szCs w:val="17"/>
          <w:color w:val="auto"/>
        </w:rPr>
        <w:t>was appointed Chief Executive Officer of TSLX in January 2018 and elected a director and Chairman of TSLX in March 2011.</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his appointment, Mr. Easterly served as a Vice President of TSLX since March 2011 and as the Co-Chief Executive Officer of TSLX since December 2013, along with Michael Fishman. Mr. Easterly is a TSSP and TPG Partner and the Co-Chief Investment Officer of the Adviser. Between 2008 and 2010, he was a Managing Director at Goldman, Sachs &amp; Co. in the Americas Special Situations Group, which invested Goldman’s capital in both the public markets and private transactions in distressed and special situations. Between 2006 and 2008, he served as a Director, Management Committee Member and Co-Head of the Goldman Sachs Specialty Lending Group. Prior to joining Goldman, Sachs &amp; Co. in March 2006, Mr. Easterly was Senior Vice President, Northeast Regional Originations Manager at Wells Fargo Capital Finance, or WFCF, formerly known as Wells Fargo Foothill and Foothill Capital Corporation, the $8 billion commercial finance company of Wells Fargo and Company. Mr. Easterly graduated from California State University, Fresno with a Bachelor of Science in Business Administration, magna cum laude. Mr. Easterly’s depth of experience investing in a variety of distressed and special situations transactions as well as his extensive knowledge of the business and operations of TSSP provides the Board with valuable insight and expertise.</w:t>
      </w:r>
    </w:p>
    <w:p>
      <w:pPr>
        <w:spacing w:after="0" w:line="174"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color w:val="auto"/>
        </w:rPr>
        <w:t xml:space="preserve">Michael Fishman </w:t>
      </w:r>
      <w:r>
        <w:rPr>
          <w:rFonts w:ascii="Arial" w:cs="Arial" w:eastAsia="Arial" w:hAnsi="Arial"/>
          <w:sz w:val="17"/>
          <w:szCs w:val="17"/>
          <w:color w:val="auto"/>
        </w:rPr>
        <w:t>was elected a director of TSLX in April 2011. From April 2011 to December 2013, he served as Chief Executive Officer, and</w:t>
      </w:r>
      <w:r>
        <w:rPr>
          <w:rFonts w:ascii="Arial" w:cs="Arial" w:eastAsia="Arial" w:hAnsi="Arial"/>
          <w:sz w:val="17"/>
          <w:szCs w:val="17"/>
          <w:b w:val="1"/>
          <w:bCs w:val="1"/>
          <w:color w:val="auto"/>
        </w:rPr>
        <w:t xml:space="preserve"> </w:t>
      </w:r>
      <w:r>
        <w:rPr>
          <w:rFonts w:ascii="Arial" w:cs="Arial" w:eastAsia="Arial" w:hAnsi="Arial"/>
          <w:sz w:val="17"/>
          <w:szCs w:val="17"/>
          <w:color w:val="auto"/>
        </w:rPr>
        <w:t>from December 2013 to December 2017, he served as Co-Chief Executive Officer with Joshua Easterly. Mr. Fishman is a Vice President of TSLX and is a TSSP and TPG Partner. He has been an executive in corporate lending for more than 20 years with senior management experience in credit, portfolio management and primary loan originations. Prior to joining TSLX, Mr. Fishman was the Executive Vice President and National Director of Loan Originations for WFCF, formerly known as Wells Fargo Foothill and Foothill Capital Corporation. In this role, Mr. Fishman sat on the senior investment committee and was responsible for primary and secondary lending, loan distribution and syndications, strategic transactions and new lending products. From 2000 to 2007, he built the team that grew WFCF’s assets under management from approximately $2 billion to over $10 billion. Mr. Fishman has also contributed to various industry publications and panel discussions, and has sat on the board of the American Bankruptcy Institute. He holds a Bachelor of Science in Finance from Rochester Institute of Technology. Mr. Fishman’s extensive experience in the credit markets provides the Board with valuable industry-specific knowledge.</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Owned by Directors and Nominees in the Company</w:t>
      </w:r>
    </w:p>
    <w:p>
      <w:pPr>
        <w:spacing w:after="0" w:line="121"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the dollar range of equity securities of the Company beneficially owned by each director or director nominee as of March 22, 2019. The Company is not part of a “family of investment companies,” as that term is defined in the 1940 Act.</w:t>
      </w:r>
    </w:p>
    <w:p>
      <w:pPr>
        <w:spacing w:after="0" w:line="177" w:lineRule="exact"/>
        <w:rPr>
          <w:sz w:val="20"/>
          <w:szCs w:val="20"/>
          <w:color w:val="auto"/>
        </w:rPr>
      </w:pPr>
    </w:p>
    <w:tbl>
      <w:tblPr>
        <w:tblLayout w:type="fixed"/>
        <w:tblInd w:w="19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460" w:type="dxa"/>
            <w:vAlign w:val="bottom"/>
            <w:gridSpan w:val="3"/>
          </w:tcPr>
          <w:p>
            <w:pPr>
              <w:ind w:left="1200"/>
              <w:spacing w:after="0"/>
              <w:rPr>
                <w:sz w:val="20"/>
                <w:szCs w:val="20"/>
                <w:color w:val="auto"/>
              </w:rPr>
            </w:pPr>
            <w:r>
              <w:rPr>
                <w:rFonts w:ascii="Arial" w:cs="Arial" w:eastAsia="Arial" w:hAnsi="Arial"/>
                <w:sz w:val="14"/>
                <w:szCs w:val="14"/>
                <w:b w:val="1"/>
                <w:bCs w:val="1"/>
                <w:color w:val="auto"/>
                <w:w w:val="94"/>
              </w:rPr>
              <w:t>Dollar Range of our Common Stock</w:t>
            </w:r>
          </w:p>
        </w:tc>
      </w:tr>
      <w:tr>
        <w:trPr>
          <w:trHeight w:val="171"/>
        </w:trPr>
        <w:tc>
          <w:tcPr>
            <w:tcW w:w="4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60" w:type="dxa"/>
            <w:vAlign w:val="bottom"/>
            <w:gridSpan w:val="2"/>
          </w:tcPr>
          <w:p>
            <w:pPr>
              <w:ind w:left="320"/>
              <w:spacing w:after="0"/>
              <w:rPr>
                <w:sz w:val="20"/>
                <w:szCs w:val="20"/>
                <w:color w:val="auto"/>
              </w:rPr>
            </w:pPr>
            <w:r>
              <w:rPr>
                <w:rFonts w:ascii="Arial" w:cs="Arial" w:eastAsia="Arial" w:hAnsi="Arial"/>
                <w:sz w:val="14"/>
                <w:szCs w:val="14"/>
                <w:b w:val="1"/>
                <w:bCs w:val="1"/>
                <w:color w:val="auto"/>
              </w:rPr>
              <w:t xml:space="preserve">Beneficially Owned </w:t>
            </w:r>
            <w:r>
              <w:rPr>
                <w:rFonts w:ascii="Arial" w:cs="Arial" w:eastAsia="Arial" w:hAnsi="Arial"/>
                <w:sz w:val="12"/>
                <w:szCs w:val="12"/>
                <w:b w:val="1"/>
                <w:bCs w:val="1"/>
                <w:color w:val="auto"/>
              </w:rPr>
              <w:t>(1) (2)</w:t>
            </w:r>
          </w:p>
        </w:tc>
      </w:tr>
      <w:tr>
        <w:trPr>
          <w:trHeight w:val="196"/>
        </w:trPr>
        <w:tc>
          <w:tcPr>
            <w:tcW w:w="4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Interested Directors</w:t>
            </w:r>
          </w:p>
        </w:tc>
        <w:tc>
          <w:tcPr>
            <w:tcW w:w="12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Joshua Easterly</w:t>
            </w:r>
          </w:p>
        </w:tc>
        <w:tc>
          <w:tcPr>
            <w:tcW w:w="1200" w:type="dxa"/>
            <w:vAlign w:val="bottom"/>
          </w:tcPr>
          <w:p>
            <w:pPr>
              <w:spacing w:after="0"/>
              <w:rPr>
                <w:sz w:val="18"/>
                <w:szCs w:val="18"/>
                <w:color w:val="auto"/>
              </w:rPr>
            </w:pPr>
          </w:p>
        </w:tc>
        <w:tc>
          <w:tcPr>
            <w:tcW w:w="2260" w:type="dxa"/>
            <w:vAlign w:val="bottom"/>
            <w:gridSpan w:val="2"/>
          </w:tcPr>
          <w:p>
            <w:pPr>
              <w:ind w:left="600"/>
              <w:spacing w:after="0"/>
              <w:rPr>
                <w:sz w:val="20"/>
                <w:szCs w:val="20"/>
                <w:color w:val="auto"/>
              </w:rPr>
            </w:pPr>
            <w:r>
              <w:rPr>
                <w:rFonts w:ascii="Arial" w:cs="Arial" w:eastAsia="Arial" w:hAnsi="Arial"/>
                <w:sz w:val="18"/>
                <w:szCs w:val="18"/>
                <w:color w:val="auto"/>
              </w:rPr>
              <w:t>over $100,000</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Michael Fishman</w:t>
            </w:r>
          </w:p>
        </w:tc>
        <w:tc>
          <w:tcPr>
            <w:tcW w:w="12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over $100,000</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Jennifer Gordon (Director Nominee)</w:t>
            </w:r>
          </w:p>
        </w:tc>
        <w:tc>
          <w:tcPr>
            <w:tcW w:w="1200" w:type="dxa"/>
            <w:vAlign w:val="bottom"/>
          </w:tcPr>
          <w:p>
            <w:pPr>
              <w:spacing w:after="0"/>
              <w:rPr>
                <w:sz w:val="18"/>
                <w:szCs w:val="18"/>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Independent Directors</w:t>
            </w:r>
          </w:p>
        </w:tc>
        <w:tc>
          <w:tcPr>
            <w:tcW w:w="12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Hurley Doddy</w:t>
            </w:r>
          </w:p>
        </w:tc>
        <w:tc>
          <w:tcPr>
            <w:tcW w:w="1200" w:type="dxa"/>
            <w:vAlign w:val="bottom"/>
          </w:tcPr>
          <w:p>
            <w:pPr>
              <w:spacing w:after="0"/>
              <w:rPr>
                <w:sz w:val="18"/>
                <w:szCs w:val="18"/>
                <w:color w:val="auto"/>
              </w:rPr>
            </w:pPr>
          </w:p>
        </w:tc>
        <w:tc>
          <w:tcPr>
            <w:tcW w:w="22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$50,001—$100,000</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Richard Higginbotham</w:t>
            </w:r>
          </w:p>
        </w:tc>
        <w:tc>
          <w:tcPr>
            <w:tcW w:w="12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over $100,000</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John Ross (Director Nominee)</w:t>
            </w:r>
          </w:p>
        </w:tc>
        <w:tc>
          <w:tcPr>
            <w:tcW w:w="1200" w:type="dxa"/>
            <w:vAlign w:val="bottom"/>
          </w:tcPr>
          <w:p>
            <w:pPr>
              <w:spacing w:after="0"/>
              <w:rPr>
                <w:sz w:val="18"/>
                <w:szCs w:val="18"/>
                <w:color w:val="auto"/>
              </w:rPr>
            </w:pPr>
          </w:p>
        </w:tc>
        <w:tc>
          <w:tcPr>
            <w:tcW w:w="2260" w:type="dxa"/>
            <w:vAlign w:val="bottom"/>
            <w:gridSpan w:val="2"/>
          </w:tcPr>
          <w:p>
            <w:pPr>
              <w:ind w:left="600"/>
              <w:spacing w:after="0"/>
              <w:rPr>
                <w:sz w:val="20"/>
                <w:szCs w:val="20"/>
                <w:color w:val="auto"/>
              </w:rPr>
            </w:pPr>
            <w:r>
              <w:rPr>
                <w:rFonts w:ascii="Arial" w:cs="Arial" w:eastAsia="Arial" w:hAnsi="Arial"/>
                <w:sz w:val="18"/>
                <w:szCs w:val="18"/>
                <w:color w:val="auto"/>
              </w:rPr>
              <w:t>over $100,000</w:t>
            </w: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Ronald Tanemura</w:t>
            </w:r>
          </w:p>
        </w:tc>
        <w:tc>
          <w:tcPr>
            <w:tcW w:w="12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over $100,000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dollar ranges used in the above table are $1—$10,000, $10,001—$50,000, $50,001—$100,000, or over $100,000.</w:t>
      </w:r>
    </w:p>
    <w:p>
      <w:pPr>
        <w:spacing w:after="0" w:line="23" w:lineRule="exact"/>
        <w:rPr>
          <w:rFonts w:ascii="Arial" w:cs="Arial" w:eastAsia="Arial" w:hAnsi="Arial"/>
          <w:sz w:val="18"/>
          <w:szCs w:val="18"/>
          <w:color w:val="auto"/>
        </w:rPr>
      </w:pPr>
    </w:p>
    <w:p>
      <w:pPr>
        <w:ind w:left="640" w:right="160" w:hanging="436"/>
        <w:spacing w:after="0" w:line="261"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Dollar ranges were determined using the number of shares that are beneficially owned as of March 22, 2019, multiplied by the closing sale price of the Company’s common stock as reported on the New York Stock Exchange (“NYSE”) as of March 22, 2019.</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Litigation Involving Directors and Nominees Adverse to the Company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Regarding Executive Officers Who Are Not Directors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00" w:type="dxa"/>
            <w:vAlign w:val="bottom"/>
          </w:tcPr>
          <w:p>
            <w:pPr>
              <w:ind w:left="920"/>
              <w:spacing w:after="0"/>
              <w:rPr>
                <w:sz w:val="20"/>
                <w:szCs w:val="20"/>
                <w:color w:val="auto"/>
              </w:rPr>
            </w:pPr>
            <w:r>
              <w:rPr>
                <w:rFonts w:ascii="Arial" w:cs="Arial" w:eastAsia="Arial" w:hAnsi="Arial"/>
                <w:sz w:val="14"/>
                <w:szCs w:val="14"/>
                <w:b w:val="1"/>
                <w:bCs w:val="1"/>
                <w:color w:val="auto"/>
              </w:rPr>
              <w:t>Name</w:t>
            </w: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Age</w:t>
            </w:r>
          </w:p>
        </w:tc>
        <w:tc>
          <w:tcPr>
            <w:tcW w:w="7060" w:type="dxa"/>
            <w:vAlign w:val="bottom"/>
          </w:tcPr>
          <w:p>
            <w:pPr>
              <w:jc w:val="center"/>
              <w:spacing w:after="0"/>
              <w:rPr>
                <w:sz w:val="20"/>
                <w:szCs w:val="20"/>
                <w:color w:val="auto"/>
              </w:rPr>
            </w:pPr>
            <w:r>
              <w:rPr>
                <w:rFonts w:ascii="Arial" w:cs="Arial" w:eastAsia="Arial" w:hAnsi="Arial"/>
                <w:sz w:val="14"/>
                <w:szCs w:val="14"/>
                <w:b w:val="1"/>
                <w:bCs w:val="1"/>
                <w:color w:val="auto"/>
                <w:w w:val="86"/>
              </w:rPr>
              <w:t>Position</w:t>
            </w:r>
          </w:p>
        </w:tc>
        <w:tc>
          <w:tcPr>
            <w:tcW w:w="10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Officer Since</w:t>
            </w:r>
          </w:p>
        </w:tc>
      </w:tr>
      <w:tr>
        <w:trPr>
          <w:trHeight w:val="210"/>
        </w:trPr>
        <w:tc>
          <w:tcPr>
            <w:tcW w:w="20" w:type="dxa"/>
            <w:vAlign w:val="bottom"/>
          </w:tcPr>
          <w:p>
            <w:pPr>
              <w:spacing w:after="0"/>
              <w:rPr>
                <w:sz w:val="18"/>
                <w:szCs w:val="18"/>
                <w:color w:val="auto"/>
              </w:rPr>
            </w:pPr>
          </w:p>
        </w:tc>
        <w:tc>
          <w:tcPr>
            <w:tcW w:w="2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Ken Burke</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22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Chief Compliance Officer, Vice President and Secretary</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Michael Graf</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37</w:t>
            </w:r>
          </w:p>
        </w:tc>
        <w:tc>
          <w:tcPr>
            <w:tcW w:w="22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92"/>
              </w:rPr>
              <w:t>Vice President and Principal Accounting Officer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Craig Hamrah</w:t>
            </w:r>
          </w:p>
        </w:tc>
        <w:tc>
          <w:tcPr>
            <w:tcW w:w="4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18"/>
                <w:szCs w:val="18"/>
                <w:color w:val="auto"/>
              </w:rPr>
            </w:pPr>
          </w:p>
        </w:tc>
        <w:tc>
          <w:tcPr>
            <w:tcW w:w="7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Vice President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Steven Pluss</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56</w:t>
            </w:r>
          </w:p>
        </w:tc>
        <w:tc>
          <w:tcPr>
            <w:tcW w:w="22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89"/>
              </w:rPr>
              <w:t>Vice President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Ian Simmonds</w:t>
            </w:r>
          </w:p>
        </w:tc>
        <w:tc>
          <w:tcPr>
            <w:tcW w:w="4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47</w:t>
            </w:r>
          </w:p>
        </w:tc>
        <w:tc>
          <w:tcPr>
            <w:tcW w:w="220" w:type="dxa"/>
            <w:vAlign w:val="bottom"/>
            <w:shd w:val="clear" w:color="auto" w:fill="CCEEFF"/>
          </w:tcPr>
          <w:p>
            <w:pPr>
              <w:spacing w:after="0"/>
              <w:rPr>
                <w:sz w:val="18"/>
                <w:szCs w:val="18"/>
                <w:color w:val="auto"/>
              </w:rPr>
            </w:pPr>
          </w:p>
        </w:tc>
        <w:tc>
          <w:tcPr>
            <w:tcW w:w="7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Chief Financial Officer</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Robert (Bo) Stanley</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18"/>
                <w:szCs w:val="18"/>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89"/>
              </w:rPr>
              <w:t>President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David Stiepleman</w:t>
            </w:r>
          </w:p>
        </w:tc>
        <w:tc>
          <w:tcPr>
            <w:tcW w:w="4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9"/>
              </w:rPr>
              <w:t>47</w:t>
            </w:r>
          </w:p>
        </w:tc>
        <w:tc>
          <w:tcPr>
            <w:tcW w:w="220" w:type="dxa"/>
            <w:vAlign w:val="bottom"/>
            <w:shd w:val="clear" w:color="auto" w:fill="CCEEFF"/>
          </w:tcPr>
          <w:p>
            <w:pPr>
              <w:spacing w:after="0"/>
              <w:rPr>
                <w:sz w:val="18"/>
                <w:szCs w:val="18"/>
                <w:color w:val="auto"/>
              </w:rPr>
            </w:pPr>
          </w:p>
        </w:tc>
        <w:tc>
          <w:tcPr>
            <w:tcW w:w="7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Vice President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200" w:type="dxa"/>
            <w:vAlign w:val="bottom"/>
          </w:tcPr>
          <w:p>
            <w:pPr>
              <w:spacing w:after="0"/>
              <w:rPr>
                <w:sz w:val="20"/>
                <w:szCs w:val="20"/>
                <w:color w:val="auto"/>
              </w:rPr>
            </w:pPr>
            <w:r>
              <w:rPr>
                <w:rFonts w:ascii="Arial" w:cs="Arial" w:eastAsia="Arial" w:hAnsi="Arial"/>
                <w:sz w:val="18"/>
                <w:szCs w:val="18"/>
                <w:color w:val="auto"/>
              </w:rPr>
              <w:t>Alan Waxman</w:t>
            </w:r>
          </w:p>
        </w:tc>
        <w:tc>
          <w:tcPr>
            <w:tcW w:w="460" w:type="dxa"/>
            <w:vAlign w:val="bottom"/>
            <w:gridSpan w:val="2"/>
          </w:tcPr>
          <w:p>
            <w:pPr>
              <w:jc w:val="center"/>
              <w:ind w:left="112"/>
              <w:spacing w:after="0"/>
              <w:rPr>
                <w:sz w:val="20"/>
                <w:szCs w:val="20"/>
                <w:color w:val="auto"/>
              </w:rPr>
            </w:pPr>
            <w:r>
              <w:rPr>
                <w:rFonts w:ascii="Arial" w:cs="Arial" w:eastAsia="Arial" w:hAnsi="Arial"/>
                <w:sz w:val="18"/>
                <w:szCs w:val="18"/>
                <w:color w:val="auto"/>
                <w:w w:val="89"/>
              </w:rPr>
              <w:t>44</w:t>
            </w:r>
          </w:p>
        </w:tc>
        <w:tc>
          <w:tcPr>
            <w:tcW w:w="220" w:type="dxa"/>
            <w:vAlign w:val="bottom"/>
          </w:tcPr>
          <w:p>
            <w:pPr>
              <w:spacing w:after="0"/>
              <w:rPr>
                <w:sz w:val="20"/>
                <w:szCs w:val="20"/>
                <w:color w:val="auto"/>
              </w:rPr>
            </w:pPr>
          </w:p>
        </w:tc>
        <w:tc>
          <w:tcPr>
            <w:tcW w:w="7060" w:type="dxa"/>
            <w:vAlign w:val="bottom"/>
          </w:tcPr>
          <w:p>
            <w:pPr>
              <w:jc w:val="center"/>
              <w:spacing w:after="0"/>
              <w:rPr>
                <w:sz w:val="20"/>
                <w:szCs w:val="20"/>
                <w:color w:val="auto"/>
              </w:rPr>
            </w:pPr>
            <w:r>
              <w:rPr>
                <w:rFonts w:ascii="Arial" w:cs="Arial" w:eastAsia="Arial" w:hAnsi="Arial"/>
                <w:sz w:val="18"/>
                <w:szCs w:val="18"/>
                <w:color w:val="auto"/>
                <w:w w:val="89"/>
              </w:rPr>
              <w:t>Vice President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60" w:type="dxa"/>
            <w:vAlign w:val="bottom"/>
          </w:tcPr>
          <w:p>
            <w:pPr>
              <w:spacing w:after="0"/>
              <w:rPr>
                <w:sz w:val="20"/>
                <w:szCs w:val="20"/>
                <w:color w:val="auto"/>
              </w:rPr>
            </w:pPr>
          </w:p>
        </w:tc>
      </w:tr>
    </w:tbl>
    <w:p>
      <w:pPr>
        <w:spacing w:after="0" w:line="183" w:lineRule="exact"/>
        <w:rPr>
          <w:sz w:val="20"/>
          <w:szCs w:val="20"/>
          <w:color w:val="auto"/>
        </w:rPr>
      </w:pPr>
    </w:p>
    <w:p>
      <w:pPr>
        <w:ind w:left="200" w:right="40" w:firstLine="441"/>
        <w:spacing w:after="0" w:line="295" w:lineRule="auto"/>
        <w:rPr>
          <w:sz w:val="20"/>
          <w:szCs w:val="20"/>
          <w:color w:val="auto"/>
        </w:rPr>
      </w:pPr>
      <w:r>
        <w:rPr>
          <w:rFonts w:ascii="Arial" w:cs="Arial" w:eastAsia="Arial" w:hAnsi="Arial"/>
          <w:sz w:val="16"/>
          <w:szCs w:val="16"/>
          <w:b w:val="1"/>
          <w:bCs w:val="1"/>
          <w:color w:val="auto"/>
        </w:rPr>
        <w:t xml:space="preserve">Ken Burke </w:t>
      </w:r>
      <w:r>
        <w:rPr>
          <w:rFonts w:ascii="Arial" w:cs="Arial" w:eastAsia="Arial" w:hAnsi="Arial"/>
          <w:sz w:val="16"/>
          <w:szCs w:val="16"/>
          <w:color w:val="auto"/>
        </w:rPr>
        <w:t>is the Chief Compliance Officer, Vice President and Secretary of TSLX. Mr. Burke is the Deputy Chief Compliance Officer of TSSP</w:t>
      </w:r>
      <w:r>
        <w:rPr>
          <w:rFonts w:ascii="Arial" w:cs="Arial" w:eastAsia="Arial" w:hAnsi="Arial"/>
          <w:sz w:val="16"/>
          <w:szCs w:val="16"/>
          <w:b w:val="1"/>
          <w:bCs w:val="1"/>
          <w:color w:val="auto"/>
        </w:rPr>
        <w:t xml:space="preserve"> </w:t>
      </w:r>
      <w:r>
        <w:rPr>
          <w:rFonts w:ascii="Arial" w:cs="Arial" w:eastAsia="Arial" w:hAnsi="Arial"/>
          <w:sz w:val="16"/>
          <w:szCs w:val="16"/>
          <w:color w:val="auto"/>
        </w:rPr>
        <w:t>and also serves as Chief Compliance Officer of TSSP BD, LLC, TSSP’s affiliate broker-dealer. Prior to joining TSSP in 2015, Mr. Burke was the Chief Compliance Officer at Marble Arch Investments, LP. Prior to that role, Mr. Burke worked as an Associate Attorney at Gibson, Dunn &amp; Crutcher LLP, counseling private fund clients on a variety of regulatory and compliance issues. Mr. Burke began his career at the Securities and Exchange Commission (SEC) in New York, where he spent more than seven years working in the SEC’s investment adviser examination program. Mr. Burke holds a J.D. from Fordham University School of Law and a B.S. in Finance from the State University of New York at New Paltz.</w:t>
      </w:r>
    </w:p>
    <w:p>
      <w:pPr>
        <w:spacing w:after="0" w:line="156" w:lineRule="exact"/>
        <w:rPr>
          <w:sz w:val="20"/>
          <w:szCs w:val="20"/>
          <w:color w:val="auto"/>
        </w:rPr>
      </w:pPr>
    </w:p>
    <w:p>
      <w:pPr>
        <w:ind w:left="200" w:right="20" w:firstLine="441"/>
        <w:spacing w:after="0" w:line="258" w:lineRule="auto"/>
        <w:rPr>
          <w:sz w:val="20"/>
          <w:szCs w:val="20"/>
          <w:color w:val="auto"/>
        </w:rPr>
      </w:pPr>
      <w:r>
        <w:rPr>
          <w:rFonts w:ascii="Arial" w:cs="Arial" w:eastAsia="Arial" w:hAnsi="Arial"/>
          <w:sz w:val="18"/>
          <w:szCs w:val="18"/>
          <w:b w:val="1"/>
          <w:bCs w:val="1"/>
          <w:color w:val="auto"/>
        </w:rPr>
        <w:t xml:space="preserve">Michael Graf </w:t>
      </w:r>
      <w:r>
        <w:rPr>
          <w:rFonts w:ascii="Arial" w:cs="Arial" w:eastAsia="Arial" w:hAnsi="Arial"/>
          <w:sz w:val="18"/>
          <w:szCs w:val="18"/>
          <w:color w:val="auto"/>
        </w:rPr>
        <w:t>is a Vice President and Principal Accounting Officer of TSLX. Mr. Graf has been TSLX’s Controller since 2013. From 2010 to</w:t>
      </w:r>
      <w:r>
        <w:rPr>
          <w:rFonts w:ascii="Arial" w:cs="Arial" w:eastAsia="Arial" w:hAnsi="Arial"/>
          <w:sz w:val="18"/>
          <w:szCs w:val="18"/>
          <w:b w:val="1"/>
          <w:bCs w:val="1"/>
          <w:color w:val="auto"/>
        </w:rPr>
        <w:t xml:space="preserve"> </w:t>
      </w:r>
      <w:r>
        <w:rPr>
          <w:rFonts w:ascii="Arial" w:cs="Arial" w:eastAsia="Arial" w:hAnsi="Arial"/>
          <w:sz w:val="18"/>
          <w:szCs w:val="18"/>
          <w:color w:val="auto"/>
        </w:rPr>
        <w:t>2013, Mr. Graf was a Vice President in Alternative Investments at U.S. Bancorp Fund Services, LLC. From 2006 to 2010, Mr. Graf was an Accounting Manager at GSC Group, Inc., a private investment firm. Prior to working at GSC Group Inc., Mr. Graf worked in public accounting at KPMG from 2004 to 2006. Mr. Graf holds a B.S. in Finance and Accounting from the Leonard N. Stern School of Business at New York University. He is a Certified Public Accountant.</w:t>
      </w:r>
    </w:p>
    <w:p>
      <w:pPr>
        <w:spacing w:after="0" w:line="184" w:lineRule="exact"/>
        <w:rPr>
          <w:sz w:val="20"/>
          <w:szCs w:val="20"/>
          <w:color w:val="auto"/>
        </w:rPr>
      </w:pPr>
    </w:p>
    <w:p>
      <w:pPr>
        <w:ind w:left="200" w:right="180" w:firstLine="441"/>
        <w:spacing w:after="0" w:line="258" w:lineRule="auto"/>
        <w:rPr>
          <w:sz w:val="20"/>
          <w:szCs w:val="20"/>
          <w:color w:val="auto"/>
        </w:rPr>
      </w:pPr>
      <w:r>
        <w:rPr>
          <w:rFonts w:ascii="Arial" w:cs="Arial" w:eastAsia="Arial" w:hAnsi="Arial"/>
          <w:sz w:val="18"/>
          <w:szCs w:val="18"/>
          <w:b w:val="1"/>
          <w:bCs w:val="1"/>
          <w:color w:val="auto"/>
        </w:rPr>
        <w:t xml:space="preserve">Craig Hamrah </w:t>
      </w:r>
      <w:r>
        <w:rPr>
          <w:rFonts w:ascii="Arial" w:cs="Arial" w:eastAsia="Arial" w:hAnsi="Arial"/>
          <w:sz w:val="18"/>
          <w:szCs w:val="18"/>
          <w:color w:val="auto"/>
        </w:rPr>
        <w:t>is a Vice President, Senior Credit Underwriter of the Adviser and Managing Director of TSSP. Mr. Hamrah was previously with</w:t>
      </w:r>
      <w:r>
        <w:rPr>
          <w:rFonts w:ascii="Arial" w:cs="Arial" w:eastAsia="Arial" w:hAnsi="Arial"/>
          <w:sz w:val="18"/>
          <w:szCs w:val="18"/>
          <w:b w:val="1"/>
          <w:bCs w:val="1"/>
          <w:color w:val="auto"/>
        </w:rPr>
        <w:t xml:space="preserve"> </w:t>
      </w:r>
      <w:r>
        <w:rPr>
          <w:rFonts w:ascii="Arial" w:cs="Arial" w:eastAsia="Arial" w:hAnsi="Arial"/>
          <w:sz w:val="18"/>
          <w:szCs w:val="18"/>
          <w:color w:val="auto"/>
        </w:rPr>
        <w:t>Silver Point Capital, where he was a senior deal underwriter in the private finance group. From 2004 to 2005, Mr. Hamrah was a Senior Vice President at the Royal Bank of Scotland. From 1997 to 2004, Mr. Hamrah was an Executive Vice President at Emigrant Business Credit Corp, a subsidiary of Emigrant Savings Bank. Mr. Hamrah started his career at The CIT Group in 1990 working in the commercial finance and equipment finance divisions. He holds a B.A. in Business Economics from Brown University.</w:t>
      </w:r>
    </w:p>
    <w:p>
      <w:pPr>
        <w:spacing w:after="0" w:line="184" w:lineRule="exact"/>
        <w:rPr>
          <w:sz w:val="20"/>
          <w:szCs w:val="20"/>
          <w:color w:val="auto"/>
        </w:rPr>
      </w:pPr>
    </w:p>
    <w:p>
      <w:pPr>
        <w:ind w:left="200" w:right="60" w:firstLine="441"/>
        <w:spacing w:after="0" w:line="258" w:lineRule="auto"/>
        <w:rPr>
          <w:sz w:val="20"/>
          <w:szCs w:val="20"/>
          <w:color w:val="auto"/>
        </w:rPr>
      </w:pPr>
      <w:r>
        <w:rPr>
          <w:rFonts w:ascii="Arial" w:cs="Arial" w:eastAsia="Arial" w:hAnsi="Arial"/>
          <w:sz w:val="18"/>
          <w:szCs w:val="18"/>
          <w:b w:val="1"/>
          <w:bCs w:val="1"/>
          <w:color w:val="auto"/>
        </w:rPr>
        <w:t xml:space="preserve">Steven Pluss </w:t>
      </w:r>
      <w:r>
        <w:rPr>
          <w:rFonts w:ascii="Arial" w:cs="Arial" w:eastAsia="Arial" w:hAnsi="Arial"/>
          <w:sz w:val="18"/>
          <w:szCs w:val="18"/>
          <w:color w:val="auto"/>
        </w:rPr>
        <w:t>is a Vice President of TSLX. He is also a TSSP and TPG Partner and has been the Chief Risk Officer of TSSP since 2013, as well as</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Financial Officer from 2013 to 2016. Prior to joining TSSP, Mr. Pluss was a Managing Director and co-head of the Goldman Sachs Specialty Lending Group at Goldman, Sachs &amp; Co., where he worked from 2004 to 2013. From 1999 to 2004, Mr. Pluss was a Partner, Founder and Managing Member of RTV Ventures, a special situations lending joint venture with Goldman, Sachs &amp; Co. Mr. Pluss holds a B.B.A. from Texas A&amp;M University and an M.B.A. from Southern Methodist University.</w:t>
      </w:r>
    </w:p>
    <w:p>
      <w:pPr>
        <w:spacing w:after="0" w:line="184" w:lineRule="exact"/>
        <w:rPr>
          <w:sz w:val="20"/>
          <w:szCs w:val="20"/>
          <w:color w:val="auto"/>
        </w:rPr>
      </w:pPr>
    </w:p>
    <w:p>
      <w:pPr>
        <w:ind w:left="200" w:right="60" w:firstLine="441"/>
        <w:spacing w:after="0" w:line="261" w:lineRule="auto"/>
        <w:rPr>
          <w:sz w:val="20"/>
          <w:szCs w:val="20"/>
          <w:color w:val="auto"/>
        </w:rPr>
      </w:pPr>
      <w:r>
        <w:rPr>
          <w:rFonts w:ascii="Arial" w:cs="Arial" w:eastAsia="Arial" w:hAnsi="Arial"/>
          <w:sz w:val="18"/>
          <w:szCs w:val="18"/>
          <w:b w:val="1"/>
          <w:bCs w:val="1"/>
          <w:color w:val="auto"/>
        </w:rPr>
        <w:t xml:space="preserve">Ian Simmonds </w:t>
      </w:r>
      <w:r>
        <w:rPr>
          <w:rFonts w:ascii="Arial" w:cs="Arial" w:eastAsia="Arial" w:hAnsi="Arial"/>
          <w:sz w:val="18"/>
          <w:szCs w:val="18"/>
          <w:color w:val="auto"/>
        </w:rPr>
        <w:t>is the Chief Financial Officer of TSLX and a Managing Director of TSSP. From 2005 to 2015, Mr. Simmonds was a member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Institutions Group at Bank of America Merrill Lynch’s Global Investment Bank in New York, most recently as a Managing Director. From 2000 to 2003, Mr. Simmonds was Managing Director at Principal Global Investors, the asset management unit of The Principal Financial Group, based in Singapore. Prior to this role, Mr. Simmonds was a Senior Vice President at Bankers Trust</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380"/>
        <w:spacing w:after="0" w:line="264" w:lineRule="auto"/>
        <w:rPr>
          <w:sz w:val="20"/>
          <w:szCs w:val="20"/>
          <w:color w:val="auto"/>
        </w:rPr>
      </w:pPr>
      <w:r>
        <w:rPr>
          <w:rFonts w:ascii="Arial" w:cs="Arial" w:eastAsia="Arial" w:hAnsi="Arial"/>
          <w:sz w:val="18"/>
          <w:szCs w:val="18"/>
          <w:color w:val="auto"/>
        </w:rPr>
        <w:t>Australia from 1995 to 2000 (acquired by Principal in 1999), and worked in public accounting at KPMG from 1989 to 1995. Mr. Simmonds holds a Bachelor of Commerce from the University of New South Wales, a Master of Applied Finance from Macquarie University, and an M.B.A. from the Wharton School of the University of Pennsylvania. He is a Chartered Accountant.</w:t>
      </w:r>
    </w:p>
    <w:p>
      <w:pPr>
        <w:spacing w:after="0" w:line="177" w:lineRule="exact"/>
        <w:rPr>
          <w:sz w:val="20"/>
          <w:szCs w:val="20"/>
          <w:color w:val="auto"/>
        </w:rPr>
      </w:pPr>
    </w:p>
    <w:p>
      <w:pPr>
        <w:ind w:left="200" w:right="60" w:firstLine="441"/>
        <w:spacing w:after="0" w:line="258" w:lineRule="auto"/>
        <w:rPr>
          <w:sz w:val="20"/>
          <w:szCs w:val="20"/>
          <w:color w:val="auto"/>
        </w:rPr>
      </w:pPr>
      <w:r>
        <w:rPr>
          <w:rFonts w:ascii="Arial" w:cs="Arial" w:eastAsia="Arial" w:hAnsi="Arial"/>
          <w:sz w:val="18"/>
          <w:szCs w:val="18"/>
          <w:b w:val="1"/>
          <w:bCs w:val="1"/>
          <w:color w:val="auto"/>
        </w:rPr>
        <w:t xml:space="preserve">Robert (“Bo”) Stanley </w:t>
      </w:r>
      <w:r>
        <w:rPr>
          <w:rFonts w:ascii="Arial" w:cs="Arial" w:eastAsia="Arial" w:hAnsi="Arial"/>
          <w:sz w:val="18"/>
          <w:szCs w:val="18"/>
          <w:color w:val="auto"/>
        </w:rPr>
        <w:t>is President of TSLX and a Partner of TSSP. Mr. Stanley was previously with Wells Fargo Capital Finance, a provider of</w:t>
      </w:r>
      <w:r>
        <w:rPr>
          <w:rFonts w:ascii="Arial" w:cs="Arial" w:eastAsia="Arial" w:hAnsi="Arial"/>
          <w:sz w:val="18"/>
          <w:szCs w:val="18"/>
          <w:b w:val="1"/>
          <w:bCs w:val="1"/>
          <w:color w:val="auto"/>
        </w:rPr>
        <w:t xml:space="preserve"> </w:t>
      </w:r>
      <w:r>
        <w:rPr>
          <w:rFonts w:ascii="Arial" w:cs="Arial" w:eastAsia="Arial" w:hAnsi="Arial"/>
          <w:sz w:val="18"/>
          <w:szCs w:val="18"/>
          <w:color w:val="auto"/>
        </w:rPr>
        <w:t>specialized senior secured financing to companies throughout the U.S. and Canada, from 2000 to 2011. While at Wells Fargo, Mr. Stanley served in multiple roles in an underwriting and origination capacity. From 2006 to 2011, Mr. Stanley was a Director of Loan Originations where he was responsible for lead development and generation of commercial loans. He holds a B.S. in Business Administration with a concentration in Finance from the University of Maine.</w:t>
      </w:r>
    </w:p>
    <w:p>
      <w:pPr>
        <w:spacing w:after="0" w:line="184" w:lineRule="exact"/>
        <w:rPr>
          <w:sz w:val="20"/>
          <w:szCs w:val="20"/>
          <w:color w:val="auto"/>
        </w:rPr>
      </w:pPr>
    </w:p>
    <w:p>
      <w:pPr>
        <w:ind w:left="200" w:firstLine="441"/>
        <w:spacing w:after="0" w:line="258" w:lineRule="auto"/>
        <w:rPr>
          <w:sz w:val="20"/>
          <w:szCs w:val="20"/>
          <w:color w:val="auto"/>
        </w:rPr>
      </w:pPr>
      <w:r>
        <w:rPr>
          <w:rFonts w:ascii="Arial" w:cs="Arial" w:eastAsia="Arial" w:hAnsi="Arial"/>
          <w:sz w:val="18"/>
          <w:szCs w:val="18"/>
          <w:b w:val="1"/>
          <w:bCs w:val="1"/>
          <w:color w:val="auto"/>
        </w:rPr>
        <w:t xml:space="preserve">David Stiepleman </w:t>
      </w:r>
      <w:r>
        <w:rPr>
          <w:rFonts w:ascii="Arial" w:cs="Arial" w:eastAsia="Arial" w:hAnsi="Arial"/>
          <w:sz w:val="18"/>
          <w:szCs w:val="18"/>
          <w:color w:val="auto"/>
        </w:rPr>
        <w:t>is a Vice President of TSLX. He has served as the Chief Operating Officer of TSSP since 2010 and is a TSSP and TPG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From 2007 to 2010, Mr. Stiepleman was a Managing Director and the Deputy General Counsel of Fortress Investment Group LLC, where he was the lead lawyer responsible for that firm’s new business initiatives. Prior to that, from 2003 to 2007, Mr. Stiepleman was lead counsel to the Americas Special Situations Group and the Mortgages Department at Goldman, Sachs &amp; Co. Mr. Stiepleman holds a B.A. in French and Political Science from Amherst College and a J.D. from Columbia University.</w:t>
      </w:r>
    </w:p>
    <w:p>
      <w:pPr>
        <w:spacing w:after="0" w:line="184"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b w:val="1"/>
          <w:bCs w:val="1"/>
          <w:color w:val="auto"/>
        </w:rPr>
        <w:t xml:space="preserve">Alan Waxman </w:t>
      </w:r>
      <w:r>
        <w:rPr>
          <w:rFonts w:ascii="Arial" w:cs="Arial" w:eastAsia="Arial" w:hAnsi="Arial"/>
          <w:sz w:val="18"/>
          <w:szCs w:val="18"/>
          <w:color w:val="auto"/>
        </w:rPr>
        <w:t>is a Vice President of TSLX. Mr. Waxman co-founded TSSP in 2009 with TSSP’s management team. He has served as Managing</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and Chief Investment Officer of TSSP and Co-Chief Investment Officer of the Adviser since inception. Mr. Waxman is also a TPG Partner and a member of TPG’s Executive Committee. Prior to co-founding TSSP, Mr. Waxman was a Partner at Goldman, Sachs &amp; Co., where he founded, built and led a variety of credit and credit-related businesses. During his career at Goldman, Sachs &amp; Co., he co-headed the Americas Special Situations Group, which invested that firm’s capital in both the public markets and private transactions. Mr. Waxman began his career at Goldman, Sachs &amp; Co. in 1998. He holds a B.A. in International Relations from the University of Pennsylvania, where he currently serves on their board of the School of Arts and Sciences.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GOVERNANCE</w:t>
      </w:r>
    </w:p>
    <w:p>
      <w:pPr>
        <w:spacing w:after="0" w:line="3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Pursuant to our certificate of incorporation and our bylaws, our Board consists of seven members. Pursuant to our bylaws, the Board may increase or decrease the number of directors to no fewer than four and no greater than nine. The Board is divided into three classes, with the members of each class each serving staggered, three-year terms. The terms of our Class I directors will expire at the 2021 annual meeting of stockholders; the terms of our Class II directors will expire at the Meeting; and the terms of our Class III directors will expire at the 2020 annual meeting of stockholders.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Pursuant to our certificate of incorporation, a majority of the Board will at all times consist of directors who are not “interested persons” of us, of the Adviser, or of any of our or its respective affiliates, as defined in the 1940 Act. Under Section 303A.00 of the NYSE Listed Company Manual, a director of a business development company (“BDC”) is considered to be independent if he or she is not an “interested person” of ours, as defined in Section 2(a)(19) of the 1940 Act. We refer to these directors as our “Independent Directors.”</w:t>
      </w:r>
    </w:p>
    <w:p>
      <w:pPr>
        <w:spacing w:after="0" w:line="187"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Consistent with these considerations, after review of all relevant transactions and relationships between each director, or any of his or her family members, and us, the Adviser, or of any of our or its respective affiliates, the Board has determined that Messrs. Doddy, Higginbotham, Ross and Tanemura qualify as Independent Directors. Each director who serves on the Audit Committee is an independent director under the applicable NYSE listing standards and for purposes of Rule 10A-3 under the Securities Exchange Act of 1934, as amended (the “Exchange Act”). Each director who serves on the Compensation Committee and Nominating and Corporate Governance Committee is an independent director under the applicable NYSE listing standards. A majority of the voting members of the Risk Management Committee are Independent Directors.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Interested Directors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Messrs. Easterly and Fishman and Ms. Gordon are considered “interested persons” (as defined in the 1940 Act) of the Company since both of them are employed by the Adviser. See “Proposal No. 1 Election of Directors – Biographical Information.”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Meetings and Attendance</w:t>
      </w:r>
    </w:p>
    <w:p>
      <w:pPr>
        <w:spacing w:after="0" w:line="11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Our Board met four times in 2018 and acted on various occasions by written consent. Our Board also holds informal periodic telephonic update meetings. No incumbent director attended fewer than 75% of the aggregate of the total number of meetings of the Board (held during the period for which he has been a director) and the total number of meetings held by all committees of the Board on which he served (during the periods that he served).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Attendance at the Meeting</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Our policy is to encourage our directors to attend each annual meeting of stockholders; however, attendance is not required. Mr. Easterly attended the 2018 annual meeting of stockholders in person.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Leadership Structure and Role in Risk Oversight</w:t>
      </w:r>
    </w:p>
    <w:p>
      <w:pPr>
        <w:spacing w:after="0" w:line="11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Our Board monitors and performs an oversight role with respect to our business and affairs, including with respect to investment practices and performance, compliance with regulatory requirements, cybersecurity and the services, expenses and performance of service providers to us. Among other things, our Board approves the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appointment of our Adviser and our officers, reviews and monitors the services and activities performed by our investment adviser and our executive officers.</w:t>
      </w:r>
    </w:p>
    <w:p>
      <w:pPr>
        <w:spacing w:after="0" w:line="170"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Board designates a chairman to preside over the meetings of the Board and to perform other duties as may be assigned to him by the Board. We do not have a fixed policy as to whether the chairman of the Board should be an Independent Director and believe that we should maintain the flexibility to select the chairman and reorganize the leadership structure, from time to time, based on the criteria that is in our best interests and the best interests of our stockholders at such times.</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Presently, Mr. Easterly serves as the chairman of our Board. We believe that Mr. Easterly’s familiarity with our investment platform and extensive knowledge of the financial services industry qualifies him to serve as the chairman of our Board.</w:t>
      </w:r>
    </w:p>
    <w:p>
      <w:pPr>
        <w:spacing w:after="0" w:line="170"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Our Board does not currently have a designated lead Independent Director. We are aware of the potential conflicts that may arise when a non-Independent Director is chairman of the Board, but believe these potential conflicts are offset by our strong corporate governance practices. Our corporate governance practices include regular meetings of the Independent Directors in executive session without the presence of interested directors and management, as well as the establishment of a Nominating and Corporate Governance Committee, a Compensation Committee and an Audit Committee, each consisting solely of Independent Directors for the purposes of the NYSE corporate governance rules and, in the case of the Audit Committee, Rule 10A-3 under the Exchange Act. During executive sessions, the chairman of the Audit Committee or his designee acts as presiding director. We also have a Risk Management Committee, a majority of the voting members of which are Independent Directors. In addition, our corporate governance practices include the appointment of our Chief Compliance Officer, with whom the Independent Directors meet in executive session without the presence of interested directors and other members of management for administering our compliance policies and procedures. While certain non-management members of our Board currently participate on the boards of directors of other companies, we do not view their participation as excessive or as interfering with their duties on our Board.</w:t>
      </w:r>
    </w:p>
    <w:p>
      <w:pPr>
        <w:spacing w:after="0" w:line="183"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Our Board performs its risk oversight function primarily through its committees and monitoring by our Chief Compliance Officer in accordance with its compliance policies and procedures.</w:t>
      </w:r>
    </w:p>
    <w:p>
      <w:pPr>
        <w:spacing w:after="0" w:line="17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As described below in more detail under “—Board Committees—Audit Committee,” the Audit Committee assists the Board in fulfilling its risk oversight responsibilities. The Audit Committee’s risk oversight responsibilities include overseeing our accounting and financial reporting processes, our systems of internal controls regarding finance and accounting, and audits of our financial statements. The Audit Committee also discusses with management our major financial risk exposures and the steps management has taken to monitor and control such exposures, including our risk assessment and risk management policies.</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as described below under “—Board Committees—Risk Management Committee,” the Risk Management Committee assists the Board in its oversight of our overall risk tolerance and management of capital, liquidity, and funding planning and strategy. In performing its responsibilities, the Risk Management Committee liaises with the Chair of the Audit Committee to assist that committee in its review of our risk assessment and risk management matters.</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Board also performs its risk oversight responsibilities with the assistance of the Chief Compliance Officer. Our Chief Compliance Officer prepares a written report annually discussing the adequacy and effectiveness of our compliance policies and procedures. The Chief Compliance Officer’s report, which is reviewed by the Board, addresses:</w:t>
      </w:r>
    </w:p>
    <w:p>
      <w:pPr>
        <w:spacing w:after="0" w:line="87" w:lineRule="exact"/>
        <w:rPr>
          <w:sz w:val="20"/>
          <w:szCs w:val="20"/>
          <w:color w:val="auto"/>
        </w:rPr>
      </w:pPr>
    </w:p>
    <w:p>
      <w:pPr>
        <w:ind w:left="5620" w:right="2000" w:hanging="4876"/>
        <w:spacing w:after="0" w:line="449" w:lineRule="auto"/>
        <w:tabs>
          <w:tab w:leader="none" w:pos="106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adequacy of our compliance policies and procedures and certain of our service providers since the last report; 12</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material changes to these policies and procedures or recommended changes; and</w:t>
      </w:r>
    </w:p>
    <w:p>
      <w:pPr>
        <w:spacing w:after="0" w:line="130" w:lineRule="exact"/>
        <w:rPr>
          <w:rFonts w:ascii="Arial" w:cs="Arial" w:eastAsia="Arial" w:hAnsi="Arial"/>
          <w:sz w:val="18"/>
          <w:szCs w:val="18"/>
          <w:color w:val="auto"/>
        </w:rPr>
      </w:pPr>
    </w:p>
    <w:p>
      <w:pPr>
        <w:ind w:left="1060" w:right="280" w:hanging="316"/>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compliance matter that has occurred about which the Board would reasonably need to know to oversee our compliance activities and risks.</w:t>
      </w:r>
    </w:p>
    <w:p>
      <w:pPr>
        <w:spacing w:after="0" w:line="170"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 addition, the Chief Compliance Officer meets separately in executive session with the Independent Directors periodically, typically every quarter, but in no event less than once each year.</w:t>
      </w:r>
    </w:p>
    <w:p>
      <w:pPr>
        <w:spacing w:after="0" w:line="170"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believe that the Board’s role in risk oversight is effective and appropriate given the extensive regulation to which we are already subject as a BDC. Specifically, as a BDC, we must comply with numerous regulatory requirements that control the levels of risk in its business and operations, including limitations under the 1940 Act on the amount of borrowings, debt securities or preferred stock we may incur or issue. In addition, we generally have to invest at least 70% of our total assets in “qualifying assets” and, subject to certain exceptions, we generally are not permitted to invest in any portfolio company in which our affiliates currently has an investment. In addition, we have elected to be treated as a regulated investment company (“RIC”) under Subchapter M of the Internal Revenue Code of 1986, as amended (the “Code”). As a RIC, we must, among other things, meet certain source of income, asset diversification and distribution requirements.</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Further, we believe that the Board’s structure and practices enhance its risk oversight because our Independent Directors separately meet in executive sessions with the Chief Compliance Officer and independent registered public accounting firm without any conflict that could be perceived to discourage critical review.</w:t>
      </w:r>
    </w:p>
    <w:p>
      <w:pPr>
        <w:spacing w:after="0" w:line="181"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We believe that the Board’s role in risk oversight must be evaluated on a case-by-case basis and that its existing role in risk oversight is appropriate.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Communications with Directors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Board has established procedures whereby our stockholders and other interested parties may communicate with any member of our Board, the chairman of any of our Board committees or with our non-management directors as a group by mail addressed to the applicable directors or director group, in the care of the Chief Compliance Officer, Ken Burke, TPG Specialty Lending, Inc., 888 7</w:t>
      </w:r>
      <w:r>
        <w:rPr>
          <w:rFonts w:ascii="Arial" w:cs="Arial" w:eastAsia="Arial" w:hAnsi="Arial"/>
          <w:sz w:val="15"/>
          <w:szCs w:val="15"/>
          <w:color w:val="auto"/>
        </w:rPr>
        <w:t>th</w:t>
      </w:r>
      <w:r>
        <w:rPr>
          <w:rFonts w:ascii="Arial" w:cs="Arial" w:eastAsia="Arial" w:hAnsi="Arial"/>
          <w:sz w:val="18"/>
          <w:szCs w:val="18"/>
          <w:color w:val="auto"/>
        </w:rPr>
        <w:t xml:space="preserve"> Avenue, 35</w:t>
      </w:r>
      <w:r>
        <w:rPr>
          <w:rFonts w:ascii="Arial" w:cs="Arial" w:eastAsia="Arial" w:hAnsi="Arial"/>
          <w:sz w:val="15"/>
          <w:szCs w:val="15"/>
          <w:color w:val="auto"/>
        </w:rPr>
        <w:t>th</w:t>
      </w:r>
      <w:r>
        <w:rPr>
          <w:rFonts w:ascii="Arial" w:cs="Arial" w:eastAsia="Arial" w:hAnsi="Arial"/>
          <w:sz w:val="18"/>
          <w:szCs w:val="18"/>
          <w:color w:val="auto"/>
        </w:rPr>
        <w:t xml:space="preserve"> Floor, New York, NY 10106. Such communications should specify the intended recipient or recipients. All such communications, other than unsolicited commercial solicitations, will be forwarded to the appropriate director, or directors, for review.</w:t>
      </w:r>
    </w:p>
    <w:p>
      <w:pPr>
        <w:spacing w:after="0" w:line="188"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In addition, information on how to report issues related to financial statement disclosures, accounting, internal accounting controls or auditing matters to our Board or the Independent Directors via email is available on our website at http://www.tpgspecialtylending.com.</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200" w:right="780"/>
        <w:spacing w:after="0" w:line="277" w:lineRule="auto"/>
        <w:rPr>
          <w:sz w:val="20"/>
          <w:szCs w:val="20"/>
          <w:color w:val="auto"/>
        </w:rPr>
      </w:pPr>
      <w:r>
        <w:rPr>
          <w:rFonts w:ascii="Arial" w:cs="Arial" w:eastAsia="Arial" w:hAnsi="Arial"/>
          <w:sz w:val="18"/>
          <w:szCs w:val="18"/>
          <w:color w:val="auto"/>
        </w:rPr>
        <w:t>We currently have four standing committees: the Audit Committee, the Nominating and Corporate Governance Committee, the Compensation Committee and the Risk Management Committee.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7"/>
          <w:szCs w:val="17"/>
          <w:color w:val="auto"/>
        </w:rPr>
        <w:t>The Audit Committee operates pursuant to the Audit Committee Charter. The Audit Committee Charter sets forth the responsibilities of the Audit Committee. The primary function of the Audit Committee is to serve as an independent and objective party to assist the Board in fulfilling its responsibilities for our accounting and reporting processes and the audits of its financial statements by overseeing and monitoring:</w:t>
      </w:r>
    </w:p>
    <w:p>
      <w:pPr>
        <w:spacing w:after="0" w:line="71" w:lineRule="exact"/>
        <w:rPr>
          <w:sz w:val="20"/>
          <w:szCs w:val="20"/>
          <w:color w:val="auto"/>
        </w:rPr>
      </w:pPr>
    </w:p>
    <w:p>
      <w:pPr>
        <w:ind w:left="1060" w:hanging="316"/>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system of internal controls;</w:t>
      </w:r>
    </w:p>
    <w:p>
      <w:pPr>
        <w:spacing w:after="0" w:line="130" w:lineRule="exact"/>
        <w:rPr>
          <w:rFonts w:ascii="Arial" w:cs="Arial" w:eastAsia="Arial" w:hAnsi="Arial"/>
          <w:sz w:val="18"/>
          <w:szCs w:val="18"/>
          <w:color w:val="auto"/>
        </w:rPr>
      </w:pPr>
    </w:p>
    <w:p>
      <w:pPr>
        <w:ind w:left="1060" w:right="520" w:hanging="316"/>
        <w:spacing w:after="0" w:line="277" w:lineRule="auto"/>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reporting process, including the valuation of investments, the review of the independence and performance of, as well as communicate openly with, our independent registered public accounting firm;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Our Audit Committee has the sole authority to approve the engagement, and review the performance of, our independent registered public accounting firm.</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Board has designated Mr. Ross as an “audit committee financial expert” pursuant to the provisions of Item 407(d)(5) of Regulation S-K, and, pursuant to the Audit Committee Charter, our Audit Committee consists solely of members who are independent directors for the purposes of the applicable NYSE corporate governance rules and Rule 10A-3 under the Exchange Act.</w:t>
      </w:r>
    </w:p>
    <w:p>
      <w:pPr>
        <w:spacing w:after="0" w:line="18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Messrs. Ross, Doddy, Higginbotham and Tanemura are members of the Audit Committee and Mr. Ross serves as Chairman. The Audit Committee held eight meetings in 2018 and acted on various occasions by written consent.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Nominating and Corporate Governance Committee operates pursuant to the Nominating and Corporate Governance Committee Charter. The Nominating and Corporate Governance Committee Charter sets forth the responsibilities of the Nominating and Corporate Governance Committee. The Nominating and Corporate Governance Committee is responsible for:</w:t>
      </w:r>
    </w:p>
    <w:p>
      <w:pPr>
        <w:spacing w:after="0" w:line="87" w:lineRule="exact"/>
        <w:rPr>
          <w:sz w:val="20"/>
          <w:szCs w:val="20"/>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selecting, researching and nominating directors for election by our stockholders;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selecting nominees to fill vacancies on the Board or a committee of the Board;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developing and recommending to the Board a set of corporate governance principles;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the evaluation of the Board and our management.</w:t>
      </w:r>
    </w:p>
    <w:p>
      <w:pPr>
        <w:spacing w:after="0" w:line="225"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Nominating and Corporate Governance Committee considers nominees to the Board recommended by a stockholder, if that stockholder complies with the advance notice provisions of our bylaws, as described below.</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members of the Nominating and Corporate Governance Committee are Messrs. Ross, Higginbotham and Tanemura, each of whom is independent for purposes of the NYSE corporate governance rules. Mr. Higginbotham serves as Chairman. The Nominating and Corporate Governance Committee held one meeting in 2018.</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Compensation Committee operates pursuant to the Compensation Committee Charter. The Compensation Committee Charter sets forth the responsibilities of the Compensation Committee. The Compensation Committee is responsible for:</w:t>
      </w:r>
    </w:p>
    <w:p>
      <w:pPr>
        <w:spacing w:after="0" w:line="76" w:lineRule="exact"/>
        <w:rPr>
          <w:sz w:val="20"/>
          <w:szCs w:val="20"/>
          <w:color w:val="auto"/>
        </w:rPr>
      </w:pPr>
    </w:p>
    <w:p>
      <w:pPr>
        <w:jc w:val="both"/>
        <w:ind w:left="1060" w:right="720" w:hanging="316"/>
        <w:spacing w:after="0" w:line="312" w:lineRule="auto"/>
        <w:tabs>
          <w:tab w:leader="none" w:pos="10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reviewing and approving the reimbursement by us of compensation paid by the Adviser or its affiliates pursuant to the terms of the investment advisory agreement entered into by and between the Company and the Adviser, as amended (the “Investment Advisory Agreement”) and the administration agreement entered into between us and the Adviser (the “Administration Agreement”);</w:t>
      </w:r>
    </w:p>
    <w:p>
      <w:pPr>
        <w:spacing w:after="0" w:line="52" w:lineRule="exact"/>
        <w:rPr>
          <w:rFonts w:ascii="Arial" w:cs="Arial" w:eastAsia="Arial" w:hAnsi="Arial"/>
          <w:sz w:val="16"/>
          <w:szCs w:val="16"/>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and setting compensation for our directors;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along with the Board, approving or renewing the Investment Advisory Agreement and Administration Agreement.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“—Compensation and Insider Participation—Compensation of Executive Officers.”</w:t>
      </w:r>
    </w:p>
    <w:p>
      <w:pPr>
        <w:spacing w:after="0" w:line="225"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The members of the Compensation Committee are Messrs. Ross, Doddy, Higginbotham and Tanemura, each of whom is independent for purposes of the NYSE corporate governance rules. Mr. Ross serves as Chairman. The Compensation Committee held one meeting in 2018.</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Risk Management Committee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Risk Management Committee operates pursuant to the Risk Management Committee Charter. The Risk Management Committee Charter sets forth the responsibilities of the Risk Management Committee. The Risk Management Committee is responsible for assisting the Board in its oversight of the Company’s overall risk tolerance and management of capital, liquidity, and fund planning and strategy. Risk assessment and risk management are the primary responsibility of the Company’s management. The Risk Management Committee’s responsibility is one of oversight and review, in furtherance of the Board’s oversight role.</w:t>
      </w:r>
    </w:p>
    <w:p>
      <w:pPr>
        <w:spacing w:after="0" w:line="188"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voting members of the Risk Management Committee are Messrs. Easterly, Ross and Tanemura, and the non-voting members of the committee are Messrs. Simmonds and Pluss. Messrs. Ross and Tanemura are independent for purposes of the NYSE corporate governance rules. Mr. Easterly serves as Chairman. The Risk Management Committee was established in August 2018.</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Committee Charters</w:t>
      </w:r>
    </w:p>
    <w:p>
      <w:pPr>
        <w:spacing w:after="0" w:line="117"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maintain a corporate governance section on our website, which contains copies of the charters for the committees of our Board. The corporate governance section may be found at http://www.tpgspecialtylending.com in the “Investor Resources” section of our website. The corporate governance section contains the following documents:</w:t>
      </w:r>
    </w:p>
    <w:p>
      <w:pPr>
        <w:spacing w:after="0" w:line="87" w:lineRule="exact"/>
        <w:rPr>
          <w:sz w:val="20"/>
          <w:szCs w:val="20"/>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Risk Management Committee Charter</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our SOX Code of Business Conduct and Ethics and our Corporate Governance Guidelines may be found at http://www.tpgspecialtylending.com in the “Investor Resources” section of our website. We intend to disclose any substantive amendments to or waivers of required provisions of the SOX Code of Business Conduct and Ethics on our website or on a current report on Form 8-K.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Nominations</w:t>
      </w:r>
    </w:p>
    <w:p>
      <w:pPr>
        <w:spacing w:after="0" w:line="121"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Nomination for election as a director may be made by, or at the direction of, the Nominating and Corporate Governance Committee or by stockholders in compliance with the procedures set forth in our bylaws.</w:t>
      </w:r>
    </w:p>
    <w:p>
      <w:pPr>
        <w:spacing w:after="0" w:line="170"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bylaws provide the procedures to be followed by a stockholder desiring to make a director nomination. For a stockholder to properly bring any item of business before a meeting of stockholders, including nominations to serve as a director, the stockholder must give timely notice thereof in writing to our Secretary in compliance with the requirements of our bylaws. Stockholder notices or nominations for director should be made in writing to the Secretary of the Company, Ken Burke, TPG Specialty Lending, Inc., 301 Commerce Street, Suite 3300, Fort Worth, TX 76102. Please refer to the text of our bylaws (including Article II, paragraph (K)), which are on file with the SEC, and “Bylaw Requirements for Stockholder Submission of Nominations and Proposals” in this proxy statement for additional information.</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In evaluating director nominees, the Nominating and Corporate Governance Committee considers, among others, the following factors:</w:t>
      </w:r>
    </w:p>
    <w:p>
      <w:pPr>
        <w:spacing w:after="0" w:line="142" w:lineRule="exact"/>
        <w:rPr>
          <w:sz w:val="20"/>
          <w:szCs w:val="20"/>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appropriate size and composition of our Board;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or not the person is an “interested person” of TSLX as defined in Section 2(a)(19) of the 1940 Act;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needs of TSLX with respect to the particular talents and experience of its directors;</w:t>
      </w:r>
    </w:p>
    <w:p>
      <w:pPr>
        <w:spacing w:after="0" w:line="130" w:lineRule="exact"/>
        <w:rPr>
          <w:rFonts w:ascii="Arial" w:cs="Arial" w:eastAsia="Arial" w:hAnsi="Arial"/>
          <w:sz w:val="18"/>
          <w:szCs w:val="18"/>
          <w:color w:val="auto"/>
        </w:rPr>
      </w:pPr>
    </w:p>
    <w:p>
      <w:pPr>
        <w:ind w:left="106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knowledge, skills and experience of nominees in light of prevailing business conditions and the knowledge, skills and experience already possessed by other members of the Board;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character and integrity;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familiarity with national and international business matters;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experience with accounting rules and practices;</w:t>
      </w:r>
    </w:p>
    <w:p>
      <w:pPr>
        <w:spacing w:after="0" w:line="130" w:lineRule="exact"/>
        <w:rPr>
          <w:rFonts w:ascii="Arial" w:cs="Arial" w:eastAsia="Arial" w:hAnsi="Arial"/>
          <w:sz w:val="18"/>
          <w:szCs w:val="18"/>
          <w:color w:val="auto"/>
        </w:rPr>
      </w:pPr>
    </w:p>
    <w:p>
      <w:pPr>
        <w:ind w:left="1060" w:right="260" w:hanging="316"/>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desire to balance the considerable benefit of continuity with the periodic injection of the fresh perspective provided by new members;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applicable laws, rules, regulations, and listing standards.</w:t>
      </w:r>
    </w:p>
    <w:p>
      <w:pPr>
        <w:spacing w:after="0" w:line="22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Nominating and Corporate Governance Committee’s goal is to assemble a board that brings to TSLX a variety of perspectives and skills derived from high-quality business and professional experience.</w:t>
      </w:r>
    </w:p>
    <w:p>
      <w:pPr>
        <w:spacing w:after="0" w:line="170" w:lineRule="exact"/>
        <w:rPr>
          <w:sz w:val="20"/>
          <w:szCs w:val="20"/>
          <w:color w:val="auto"/>
        </w:rPr>
      </w:pPr>
    </w:p>
    <w:p>
      <w:pPr>
        <w:ind w:left="200" w:right="620" w:firstLine="441"/>
        <w:spacing w:after="0" w:line="264" w:lineRule="auto"/>
        <w:rPr>
          <w:sz w:val="20"/>
          <w:szCs w:val="20"/>
          <w:color w:val="auto"/>
        </w:rPr>
      </w:pPr>
      <w:r>
        <w:rPr>
          <w:rFonts w:ascii="Arial" w:cs="Arial" w:eastAsia="Arial" w:hAnsi="Arial"/>
          <w:sz w:val="18"/>
          <w:szCs w:val="18"/>
          <w:color w:val="auto"/>
        </w:rPr>
        <w:t>Other than the foregoing, there are no stated minimum criteria for director nominees, although the Nominating and Corporate Governance Committee may also consider other factors as they may deem are in the best interests of TSLX and its stockholders. The Board also believes it appropriate for certain key members of our management to participate as members of the Board.</w:t>
      </w:r>
    </w:p>
    <w:p>
      <w:pPr>
        <w:spacing w:after="0" w:line="18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Nominating and Corporate Governance Committee identifies nominees by first evaluating the current members of the Board willing to continue in service. Current members of the Board with skills and experience that are relevant to our business and who are willing to continue in service are considered for re-nomination. If any member of the Board does not wish to continue in service or if the Nominating and Corporate Governance Committee decides not to re-nominate a member for re-election, the Nominating and Corporate Governance Committee identifies the desired skills and experience of a new nominee in light of the criteria above. The members of the Board are polled for suggestions as to individuals meeting the aforementioned criteria. Research may also be performed to identify qualified individuals.</w:t>
      </w:r>
    </w:p>
    <w:p>
      <w:pPr>
        <w:spacing w:after="0" w:line="17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The Board has not adopted a formal policy with regard to the consideration of diversity in identifying director nominees. In determining whether to recommend a director nominee, the Nominating and Corporate Governance Committee considers and discusses diversity, among other factors, with a view toward the needs of the Board as a whole. The Board generally conceptualizes diversity expansively to include, without limitation, concepts such as race, gender, national origin, differences of viewpoint, professional experience, education, skill and other qualities that contribute to the Board when identifying and recommending director nominees. The Board believes that the inclusion of diversity as one of many factors considered in selecting director nominees is consistent with the Board’s goal of creating a Board that best serves the needs of TSLX and the interests of our stockholders.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Code of Ethics</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We have adopted a SOX Code of Business Conduct and Ethics which applies to, among others, our executive officers, including our Principal Executive Officers and Principal Financial Officer, as well as every officer, director and employee of the Company. There have been no material changes to our corporate code of ethics or material waivers of the code that apply to our Chief Executive Officers or Chief Financial Officer. Our SOX Code of Business Conduct and Ethics can be accessed on our website at http://www.tpgspecialtylending.com.</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Involvement in Certain Legal Proceedings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Election of Officers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Board elects our officers and our officers serve until their resignation or termination or until their successors are duly elected and qualified.</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and Insider Participation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pay each Independent Director the following amounts for serving as a director:</w:t>
      </w:r>
    </w:p>
    <w:p>
      <w:pPr>
        <w:spacing w:after="0" w:line="131" w:lineRule="exact"/>
        <w:rPr>
          <w:sz w:val="20"/>
          <w:szCs w:val="20"/>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$100,000 annual retainer;</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$2,500 for each meeting of the Board attended;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$1,500 for each monthly telephonic update meeting attended;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$1,000 for each committee meeting of ours attended;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additional fee of $10,000 per year for the chairman of the Audit Committee and the Nominating and Corporate Governance Committee.</w:t>
      </w:r>
    </w:p>
    <w:p>
      <w:pPr>
        <w:spacing w:after="0" w:line="24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During the year ended December 31, 2018, we also reimbursed directors for certain out-of-pocket expenses each Independent Director incurred in connection with the fulfillment of his duties as an Independent Director.</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table sets forth information concerning total compensation earned by or paid to each of our Independent Directors during the fiscal year ended December 31, 2018:</w:t>
      </w:r>
    </w:p>
    <w:p>
      <w:pPr>
        <w:spacing w:after="0" w:line="177"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120" w:type="dxa"/>
            <w:vAlign w:val="bottom"/>
            <w:gridSpan w:val="3"/>
          </w:tcPr>
          <w:p>
            <w:pPr>
              <w:jc w:val="right"/>
              <w:spacing w:after="0"/>
              <w:rPr>
                <w:sz w:val="20"/>
                <w:szCs w:val="20"/>
                <w:color w:val="auto"/>
              </w:rPr>
            </w:pPr>
            <w:r>
              <w:rPr>
                <w:rFonts w:ascii="Arial" w:cs="Arial" w:eastAsia="Arial" w:hAnsi="Arial"/>
                <w:sz w:val="14"/>
                <w:szCs w:val="14"/>
                <w:b w:val="1"/>
                <w:bCs w:val="1"/>
                <w:color w:val="auto"/>
              </w:rPr>
              <w:t>Fees Earned or</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Paid in Cash</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Hurley Doddy</w:t>
            </w:r>
            <w:r>
              <w:rPr>
                <w:rFonts w:ascii="Arial" w:cs="Arial" w:eastAsia="Arial" w:hAnsi="Arial"/>
                <w:sz w:val="15"/>
                <w:szCs w:val="15"/>
                <w:color w:val="auto"/>
              </w:rPr>
              <w:t>(1)</w:t>
            </w:r>
          </w:p>
        </w:tc>
        <w:tc>
          <w:tcPr>
            <w:tcW w:w="2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Richard Higginbotham</w:t>
            </w:r>
          </w:p>
        </w:tc>
        <w:tc>
          <w:tcPr>
            <w:tcW w:w="2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141,500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141,500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John Ross</w:t>
            </w:r>
          </w:p>
        </w:tc>
        <w:tc>
          <w:tcPr>
            <w:tcW w:w="240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141,500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141,500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Ronald Tanemura</w:t>
            </w:r>
          </w:p>
        </w:tc>
        <w:tc>
          <w:tcPr>
            <w:tcW w:w="24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131,500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131,500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Doddy was elected a director of TSLX in January 2019.</w:t>
      </w:r>
    </w:p>
    <w:p>
      <w:pPr>
        <w:spacing w:after="0" w:line="33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Compensation of Executive Officers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We do not currently have any employees and do not expect to have any employees. Services necessary for our business are provided by individuals who are employees of the Adviser or its affiliates or by subcontractors, pursuant to the terms of the Investment Advisory Agreement and the Administration Agreement. Each of our executive officers is an employee of the Adviser or its affiliates. Our day-to-day investment operations are managed by the Adviser. Most of the services necessary for the origination and administration of our investment portfolio are provided by investment professionals employed by the Adviser or its affiliates or by subcontractors.</w:t>
      </w:r>
    </w:p>
    <w:p>
      <w:pPr>
        <w:spacing w:after="0" w:line="18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None of our executive officers receives direct compensation from us. We reimburse the Adviser or its affiliates for an allocable portion of the compensation paid by the Adviser or its affiliates to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 Certain of our executive officers and other members of our Investment Team, through their ownership interest in or management positions with the Adviser or its affiliates, are entitled to a portion of any profits earned by the Adviser, which includes any fees payable to the</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20"/>
        <w:spacing w:after="0" w:line="264" w:lineRule="auto"/>
        <w:rPr>
          <w:sz w:val="20"/>
          <w:szCs w:val="20"/>
          <w:color w:val="auto"/>
        </w:rPr>
      </w:pPr>
      <w:r>
        <w:rPr>
          <w:rFonts w:ascii="Arial" w:cs="Arial" w:eastAsia="Arial" w:hAnsi="Arial"/>
          <w:sz w:val="18"/>
          <w:szCs w:val="18"/>
          <w:color w:val="auto"/>
        </w:rPr>
        <w:t>Adviser under the terms of our Investment Advisory Agreement, less expenses incurred by the Adviser in performing its services under our Investment Advisory Agreement. The Adviser or its affiliates may pay additional salaries, bonuses, and individual performance awards or individual performance bonuses to our executive officers in addition to their ownership interest.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121"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TSL Advisers, LLC is our external manager. Our Adviser is a Delaware limited liability company. Our Adviser acts as our investment adviser and administrator and is a registered investment adviser with the SEC under the Investment Advisers Act of 1940, as amended (the “Advisers Act”).</w:t>
      </w:r>
    </w:p>
    <w:p>
      <w:pPr>
        <w:spacing w:after="0" w:line="124"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Our Adviser sources and manages our portfolio through a dedicated team of investment professionals predominately focused on us,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an investment review committee (the “Investment Review Committee”), which includes senior personnel of our Adviser and TSSP. The members of the Investment Review Committee are Joshua Easterly, Michael Fishman, Alan Waxman and David Stiepleman.</w:t>
      </w:r>
    </w:p>
    <w:p>
      <w:pPr>
        <w:spacing w:after="0" w:line="19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TSSP is a global finance and investment firm with over $30 billion of assets under management as of December 31, 2018. TSSP is in a strategic partnership with TPG, the global alternative asset firm. TSSP’s core platforms include TPG Specialty Lending, TSL Europe, which is aimed at European middle-market loan originations, TSSP Adjacent Opportunities, which has the flexibility to invest across all of TSSP’s private credit market investments, TSSP Opportunities Partners, which focuses on actively managed opportunistic investments across the credit cycle, TPG Institutional Credit Partners, which is a “public-side” credit investment platform focused on investment opportunities in broadly syndicated leveraged loan markets, and TSSP Capital Solutions, which provides financing solutions to growing companies. TSSP has a long-term oriented, highly flexible capital base that allows it to invest across industries, geographies, capital structures and asset classes. TSSP has extensive experience with highly complex, global public and private investments executed through primary originations, secondary market purchases and restructurings, and has a team of over 200 investment and operating professionals. As of December 31, 2018, thirty three (33) of these personnel are dedicated to our business, including twenty five (25) investment professionals.</w:t>
      </w:r>
    </w:p>
    <w:p>
      <w:pPr>
        <w:spacing w:after="0" w:line="178"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TPG is a leading global private investment firm founded in 1992. TPG is headquartered in San Francisco and Fort Worth, with additional offices in offices in Austin, Beijing, Boston, Dallas, Hong Kong, Houston, London, Luxembourg, Melbourne, Moscow, Mumbai, New York, Seoul, and Singapore.</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Adviser consults with TSSP in connection with a substantial number of our investments. The TSSP platform provides us with the breadth of large and scalable investment resources. We believe we benefit from TSSP’s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Adviser’s address is 301 Commerce Street, Suite 3300, Fort Worth, TX 76102.</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Transactions with Related Persons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Relationship with TSSP and TPG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investment activities are managed by our Adviser, which is responsible for sourcing, researching and structuring potential investments,</w:t>
      </w:r>
    </w:p>
    <w:p>
      <w:pPr>
        <w:spacing w:after="0" w:line="35" w:lineRule="exact"/>
        <w:rPr>
          <w:sz w:val="20"/>
          <w:szCs w:val="20"/>
          <w:color w:val="auto"/>
        </w:rPr>
      </w:pPr>
    </w:p>
    <w:p>
      <w:pPr>
        <w:jc w:val="center"/>
        <w:ind w:left="340" w:right="100"/>
        <w:spacing w:after="0" w:line="433" w:lineRule="auto"/>
        <w:rPr>
          <w:sz w:val="20"/>
          <w:szCs w:val="20"/>
          <w:color w:val="auto"/>
        </w:rPr>
      </w:pPr>
      <w:r>
        <w:rPr>
          <w:rFonts w:ascii="Arial" w:cs="Arial" w:eastAsia="Arial" w:hAnsi="Arial"/>
          <w:sz w:val="18"/>
          <w:szCs w:val="18"/>
          <w:color w:val="auto"/>
        </w:rPr>
        <w:t>monitoring our portfolio companies and providing operating, managerial and administrative assistance to us and to our portfolio companies as required. 18</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Adviser is registered under the Advisers Act and is an affiliate of TSSP and TPG. Other affiliates of TSSP and TPG are also registered investment advisers and provide investment advisory services to a number of private investment funds. In addition, TSSP, TPG and their affiliates engage in a broad range of other investment activities, including pursuing investments for their own account and for the account of associated funds and providing other services to these funds and their portfolio companies. The Adviser held 2,716,977 shares, or 4.1%, of our common stock as of March 22, 2019.</w:t>
      </w:r>
    </w:p>
    <w:p>
      <w:pPr>
        <w:spacing w:after="0" w:line="188"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We believe we benefit from the Adviser’s relationships with TSSP. The Adviser has access to the contacts and industry knowledge of TSSP’s investment professionals, and is also able to consult with TSSP investment professionals on specific industry issues, trends and other matters to complement our investment process. However, the Adviser and members of the Investment Review Committee are expected to face a number of actual and potential conflicts of interest involving us, TSSP, TPG and other private investment funds affiliated with TSSP and TPG, including conflicts in the allocation of investment opportunities among us and other TSSP and TPG vehicles, as well as in their time and attention requirements as to these other vehicles. Additionally, various potential and actual conflicts of interest may arise from the overall advisory, investment and other activities of the Adviser, its affiliates, including TSSP and TPG, and their respective clients.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Allocations of Loan Origination Investment Opportunities</w:t>
      </w:r>
    </w:p>
    <w:p>
      <w:pPr>
        <w:spacing w:after="0" w:line="11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Certain members of the Adviser’s senior management and the Investment Review Committee are and will continue to be active in other investment funds affiliated with TSSP and TPG that pursue investment opportunities that could overlap with those pursued by us. However, the Adviser and its affiliates intend to allocate investment opportunities in a fair and equitable manner in accordance with their allocation principles. In particular, TSSP and TPG will refer all middle-market loan origination activities for companies domiciled in the United States to us and conduct those activities through us. By origination activities, we mean underwriting and initially funding a loan, as compared with purchasing a loan from another party. The Adviser will determine whether it would be permissible, advisable or otherwise appropriate for us to pursue a particular investment opportunity allocated to us by TSSP and TPG. For example, certain loan origination investment opportunities may not be suitable for us if they would cause us to violate asset coverage or concentration limitations imposed by the 1940 Act or the Code, be ineligible for financing under our financing arrangements, pose adverse legal, regulatory or tax risks, constrain our resources to make future investments, involve inappropriate investment risk or otherwise be inappropriate or inadvisable as an investment for us. If the Adviser deems participation in an investment allocated to us to be appropriate, it will determine an appropriate size for our investment.</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Exemptive Order</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affiliates of TSSP in middle-market loan origination activities for companies domiciled in the United States and certain “follow-on” investments in companies in which we have already co-invested pursuant to the order and remain invested.</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We believe our ability to co-invest with TSSP affiliates is particularly useful where we identify larger capital commitments than otherwise would be appropriate for us. We expect that with the ability to co-invest with TSSP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29" w:lineRule="exact"/>
        <w:rPr>
          <w:sz w:val="20"/>
          <w:szCs w:val="20"/>
          <w:color w:val="auto"/>
        </w:rPr>
      </w:pPr>
    </w:p>
    <w:p>
      <w:pPr>
        <w:ind w:left="1060" w:right="18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of the proposed transaction (including the consideration to be paid) are reasonable and fair to us and our stockholders and do not involve overreaching of us or our stockholders on the part of any person concerned;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transaction is consistent with the interests of our stockholders and our investment strategies and policies;</w:t>
      </w:r>
    </w:p>
    <w:p>
      <w:pPr>
        <w:spacing w:after="0" w:line="130" w:lineRule="exact"/>
        <w:rPr>
          <w:rFonts w:ascii="Arial" w:cs="Arial" w:eastAsia="Arial" w:hAnsi="Arial"/>
          <w:sz w:val="18"/>
          <w:szCs w:val="18"/>
          <w:color w:val="auto"/>
        </w:rPr>
      </w:pPr>
    </w:p>
    <w:p>
      <w:pPr>
        <w:ind w:left="1060" w:right="300" w:hanging="316"/>
        <w:spacing w:after="0" w:line="277" w:lineRule="auto"/>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investment by our affiliate would not disadvantage us, and our participation is not on a basis different from or less advantageous than that of our affiliate; and</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investment will not benefit any affiliate other than the affiliate participating in the investment, and as otherwise permitted by the order.</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Allocation of Non-Loan Origination Investment Opportunities</w:t>
      </w:r>
    </w:p>
    <w:p>
      <w:pPr>
        <w:spacing w:after="0" w:line="11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6"/>
          <w:szCs w:val="16"/>
          <w:color w:val="auto"/>
        </w:rPr>
        <w:t>While we seek to generate current income primarily in U.S.-domiciled middle-market companies through direct originations of senior secured loans, we may also invest up to 30% of our portfolio opportunistically in securities or other instruments of issuers not deemed eligible portfolio companies under the 1940 Act. These opportunities may include, among other things, debt issued by companies located outside the United States, publicly and privately traded debt and equity securities of companies listed on a national securities exchange with a market capitalization of</w:t>
      </w:r>
    </w:p>
    <w:p>
      <w:pPr>
        <w:spacing w:after="0" w:line="2"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$250 million or more, certain high yield bonds and other instruments or assets (including consumer and commercial loans). Many of these opportunities may be required to be offered to, or may be otherwise suitable for, other TPG funds or investment vehicles, including TSSP funds and investment vehicles. In the event that TSSP or TPG are not required to, and otherwise determine not to, direct these investment opportunities to an affiliated fund, we may be permitted to take them. The decision to allocate an opportunity as between us and other TSSP and TPG vehicles will take into account various factors that TSSP, TPG and our Adviser deem appropriate.</w:t>
      </w:r>
    </w:p>
    <w:p>
      <w:pPr>
        <w:spacing w:after="0" w:line="19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ability to pursue investment opportunities other than those for middle-market loan originations for companies domiciled in the United States is subject to the allocation decisions by TSSP or TPG senior professionals. Such non-loan origination opportunities may be required to be offered to, or may be otherwise suitable for, other TSSP or TPG funds or investment vehicles. As a result, the Adviser and its affiliates may face conflicts in allocating investment opportunities between us and those other entities. It is possible that we may not be given the opportunity to participate in certain investments made by TSSP or TPG vehicles that would otherwise be suitable for us. For example, TSSP has organized a separate investment vehicle, TSL Europe, aimed specifically at European middle-market loan originations and may in the future organize vehicles aimed at other loan origination opportunities outside our primary focus.</w:t>
      </w:r>
    </w:p>
    <w:p>
      <w:pPr>
        <w:spacing w:after="0" w:line="189"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If the Adviser and TPG were to determine that an investment that is not a middle-market loan origination for a company domiciled in the United States is appropriate both for us and for one or more other TSSP or TPG vehicles, we would only be able to make the investment in conjunction with another such vehicle to the extent the exemptive order granted to us by the SEC permits us to do so or the investment is otherwise permitted under relevant SEC guidance.</w:t>
      </w:r>
    </w:p>
    <w:p>
      <w:pPr>
        <w:spacing w:after="0" w:line="18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Adviser believes this allocation system is fair and equitable, and consistent with its fiduciary duty to us. In particular, we have disclosed to investors that TSSP and TPG will refer to us all middle-market loan origination activities for companies domiciled in the United States. In addition, we have disclosed how allocation determinations are made among TSSP and TPG vehicles in connection with other opportunities, including those circumstances in which the Adviser may be required to offer them to these affiliated vehicles.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Administrator</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Adviser also serves as our administrator. The administrator, on behalf of us and at our expense, may retain one or more service providers that may also be affiliates of TSSP and TPG to serve as sub-administrator, custodian, accounting agent, investor services agent, transfer agent or other service provider for us. Any fees we pay, or indemnification obligations we undertake, in respect of the administrator and those other service providers that are TSSP and TPG affiliates, will be set at arm’s length and approved by the Independent Directors.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the course of our investing activities, we pay fees to the Adviser, incur direct expenses and reimburse the Adviser for certain expenses it incurs.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Certain Business Relationships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Certain of our current directors and officers are directors or officers of the Adviser or its affiliates. See “Proposal No. 1 Election of Directors – Biographical Information.”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Indebtedness of Management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Investment Advisory Agreement; Administration Agreement; License Agreement</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April 15, 2011, we entered into the Investment Advisory Agreement with our Adviser. The Investment Advisory Agreement was subsequently amended on December 12, 2011.</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Investment Advisory Agreement, the Adviser:</w:t>
      </w:r>
    </w:p>
    <w:p>
      <w:pPr>
        <w:spacing w:after="0" w:line="131" w:lineRule="exact"/>
        <w:rPr>
          <w:sz w:val="20"/>
          <w:szCs w:val="20"/>
          <w:color w:val="auto"/>
        </w:rPr>
      </w:pPr>
    </w:p>
    <w:p>
      <w:pPr>
        <w:ind w:left="1060" w:right="28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determines the composition of our portfolio, the nature and timing of the changes to our portfolio and the manner of implementing those changes;</w:t>
      </w:r>
    </w:p>
    <w:p>
      <w:pPr>
        <w:spacing w:after="0" w:line="75" w:lineRule="exact"/>
        <w:rPr>
          <w:rFonts w:ascii="Arial" w:cs="Arial" w:eastAsia="Arial" w:hAnsi="Arial"/>
          <w:sz w:val="18"/>
          <w:szCs w:val="18"/>
          <w:color w:val="auto"/>
        </w:rPr>
      </w:pPr>
    </w:p>
    <w:p>
      <w:pPr>
        <w:ind w:left="1060" w:right="56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w:t>
      </w:r>
    </w:p>
    <w:p>
      <w:pPr>
        <w:spacing w:after="0" w:line="75" w:lineRule="exact"/>
        <w:rPr>
          <w:rFonts w:ascii="Arial" w:cs="Arial" w:eastAsia="Arial" w:hAnsi="Arial"/>
          <w:sz w:val="18"/>
          <w:szCs w:val="18"/>
          <w:color w:val="auto"/>
        </w:rPr>
      </w:pPr>
    </w:p>
    <w:p>
      <w:pPr>
        <w:ind w:left="1060" w:hanging="316"/>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determines the assets we will originate, purchase, retain or sell;</w:t>
      </w:r>
    </w:p>
    <w:p>
      <w:pPr>
        <w:spacing w:after="0" w:line="130" w:lineRule="exact"/>
        <w:rPr>
          <w:rFonts w:ascii="Arial" w:cs="Arial" w:eastAsia="Arial" w:hAnsi="Arial"/>
          <w:sz w:val="18"/>
          <w:szCs w:val="18"/>
          <w:color w:val="auto"/>
        </w:rPr>
      </w:pPr>
    </w:p>
    <w:p>
      <w:pPr>
        <w:ind w:left="1060" w:right="80" w:hanging="316"/>
        <w:spacing w:after="0" w:line="277" w:lineRule="auto"/>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closes, monitors and administers the investments we make, including the exercise of any rights in our capacity as a lender or equity holder; and</w:t>
      </w:r>
    </w:p>
    <w:p>
      <w:pPr>
        <w:spacing w:after="0" w:line="75" w:lineRule="exact"/>
        <w:rPr>
          <w:rFonts w:ascii="Arial" w:cs="Arial" w:eastAsia="Arial" w:hAnsi="Arial"/>
          <w:sz w:val="18"/>
          <w:szCs w:val="18"/>
          <w:color w:val="auto"/>
        </w:rPr>
      </w:pPr>
    </w:p>
    <w:p>
      <w:pPr>
        <w:ind w:left="1060" w:right="80" w:hanging="316"/>
        <w:spacing w:after="0" w:line="308" w:lineRule="auto"/>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4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Adviser’s services under the Investment Advisory Agreement are not exclusive, and the Adviser is free to furnish similar or other services to others so long as its services to us are not impaired.</w:t>
      </w:r>
    </w:p>
    <w:p>
      <w:pPr>
        <w:spacing w:after="0" w:line="17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Under the terms of the Investment Advisory Agreement, we pay the Adviser a base management fee, or the “Management Fee,” and may also pay certain incentive fees, or “Incentive Fees”.</w:t>
      </w:r>
    </w:p>
    <w:p>
      <w:pPr>
        <w:spacing w:after="0" w:line="170"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60"/>
          </w:cols>
          <w:pgMar w:left="240" w:top="459" w:right="4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For the year ended December 31, 2018, Management Fees were $28.6 million, of which less than $0.1 million were waived.</w:t>
      </w:r>
    </w:p>
    <w:p>
      <w:pPr>
        <w:spacing w:after="0" w:line="225"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Adviser voluntarily waived the Management Fee on our ownership of shares of common stock in Triangle Capital Corp. (the “TCAP Shares”) for any period in which Triangle Capital Corp. remained our portfolio company. As of June 30, 2018 we had fully exited our position in the TCAP Shares.</w:t>
      </w:r>
    </w:p>
    <w:p>
      <w:pPr>
        <w:spacing w:after="0" w:line="18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Adviser also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As of December 31, 2018, no Management Fees have been waived pursuant to the Leverage Waiver.</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Incentive Fee consists of two parts, as follows:</w:t>
      </w:r>
    </w:p>
    <w:p>
      <w:pPr>
        <w:spacing w:after="0" w:line="131" w:lineRule="exact"/>
        <w:rPr>
          <w:sz w:val="20"/>
          <w:szCs w:val="20"/>
          <w:color w:val="auto"/>
        </w:rPr>
      </w:pPr>
    </w:p>
    <w:p>
      <w:pPr>
        <w:ind w:left="1060" w:right="100" w:hanging="424"/>
        <w:spacing w:after="0" w:line="288"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w:t>
      </w:r>
    </w:p>
    <w:p>
      <w:pPr>
        <w:ind w:left="1060" w:right="160"/>
        <w:spacing w:after="0" w:line="253" w:lineRule="auto"/>
        <w:rPr>
          <w:rFonts w:ascii="Arial" w:cs="Arial" w:eastAsia="Arial" w:hAnsi="Arial"/>
          <w:sz w:val="16"/>
          <w:szCs w:val="16"/>
          <w:color w:val="auto"/>
        </w:rPr>
      </w:pPr>
      <w:r>
        <w:rPr>
          <w:rFonts w:ascii="Arial" w:cs="Arial" w:eastAsia="Arial" w:hAnsi="Arial"/>
          <w:sz w:val="18"/>
          <w:szCs w:val="18"/>
          <w:color w:val="auto"/>
        </w:rPr>
        <w:t>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 (7.28% annualized), which is the rate at which catch-up is achieved. Once the “hurdle rate” is reached and catch-up is achieved, 17.5% of any pre-Incentive Fee net investment income in excess of 1.82% in any quarter is payable to the Adviser.</w:t>
      </w:r>
    </w:p>
    <w:p>
      <w:pPr>
        <w:spacing w:after="0" w:line="83" w:lineRule="exact"/>
        <w:rPr>
          <w:rFonts w:ascii="Arial" w:cs="Arial" w:eastAsia="Arial" w:hAnsi="Arial"/>
          <w:sz w:val="16"/>
          <w:szCs w:val="16"/>
          <w:color w:val="auto"/>
        </w:rPr>
      </w:pPr>
    </w:p>
    <w:p>
      <w:pPr>
        <w:ind w:left="1080"/>
        <w:spacing w:after="0" w:line="293" w:lineRule="auto"/>
        <w:rPr>
          <w:rFonts w:ascii="Arial" w:cs="Arial" w:eastAsia="Arial" w:hAnsi="Arial"/>
          <w:sz w:val="16"/>
          <w:szCs w:val="16"/>
          <w:color w:val="auto"/>
        </w:rPr>
      </w:pPr>
      <w:r>
        <w:rPr>
          <w:rFonts w:ascii="Arial" w:cs="Arial" w:eastAsia="Arial" w:hAnsi="Arial"/>
          <w:sz w:val="16"/>
          <w:szCs w:val="16"/>
          <w:color w:val="auto"/>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 or loss.</w:t>
      </w:r>
    </w:p>
    <w:p>
      <w:pPr>
        <w:spacing w:after="0" w:line="70" w:lineRule="exact"/>
        <w:rPr>
          <w:rFonts w:ascii="Arial" w:cs="Arial" w:eastAsia="Arial" w:hAnsi="Arial"/>
          <w:sz w:val="16"/>
          <w:szCs w:val="16"/>
          <w:color w:val="auto"/>
        </w:rPr>
      </w:pPr>
    </w:p>
    <w:p>
      <w:pPr>
        <w:ind w:left="1060" w:right="20" w:hanging="424"/>
        <w:spacing w:after="0" w:line="289" w:lineRule="auto"/>
        <w:tabs>
          <w:tab w:leader="none" w:pos="10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Incentive Fee with respect to unrealized capital gains because a capital gains Incentive Fee would be owed to the Adviser if we were to sell the relevant investment and realize a capital gain. The weighted percentage is intended to ensure that for each fiscal year following the completion of the IPO, the portion of our realized capital gains that accrued prior to March 31, 2014, is subject to an Incentive Fee rate of 15% and the portion of our realized capital gains that accrued beginning April 1, 2014 is subject to an Incentive Fee rate of 17.5%.</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47" w:lineRule="exact"/>
        <w:rPr>
          <w:sz w:val="20"/>
          <w:szCs w:val="20"/>
          <w:color w:val="auto"/>
        </w:rPr>
      </w:pPr>
    </w:p>
    <w:p>
      <w:pPr>
        <w:ind w:left="200" w:right="200" w:firstLine="441"/>
        <w:spacing w:after="0" w:line="290" w:lineRule="auto"/>
        <w:rPr>
          <w:sz w:val="20"/>
          <w:szCs w:val="20"/>
          <w:color w:val="auto"/>
        </w:rPr>
      </w:pPr>
      <w:r>
        <w:rPr>
          <w:rFonts w:ascii="Arial" w:cs="Arial" w:eastAsia="Arial" w:hAnsi="Arial"/>
          <w:sz w:val="16"/>
          <w:szCs w:val="16"/>
          <w:color w:val="auto"/>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66"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Section 205(b)(3) of the Advisers Act, as amended, prohibits the Adviser from receiving the payment of fees on unrealized gains until those gains are realized, if ever. There can be no assurance that such unrealized gains will be realized in the future. For the year ended December 31, 2018, Incentive Fees (gross of waivers) were $30.5 million, all of which was realized and payable to the Adviser. For the year ended December 31, 2018, no Incentive Fees were accrued related to capital gains.</w:t>
      </w:r>
    </w:p>
    <w:p>
      <w:pPr>
        <w:spacing w:after="0" w:line="18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For the year ended December 31, 2018, the Adviser voluntarily waived the Incentive Fees attributable to pre-Incentive Fee net investment income accrued by the Company as a result of our ownership of the TCAP Shares. The Adviser did not waive any part of the Capital Gains Fee attributable to our ownership of the TCAP Shares and, accordingly, any realized capital gains or losses and unrealized capital losses with respect to the TCAP Shares were applied against our cumulative realized capital gains on which the Capital Gains Fee is calculated.</w:t>
      </w:r>
    </w:p>
    <w:p>
      <w:pPr>
        <w:spacing w:after="0" w:line="17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For the year ended December 31, 2018, Incentive Fees of less than $0.1 million were waived consisting solely of Incentive Fees attributable to our ownership of the TCAP Shares. Any waived Incentive Fees are not subject to recoupment by the Adviser.</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For the year ended December 31, 2018 and beyond, with the exception of its waiver of Management Fees and certain Incentive Fees attributable to our ownership of certain securities, including the TCAP Shares, and the Leverage Waiver, the Adviser has not waived its right to receive any Management Fees or Incentive Fees payable pursuant to the Investment Advisory Agreement.</w:t>
      </w:r>
    </w:p>
    <w:p>
      <w:pPr>
        <w:spacing w:after="0" w:line="18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 November 2018, the Board renewed the Investment Advisory Agreement. Unless earlier terminated as described below, the Investment Advisory Agreement will remain in effect until November 2019,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8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Board monitors the mix and performance of our investments over time and seeks to satisfy itself that the Adviser is acting in our interests and that our fee structure appropriately incentivizes the Adviser to do so.</w:t>
      </w:r>
    </w:p>
    <w:p>
      <w:pPr>
        <w:spacing w:after="0" w:line="170"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On March 15, 2011, we entered into the Administration Agreement with our Adviser. The Administration Agreement was subsequently amended on February 22, 2017 to make certain clarifications to the agreement to provide greater detail regarding the scope of the reimbursable costs and expenses of the Administrator’s services. Under the terms of the Administration Agreement, the Adviser provides administrative services to us. These services include providing office space, equipment and office services, maintaining financial records, preparing</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Arial" w:cs="Arial" w:eastAsia="Arial" w:hAnsi="Arial"/>
          <w:sz w:val="16"/>
          <w:szCs w:val="16"/>
          <w:i w:val="1"/>
          <w:iCs w:val="1"/>
          <w:color w:val="auto"/>
        </w:rPr>
        <w:t>Payment of Our Expenses</w:t>
      </w:r>
      <w:r>
        <w:rPr>
          <w:rFonts w:ascii="Arial" w:cs="Arial" w:eastAsia="Arial" w:hAnsi="Arial"/>
          <w:sz w:val="16"/>
          <w:szCs w:val="16"/>
          <w:color w:val="auto"/>
        </w:rPr>
        <w:t>” below. In addition, the Adviser is permitted to delegate its duties under the Administration Agreement to affiliates or third parties and we pay or reimburse the Adviser expenses incurred by any such affiliates or third parties for work done on our behalf. For the year ended December 31, 2018, we incurred expenses of $3.4 million for administrative services payable under the terms of the Administration Agreement.</w:t>
      </w:r>
    </w:p>
    <w:p>
      <w:pPr>
        <w:spacing w:after="0" w:line="15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pacing w:after="0" w:line="181"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In November 2018, the Board renewed the Administration Agreement. Unless earlier terminated as described below, the Administration Agreement will remain in effect until November 2019, and may be extended subject to required approvals. The Administration Agreement may be terminated by either party without penalty on 60 days’ written notice to the other party.</w:t>
      </w:r>
    </w:p>
    <w:p>
      <w:pPr>
        <w:spacing w:after="0" w:line="18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No person who is an officer, director or employee of the Adviser or its affiliates and who serves as our director receives any compensation from us for his or her services as a director. However, we reimburse the Adviser or its affiliates for an allocable portion of the compensation paid by the Adviser or its affiliates to our Chief Compliance Officer, Chief Financial Officer, and other professionals who provide operational and administrative services to us pursuant to the Administration Agreement (based on the percentage of time those individuals devote, on an estimated basis, to our business and affairs). Directors who are not affiliated with the Adviser receive compensation for their services and reimbursement of expenses incurred to attend meetings.</w:t>
      </w:r>
    </w:p>
    <w:p>
      <w:pPr>
        <w:spacing w:after="0" w:line="193"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6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also have a license agreement with an affiliate of TPG, pursuant to which we have been granted a non-exclusive license to use the TPG name and logo, for a nominal fee, for so long as the Adviser or one of its affiliates remains our investment adviser. Other than with respect to this limited license, we have no legal right to the TPG name or logo.</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Payment of Our Expenses</w:t>
      </w:r>
    </w:p>
    <w:p>
      <w:pPr>
        <w:spacing w:after="0" w:line="11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87" w:lineRule="exact"/>
        <w:rPr>
          <w:sz w:val="20"/>
          <w:szCs w:val="20"/>
          <w:color w:val="auto"/>
        </w:rPr>
      </w:pPr>
    </w:p>
    <w:p>
      <w:pPr>
        <w:ind w:left="1060" w:hanging="316"/>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calculating individual asset values and our net asset value (including the cost and expenses of any independent valuation firms);</w:t>
      </w:r>
    </w:p>
    <w:p>
      <w:pPr>
        <w:spacing w:after="0" w:line="142" w:lineRule="exact"/>
        <w:rPr>
          <w:rFonts w:ascii="Arial" w:cs="Arial" w:eastAsia="Arial" w:hAnsi="Arial"/>
          <w:sz w:val="17"/>
          <w:szCs w:val="17"/>
          <w:color w:val="auto"/>
        </w:rPr>
      </w:pPr>
    </w:p>
    <w:p>
      <w:pPr>
        <w:ind w:left="106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any public offerings of our common stock and other securities, including registration and listing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Management Fee and any Incentive Fee;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costs and expenses relating to distributions paid on our shares;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administration fees payable under our Administration Agreement;</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debt service and other costs of borrowings or other financing arrangements;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Adviser’s allocable share of costs incurred in providing significant managerial assistance to those portfolio companies that request it;</w:t>
      </w:r>
    </w:p>
    <w:p>
      <w:pPr>
        <w:spacing w:after="0" w:line="153" w:lineRule="exact"/>
        <w:rPr>
          <w:rFonts w:ascii="Arial" w:cs="Arial" w:eastAsia="Arial" w:hAnsi="Arial"/>
          <w:sz w:val="16"/>
          <w:szCs w:val="16"/>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amounts payable to third parties relating to, or associated with, making or holding investments;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hedging;</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commissions and other compensation payable to brokers or dealers;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taxes;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Independent Director fees and expenses;</w:t>
      </w:r>
    </w:p>
    <w:p>
      <w:pPr>
        <w:spacing w:after="0" w:line="130" w:lineRule="exact"/>
        <w:rPr>
          <w:rFonts w:ascii="Arial" w:cs="Arial" w:eastAsia="Arial" w:hAnsi="Arial"/>
          <w:sz w:val="18"/>
          <w:szCs w:val="18"/>
          <w:color w:val="auto"/>
        </w:rPr>
      </w:pPr>
    </w:p>
    <w:p>
      <w:pPr>
        <w:ind w:left="1060" w:hanging="316"/>
        <w:spacing w:after="0" w:line="25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93" w:lineRule="exact"/>
        <w:rPr>
          <w:rFonts w:ascii="Arial" w:cs="Arial" w:eastAsia="Arial" w:hAnsi="Arial"/>
          <w:sz w:val="18"/>
          <w:szCs w:val="18"/>
          <w:color w:val="auto"/>
        </w:rPr>
      </w:pPr>
    </w:p>
    <w:p>
      <w:pPr>
        <w:ind w:left="1060" w:right="240" w:hanging="316"/>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86"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fidelity bond;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directors and officers/errors and omissions liability insurance, and any other insurance premiums;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indemnification payments;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audit, accounting, consulting and legal costs;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other expenses reasonably incurred by us in connection with making investments and administering our business.</w:t>
      </w:r>
    </w:p>
    <w:p>
      <w:pPr>
        <w:spacing w:after="0" w:line="225"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In addition, from time to time, the Adviser pays amounts owed by us to third-party providers of goods or services, including the Board. We subsequently reimburse the Adviser for those amounts paid on our behalf.</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240" w:top="459"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Amounts payable to the Adviser are settled in the normal course of business without formal payment terms. We also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Compliance Officer, Chief Financial Officer, and other professionals who spend time on those related activities,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such individuals devote, on an estimated basis, to our business and affairs and in acting on behalf of the Company. We may also reimburse the Adviser or its affiliates for the allocable portion of overhead expenses (including rent, office equipment and utilities) attributable thereto.</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Duration and Termination</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Unless earlier terminated as described below, both the Investment Advisory Agreement and the Administration Agreement will remain in effect until November 2019, and each may be extended subject to required approvals. Each agreement will remain in effect from year to year thereafter if approved annually by our Board or by the affirmative vote of the holders of a majority of our outstanding voting securities, and, in either case, if also approved by a majority of our Independent Directors. The Investment Advisory Agreement automatically terminates in the event of its assignment, as defined in the 1940 Act, by the Adviser. Each agreement may be terminated by either party without penalty on 60 days’ written notice to the other party. The holders of a majority of our outstanding voting securities may also terminate each agreement without penalty on 60 days’ written notice.</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Indemnification</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Board Approval of the Investment Advisory Agreement</w:t>
      </w:r>
    </w:p>
    <w:p>
      <w:pPr>
        <w:spacing w:after="0" w:line="117" w:lineRule="exact"/>
        <w:rPr>
          <w:sz w:val="20"/>
          <w:szCs w:val="20"/>
          <w:color w:val="auto"/>
        </w:rPr>
      </w:pPr>
    </w:p>
    <w:p>
      <w:pPr>
        <w:ind w:left="200" w:right="500" w:firstLine="441"/>
        <w:spacing w:after="0" w:line="259" w:lineRule="auto"/>
        <w:rPr>
          <w:sz w:val="20"/>
          <w:szCs w:val="20"/>
          <w:color w:val="auto"/>
        </w:rPr>
      </w:pPr>
      <w:r>
        <w:rPr>
          <w:rFonts w:ascii="Arial" w:cs="Arial" w:eastAsia="Arial" w:hAnsi="Arial"/>
          <w:sz w:val="18"/>
          <w:szCs w:val="18"/>
          <w:color w:val="auto"/>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2018. A discussion regarding the basis for our Board’s approval and renewal of the Investment Advisory Agreement is available in our Annual Report on Form 10-K for the fiscal year ended December 31, 2018.</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Review, Approval or Ratification of Transactions with Related Persons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Audit Committee is required to review and approve any transactions with related persons (as such term is defined in Item 404 of Regulation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S-K).</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Section 16(a) of the Exchange Act requires our directors and executive officers, as defined under the Exchange Act, and persons who own more than 10% of a registered class of our equity securities to file initial reports of ownership and reports of changes in ownership with the SEC. Such executive officers, directors and stockholders are required by SEC regulations to furnish us with copies of all Section 16(a) forms they file. Based solely upon a review of the copies of such forms furnished to us and written representations from our directors and executive officers, all persons subject to the reporting requirements of Section 16(a) filed all required reports on a timely basis in 2018.</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24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PROPOSAL NO. 2</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RATIFICATION OF SELECTION OF INDEPENDENT REGISTERED PUBLIC ACCOUNTING FIRM</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Audit Committee has selected KPMG LLP to serve as our independent registered public accounting firm to audit our consolidated financial statements for the year ending December 31, 2019. While the Audit Committee is responsible for the appointment, compensation, retention, termination and oversight of the independent auditor, we are requesting, as a matter of good corporate governance, that the stockholders ratify the appointment of KPMG LLP as the Company’s independent registered public accounting firm. If the stockholders fail to ratify the selection, the Audit Committee will reconsider whether to retain KPMG LLP and may retain that firm or another without re-submitting the matter to our stockholders. Even if the appointment is ratified, the Audit Committee may, in its discretion, direct the appointment of a different independent registered public accounting firm at any time during the year.</w:t>
      </w:r>
    </w:p>
    <w:p>
      <w:pPr>
        <w:spacing w:after="0" w:line="18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KPMG LLP’s representatives are expected to be available telephonically for the Meeting and will have an opportunity to make a statement, if they so desire, as well as to respond to appropriate questions asked by our stockholders.</w:t>
      </w:r>
    </w:p>
    <w:p>
      <w:pPr>
        <w:spacing w:after="0" w:line="166" w:lineRule="exact"/>
        <w:rPr>
          <w:sz w:val="20"/>
          <w:szCs w:val="20"/>
          <w:color w:val="auto"/>
        </w:rPr>
      </w:pPr>
    </w:p>
    <w:p>
      <w:pPr>
        <w:ind w:left="200" w:right="20"/>
        <w:spacing w:after="0" w:line="282" w:lineRule="auto"/>
        <w:rPr>
          <w:sz w:val="20"/>
          <w:szCs w:val="20"/>
          <w:color w:val="auto"/>
        </w:rPr>
      </w:pPr>
      <w:r>
        <w:rPr>
          <w:rFonts w:ascii="Arial" w:cs="Arial" w:eastAsia="Arial" w:hAnsi="Arial"/>
          <w:sz w:val="18"/>
          <w:szCs w:val="18"/>
          <w:b w:val="1"/>
          <w:bCs w:val="1"/>
          <w:color w:val="auto"/>
        </w:rPr>
        <w:t>The Board recommends that our stockholders vote “FOR” ratification of the selection of KPMG LLP as the Company’s independent registered public accounting firm for the fiscal year ending December 31, 2019.</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Paid to KPMG LLP</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 Fees</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the year ended December 31, 2018, the aggregate fees billed by KPMG LLP for the audit of our consolidated financial statements, review of our interim financial statements and other professional services related to SEC registration statements were $777,000. In addition, we reimbursed KPMG LLP $31,350 for out-of-pocket expenses incurred in the performance of audit services.</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For the year ended December 31, 2017, the aggregate fees billed by KPMG LLP for the audit of our consolidated financial statements, review of our interim financial statements and other professional services related to SEC registration statements were $762,000. In addition, we reimbursed KPMG LLP $17,579 for out-of-pocket expenses incurred in the performance of audit services.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Audit-Related Fees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For the year ended December 31, 2018, the aggregate fees billed by KPMG LLP for audit-related services, which consist of assurance and related services that are reasonably related to the performance of the audit or review of our consolidated financial statements, but which are not reportable as Audit Fees, were $233,404.</w:t>
      </w:r>
    </w:p>
    <w:p>
      <w:pPr>
        <w:spacing w:after="0" w:line="18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For the year ended December 31, 2017, the aggregate fees billed by KPMG LLP for audit-related services, which consist of assurance and related services that are reasonably related to the performance of the audit or review of our consolidated financial statements, but which are not reportable as Audit Fees, were $113,000.</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Audit-related services are assurance and related services that are reasonably related to the performance of the audit or review of our financial statements and that are traditionally performed by the independent auditor.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Fees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the year ended December 31, 2018, the aggregate fees billed by KPMG LLP for tax compliance, tax advice and tax planning services were $190,000.</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For the year ended December 31, 2017, the aggregate fees billed by KPMG LLP for tax compliance, tax advice and tax planning services were $155,000.</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Tax services include tax compliance, tax planning and tax advice.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All Other Fees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For the year ended December 31, 2018, there were no fees billed for services rendered by KPMG LLP not reportable as Audit Fees, Audit-Related Fees or Tax Fees.</w:t>
      </w:r>
    </w:p>
    <w:p>
      <w:pPr>
        <w:spacing w:after="0" w:line="170"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For the year ended December 31, 2017, the fees billed for services rendered by KPMG LLP not reportable as Audit Fees, Audit-Related Fees or Tax Fees were $260,000. We paid these fees in connection with due diligence on a prospective portfolio company investment. These fees were reimbursed to us by the portfolio company.</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services provided by KPMG LLP described in “Audit-Related Fees,” “Tax Fees” and “All Other Fees” above, were approved by the Audit Committee according to applicable SEC rules. The Audit Committee has determined the rendering of the above-mentioned non-audit services by KPMG LLP was compatible with maintaining our independent registered public accounting firm’s independence.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Auditor Independence</w:t>
      </w:r>
    </w:p>
    <w:p>
      <w:pPr>
        <w:spacing w:after="0" w:line="121"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Audit Committee has considered whether the provision of the above-noted services is compatible with maintaining the independence of the independent registered public accounting firm and has determined that the provision of such services has not adversely affected KPMG LLP’s independence.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Audit Committee of our Board operates under a written charter adopted by the Board. The Audit Committee is currently composed of Messrs.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Ross, Doddy, Higginbotham and Tanemura.</w:t>
      </w:r>
    </w:p>
    <w:p>
      <w:pPr>
        <w:spacing w:after="0" w:line="21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Management is responsible for the Company’s internal controls and the financial reporting process. The Company’s independent registered public accounting firm is responsible for performing an independent audit of the Company’s financial statements in accordance with the standards of the Public Company Accounting Oversight Board (US) and expressing an opinion on the conformity of those audited financial statements in accordance with accounting principles generally accepted in the United States and for auditing and reporting on the effectiveness of the Company’s internal control over financial reporting. The Audit Committee’s responsibility is to monitor and oversee these processes. The Audit Committee is also directly responsible for the appointment, compensation and oversight of the Company’s independent registered public accounting firm.</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Pre-Approval Policy</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Audit Committee has established a pre-approval policy that describes the permitted audit, audit-related, tax and other services to be provided by KPMG LLP, the Company’s independent registered public accounting firm. The policy requires that the Audit Committee pre-approve the audit and non-audit services performed by the independent auditor in order to assure that the provision of such service does not impair the auditor’s independence.</w:t>
      </w:r>
    </w:p>
    <w:p>
      <w:pPr>
        <w:spacing w:after="0" w:line="147" w:lineRule="exact"/>
        <w:rPr>
          <w:sz w:val="20"/>
          <w:szCs w:val="20"/>
          <w:color w:val="auto"/>
        </w:rPr>
      </w:pPr>
    </w:p>
    <w:p>
      <w:pPr>
        <w:jc w:val="both"/>
        <w:ind w:left="200" w:right="20" w:firstLine="441"/>
        <w:spacing w:after="0" w:line="259"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for specific pre-approval, irrespective of the amount, and cannot commence until such approval has been granted. Normally, pre-approval is provided at regularly scheduled meetings of the Audit Committee. The Audit Committee does not delegate its responsibilities to pre-approve services performed by the independent registered public accounting firm to management.</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Review with Management</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Audit Committee has reviewed the audited financial statements, along with management’s assessment of the effectiveness of the Company’s internal control over financial reporting, and met and held discussions with management regarding the audited financial statements and its assessment of the effectiveness of the Company’s internal control over financial reporting. Management has represented to the Audit Committee that the Company’s financial statements were prepared in accordance with accounting principles generally accepted in the United States.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 is adequate and that the Company employs appropriate accounting and auditing procedures.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Review and Discussion with Independent Registered Public Accounting Firm</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Audit Committee has reviewed and discussed the Company’s audited financial statements, along with management’s assessment of the effectiveness of the Company’s internal control over financial reporting and KPMG LLP’s evaluation of the Company’s internal control over financial reporting, with management and KPMG LLP, the Company’s independent registered public accounting firm, with and without management present. The Audit Committee included in its review the results of KPMG’s examinations, the Company’s internal controls and the quality of the Company’s financial reporting.</w:t>
      </w:r>
    </w:p>
    <w:p>
      <w:pPr>
        <w:spacing w:after="0" w:line="18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The Audit Committee also has discussed with KPMG matters relating to KPMG’s judgments about the quality, as well as the acceptability, of the Company’s accounting principles as applied in its financial reporting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0" w:lineRule="auto"/>
        <w:rPr>
          <w:sz w:val="20"/>
          <w:szCs w:val="20"/>
          <w:color w:val="auto"/>
        </w:rPr>
      </w:pPr>
      <w:r>
        <w:rPr>
          <w:rFonts w:ascii="Arial" w:cs="Arial" w:eastAsia="Arial" w:hAnsi="Arial"/>
          <w:sz w:val="17"/>
          <w:szCs w:val="17"/>
          <w:color w:val="auto"/>
        </w:rPr>
        <w:t xml:space="preserve">as required by Public Company Accounting Oversight Board Auditing Standard No. 16, </w:t>
      </w:r>
      <w:r>
        <w:rPr>
          <w:rFonts w:ascii="Arial" w:cs="Arial" w:eastAsia="Arial" w:hAnsi="Arial"/>
          <w:sz w:val="17"/>
          <w:szCs w:val="17"/>
          <w:i w:val="1"/>
          <w:iCs w:val="1"/>
          <w:color w:val="auto"/>
        </w:rPr>
        <w:t>Communications with Audit Committees</w:t>
      </w:r>
      <w:r>
        <w:rPr>
          <w:rFonts w:ascii="Arial" w:cs="Arial" w:eastAsia="Arial" w:hAnsi="Arial"/>
          <w:sz w:val="17"/>
          <w:szCs w:val="17"/>
          <w:color w:val="auto"/>
        </w:rPr>
        <w:t xml:space="preserve">. In addition, the Audit Committee has discussed with KPMG their independence from management and the Company, as well as the matters in the written disclosures received from KPMG and required by Public Company Accounting Oversight Board Rule 3526, </w:t>
      </w:r>
      <w:r>
        <w:rPr>
          <w:rFonts w:ascii="Arial" w:cs="Arial" w:eastAsia="Arial" w:hAnsi="Arial"/>
          <w:sz w:val="17"/>
          <w:szCs w:val="17"/>
          <w:i w:val="1"/>
          <w:iCs w:val="1"/>
          <w:color w:val="auto"/>
        </w:rPr>
        <w:t>Communication with Audit Committees Concerning</w:t>
      </w:r>
      <w:r>
        <w:rPr>
          <w:rFonts w:ascii="Arial" w:cs="Arial" w:eastAsia="Arial" w:hAnsi="Arial"/>
          <w:sz w:val="17"/>
          <w:szCs w:val="17"/>
          <w:color w:val="auto"/>
        </w:rPr>
        <w:t xml:space="preserve"> </w:t>
      </w:r>
      <w:r>
        <w:rPr>
          <w:rFonts w:ascii="Arial" w:cs="Arial" w:eastAsia="Arial" w:hAnsi="Arial"/>
          <w:sz w:val="17"/>
          <w:szCs w:val="17"/>
          <w:i w:val="1"/>
          <w:iCs w:val="1"/>
          <w:color w:val="auto"/>
        </w:rPr>
        <w:t>Independence</w:t>
      </w:r>
      <w:r>
        <w:rPr>
          <w:rFonts w:ascii="Arial" w:cs="Arial" w:eastAsia="Arial" w:hAnsi="Arial"/>
          <w:sz w:val="17"/>
          <w:szCs w:val="17"/>
          <w:color w:val="auto"/>
        </w:rPr>
        <w:t>. The Audit Committee received a written communication from KPMG confirming their independence and discussed it with them. The</w:t>
      </w:r>
      <w:r>
        <w:rPr>
          <w:rFonts w:ascii="Arial" w:cs="Arial" w:eastAsia="Arial" w:hAnsi="Arial"/>
          <w:sz w:val="17"/>
          <w:szCs w:val="17"/>
          <w:i w:val="1"/>
          <w:iCs w:val="1"/>
          <w:color w:val="auto"/>
        </w:rPr>
        <w:t xml:space="preserve"> </w:t>
      </w:r>
      <w:r>
        <w:rPr>
          <w:rFonts w:ascii="Arial" w:cs="Arial" w:eastAsia="Arial" w:hAnsi="Arial"/>
          <w:sz w:val="17"/>
          <w:szCs w:val="17"/>
          <w:color w:val="auto"/>
        </w:rPr>
        <w:t>Audit Committee discussed and reviewed with KPMG the Company’s critical accounting policies and practices, other material written communications to management, and the scope of KPMG’s audits and all fees paid to KPMG during the fiscal year. The Audit Committee has adopted guidelines requiring review and pre-approval by the Audit Committee of audit and non-audit services performed by KPMG for the Company. The Audit Committee has reviewed and considered the compatibility of KPMG’s performance of non-audit services with the maintenance of KPMG’s independence as the Company’s independent registered public accounting firm.</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Conclusion</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Based on the Audit Committee’s discussion with management and the independent registered public accounting firm, the Audit Committee’s review of the audited financial statements, the representations of management and the report of the independent registered public accounting firm to the Audit Committee, the Audit Committee recommended that the Board include the audited financial statements in the Company’s Annual Report on Form 10-K for the year ended December 31, 2018 for filing with the Securities and Exchange Commission. The Audit Committee also recommended the selection of KPMG LLP to serve as the independent registered public accounting firm for the year ending December 31, 2019.</w:t>
      </w:r>
    </w:p>
    <w:p>
      <w:pPr>
        <w:spacing w:after="0" w:line="277" w:lineRule="exact"/>
        <w:rPr>
          <w:sz w:val="20"/>
          <w:szCs w:val="20"/>
          <w:color w:val="auto"/>
        </w:rPr>
      </w:pPr>
    </w:p>
    <w:p>
      <w:pPr>
        <w:ind w:left="6720"/>
        <w:spacing w:after="0"/>
        <w:rPr>
          <w:sz w:val="20"/>
          <w:szCs w:val="20"/>
          <w:color w:val="auto"/>
        </w:rPr>
      </w:pPr>
      <w:r>
        <w:rPr>
          <w:rFonts w:ascii="Arial" w:cs="Arial" w:eastAsia="Arial" w:hAnsi="Arial"/>
          <w:sz w:val="18"/>
          <w:szCs w:val="18"/>
          <w:b w:val="1"/>
          <w:bCs w:val="1"/>
          <w:color w:val="auto"/>
        </w:rPr>
        <w:t>Respectfully Submitted,</w:t>
      </w:r>
    </w:p>
    <w:p>
      <w:pPr>
        <w:spacing w:after="0" w:line="229" w:lineRule="exact"/>
        <w:rPr>
          <w:sz w:val="20"/>
          <w:szCs w:val="20"/>
          <w:color w:val="auto"/>
        </w:rPr>
      </w:pPr>
    </w:p>
    <w:p>
      <w:pPr>
        <w:ind w:left="672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John Ross, Chairman</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Hurley Doddy</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Richard Higginbotham</w:t>
      </w:r>
    </w:p>
    <w:p>
      <w:pPr>
        <w:spacing w:after="0" w:line="9" w:lineRule="exact"/>
        <w:rPr>
          <w:sz w:val="20"/>
          <w:szCs w:val="20"/>
          <w:color w:val="auto"/>
        </w:rPr>
      </w:pPr>
    </w:p>
    <w:p>
      <w:pPr>
        <w:ind w:left="6720"/>
        <w:spacing w:after="0"/>
        <w:rPr>
          <w:sz w:val="20"/>
          <w:szCs w:val="20"/>
          <w:color w:val="auto"/>
        </w:rPr>
      </w:pPr>
      <w:r>
        <w:rPr>
          <w:rFonts w:ascii="Arial" w:cs="Arial" w:eastAsia="Arial" w:hAnsi="Arial"/>
          <w:sz w:val="18"/>
          <w:szCs w:val="18"/>
          <w:i w:val="1"/>
          <w:iCs w:val="1"/>
          <w:color w:val="auto"/>
        </w:rPr>
        <w:t>Ronald Tanemura</w:t>
      </w:r>
    </w:p>
    <w:p>
      <w:pPr>
        <w:spacing w:after="0" w:line="207" w:lineRule="exact"/>
        <w:rPr>
          <w:sz w:val="20"/>
          <w:szCs w:val="20"/>
          <w:color w:val="auto"/>
        </w:rPr>
      </w:pPr>
    </w:p>
    <w:p>
      <w:pPr>
        <w:ind w:left="200" w:right="520"/>
        <w:spacing w:after="0" w:line="347" w:lineRule="auto"/>
        <w:rPr>
          <w:sz w:val="20"/>
          <w:szCs w:val="20"/>
          <w:color w:val="auto"/>
        </w:rPr>
      </w:pPr>
      <w:r>
        <w:rPr>
          <w:rFonts w:ascii="Arial" w:cs="Arial" w:eastAsia="Arial" w:hAnsi="Arial"/>
          <w:sz w:val="16"/>
          <w:szCs w:val="16"/>
          <w:b w:val="1"/>
          <w:bCs w:val="1"/>
          <w:color w:val="auto"/>
        </w:rPr>
        <w:t>Unless marked to the contrary, the shares represented by the enclosed proxy card will be voted “FOR” ratification of the appointment of KPMG LLP as the Company’s independent registered public accounting firm for the fiscal year ending December 31, 2019.</w:t>
      </w:r>
    </w:p>
    <w:p>
      <w:pPr>
        <w:spacing w:after="0" w:line="116" w:lineRule="exact"/>
        <w:rPr>
          <w:sz w:val="20"/>
          <w:szCs w:val="20"/>
          <w:color w:val="auto"/>
        </w:rPr>
      </w:pPr>
    </w:p>
    <w:p>
      <w:pPr>
        <w:ind w:left="200" w:right="100"/>
        <w:spacing w:after="0" w:line="266" w:lineRule="auto"/>
        <w:rPr>
          <w:sz w:val="20"/>
          <w:szCs w:val="20"/>
          <w:color w:val="auto"/>
        </w:rPr>
      </w:pPr>
      <w:r>
        <w:rPr>
          <w:rFonts w:ascii="Arial" w:cs="Arial" w:eastAsia="Arial" w:hAnsi="Arial"/>
          <w:sz w:val="18"/>
          <w:szCs w:val="18"/>
          <w:b w:val="1"/>
          <w:bCs w:val="1"/>
          <w:color w:val="auto"/>
        </w:rPr>
        <w:t>The material contained in the foregoing Audit Committee Report is not “soliciting material,” is not deemed “filed” with the SEC, and is not to be incorporated by reference into any filing of the Company under the Exchange Act, whether made before or after the date hereof and irrespective of any general incorporation language in any such filing.</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80"/>
          </w:cols>
          <w:pgMar w:left="240" w:top="459"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BUSINESS</w:t>
      </w:r>
    </w:p>
    <w:p>
      <w:pPr>
        <w:spacing w:after="0" w:line="121"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The Board is not aware of any other matter to be submitted at the Meeting. If any other matter properly comes before the Meeting, the persons named in this proxy generally will have discretionary authority to vote the shares thereby represented in accordance with their judgment.</w:t>
      </w: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STOCK REPURCHASE PLAN</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In accordance with Section 23(c)(1) under the 1940 Act, the Company hereby advises you that it may repurchase shares of its common stock from time to time.</w:t>
      </w:r>
    </w:p>
    <w:p>
      <w:pPr>
        <w:spacing w:after="0" w:line="17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in place a stock repurchase plan to acquire up to $50 million in the aggregate of our common stock at prices below our net asset value per share over a specified period, in accordance with the guidelines specified in Rule 10b-18 and Rule 10b5-1 of the Exchange Act (the “Company 10b5-1 Plan”). We put the Company 10b5-1 Plan in place because we believe that, in the current market conditions, if our common stock is trading below our then-current net asset value per share, it is in the best interest of our stockholders for us to reinvest in our portfolio and increase our leverage ratio through share repurchases.</w:t>
      </w:r>
    </w:p>
    <w:p>
      <w:pPr>
        <w:spacing w:after="0" w:line="18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Company 10b5-1 Plan is designed to allow us to repurchase our common stock at times when we otherwise might be prevented from doing so under insider trading laws. The Company 10b5-1 Plan requires Goldman Sachs &amp; Co. LLC as our agent, to repurchase shares of common stock on our behalf when the market price per share is below the most recently reported net asset value per share (including any updates, corrections or adjustments publicly announced by us to any previously announced net asset value per share). Under the Company 10b5-1 Plan, the agent will increase the volume of purchases made as the price of our common stock declines, subject to volume restrictions. The timing and amount of any stock repurchases will depend on the terms and conditions of the Company 10b5-1 Plan, the market price of our common stock and trading volumes, and no assurance can be given that any particular amount of common stock will be repurchased.</w:t>
      </w:r>
    </w:p>
    <w:p>
      <w:pPr>
        <w:spacing w:after="0" w:line="17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Unless extended or terminated by the Board, the Company 10b5-1 Plan will be in effect through the earlier of August 31, 2019 or such time as the current approved repurchase amount of up to $50 million has been fully utilized, subject to certain conditions.</w:t>
      </w:r>
    </w:p>
    <w:p>
      <w:pPr>
        <w:spacing w:after="0" w:line="383"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STOCKHOLDER PROPOSALS AND NOMINATIONS FOR THE 2020 ANNUAL MEETING OF STOCKHOLDERS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Inclusion of Proposals in Our Proxy Statement and Proxy Card Under the SEC’s Rules</w:t>
      </w:r>
    </w:p>
    <w:p>
      <w:pPr>
        <w:spacing w:after="0" w:line="121"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Any proposal of a stockholder intended to be included in our proxy statement and form of proxy/voting instruction card for the 2020 annual meeting of stockholders pursuant to Rule 14a-8 of the SEC’s rules must be received by us at our principal executive offices no later than December 7, 2019.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Ken Burke, TPG Specialty Lending, Inc., 301 Commerce Street, Suite 3300, Fort Worth, TX 76102.</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Bylaw Requirements for Stockholder Submission of Nominations and Proposals</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A stockholder recommendation for nomination of a person for election to our board or a proposal for consideration at our 2020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6" w:lineRule="auto"/>
        <w:rPr>
          <w:sz w:val="20"/>
          <w:szCs w:val="20"/>
          <w:color w:val="auto"/>
        </w:rPr>
      </w:pPr>
      <w:r>
        <w:rPr>
          <w:rFonts w:ascii="Arial" w:cs="Arial" w:eastAsia="Arial" w:hAnsi="Arial"/>
          <w:sz w:val="17"/>
          <w:szCs w:val="17"/>
          <w:color w:val="auto"/>
        </w:rPr>
        <w:t>Our Bylaws require that the proposal or recommendation for nomination must be received by our Secretary at our principal executive offices at the above address no later than February 16, 2020, unless the date of our 2020 annual meeting is more than 30 days before or more than 60 days after May 16, 2020, the anniversary of our 2019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w:t>
      </w:r>
    </w:p>
    <w:p>
      <w:pPr>
        <w:spacing w:after="0" w:line="38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ANNUAL REPORT</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 copy of our Annual Report on Form 10-K for the fiscal year ended December 31, 2018, which includes financial statements, is being furnished with this proxy statement.</w:t>
      </w:r>
    </w:p>
    <w:p>
      <w:pPr>
        <w:spacing w:after="0" w:line="3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HOUSEHOLDING OF PROXY MATERIALS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TPG Specialty Lending, Inc., 888 7th Avenue, 35th Floor, New York, NY 10106, Attention: TSLX Investor Relations, by email at IRTSL@tpg.com or by phone at 212-601-4753.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w:t>
      </w:r>
    </w:p>
    <w:p>
      <w:pPr>
        <w:spacing w:after="0" w:line="174" w:lineRule="exact"/>
        <w:rPr>
          <w:sz w:val="20"/>
          <w:szCs w:val="20"/>
          <w:color w:val="auto"/>
        </w:rPr>
      </w:pPr>
    </w:p>
    <w:p>
      <w:pPr>
        <w:ind w:left="200" w:right="80" w:firstLine="441"/>
        <w:spacing w:after="0" w:line="266" w:lineRule="auto"/>
        <w:rPr>
          <w:sz w:val="20"/>
          <w:szCs w:val="20"/>
          <w:color w:val="auto"/>
        </w:rPr>
      </w:pPr>
      <w:r>
        <w:rPr>
          <w:rFonts w:ascii="Arial" w:cs="Arial" w:eastAsia="Arial" w:hAnsi="Arial"/>
          <w:sz w:val="18"/>
          <w:szCs w:val="18"/>
          <w:b w:val="1"/>
          <w:bCs w:val="1"/>
          <w:color w:val="auto"/>
        </w:rPr>
        <w:t>WHETHER OR NOT YOU PLAN TO ATTEND THE MEETING, WE URGE YOU TO VOTE OVER THE INTERNET, BY PHONE, OR BY MARKING, SIGNING AND RETURNING YOUR PROXY OR VOTING INSTRUCTION CARD AS SOON AS POSSIBLE. NO POSTAGE IS NECESSARY IF MAILED IN THE UNITED STATES.</w:t>
      </w:r>
    </w:p>
    <w:p>
      <w:pPr>
        <w:spacing w:after="0" w:line="207"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Ken Burke</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Ken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4344670</wp:posOffset>
            </wp:positionH>
            <wp:positionV relativeFrom="paragraph">
              <wp:posOffset>-130810</wp:posOffset>
            </wp:positionV>
            <wp:extent cx="27870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7"/>
          <w:szCs w:val="17"/>
          <w:i w:val="1"/>
          <w:iCs w:val="1"/>
          <w:color w:val="auto"/>
        </w:rPr>
        <w:t>Chief Compliance Officer, Vice President and Secretary</w:t>
      </w:r>
    </w:p>
    <w:p>
      <w:pPr>
        <w:spacing w:after="0" w:line="15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240" w:top="459" w:right="5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PRIVACY PRINCIPLES</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w:t>
      </w:r>
    </w:p>
    <w:p>
      <w:pPr>
        <w:spacing w:after="0" w:line="18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w:t>
      </w:r>
    </w:p>
    <w:p>
      <w:pPr>
        <w:spacing w:after="0" w:line="17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w:t>
      </w:r>
    </w:p>
    <w:p>
      <w:pPr>
        <w:spacing w:after="0" w:line="200" w:lineRule="exact"/>
        <w:rPr>
          <w:sz w:val="20"/>
          <w:szCs w:val="20"/>
          <w:color w:val="auto"/>
        </w:rPr>
      </w:pPr>
    </w:p>
    <w:p>
      <w:pPr>
        <w:spacing w:after="0" w:line="29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TPG SPECIALTY LENDING</w:t>
      </w:r>
    </w:p>
    <w:p>
      <w:pPr>
        <w:spacing w:after="0" w:line="117" w:lineRule="exact"/>
        <w:rPr>
          <w:sz w:val="20"/>
          <w:szCs w:val="20"/>
          <w:color w:val="auto"/>
        </w:rPr>
      </w:pPr>
    </w:p>
    <w:p>
      <w:pPr>
        <w:ind w:left="200" w:right="4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Notice and Proxy Statement and Annual Report on</w:t>
      </w:r>
      <w:r>
        <w:rPr>
          <w:rFonts w:ascii="Arial" w:cs="Arial" w:eastAsia="Arial" w:hAnsi="Arial"/>
          <w:sz w:val="18"/>
          <w:szCs w:val="18"/>
          <w:b w:val="1"/>
          <w:bCs w:val="1"/>
          <w:color w:val="auto"/>
        </w:rPr>
        <w:t xml:space="preserve"> </w:t>
      </w:r>
      <w:r>
        <w:rPr>
          <w:rFonts w:ascii="Arial" w:cs="Arial" w:eastAsia="Arial" w:hAnsi="Arial"/>
          <w:sz w:val="18"/>
          <w:szCs w:val="18"/>
          <w:color w:val="auto"/>
        </w:rPr>
        <w:t>Form 10-K are available at www.proxyvote.com.</w:t>
      </w: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TPG SPECIALTY LENDING, INC.</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Annual Meeting of Stockholders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May 16, 2019 9:00 AM EDT</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121" w:lineRule="exact"/>
        <w:rPr>
          <w:sz w:val="20"/>
          <w:szCs w:val="20"/>
          <w:color w:val="auto"/>
        </w:rPr>
      </w:pPr>
    </w:p>
    <w:p>
      <w:pPr>
        <w:ind w:left="200"/>
        <w:spacing w:after="0" w:line="302" w:lineRule="auto"/>
        <w:rPr>
          <w:sz w:val="20"/>
          <w:szCs w:val="20"/>
          <w:color w:val="auto"/>
        </w:rPr>
      </w:pPr>
      <w:r>
        <w:rPr>
          <w:rFonts w:ascii="Arial" w:cs="Arial" w:eastAsia="Arial" w:hAnsi="Arial"/>
          <w:sz w:val="16"/>
          <w:szCs w:val="16"/>
          <w:color w:val="auto"/>
        </w:rPr>
        <w:t>The stockholders hereby appoint Ian Simmonds and Ken Burke, or either of them, as proxies, each with the power to appoint his substitute, and hereby authorize them to represent and to vote, as designated on the reverse side of this ballot, all of the shares of common stock of TPG SPECIALTY LENDING, INC. that the stockholders are entitled to vote at the Annual Meeting of Stockholders to be held at 9:00 AM EDT on May 16, 2019 at the offices of Cleary Gottlieb Steen &amp; Hamilton LLP, 450 Park Avenue, 28th Floor, New York, NY 10022 and any adjournment or postponement thereof.</w:t>
      </w:r>
    </w:p>
    <w:p>
      <w:pPr>
        <w:spacing w:after="0" w:line="258" w:lineRule="exact"/>
        <w:rPr>
          <w:sz w:val="20"/>
          <w:szCs w:val="20"/>
          <w:color w:val="auto"/>
        </w:rPr>
      </w:pPr>
    </w:p>
    <w:p>
      <w:pPr>
        <w:ind w:left="200" w:right="46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37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Continued and to be signed on reverse side</w:t>
      </w:r>
    </w:p>
    <w:p>
      <w:pPr>
        <w:sectPr>
          <w:pgSz w:w="11900" w:h="16838" w:orient="portrait"/>
          <w:cols w:equalWidth="0" w:num="1">
            <w:col w:w="11080"/>
          </w:cols>
          <w:pgMar w:left="240" w:top="459" w:right="5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INTERNET – www.proxyvote.com</w:t>
      </w:r>
    </w:p>
    <w:p>
      <w:pPr>
        <w:spacing w:after="0" w:line="121"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Use the Internet to transmit your voting instructions and for electronic delivery of information. Vote by 11:59 P.M. ET on 05/15/2019. Have your proxy card in hand when you access the web site and follow the instructions to obtain your records and to create an electronic voting instruction form.</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ELECTRONIC DELIVERY OF FUTURE PROXY MATERIALS</w:t>
      </w:r>
    </w:p>
    <w:p>
      <w:pPr>
        <w:spacing w:after="0" w:line="121" w:lineRule="exact"/>
        <w:rPr>
          <w:sz w:val="20"/>
          <w:szCs w:val="20"/>
          <w:color w:val="auto"/>
        </w:rPr>
      </w:pPr>
    </w:p>
    <w:p>
      <w:pPr>
        <w:ind w:left="200" w:right="260"/>
        <w:spacing w:after="0" w:line="312" w:lineRule="auto"/>
        <w:rPr>
          <w:sz w:val="20"/>
          <w:szCs w:val="20"/>
          <w:color w:val="auto"/>
        </w:rPr>
      </w:pPr>
      <w:r>
        <w:rPr>
          <w:rFonts w:ascii="Arial" w:cs="Arial" w:eastAsia="Arial" w:hAnsi="Arial"/>
          <w:sz w:val="16"/>
          <w:szCs w:val="16"/>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PHONE – 1-800-690-6903</w:t>
      </w:r>
    </w:p>
    <w:p>
      <w:pPr>
        <w:spacing w:after="0" w:line="121"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color w:val="auto"/>
        </w:rPr>
        <w:t>Use any touch-tone telephone to transmit your voting instructions. Vote by 11:59 P.M. ET on 05/15/2019. Have your proxy card in hand when you call and then follow the instructions.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VOTE BY MAIL</w:t>
      </w:r>
    </w:p>
    <w:p>
      <w:pPr>
        <w:spacing w:after="0" w:line="121" w:lineRule="exact"/>
        <w:rPr>
          <w:sz w:val="20"/>
          <w:szCs w:val="20"/>
          <w:color w:val="auto"/>
        </w:rPr>
      </w:pPr>
    </w:p>
    <w:p>
      <w:pPr>
        <w:ind w:left="200" w:right="420"/>
        <w:spacing w:after="0" w:line="277"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Vote Processing, c/o Broadridge, 51 Mercedes Way, Edgewood, NY 11717.</w:t>
      </w:r>
    </w:p>
    <w:p>
      <w:pPr>
        <w:spacing w:after="0" w:line="165" w:lineRule="exact"/>
        <w:rPr>
          <w:sz w:val="20"/>
          <w:szCs w:val="20"/>
          <w:color w:val="auto"/>
        </w:rPr>
      </w:pPr>
    </w:p>
    <w:p>
      <w:pPr>
        <w:ind w:left="1100"/>
        <w:spacing w:after="0" w:line="207" w:lineRule="exact"/>
        <w:rPr>
          <w:sz w:val="20"/>
          <w:szCs w:val="20"/>
          <w:color w:val="auto"/>
        </w:rPr>
      </w:pPr>
      <w:r>
        <w:rPr>
          <w:rFonts w:ascii="Arial" w:cs="Arial" w:eastAsia="Arial" w:hAnsi="Arial"/>
          <w:sz w:val="18"/>
          <w:szCs w:val="18"/>
          <w:b w:val="1"/>
          <w:bCs w:val="1"/>
          <w:color w:val="auto"/>
        </w:rPr>
        <w:t xml:space="preserve">To Vote, Mark Blocks Below in Blue or Black Ink As Follows: </w:t>
      </w:r>
      <w:r>
        <w:rPr>
          <w:rFonts w:ascii="MS PGothic" w:cs="MS PGothic" w:eastAsia="MS PGothic" w:hAnsi="MS PGothic"/>
          <w:sz w:val="18"/>
          <w:szCs w:val="18"/>
          <w:color w:val="auto"/>
        </w:rPr>
        <w:t>☒</w:t>
      </w:r>
    </w:p>
    <w:p>
      <w:pPr>
        <w:spacing w:after="0" w:line="150" w:lineRule="exact"/>
        <w:rPr>
          <w:sz w:val="20"/>
          <w:szCs w:val="20"/>
          <w:color w:val="auto"/>
        </w:rPr>
      </w:pPr>
    </w:p>
    <w:p>
      <w:pPr>
        <w:ind w:left="8580"/>
        <w:spacing w:after="0"/>
        <w:rPr>
          <w:sz w:val="20"/>
          <w:szCs w:val="20"/>
          <w:color w:val="auto"/>
        </w:rPr>
      </w:pPr>
      <w:r>
        <w:rPr>
          <w:rFonts w:ascii="Arial" w:cs="Arial" w:eastAsia="Arial" w:hAnsi="Arial"/>
          <w:sz w:val="16"/>
          <w:szCs w:val="16"/>
          <w:color w:val="auto"/>
        </w:rPr>
        <w:t>Keep This Portion For Your Records</w:t>
      </w:r>
    </w:p>
    <w:p>
      <w:pPr>
        <w:spacing w:after="0" w:line="46"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Detach and Return This Portion Only</w:t>
      </w:r>
    </w:p>
    <w:p>
      <w:pPr>
        <w:spacing w:after="0" w:line="200" w:lineRule="exact"/>
        <w:rPr>
          <w:sz w:val="20"/>
          <w:szCs w:val="20"/>
          <w:color w:val="auto"/>
        </w:rPr>
      </w:pPr>
    </w:p>
    <w:p>
      <w:pPr>
        <w:spacing w:after="0" w:line="236"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THIS PROXY CARD IS VALID ONLY WHEN SIGNED AND DATED.</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recommends you vote FOR the following:</w:t>
      </w:r>
    </w:p>
    <w:p>
      <w:pPr>
        <w:spacing w:after="0" w:line="10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000" w:type="dxa"/>
            <w:vAlign w:val="bottom"/>
            <w:gridSpan w:val="2"/>
          </w:tcPr>
          <w:p>
            <w:pPr>
              <w:spacing w:after="0"/>
              <w:rPr>
                <w:sz w:val="20"/>
                <w:szCs w:val="20"/>
                <w:color w:val="auto"/>
              </w:rPr>
            </w:pPr>
            <w:r>
              <w:rPr>
                <w:rFonts w:ascii="Arial" w:cs="Arial" w:eastAsia="Arial" w:hAnsi="Arial"/>
                <w:sz w:val="18"/>
                <w:szCs w:val="18"/>
                <w:color w:val="auto"/>
              </w:rPr>
              <w:t>1.  Election of Directors</w:t>
            </w:r>
          </w:p>
        </w:tc>
        <w:tc>
          <w:tcPr>
            <w:tcW w:w="1780" w:type="dxa"/>
            <w:vAlign w:val="bottom"/>
          </w:tcPr>
          <w:p>
            <w:pPr>
              <w:ind w:left="1160"/>
              <w:spacing w:after="0"/>
              <w:rPr>
                <w:sz w:val="20"/>
                <w:szCs w:val="20"/>
                <w:color w:val="auto"/>
              </w:rPr>
            </w:pPr>
            <w:r>
              <w:rPr>
                <w:rFonts w:ascii="Arial" w:cs="Arial" w:eastAsia="Arial" w:hAnsi="Arial"/>
                <w:sz w:val="18"/>
                <w:szCs w:val="18"/>
                <w:color w:val="auto"/>
              </w:rPr>
              <w:t>For All</w:t>
            </w:r>
          </w:p>
        </w:tc>
        <w:tc>
          <w:tcPr>
            <w:tcW w:w="1160" w:type="dxa"/>
            <w:vAlign w:val="bottom"/>
          </w:tcPr>
          <w:p>
            <w:pPr>
              <w:ind w:left="120"/>
              <w:spacing w:after="0"/>
              <w:rPr>
                <w:sz w:val="20"/>
                <w:szCs w:val="20"/>
                <w:color w:val="auto"/>
              </w:rPr>
            </w:pPr>
            <w:r>
              <w:rPr>
                <w:rFonts w:ascii="Arial" w:cs="Arial" w:eastAsia="Arial" w:hAnsi="Arial"/>
                <w:sz w:val="18"/>
                <w:szCs w:val="18"/>
                <w:color w:val="auto"/>
              </w:rPr>
              <w:t>Withhold All</w:t>
            </w:r>
          </w:p>
        </w:tc>
        <w:tc>
          <w:tcPr>
            <w:tcW w:w="1280" w:type="dxa"/>
            <w:vAlign w:val="bottom"/>
          </w:tcPr>
          <w:p>
            <w:pPr>
              <w:ind w:left="120"/>
              <w:spacing w:after="0"/>
              <w:rPr>
                <w:sz w:val="20"/>
                <w:szCs w:val="20"/>
                <w:color w:val="auto"/>
              </w:rPr>
            </w:pPr>
            <w:r>
              <w:rPr>
                <w:rFonts w:ascii="Arial" w:cs="Arial" w:eastAsia="Arial" w:hAnsi="Arial"/>
                <w:sz w:val="18"/>
                <w:szCs w:val="18"/>
                <w:color w:val="auto"/>
              </w:rPr>
              <w:t>For All Except</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rPr>
              <w:t>To withhold authority to vote for any individual</w:t>
            </w:r>
          </w:p>
        </w:tc>
      </w:tr>
      <w:tr>
        <w:trPr>
          <w:trHeight w:val="249"/>
        </w:trPr>
        <w:tc>
          <w:tcPr>
            <w:tcW w:w="3000" w:type="dxa"/>
            <w:vAlign w:val="bottom"/>
            <w:gridSpan w:val="2"/>
          </w:tcPr>
          <w:p>
            <w:pPr>
              <w:ind w:left="340"/>
              <w:spacing w:after="0"/>
              <w:rPr>
                <w:sz w:val="20"/>
                <w:szCs w:val="20"/>
                <w:color w:val="auto"/>
              </w:rPr>
            </w:pPr>
            <w:r>
              <w:rPr>
                <w:rFonts w:ascii="Arial" w:cs="Arial" w:eastAsia="Arial" w:hAnsi="Arial"/>
                <w:sz w:val="18"/>
                <w:szCs w:val="18"/>
                <w:color w:val="auto"/>
              </w:rPr>
              <w:t>Nominees:</w:t>
            </w:r>
          </w:p>
        </w:tc>
        <w:tc>
          <w:tcPr>
            <w:tcW w:w="178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11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w w:val="97"/>
              </w:rPr>
              <w:t>nominee(s), mark “For All Except” and write the</w:t>
            </w:r>
          </w:p>
        </w:tc>
      </w:tr>
      <w:tr>
        <w:trPr>
          <w:trHeight w:val="230"/>
        </w:trPr>
        <w:tc>
          <w:tcPr>
            <w:tcW w:w="5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820" w:type="dxa"/>
            <w:vAlign w:val="bottom"/>
            <w:gridSpan w:val="2"/>
          </w:tcPr>
          <w:p>
            <w:pPr>
              <w:ind w:left="120"/>
              <w:spacing w:after="0"/>
              <w:rPr>
                <w:sz w:val="20"/>
                <w:szCs w:val="20"/>
                <w:color w:val="auto"/>
              </w:rPr>
            </w:pPr>
            <w:r>
              <w:rPr>
                <w:rFonts w:ascii="Arial" w:cs="Arial" w:eastAsia="Arial" w:hAnsi="Arial"/>
                <w:sz w:val="18"/>
                <w:szCs w:val="18"/>
                <w:color w:val="auto"/>
                <w:w w:val="98"/>
              </w:rPr>
              <w:t>number(s) of the nominee(s) on the line below.</w:t>
            </w:r>
          </w:p>
        </w:tc>
      </w:tr>
      <w:tr>
        <w:trPr>
          <w:trHeight w:val="216"/>
        </w:trPr>
        <w:tc>
          <w:tcPr>
            <w:tcW w:w="540" w:type="dxa"/>
            <w:vAlign w:val="bottom"/>
          </w:tcPr>
          <w:p>
            <w:pPr>
              <w:ind w:left="340"/>
              <w:spacing w:after="0"/>
              <w:rPr>
                <w:sz w:val="20"/>
                <w:szCs w:val="20"/>
                <w:color w:val="auto"/>
              </w:rPr>
            </w:pPr>
            <w:r>
              <w:rPr>
                <w:rFonts w:ascii="Arial" w:cs="Arial" w:eastAsia="Arial" w:hAnsi="Arial"/>
                <w:sz w:val="18"/>
                <w:szCs w:val="18"/>
                <w:color w:val="auto"/>
                <w:w w:val="89"/>
              </w:rPr>
              <w:t>01</w:t>
            </w:r>
          </w:p>
        </w:tc>
        <w:tc>
          <w:tcPr>
            <w:tcW w:w="2460" w:type="dxa"/>
            <w:vAlign w:val="bottom"/>
          </w:tcPr>
          <w:p>
            <w:pPr>
              <w:ind w:left="20"/>
              <w:spacing w:after="0"/>
              <w:rPr>
                <w:sz w:val="20"/>
                <w:szCs w:val="20"/>
                <w:color w:val="auto"/>
              </w:rPr>
            </w:pPr>
            <w:r>
              <w:rPr>
                <w:rFonts w:ascii="Arial" w:cs="Arial" w:eastAsia="Arial" w:hAnsi="Arial"/>
                <w:sz w:val="18"/>
                <w:szCs w:val="18"/>
                <w:color w:val="auto"/>
              </w:rPr>
              <w:t>Jennifer Gordon</w:t>
            </w:r>
          </w:p>
        </w:tc>
        <w:tc>
          <w:tcPr>
            <w:tcW w:w="1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r>
      <w:tr>
        <w:trPr>
          <w:trHeight w:val="223"/>
        </w:trPr>
        <w:tc>
          <w:tcPr>
            <w:tcW w:w="540" w:type="dxa"/>
            <w:vAlign w:val="bottom"/>
          </w:tcPr>
          <w:p>
            <w:pPr>
              <w:ind w:left="340"/>
              <w:spacing w:after="0"/>
              <w:rPr>
                <w:sz w:val="20"/>
                <w:szCs w:val="20"/>
                <w:color w:val="auto"/>
              </w:rPr>
            </w:pPr>
            <w:r>
              <w:rPr>
                <w:rFonts w:ascii="Arial" w:cs="Arial" w:eastAsia="Arial" w:hAnsi="Arial"/>
                <w:sz w:val="18"/>
                <w:szCs w:val="18"/>
                <w:color w:val="auto"/>
                <w:w w:val="89"/>
              </w:rPr>
              <w:t>02</w:t>
            </w:r>
          </w:p>
        </w:tc>
        <w:tc>
          <w:tcPr>
            <w:tcW w:w="2460" w:type="dxa"/>
            <w:vAlign w:val="bottom"/>
          </w:tcPr>
          <w:p>
            <w:pPr>
              <w:ind w:left="20"/>
              <w:spacing w:after="0"/>
              <w:rPr>
                <w:sz w:val="20"/>
                <w:szCs w:val="20"/>
                <w:color w:val="auto"/>
              </w:rPr>
            </w:pPr>
            <w:r>
              <w:rPr>
                <w:rFonts w:ascii="Arial" w:cs="Arial" w:eastAsia="Arial" w:hAnsi="Arial"/>
                <w:sz w:val="18"/>
                <w:szCs w:val="18"/>
                <w:color w:val="auto"/>
              </w:rPr>
              <w:t>John Ross</w:t>
            </w:r>
          </w:p>
        </w:tc>
        <w:tc>
          <w:tcPr>
            <w:tcW w:w="1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00" w:type="dxa"/>
            <w:vAlign w:val="bottom"/>
          </w:tcPr>
          <w:p>
            <w:pPr>
              <w:spacing w:after="0"/>
              <w:rPr>
                <w:sz w:val="19"/>
                <w:szCs w:val="19"/>
                <w:color w:val="auto"/>
              </w:rPr>
            </w:pPr>
          </w:p>
        </w:tc>
      </w:tr>
    </w:tbl>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recommends you vote FOR the following proposal:</w:t>
      </w:r>
    </w:p>
    <w:p>
      <w:pPr>
        <w:sectPr>
          <w:pgSz w:w="11900" w:h="16838" w:orient="portrait"/>
          <w:cols w:equalWidth="0" w:num="1">
            <w:col w:w="11240"/>
          </w:cols>
          <w:pgMar w:left="240" w:top="459" w:right="419" w:bottom="1440" w:gutter="0" w:footer="0" w:header="0"/>
        </w:sectPr>
      </w:pPr>
    </w:p>
    <w:p>
      <w:pPr>
        <w:spacing w:after="0" w:line="144" w:lineRule="exact"/>
        <w:rPr>
          <w:sz w:val="20"/>
          <w:szCs w:val="20"/>
          <w:color w:val="auto"/>
        </w:rPr>
      </w:pPr>
    </w:p>
    <w:p>
      <w:pPr>
        <w:ind w:left="200"/>
        <w:spacing w:after="0"/>
        <w:tabs>
          <w:tab w:leader="none" w:pos="520" w:val="left"/>
        </w:tabs>
        <w:rPr>
          <w:sz w:val="20"/>
          <w:szCs w:val="20"/>
          <w:color w:val="auto"/>
        </w:rPr>
      </w:pPr>
      <w:r>
        <w:rPr>
          <w:rFonts w:ascii="Arial" w:cs="Arial" w:eastAsia="Arial" w:hAnsi="Arial"/>
          <w:sz w:val="18"/>
          <w:szCs w:val="18"/>
          <w:color w:val="auto"/>
        </w:rPr>
        <w:t>2.</w:t>
        <w:tab/>
        <w:t>To ratify the selection of KPMG LLP as</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Company’s independent registered public</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For</w:t>
      </w:r>
    </w:p>
    <w:p>
      <w:pPr>
        <w:spacing w:after="0" w:line="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Against</w:t>
      </w:r>
    </w:p>
    <w:p>
      <w:pPr>
        <w:spacing w:after="0" w:line="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Abstain</w:t>
      </w:r>
    </w:p>
    <w:p>
      <w:pPr>
        <w:spacing w:after="0" w:line="4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60" w:lineRule="exact"/>
        <w:rPr>
          <w:sz w:val="20"/>
          <w:szCs w:val="20"/>
          <w:color w:val="auto"/>
        </w:rPr>
      </w:pPr>
    </w:p>
    <w:p>
      <w:pPr>
        <w:sectPr>
          <w:pgSz w:w="11900" w:h="16838" w:orient="portrait"/>
          <w:cols w:equalWidth="0" w:num="4">
            <w:col w:w="3800" w:space="560"/>
            <w:col w:w="240" w:space="500"/>
            <w:col w:w="560" w:space="600"/>
            <w:col w:w="4980"/>
          </w:cols>
          <w:pgMar w:left="240" w:top="459" w:right="419" w:bottom="1440" w:gutter="0" w:footer="0" w:header="0"/>
          <w:type w:val="continuous"/>
        </w:sectPr>
      </w:pPr>
    </w:p>
    <w:p>
      <w:pPr>
        <w:ind w:left="540"/>
        <w:spacing w:after="0"/>
        <w:rPr>
          <w:sz w:val="20"/>
          <w:szCs w:val="20"/>
          <w:color w:val="auto"/>
        </w:rPr>
      </w:pPr>
      <w:r>
        <w:rPr>
          <w:rFonts w:ascii="Arial" w:cs="Arial" w:eastAsia="Arial" w:hAnsi="Arial"/>
          <w:sz w:val="16"/>
          <w:szCs w:val="16"/>
          <w:color w:val="auto"/>
        </w:rPr>
        <w:t>accounting firm for the fiscal year ending</w:t>
      </w:r>
    </w:p>
    <w:p>
      <w:pPr>
        <w:spacing w:after="0" w:line="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December 31, 2019.</w:t>
      </w:r>
    </w:p>
    <w:p>
      <w:pPr>
        <w:sectPr>
          <w:pgSz w:w="11900" w:h="16838" w:orient="portrait"/>
          <w:cols w:equalWidth="0" w:num="1">
            <w:col w:w="11240"/>
          </w:cols>
          <w:pgMar w:left="240" w:top="459" w:right="419" w:bottom="1440" w:gutter="0" w:footer="0" w:header="0"/>
          <w:type w:val="continuous"/>
        </w:sectPr>
      </w:pPr>
    </w:p>
    <w:p>
      <w:pPr>
        <w:spacing w:after="0" w:line="207" w:lineRule="exact"/>
        <w:rPr>
          <w:sz w:val="20"/>
          <w:szCs w:val="20"/>
          <w:color w:val="auto"/>
        </w:rPr>
      </w:pPr>
    </w:p>
    <w:p>
      <w:pPr>
        <w:ind w:left="200" w:right="20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The named proxies are also authorized to transact such other business as may properly come before the 2019 Annual Meeting of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or any postponement or adjournment thereof.</w:t>
      </w:r>
    </w:p>
    <w:p>
      <w:pPr>
        <w:sectPr>
          <w:pgSz w:w="11900" w:h="16838" w:orient="portrait"/>
          <w:cols w:equalWidth="0" w:num="1">
            <w:col w:w="11240"/>
          </w:cols>
          <w:pgMar w:left="240" w:top="459" w:right="41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200"/>
        <w:spacing w:after="0"/>
        <w:tabs>
          <w:tab w:leader="none" w:pos="5020" w:val="left"/>
          <w:tab w:leader="none" w:pos="5920" w:val="left"/>
        </w:tabs>
        <w:rPr>
          <w:sz w:val="20"/>
          <w:szCs w:val="20"/>
          <w:color w:val="auto"/>
        </w:rPr>
      </w:pPr>
      <w:r>
        <w:rPr>
          <w:rFonts w:ascii="Arial" w:cs="Arial" w:eastAsia="Arial" w:hAnsi="Arial"/>
          <w:sz w:val="18"/>
          <w:szCs w:val="18"/>
          <w:color w:val="auto"/>
        </w:rPr>
        <w:t>Please indicate if you plan to attend this meeting</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98" w:lineRule="exact"/>
        <w:rPr>
          <w:sz w:val="20"/>
          <w:szCs w:val="20"/>
          <w:color w:val="auto"/>
        </w:rPr>
      </w:pPr>
    </w:p>
    <w:p>
      <w:pPr>
        <w:ind w:left="5040"/>
        <w:spacing w:after="0" w:line="181" w:lineRule="exact"/>
        <w:tabs>
          <w:tab w:leader="none" w:pos="59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98"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39" w:lineRule="exact"/>
        <w:rPr>
          <w:sz w:val="20"/>
          <w:szCs w:val="20"/>
          <w:color w:val="auto"/>
        </w:rPr>
      </w:pPr>
    </w:p>
    <w:tbl>
      <w:tblPr>
        <w:tblLayout w:type="fixed"/>
        <w:tblInd w:w="1100" w:type="dxa"/>
        <w:tblCellMar>
          <w:top w:w="0" w:type="dxa"/>
          <w:left w:w="0" w:type="dxa"/>
          <w:bottom w:w="0" w:type="dxa"/>
          <w:right w:w="0" w:type="dxa"/>
        </w:tblCellMar>
      </w:tblPr>
      <w:tr>
        <w:trPr>
          <w:trHeight w:val="20"/>
        </w:trPr>
        <w:tc>
          <w:tcPr>
            <w:tcW w:w="4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205"/>
        </w:trPr>
        <w:tc>
          <w:tcPr>
            <w:tcW w:w="4160" w:type="dxa"/>
            <w:vAlign w:val="bottom"/>
          </w:tcPr>
          <w:p>
            <w:pPr>
              <w:spacing w:after="0" w:line="205" w:lineRule="exact"/>
              <w:rPr>
                <w:sz w:val="20"/>
                <w:szCs w:val="20"/>
                <w:color w:val="auto"/>
              </w:rPr>
            </w:pPr>
            <w:r>
              <w:rPr>
                <w:rFonts w:ascii="Arial" w:cs="Arial" w:eastAsia="Arial" w:hAnsi="Arial"/>
                <w:sz w:val="18"/>
                <w:szCs w:val="18"/>
                <w:b w:val="1"/>
                <w:bCs w:val="1"/>
                <w:color w:val="auto"/>
              </w:rPr>
              <w:t>SIGNATURE [Please Sign Within Box]</w:t>
            </w:r>
          </w:p>
        </w:tc>
        <w:tc>
          <w:tcPr>
            <w:tcW w:w="100" w:type="dxa"/>
            <w:vAlign w:val="bottom"/>
          </w:tcPr>
          <w:p>
            <w:pPr>
              <w:spacing w:after="0"/>
              <w:rPr>
                <w:sz w:val="17"/>
                <w:szCs w:val="17"/>
                <w:color w:val="auto"/>
              </w:rPr>
            </w:pPr>
          </w:p>
        </w:tc>
        <w:tc>
          <w:tcPr>
            <w:tcW w:w="1740" w:type="dxa"/>
            <w:vAlign w:val="bottom"/>
          </w:tcPr>
          <w:p>
            <w:pPr>
              <w:spacing w:after="0" w:line="205" w:lineRule="exact"/>
              <w:rPr>
                <w:sz w:val="20"/>
                <w:szCs w:val="20"/>
                <w:color w:val="auto"/>
              </w:rPr>
            </w:pPr>
            <w:r>
              <w:rPr>
                <w:rFonts w:ascii="Arial" w:cs="Arial" w:eastAsia="Arial" w:hAnsi="Arial"/>
                <w:sz w:val="18"/>
                <w:szCs w:val="18"/>
                <w:b w:val="1"/>
                <w:bCs w:val="1"/>
                <w:color w:val="auto"/>
              </w:rPr>
              <w:t>DATE</w:t>
            </w:r>
          </w:p>
        </w:tc>
        <w:tc>
          <w:tcPr>
            <w:tcW w:w="1820" w:type="dxa"/>
            <w:vAlign w:val="bottom"/>
            <w:gridSpan w:val="2"/>
          </w:tcPr>
          <w:p>
            <w:pPr>
              <w:ind w:left="100"/>
              <w:spacing w:after="0" w:line="205" w:lineRule="exact"/>
              <w:rPr>
                <w:sz w:val="20"/>
                <w:szCs w:val="20"/>
                <w:color w:val="auto"/>
              </w:rPr>
            </w:pPr>
            <w:r>
              <w:rPr>
                <w:rFonts w:ascii="Arial" w:cs="Arial" w:eastAsia="Arial" w:hAnsi="Arial"/>
                <w:sz w:val="18"/>
                <w:szCs w:val="18"/>
                <w:b w:val="1"/>
                <w:bCs w:val="1"/>
                <w:color w:val="auto"/>
              </w:rPr>
              <w:t>SIGNATURE</w:t>
            </w:r>
          </w:p>
        </w:tc>
        <w:tc>
          <w:tcPr>
            <w:tcW w:w="1820" w:type="dxa"/>
            <w:vAlign w:val="bottom"/>
            <w:gridSpan w:val="2"/>
          </w:tcPr>
          <w:p>
            <w:pPr>
              <w:ind w:left="80"/>
              <w:spacing w:after="0" w:line="205" w:lineRule="exact"/>
              <w:rPr>
                <w:sz w:val="20"/>
                <w:szCs w:val="20"/>
                <w:color w:val="auto"/>
              </w:rPr>
            </w:pPr>
            <w:r>
              <w:rPr>
                <w:rFonts w:ascii="Arial" w:cs="Arial" w:eastAsia="Arial" w:hAnsi="Arial"/>
                <w:sz w:val="18"/>
                <w:szCs w:val="18"/>
                <w:b w:val="1"/>
                <w:bCs w:val="1"/>
                <w:color w:val="auto"/>
              </w:rPr>
              <w:t>DATE</w:t>
            </w:r>
          </w:p>
        </w:tc>
      </w:tr>
      <w:tr>
        <w:trPr>
          <w:trHeight w:val="234"/>
        </w:trPr>
        <w:tc>
          <w:tcPr>
            <w:tcW w:w="4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8"/>
                <w:szCs w:val="18"/>
                <w:b w:val="1"/>
                <w:bCs w:val="1"/>
                <w:color w:val="auto"/>
              </w:rPr>
              <w:t>(Joint Owners)</w:t>
            </w:r>
          </w:p>
        </w:tc>
        <w:tc>
          <w:tcPr>
            <w:tcW w:w="100" w:type="dxa"/>
            <w:vAlign w:val="bottom"/>
          </w:tcPr>
          <w:p>
            <w:pPr>
              <w:spacing w:after="0"/>
              <w:rPr>
                <w:sz w:val="20"/>
                <w:szCs w:val="20"/>
                <w:color w:val="auto"/>
              </w:rPr>
            </w:pPr>
          </w:p>
        </w:tc>
        <w:tc>
          <w:tcPr>
            <w:tcW w:w="172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140"/>
      </w:cols>
      <w:pgMar w:left="24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1)"/>
      <w:numFmt w:val="decimal"/>
      <w:start w:val="2"/>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1)"/>
      <w:numFmt w:val="decimal"/>
      <w:start w:val="1"/>
    </w:lvl>
  </w:abstractNum>
  <w:abstractNum w:abstractNumId="11">
    <w:nsid w:val="257130A3"/>
    <w:multiLevelType w:val="hybridMultilevel"/>
    <w:lvl w:ilvl="0">
      <w:lvlJc w:val="left"/>
      <w:lvlText w:val="(%1)"/>
      <w:numFmt w:val="decimal"/>
      <w:start w:val="2"/>
    </w:lvl>
  </w:abstractNum>
  <w:abstractNum w:abstractNumId="12">
    <w:nsid w:val="62BBD95A"/>
    <w:multiLevelType w:val="hybridMultilevel"/>
    <w:lvl w:ilvl="0">
      <w:lvlJc w:val="left"/>
      <w:lvlText w:val="(%1)"/>
      <w:numFmt w:val="decimal"/>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
      <w:numFmt w:val="bullet"/>
      <w:start w:val="1"/>
    </w:lvl>
  </w:abstractNum>
  <w:abstractNum w:abstractNumId="24">
    <w:nsid w:val="B03E0C6"/>
    <w:multiLevelType w:val="hybridMultilevel"/>
    <w:lvl w:ilvl="0">
      <w:lvlJc w:val="left"/>
      <w:lvlText w:val="•"/>
      <w:numFmt w:val="bullet"/>
      <w:start w:val="1"/>
    </w:lvl>
  </w:abstractNum>
  <w:abstractNum w:abstractNumId="25">
    <w:nsid w:val="189A769B"/>
    <w:multiLevelType w:val="hybridMultilevel"/>
    <w:lvl w:ilvl="0">
      <w:lvlJc w:val="left"/>
      <w:lvlText w:val="(%1)"/>
      <w:numFmt w:val="lowerRoman"/>
      <w:start w:val="1"/>
    </w:lvl>
  </w:abstractNum>
  <w:abstractNum w:abstractNumId="26">
    <w:nsid w:val="54E49EB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2019-12-03T16:13:28Z</dcterms:created>
  <dcterms:modified xsi:type="dcterms:W3CDTF">2019-12-03T16:13:28Z</dcterms:modified>
</cp:coreProperties>
</file>