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276860</wp:posOffset>
            </wp:positionH>
            <wp:positionV relativeFrom="page">
              <wp:posOffset>157480</wp:posOffset>
            </wp:positionV>
            <wp:extent cx="7003415" cy="1911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7003415" cy="191135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30,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 CORRESPONDENCE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Valerie J. Lithotomos</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Investment Management</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20549-7553</w:t>
      </w:r>
    </w:p>
    <w:p>
      <w:pPr>
        <w:spacing w:after="0" w:line="22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Re: Sixth Street Specialty Lending, Inc. (File No. 001-36364)</w:t>
      </w:r>
    </w:p>
    <w:p>
      <w:pPr>
        <w:spacing w:after="0" w:line="31"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Preliminary Proxy Statement on Schedule 14A filed on March 25, 2022</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Lithotomos:</w:t>
      </w:r>
    </w:p>
    <w:p>
      <w:pPr>
        <w:spacing w:after="0" w:line="117" w:lineRule="exact"/>
        <w:rPr>
          <w:sz w:val="24"/>
          <w:szCs w:val="24"/>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On behalf of Sixth Street Specialty Lending, Inc. (the “Company”), in response to a discussion with the staff (the “Staff”) of the Securities and Exchange Commission in a telephone conversation on March 30, 2022, the Company confirms that it will complete and fill in all necessary information omitted from its preliminary proxy statement on Schedule 14A filed on March 25, 2021 in its definitive proxy statement. The definitive proxy statement is expected to be filed on or about April 13, 2022. If the Staff has any questions concerning this letter or requires further information, please do not hesitate to contact Helena Grannis at (212) 225-2376.</w:t>
      </w:r>
    </w:p>
    <w:p>
      <w:pPr>
        <w:spacing w:after="0" w:line="210"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185"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/s/ Helena K. Grannis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4"/>
          <w:szCs w:val="24"/>
          <w:color w:val="auto"/>
        </w:rPr>
      </w:pPr>
    </w:p>
    <w:p>
      <w:pPr>
        <w:ind w:left="6620"/>
        <w:spacing w:after="0"/>
        <w:rPr>
          <w:sz w:val="20"/>
          <w:szCs w:val="20"/>
          <w:color w:val="auto"/>
        </w:rPr>
      </w:pPr>
      <w:r>
        <w:rPr>
          <w:rFonts w:ascii="Times New Roman" w:cs="Times New Roman" w:eastAsia="Times New Roman" w:hAnsi="Times New Roman"/>
          <w:sz w:val="18"/>
          <w:szCs w:val="18"/>
          <w:color w:val="auto"/>
        </w:rPr>
        <w:t>Helena K. Grannis</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cc: Ian Simmonds</w:t>
      </w:r>
    </w:p>
    <w:p>
      <w:pPr>
        <w:spacing w:after="0" w:line="2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Sixth Street Specialty Lending, Inc.</w:t>
      </w:r>
    </w:p>
    <w:p>
      <w:pPr>
        <w:spacing w:after="0" w:line="207"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8"/>
          <w:szCs w:val="18"/>
          <w:color w:val="auto"/>
        </w:rPr>
        <w:t>Adam E. Fleisher</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Cleary Gottlieb Steen &amp; Hamilton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1386205</wp:posOffset>
            </wp:positionH>
            <wp:positionV relativeFrom="paragraph">
              <wp:posOffset>100330</wp:posOffset>
            </wp:positionV>
            <wp:extent cx="421767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17670" cy="171450"/>
                    </a:xfrm>
                    <a:prstGeom prst="rect">
                      <a:avLst/>
                    </a:prstGeom>
                    <a:noFill/>
                  </pic:spPr>
                </pic:pic>
              </a:graphicData>
            </a:graphic>
          </wp:anchor>
        </w:drawing>
      </w:r>
    </w:p>
    <w:sectPr>
      <w:pgSz w:w="11900" w:h="16838" w:orient="portrait"/>
      <w:cols w:equalWidth="0" w:num="1">
        <w:col w:w="11020"/>
      </w:cols>
      <w:pgMar w:left="440" w:top="144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2023-02-20T00:21:19Z</dcterms:created>
  <dcterms:modified xsi:type="dcterms:W3CDTF">2023-02-20T00:21:19Z</dcterms:modified>
</cp:coreProperties>
</file>