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70824d424b2.htm"/>
        <w:bookmarkStart w:id="1" w:name="ksd570824d424b2"/>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424(b)(2) </w:t>
        <w:br/>
        <w:t>Registration No. 333-276252</w:t>
      </w:r>
    </w:p>
    <w:p>
      <w:pPr>
        <w:pStyle w:val="TextBody"/>
        <w:bidi w:val="0"/>
        <w:spacing w:before="0" w:after="0"/>
        <w:jc w:val="left"/>
        <w:rPr/>
      </w:pPr>
      <w:r>
        <w:rPr/>
        <w:t> </w:t>
      </w:r>
    </w:p>
    <w:p>
      <w:pPr>
        <w:pStyle w:val="TextBody"/>
        <w:bidi w:val="0"/>
        <w:spacing w:before="0" w:after="0"/>
        <w:jc w:val="left"/>
        <w:rPr>
          <w:rFonts w:ascii="Arial Narrow" w:hAnsi="Arial Narrow"/>
          <w:b/>
          <w:color w:val="EB0029"/>
          <w:sz w:val="20"/>
        </w:rPr>
      </w:pPr>
      <w:r>
        <w:rPr>
          <w:rFonts w:ascii="Arial Narrow" w:hAnsi="Arial Narrow"/>
          <w:b/>
          <w:color w:val="EB0029"/>
          <w:sz w:val="20"/>
        </w:rPr>
        <w:t xml:space="preserve">The information in this prospectus supplement is not complete and may be changed. A registration statement relating to these securities has been filed with and declared effective by the Securities and Exchange Commission. This prospectus supplement and the accompanying prospectus are not an offer to sell these securities and are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EB0029"/>
          <w:sz w:val="17"/>
        </w:rPr>
      </w:pPr>
      <w:r>
        <w:rPr>
          <w:rFonts w:ascii="Times New Roman" w:hAnsi="Times New Roman"/>
          <w:b/>
          <w:color w:val="EB0029"/>
          <w:sz w:val="17"/>
        </w:rPr>
        <w:t xml:space="preserve">Subject to Completion </w:t>
      </w:r>
    </w:p>
    <w:p>
      <w:pPr>
        <w:pStyle w:val="TextBody"/>
        <w:bidi w:val="0"/>
        <w:spacing w:before="0" w:after="0"/>
        <w:jc w:val="center"/>
        <w:rPr>
          <w:rFonts w:ascii="Times New Roman" w:hAnsi="Times New Roman"/>
          <w:b/>
          <w:color w:val="EB0029"/>
          <w:sz w:val="17"/>
        </w:rPr>
      </w:pPr>
      <w:r>
        <w:rPr>
          <w:rFonts w:ascii="Times New Roman" w:hAnsi="Times New Roman"/>
          <w:b/>
          <w:color w:val="EB0029"/>
          <w:sz w:val="17"/>
        </w:rPr>
        <w:t xml:space="preserve">Preliminary Prospectus Supplement dated February 29, 2024 </w:t>
      </w:r>
    </w:p>
    <w:p>
      <w:pPr>
        <w:pStyle w:val="TextBody"/>
        <w:bidi w:val="0"/>
        <w:spacing w:before="60" w:after="0"/>
        <w:jc w:val="left"/>
        <w:rPr>
          <w:rFonts w:ascii="Times New Roman" w:hAnsi="Times New Roman"/>
          <w:b/>
          <w:sz w:val="17"/>
        </w:rPr>
      </w:pPr>
      <w:r>
        <w:rPr>
          <w:rFonts w:ascii="Times New Roman" w:hAnsi="Times New Roman"/>
          <w:b/>
          <w:sz w:val="17"/>
        </w:rPr>
        <w:t xml:space="preserve">PROSPECTUS SUPPLEMENT </w:t>
      </w:r>
    </w:p>
    <w:p>
      <w:pPr>
        <w:pStyle w:val="TextBody"/>
        <w:bidi w:val="0"/>
        <w:spacing w:before="0" w:after="0"/>
        <w:jc w:val="left"/>
        <w:rPr>
          <w:rFonts w:ascii="Times New Roman" w:hAnsi="Times New Roman"/>
          <w:b/>
          <w:sz w:val="17"/>
        </w:rPr>
      </w:pPr>
      <w:r>
        <w:rPr>
          <w:rFonts w:ascii="Times New Roman" w:hAnsi="Times New Roman"/>
          <w:b/>
          <w:sz w:val="17"/>
        </w:rPr>
        <w:t xml:space="preserve">(To Prospectus dated December 22, 2023) </w:t>
      </w:r>
    </w:p>
    <w:p>
      <w:pPr>
        <w:pStyle w:val="TextBody"/>
        <w:bidi w:val="0"/>
        <w:spacing w:before="60" w:after="0"/>
        <w:jc w:val="center"/>
        <w:rPr>
          <w:rFonts w:ascii="Times New Roman" w:hAnsi="Times New Roman"/>
          <w:b/>
          <w:sz w:val="28"/>
        </w:rPr>
      </w:pPr>
      <w:r>
        <w:rPr>
          <w:rFonts w:ascii="Times New Roman" w:hAnsi="Times New Roman"/>
          <w:b/>
          <w:sz w:val="28"/>
        </w:rPr>
        <w:t xml:space="preserve">4,000,000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5580" cy="609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580" cy="60960"/>
                    </a:xfrm>
                    <a:prstGeom prst="rect">
                      <a:avLst/>
                    </a:prstGeom>
                  </pic:spPr>
                </pic:pic>
              </a:graphicData>
            </a:graphic>
          </wp:inline>
        </w:drawing>
      </w:r>
      <w:r>
        <w:rPr/>
        <w:t xml:space="preserve"> </w:t>
      </w:r>
    </w:p>
    <w:p>
      <w:pPr>
        <w:pStyle w:val="TextBody"/>
        <w:bidi w:val="0"/>
        <w:spacing w:before="6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16"/>
        </w:rPr>
      </w:pPr>
      <w:r>
        <w:rPr>
          <w:rFonts w:ascii="Times New Roman" w:hAnsi="Times New Roman"/>
          <w:sz w:val="16"/>
        </w:rPr>
        <w:t xml:space="preserve">We are offering for sale 4,000,000 shares of our common stock. We have also granted the underwriters a 30-day option to purchase up to 600,000 additional shares of our common stock. </w:t>
      </w:r>
    </w:p>
    <w:p>
      <w:pPr>
        <w:pStyle w:val="TextBody"/>
        <w:bidi w:val="0"/>
        <w:spacing w:before="60" w:after="0"/>
        <w:jc w:val="left"/>
        <w:rPr>
          <w:rFonts w:ascii="Times New Roman" w:hAnsi="Times New Roman"/>
          <w:sz w:val="16"/>
        </w:rPr>
      </w:pPr>
      <w:r>
        <w:rPr>
          <w:rFonts w:ascii="Times New Roman" w:hAnsi="Times New Roman"/>
          <w:sz w:val="16"/>
        </w:rPr>
        <w:t xml:space="preserve">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 </w:t>
      </w:r>
    </w:p>
    <w:p>
      <w:pPr>
        <w:pStyle w:val="TextBody"/>
        <w:bidi w:val="0"/>
        <w:spacing w:before="60" w:after="0"/>
        <w:jc w:val="left"/>
        <w:rPr>
          <w:rFonts w:ascii="Times New Roman" w:hAnsi="Times New Roman"/>
          <w:sz w:val="16"/>
        </w:rPr>
      </w:pPr>
      <w:r>
        <w:rPr>
          <w:rFonts w:ascii="Times New Roman" w:hAnsi="Times New Roman"/>
          <w:sz w:val="16"/>
        </w:rPr>
        <w:t xml:space="preserve">As of December 31, 2023, our investment portfolio consisted of investments in 136 portfolio companies (including 42 structured credit investments, which include each series of collateralized loan obligation as a separate portfolio company investment) with an aggregate fair value of $3,283.1 million. We intend to continue to pursue an investment strategy focused primarily on direct origination of loans to middle-market companies domiciled in the United States. </w:t>
      </w:r>
    </w:p>
    <w:p>
      <w:pPr>
        <w:pStyle w:val="TextBody"/>
        <w:bidi w:val="0"/>
        <w:spacing w:before="60" w:after="0"/>
        <w:jc w:val="left"/>
        <w:rPr>
          <w:rFonts w:ascii="Times New Roman" w:hAnsi="Times New Roman"/>
          <w:sz w:val="16"/>
        </w:rPr>
      </w:pPr>
      <w:r>
        <w:rPr>
          <w:rFonts w:ascii="Times New Roman" w:hAnsi="Times New Roman"/>
          <w:sz w:val="16"/>
        </w:rPr>
        <w:t xml:space="preserve">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$75 billion in assets under management as of December 31, 2023. </w:t>
      </w:r>
    </w:p>
    <w:p>
      <w:pPr>
        <w:pStyle w:val="TextBody"/>
        <w:bidi w:val="0"/>
        <w:spacing w:before="60" w:after="0"/>
        <w:jc w:val="left"/>
        <w:rPr>
          <w:rFonts w:ascii="Times New Roman" w:hAnsi="Times New Roman"/>
          <w:sz w:val="16"/>
        </w:rPr>
      </w:pPr>
      <w:r>
        <w:rPr>
          <w:rFonts w:ascii="Times New Roman" w:hAnsi="Times New Roman"/>
          <w:sz w:val="16"/>
        </w:rPr>
        <w:t xml:space="preserve">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 </w:t>
      </w:r>
    </w:p>
    <w:p>
      <w:pPr>
        <w:pStyle w:val="TextBody"/>
        <w:bidi w:val="0"/>
        <w:spacing w:before="60" w:after="0"/>
        <w:jc w:val="left"/>
        <w:rPr>
          <w:rFonts w:ascii="Times New Roman" w:hAnsi="Times New Roman"/>
          <w:sz w:val="16"/>
        </w:rPr>
      </w:pPr>
      <w:r>
        <w:rPr>
          <w:rFonts w:ascii="Times New Roman" w:hAnsi="Times New Roman"/>
          <w:sz w:val="16"/>
        </w:rPr>
        <w:t xml:space="preserve">Substantially all of our debt investments have variable interest rates that reset periodically based on interest rate benchmarks such as the Euro Interbank Offered Rate, the Canadian Dollar Offered Rate, the Secured Overnight Financing Rate,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 </w:t>
      </w:r>
    </w:p>
    <w:p>
      <w:pPr>
        <w:pStyle w:val="TextBody"/>
        <w:bidi w:val="0"/>
        <w:spacing w:before="60" w:after="0"/>
        <w:jc w:val="left"/>
        <w:rPr>
          <w:rFonts w:ascii="Times New Roman" w:hAnsi="Times New Roman"/>
          <w:sz w:val="16"/>
        </w:rPr>
      </w:pPr>
      <w:r>
        <w:rPr>
          <w:rFonts w:ascii="Times New Roman" w:hAnsi="Times New Roman"/>
          <w:sz w:val="16"/>
        </w:rPr>
        <w:t xml:space="preserve">Our common stock is traded on the New York Stock Exchange, or NYSE, under the symbol TSLX. On February 28, 2024, the last reported sales price of our common stock on the NYSE was $21.75 per share. The net asset value per share of our common stock at December 31, 2023 (the last date prior to the date of this prospectus supplement for which we reported net asset value) was $17.04.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pPr>
      <w:r>
        <w:rPr>
          <w:rFonts w:ascii="Times New Roman" w:hAnsi="Times New Roman"/>
          <w:b/>
          <w:sz w:val="18"/>
        </w:rPr>
        <w:t>Investing in our common stock involves risks, including the risk of leverage, that are described in the </w:t>
      </w:r>
      <w:hyperlink w:anchor="supptoc570824_4">
        <w:r>
          <w:rPr>
            <w:rStyle w:val="InternetLink"/>
            <w:rFonts w:ascii="Times New Roman" w:hAnsi="Times New Roman"/>
            <w:b/>
            <w:sz w:val="18"/>
          </w:rPr>
          <w:t xml:space="preserve">Risk Factors </w:t>
        </w:r>
      </w:hyperlink>
      <w:r>
        <w:rPr>
          <w:rFonts w:ascii="Times New Roman" w:hAnsi="Times New Roman"/>
          <w:b/>
          <w:sz w:val="18"/>
        </w:rPr>
        <w:t xml:space="preserve"> section beginning on page S-8 of this prospectus supplement and page 24 of the accompanying prospectus and the matters discussed in the documents incorporated or deemed to be incorporated by reference in this prospectus supplement and the accompanying prospectus. </w:t>
      </w:r>
    </w:p>
    <w:p>
      <w:pPr>
        <w:pStyle w:val="TextBody"/>
        <w:bidi w:val="0"/>
        <w:spacing w:before="60" w:after="0"/>
        <w:jc w:val="left"/>
        <w:rPr>
          <w:rFonts w:ascii="Times New Roman" w:hAnsi="Times New Roman"/>
          <w:sz w:val="16"/>
        </w:rPr>
      </w:pPr>
      <w:r>
        <w:rPr>
          <w:rFonts w:ascii="Times New Roman" w:hAnsi="Times New Roman"/>
          <w:sz w:val="16"/>
        </w:rPr>
        <w:t xml:space="preserve">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41st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 </w:t>
      </w:r>
    </w:p>
    <w:p>
      <w:pPr>
        <w:pStyle w:val="TextBody"/>
        <w:bidi w:val="0"/>
        <w:spacing w:before="60" w:after="0"/>
        <w:jc w:val="left"/>
        <w:rPr>
          <w:rFonts w:ascii="Times New Roman" w:hAnsi="Times New Roman"/>
          <w:sz w:val="16"/>
        </w:rPr>
      </w:pPr>
      <w:r>
        <w:rPr>
          <w:rFonts w:ascii="Times New Roman" w:hAnsi="Times New Roman"/>
          <w:sz w:val="16"/>
        </w:rPr>
        <w:t xml:space="preserve">The underwriters have agreed to purchase our common stock from us at a price of $    per share, which will result in approximately $    million of net proceeds to us after deducting offering expenses. The underwriters propose to offer the shares of common stock from time to time for sale in negotiated transactions or otherwise, at market prices prevailing at the time of sale, at prices related to such prevailing market prices or at negotiated prices. See Underwriting. </w:t>
      </w:r>
    </w:p>
    <w:p>
      <w:pPr>
        <w:pStyle w:val="TextBody"/>
        <w:bidi w:val="0"/>
        <w:spacing w:before="60" w:after="0"/>
        <w:jc w:val="left"/>
        <w:rPr>
          <w:rFonts w:ascii="Times New Roman" w:hAnsi="Times New Roman"/>
          <w:sz w:val="16"/>
        </w:rPr>
      </w:pPr>
      <w:r>
        <w:rPr>
          <w:rFonts w:ascii="Times New Roman" w:hAnsi="Times New Roman"/>
          <w:sz w:val="16"/>
        </w:rPr>
        <w:t xml:space="preserve">We have also granted the underwriters an option to purchase up to an additional 600,000 shares from us at the public offering price, less the underwriting discount, within 30 days of the date of this prospectus supplement. If the underwriters exercise this option in full, the total public offering price will be $    million, the total underwriting discount (sales load) paid by us will be $    million, and total proceeds, before expenses, will be approximately $    million. </w:t>
      </w:r>
    </w:p>
    <w:p>
      <w:pPr>
        <w:pStyle w:val="TextBody"/>
        <w:bidi w:val="0"/>
        <w:spacing w:before="60" w:after="0"/>
        <w:jc w:val="left"/>
        <w:rPr>
          <w:rFonts w:ascii="Times New Roman" w:hAnsi="Times New Roman"/>
          <w:b/>
          <w:sz w:val="16"/>
        </w:rPr>
      </w:pPr>
      <w:r>
        <w:rPr>
          <w:rFonts w:ascii="Times New Roman" w:hAnsi="Times New Roman"/>
          <w:b/>
          <w:sz w:val="16"/>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60" w:after="0"/>
        <w:jc w:val="left"/>
        <w:rPr>
          <w:rFonts w:ascii="Times New Roman" w:hAnsi="Times New Roman"/>
          <w:sz w:val="16"/>
        </w:rPr>
      </w:pPr>
      <w:r>
        <w:rPr>
          <w:rFonts w:ascii="Times New Roman" w:hAnsi="Times New Roman"/>
          <w:sz w:val="16"/>
        </w:rPr>
        <w:t xml:space="preserve">The shares will be ready for delivery on or about    ,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3"/>
        <w:gridCol w:w="616"/>
        <w:gridCol w:w="2392"/>
        <w:gridCol w:w="616"/>
        <w:gridCol w:w="60"/>
        <w:gridCol w:w="1664"/>
        <w:gridCol w:w="60"/>
        <w:gridCol w:w="616"/>
        <w:gridCol w:w="60"/>
        <w:gridCol w:w="2392"/>
        <w:gridCol w:w="66"/>
      </w:tblGrid>
      <w:tr>
        <w:trPr/>
        <w:tc>
          <w:tcPr>
            <w:tcW w:w="1663" w:type="dxa"/>
            <w:tcBorders/>
            <w:vAlign w:val="center"/>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663" w:type="dxa"/>
            <w:tcBorders/>
          </w:tcPr>
          <w:p>
            <w:pPr>
              <w:pStyle w:val="TableContents"/>
              <w:bidi w:val="0"/>
              <w:spacing w:before="0" w:after="283"/>
              <w:jc w:val="left"/>
              <w:rPr>
                <w:b/>
              </w:rPr>
            </w:pPr>
            <w:r>
              <w:rPr>
                <w:b/>
              </w:rPr>
              <w:t>Morgan Stanley</w:t>
            </w:r>
          </w:p>
        </w:tc>
        <w:tc>
          <w:tcPr>
            <w:tcW w:w="616" w:type="dxa"/>
            <w:tcBorders/>
            <w:vAlign w:val="bottom"/>
          </w:tcPr>
          <w:p>
            <w:pPr>
              <w:pStyle w:val="TableContents"/>
              <w:bidi w:val="0"/>
              <w:spacing w:before="0" w:after="283"/>
              <w:jc w:val="left"/>
              <w:rPr/>
            </w:pPr>
            <w:r>
              <w:rPr/>
              <w:t> </w:t>
            </w:r>
          </w:p>
        </w:tc>
        <w:tc>
          <w:tcPr>
            <w:tcW w:w="2392" w:type="dxa"/>
            <w:tcBorders/>
          </w:tcPr>
          <w:p>
            <w:pPr>
              <w:pStyle w:val="TableContents"/>
              <w:bidi w:val="0"/>
              <w:spacing w:before="0" w:after="283"/>
              <w:jc w:val="center"/>
              <w:rPr>
                <w:b/>
              </w:rPr>
            </w:pPr>
            <w:r>
              <w:rPr>
                <w:b/>
              </w:rPr>
              <w:t>Wells Fargo Securities</w:t>
            </w:r>
          </w:p>
        </w:tc>
        <w:tc>
          <w:tcPr>
            <w:tcW w:w="61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664" w:type="dxa"/>
            <w:tcBorders/>
          </w:tcPr>
          <w:p>
            <w:pPr>
              <w:pStyle w:val="TableContents"/>
              <w:bidi w:val="0"/>
              <w:spacing w:before="0" w:after="283"/>
              <w:jc w:val="right"/>
              <w:rPr>
                <w:b/>
              </w:rPr>
            </w:pPr>
            <w:r>
              <w:rPr>
                <w:b/>
              </w:rPr>
              <w:t>BofA Securities</w:t>
            </w:r>
          </w:p>
        </w:tc>
        <w:tc>
          <w:tcPr>
            <w:tcW w:w="60" w:type="dxa"/>
            <w:tcBorders/>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2" w:type="dxa"/>
            <w:tcBorders/>
          </w:tcPr>
          <w:p>
            <w:pPr>
              <w:pStyle w:val="TableContents"/>
              <w:bidi w:val="0"/>
              <w:spacing w:before="0" w:after="283"/>
              <w:jc w:val="right"/>
              <w:rPr>
                <w:b/>
              </w:rPr>
            </w:pPr>
            <w:r>
              <w:rPr>
                <w:b/>
              </w:rPr>
              <w:t>RBC Capital Markets</w:t>
            </w:r>
          </w:p>
        </w:tc>
        <w:tc>
          <w:tcPr>
            <w:tcW w:w="66" w:type="dxa"/>
            <w:tcBorders/>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1"/>
        <w:gridCol w:w="202"/>
        <w:gridCol w:w="5002"/>
      </w:tblGrid>
      <w:tr>
        <w:trPr/>
        <w:tc>
          <w:tcPr>
            <w:tcW w:w="500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0"/>
              <w:jc w:val="center"/>
              <w:rPr>
                <w:rFonts w:ascii="Times New Roman" w:hAnsi="Times New Roman"/>
                <w:b/>
                <w:sz w:val="18"/>
              </w:rPr>
            </w:pPr>
            <w:r>
              <w:rPr>
                <w:rFonts w:ascii="Times New Roman" w:hAnsi="Times New Roman"/>
                <w:b/>
                <w:sz w:val="18"/>
              </w:rPr>
              <w:t>Keefe, Bruyette &amp; Woods,  </w:t>
            </w:r>
          </w:p>
          <w:p>
            <w:pPr>
              <w:pStyle w:val="TableContents"/>
              <w:bidi w:val="0"/>
              <w:spacing w:before="0" w:after="20"/>
              <w:jc w:val="center"/>
              <w:rPr/>
            </w:pPr>
            <w:r>
              <w:rPr/>
              <w:t>     </w:t>
            </w:r>
            <w:r>
              <w:rPr>
                <w:rFonts w:ascii="Times New Roman" w:hAnsi="Times New Roman"/>
                <w:b/>
                <w:i/>
                <w:sz w:val="18"/>
              </w:rPr>
              <w:t>A Stifel Company</w:t>
            </w:r>
            <w:r>
              <w:rPr>
                <w:rFonts w:ascii="Times New Roman" w:hAnsi="Times New Roman"/>
                <w:sz w:val="18"/>
              </w:rPr>
              <w:t>  </w:t>
            </w:r>
          </w:p>
        </w:tc>
        <w:tc>
          <w:tcPr>
            <w:tcW w:w="202"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center"/>
              <w:rPr>
                <w:b/>
              </w:rPr>
            </w:pPr>
            <w:r>
              <w:rPr>
                <w:b/>
              </w:rPr>
              <w:t>Raymond James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04"/>
        <w:gridCol w:w="3333"/>
        <w:gridCol w:w="103"/>
        <w:gridCol w:w="3229"/>
      </w:tblGrid>
      <w:tr>
        <w:trPr/>
        <w:tc>
          <w:tcPr>
            <w:tcW w:w="343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center"/>
              <w:rPr>
                <w:b/>
              </w:rPr>
            </w:pPr>
            <w:r>
              <w:rPr>
                <w:b/>
              </w:rPr>
              <w:t>Citigroup</w:t>
            </w:r>
          </w:p>
        </w:tc>
        <w:tc>
          <w:tcPr>
            <w:tcW w:w="104"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center"/>
              <w:rPr>
                <w:b/>
              </w:rPr>
            </w:pPr>
            <w:r>
              <w:rPr>
                <w:b/>
              </w:rPr>
              <w:t>Goldman Sachs &amp; Co. LLC</w:t>
            </w:r>
          </w:p>
        </w:tc>
        <w:tc>
          <w:tcPr>
            <w:tcW w:w="103"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center"/>
              <w:rPr>
                <w:b/>
              </w:rPr>
            </w:pPr>
            <w:r>
              <w:rPr>
                <w:b/>
              </w:rPr>
              <w:t>J.P. Morgan</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The date of this prospectus supplement is February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1">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2">
              <w:r>
                <w:rPr>
                  <w:rStyle w:val="InternetLink"/>
                  <w:rFonts w:ascii="Times New Roman" w:hAnsi="Times New Roman"/>
                  <w:sz w:val="20"/>
                </w:rPr>
                <w:t>THE COMPANY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5">
              <w:r>
                <w:rPr>
                  <w:rStyle w:val="InternetLink"/>
                  <w:rFonts w:ascii="Times New Roman" w:hAnsi="Times New Roman"/>
                  <w:sz w:val="20"/>
                </w:rPr>
                <w:t>FEES AND EXPENSES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7">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8">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570824_10">
              <w:r>
                <w:rPr>
                  <w:rStyle w:val="InternetLink"/>
                  <w:rFonts w:ascii="Times New Roman" w:hAnsi="Times New Roman"/>
                  <w:sz w:val="20"/>
                </w:rPr>
                <w:t>INFORMATION INCORPORATED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57082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3">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4">
              <w:r>
                <w:rPr>
                  <w:rStyle w:val="InternetLink"/>
                  <w:rFonts w:ascii="Times New Roman" w:hAnsi="Times New Roman"/>
                  <w:sz w:val="20"/>
                </w:rPr>
                <w:t>FEES AND EXPENSES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4a">
              <w:r>
                <w:rPr>
                  <w:rStyle w:val="InternetLink"/>
                  <w:rFonts w:ascii="Times New Roman" w:hAnsi="Times New Roman"/>
                  <w:sz w:val="20"/>
                </w:rPr>
                <w:t>FINANCIAL HIGHLIGHTS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6">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8">
              <w:r>
                <w:rPr>
                  <w:rStyle w:val="InternetLink"/>
                  <w:rFonts w:ascii="Times New Roman" w:hAnsi="Times New Roman"/>
                  <w:sz w:val="20"/>
                </w:rPr>
                <w:t>PRICE RANGE OF COMMON STOCK AND DISTRIBUTIONS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9">
              <w:r>
                <w:rPr>
                  <w:rStyle w:val="InternetLink"/>
                  <w:rFonts w:ascii="Times New Roman" w:hAnsi="Times New Roman"/>
                  <w:sz w:val="20"/>
                </w:rPr>
                <w:t>SENIOR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0">
              <w:r>
                <w:rPr>
                  <w:rStyle w:val="InternetLink"/>
                  <w:rFonts w:ascii="Times New Roman" w:hAnsi="Times New Roman"/>
                  <w:sz w:val="20"/>
                </w:rPr>
                <w:t>PORTFOLIO COMPANIES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1">
              <w:r>
                <w:rPr>
                  <w:rStyle w:val="InternetLink"/>
                  <w:rFonts w:ascii="Times New Roman" w:hAnsi="Times New Roman"/>
                  <w:sz w:val="20"/>
                </w:rPr>
                <w:t>MANAGEMENT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2">
              <w:r>
                <w:rPr>
                  <w:rStyle w:val="InternetLink"/>
                  <w:rFonts w:ascii="Times New Roman" w:hAnsi="Times New Roman"/>
                  <w:sz w:val="20"/>
                </w:rPr>
                <w:t>DETERMINATION OF NET ASSET VALUE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3">
              <w:r>
                <w:rPr>
                  <w:rStyle w:val="InternetLink"/>
                  <w:rFonts w:ascii="Times New Roman" w:hAnsi="Times New Roman"/>
                  <w:sz w:val="20"/>
                </w:rPr>
                <w:t>SALES OF COMMON STOCK BELOW NET ASSET VALUE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4">
              <w:r>
                <w:rPr>
                  <w:rStyle w:val="InternetLink"/>
                  <w:rFonts w:ascii="Times New Roman" w:hAnsi="Times New Roman"/>
                  <w:sz w:val="20"/>
                </w:rPr>
                <w:t>DIVIDEND REINVESTMENT PLAN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5">
              <w:r>
                <w:rPr>
                  <w:rStyle w:val="InternetLink"/>
                  <w:rFonts w:ascii="Times New Roman" w:hAnsi="Times New Roman"/>
                  <w:sz w:val="20"/>
                </w:rPr>
                <w:t>MATERIAL U.S.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6">
              <w:r>
                <w:rPr>
                  <w:rStyle w:val="InternetLink"/>
                  <w:rFonts w:ascii="Times New Roman" w:hAnsi="Times New Roman"/>
                  <w:sz w:val="20"/>
                </w:rPr>
                <w:t>DESCRIPTION OF OUR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7">
              <w:r>
                <w:rPr>
                  <w:rStyle w:val="InternetLink"/>
                  <w:rFonts w:ascii="Times New Roman" w:hAnsi="Times New Roman"/>
                  <w:sz w:val="20"/>
                </w:rPr>
                <w:t>DESCRIPTION OF OUR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8">
              <w:r>
                <w:rPr>
                  <w:rStyle w:val="InternetLink"/>
                  <w:rFonts w:ascii="Times New Roman" w:hAnsi="Times New Roman"/>
                  <w:sz w:val="20"/>
                </w:rPr>
                <w:t>DESCRIPTION OF OUR PREFERRED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9">
              <w:r>
                <w:rPr>
                  <w:rStyle w:val="InternetLink"/>
                  <w:rFonts w:ascii="Times New Roman" w:hAnsi="Times New Roman"/>
                  <w:sz w:val="20"/>
                </w:rPr>
                <w:t>DESCRIPTION OF OUR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0">
              <w:r>
                <w:rPr>
                  <w:rStyle w:val="InternetLink"/>
                  <w:rFonts w:ascii="Times New Roman" w:hAnsi="Times New Roman"/>
                  <w:sz w:val="20"/>
                </w:rPr>
                <w:t>DESCRIPTION OF OUR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1">
              <w:r>
                <w:rPr>
                  <w:rStyle w:val="InternetLink"/>
                  <w:rFonts w:ascii="Times New Roman" w:hAnsi="Times New Roman"/>
                  <w:sz w:val="20"/>
                </w:rPr>
                <w:t>DESCRIPTION OF OUR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2">
              <w:r>
                <w:rPr>
                  <w:rStyle w:val="InternetLink"/>
                  <w:rFonts w:ascii="Times New Roman" w:hAnsi="Times New Roman"/>
                  <w:sz w:val="20"/>
                </w:rPr>
                <w:t>CUSTODIAN, TRANSFER AND DIVIDEND PAYING AGENT AND REGISTRAR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3">
              <w:r>
                <w:rPr>
                  <w:rStyle w:val="InternetLink"/>
                  <w:rFonts w:ascii="Times New Roman" w:hAnsi="Times New Roman"/>
                  <w:sz w:val="20"/>
                </w:rPr>
                <w:t>BROKERAGE ALLOCATION AND OTHER PRACTICES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7">
              <w:r>
                <w:rPr>
                  <w:rStyle w:val="InternetLink"/>
                  <w:rFonts w:ascii="Times New Roman" w:hAnsi="Times New Roman"/>
                  <w:sz w:val="20"/>
                </w:rPr>
                <w:t>AVAILABLE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8">
              <w:r>
                <w:rPr>
                  <w:rStyle w:val="InternetLink"/>
                  <w:rFonts w:ascii="Times New Roman" w:hAnsi="Times New Roman"/>
                  <w:sz w:val="20"/>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ptoc570824_1"/>
      <w:bookmarkEnd w:id="3"/>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could impair our portfolio companies abilities to continue to operate, which could lead to the loss of some or all of our investments in those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entitled Risk Factors in this prospectus supplement, the accompanying prospectus and in Part I, Item 1A of our Annual Report on Form 10-K for the year ended December 31, 2023 (the 2023 Annual Report), any subsequent Quarterly Reports on Form 10-Q or Current Reports on Form 8-K we file after the date of this prospectus supplement, and those discussed in other documents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2023 Annual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570824_2"/>
      <w:bookmarkEnd w:id="4"/>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As used in the prospectus supplement and the accompanying prospectus, except where the context suggests otherwise, references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TSLX, Sixth Street Specialty Lending, we, us, our, the Company, and the Registrant refer to Sixth Street Specialty Lending, Inc., a Delaware corporation, and its consolidated subsidiaries;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Adviser refers to Sixth Street Specialty Lending Advisers, LLC, a Delaware limited liability company; and</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Sixth Street refers to Sixth Street Partners, LLC together with its affiliates.</w:t>
            </w:r>
            <w:r>
              <w:rPr>
                <w:rFonts w:ascii="Times New Roman" w:hAnsi="Times New Roman"/>
                <w:sz w:val="20"/>
              </w:rPr>
              <w:t xml:space="preserve"> </w:t>
            </w:r>
          </w:p>
        </w:tc>
      </w:tr>
    </w:tbl>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Sixth Street Specialty Lending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specialty finance company focused on lending to middle-market companies. Since we began our investment activities in July 2011, through December 31, 2023, we have originated approximately $31.5 billion aggregate principal amount of investments and retained approximately $10.0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2023, our core portfolio companies, which excludes certain investments that fall outside of our typical borrower profile and represent 95.3% of our total investments based on fair value, had weighted average annual revenue of $230.3 million and weighted average annual EBITDA of $79.3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Investment Portfolio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companies in which we invest use our capital to support organic growth, acquisitions, market or product expansion and recapitalizations (including restructurings).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2023, our portfolio based on fair value consisted of 91.3% first-lien debt investments, 1.1% second-lien debt investments, 1.2% mezzanine debt investments, 4.7% equity and other investments and 1.7% structured credit investments. As of December 31, 2023, 99.7% of our debt investments based on fair value bore interest at floating rates, with 100.0% of these subject to interest rate floors, which we believe helps act as a portfolio-wide hedge against inflation.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2023, we had investments in 136 portfolio companies (including 42 structured credit investments, which include each series of collateralized loan obligation as a separate portfolio company investment) with an aggregate fair value of $3,283.1 million. For the year ended December 31, 2023, the principal amount of new investments funded was $808.4 million in thirty new portfolio companies and sixteen existing portfolio companies. For this period, we had $469.1 million aggregate principal amount in exits and repayments.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2022, we had investments in 121 portfolio companies (including 43 structured credit investments, which include each series of collateralized loan obligation as a separate portfolio company investment) with an aggregate fair value of $2,787.9 million. For the year ended December 31, 2022, the principal amount of new investments funded was $864.0 million in sixty-five new portfolio companies and twenty existing portfolio companies. For this period, we had $653.8 million aggregate principal amount in exits and repayments.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2023, the largest single investment based on fair value represented 2.6% of our total investment portfolio. As of December 31, 2023, the average investment size in each of our portfolio companies was approximately $24.1 million based on fair value. Portfolio companies includes investments in structured products including each series of collateralized loan obligation as a portfolio company investment. When excluding investments in structured credit investments, the average investment in our remaining portfolio companies was approximately $34.3 million as of December 31, 2023. As of December 31, 2023, the largest industry represented 18.0% of our total portfolio based on fair value.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we began investing in 2011 through December 31, 2023, weighted by capital invested, our exited investments have generated an average realized gross internal rate of return to us of 17.4% (based on total capital invested of $7.0 billion and total proceeds from these exited investments of $8.9 billion). Ninety percent of these exited investments resulted in a realized gross internal rate of return to us of 10% or greater. For a description of how we calculate gross internal rates of return, see the section entitled Managements Discussion and Analysis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of Financial Condition and Results of Operations-Results of Operations-Realized Gross Internal Rate of Return in Part I, Item 2 of our 2023 Annual Report, which is incorporated herein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Specialty Lending, Inc. is a Delaware corporation formed on July 21, 2010. Sixth Street Specialty Lending Advisers, LLC is our external manager.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2023 Annual Report, which is incorporated herein by reference, for more information on these requirements.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Adviser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is a Delaware limited liability company. Our Adviser acts as our investment adviser and administrator and is a registered investment adviser with the Securities and Exchange Commission (the SEC) under the Investment Advisers Act of 1940, as amended, or the Advisers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is a global investment business with over $75 billion of assets under management as of December 31, 2023.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580 investment and operating professionals. As of December 31, 2023, seventy (70) of these personnel are dedicated to our business, including fifty-five (55) investment professionals.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570824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7" w:type="dxa"/>
            <w:tcBorders/>
          </w:tcPr>
          <w:p>
            <w:pPr>
              <w:pStyle w:val="TableContents"/>
              <w:bidi w:val="0"/>
              <w:spacing w:before="0" w:after="283"/>
              <w:jc w:val="left"/>
              <w:rPr/>
            </w:pPr>
            <w:r>
              <w:rPr/>
              <w:t xml:space="preserve">4,000,000 shares, or 4,600,000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outstanding prior to this offering </w:t>
            </w:r>
          </w:p>
        </w:tc>
        <w:tc>
          <w:tcPr>
            <w:tcW w:w="6329" w:type="dxa"/>
            <w:tcBorders/>
          </w:tcPr>
          <w:p>
            <w:pPr>
              <w:pStyle w:val="TableContents"/>
              <w:bidi w:val="0"/>
              <w:spacing w:before="0" w:after="283"/>
              <w:jc w:val="left"/>
              <w:rPr/>
            </w:pPr>
            <w:r>
              <w:rPr/>
              <w:t xml:space="preserve">87,829,499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outstanding after this offering </w:t>
            </w:r>
          </w:p>
        </w:tc>
        <w:tc>
          <w:tcPr>
            <w:tcW w:w="6327" w:type="dxa"/>
            <w:tcBorders/>
          </w:tcPr>
          <w:p>
            <w:pPr>
              <w:pStyle w:val="TableContents"/>
              <w:bidi w:val="0"/>
              <w:spacing w:before="0" w:after="283"/>
              <w:jc w:val="left"/>
              <w:rPr/>
            </w:pPr>
            <w:r>
              <w:rPr/>
              <w:t xml:space="preserve">91,829,499 shares, or 92,429,499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We estimate that the net proceeds we will receive from the sale of 4,000,000 shares of our common stock in this offering will be approximately $    million (or approximately $    million if the underwriters fully exercise their option to purchase additional shares), in each case after deducting the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intend to use 100% of the net proceeds of this offering to pay down a portion of the outstanding indebtedness on the Revolving Credit Facility on or about the date of the closing of this offering. However, through reborrowing under the Revolving Credit Facility, we intend to make new investments in accordance with our investment objective and strategies described in this prospectus supplement and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Distributions </w:t>
            </w:r>
          </w:p>
        </w:tc>
        <w:tc>
          <w:tcPr>
            <w:tcW w:w="6328" w:type="dxa"/>
            <w:tcBorders/>
          </w:tcPr>
          <w:p>
            <w:pPr>
              <w:pStyle w:val="TableContents"/>
              <w:bidi w:val="0"/>
              <w:spacing w:before="0" w:after="283"/>
              <w:jc w:val="left"/>
              <w:rPr/>
            </w:pPr>
            <w:r>
              <w:rPr/>
              <w:t xml:space="preserve">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 in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On February 15, 2024, our Board declared a first quarter 2024 base dividend of $0.46 per share for stockholders of record as of March 15, 2024, payable on March 28, 2024. Our Board also declared a fourth quarter supplemental dividend of $0.08 per share for stockholders of record as of February 29, 2024, payable on March 20, 2024. Investors in this offering who remain holders of record as of the record dates for the first quarter base dividend and fourth quarter supplemental dividend, respectively, will receive these dividends. We anticipate that these dividends will be paid from income generated primarily by interest earned on our investment portfolio.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our tax treatment as a RIC and to avoid being subject to corporate-level U.S. federal income tax on our earnings, we must make certain distributions. See Material U.S. Federal Income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ConsiderationsRegulated Investment Company Classification and Dividend Reinvestment Plan in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Material U.S. Federal Income Tax Considerations </w:t>
            </w:r>
          </w:p>
        </w:tc>
        <w:tc>
          <w:tcPr>
            <w:tcW w:w="6328" w:type="dxa"/>
            <w:tcBorders/>
          </w:tcPr>
          <w:p>
            <w:pPr>
              <w:pStyle w:val="TableContents"/>
              <w:bidi w:val="0"/>
              <w:spacing w:before="0" w:after="283"/>
              <w:jc w:val="left"/>
              <w:rPr/>
            </w:pPr>
            <w:r>
              <w:rPr/>
              <w:t xml:space="preserve">Certain tax considerations applicable to an investment in shares of our common stock are set forth in the section in the accompanying prospectus entitled Material U.S. Federal Income Tax Considerations or elsewhere, except that miscellaneous itemized deductions generally are not deductible by individuals, trusts or estates for taxable years beginning after December 31, 2017 and before January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Symbol on the New York Stock Exchange </w:t>
            </w:r>
          </w:p>
        </w:tc>
        <w:tc>
          <w:tcPr>
            <w:tcW w:w="6329" w:type="dxa"/>
            <w:tcBorders/>
          </w:tcPr>
          <w:p>
            <w:pPr>
              <w:pStyle w:val="TableContents"/>
              <w:bidi w:val="0"/>
              <w:spacing w:before="0" w:after="283"/>
              <w:jc w:val="left"/>
              <w:rPr/>
            </w:pPr>
            <w:r>
              <w:rPr/>
              <w:t xml:space="preserve">TSLX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See Risk Factors in this prospectus supplement, the accompanying prospectus and the documents incorporated by reference and other information in this prospectus supplement, the accompanying prospectus and the documents incorporated by reference for a discussion of factors you should carefully consider before you decide whether to make an investment in shares of our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toc570824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number of significant risks. You should carefully consider the risks described in Part I, Item 1A, Risk Factors, in our 2023 Annual Report and those set out in the accompanying prospectus,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before making a decision about investing in our securities. The risks and uncertainties described in Part I, Item 1A, Risk Factors, in our 2023 Annual Report and discussed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toc570824_5"/>
      <w:bookmarkEnd w:id="7"/>
      <w:r>
        <w:rPr>
          <w:rFonts w:ascii="Times New Roman" w:hAnsi="Times New Roman"/>
          <w:b/>
          <w:sz w:val="20"/>
        </w:rPr>
        <w:t xml:space="preserve">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which may be greater or less than shown. The offering expenses shown assume that we issue 4,000,000 shares of common stock in the offering at the February 28, 2024 closing price of $21.75 and that the underwriters do not exercise their option to purchase any additional shares.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supplement or the accompanying prospectus contains a reference to fees or expenses paid by us, the Company or Sixth Street Specialty Lending, Inc. or says that we will pay fees or expenses, stockholders will indirectly bear these fees or expenses as investors in Sixth Street Specialty Lending,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72"/>
        <w:gridCol w:w="264"/>
        <w:gridCol w:w="60"/>
        <w:gridCol w:w="847"/>
        <w:gridCol w:w="362"/>
      </w:tblGrid>
      <w:tr>
        <w:trPr/>
        <w:tc>
          <w:tcPr>
            <w:tcW w:w="8672"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6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 (as a percentage of the February 28, 2024 closing price of $21.75):</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r>
      <w:tr>
        <w:trPr/>
        <w:tc>
          <w:tcPr>
            <w:tcW w:w="86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Sales load</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w:t>
            </w:r>
          </w:p>
        </w:tc>
        <w:tc>
          <w:tcPr>
            <w:tcW w:w="362" w:type="dxa"/>
            <w:tcBorders/>
            <w:vAlign w:val="bottom"/>
          </w:tcPr>
          <w:p>
            <w:pPr>
              <w:pStyle w:val="TableContents"/>
              <w:bidi w:val="0"/>
              <w:spacing w:before="0" w:after="283"/>
              <w:jc w:val="left"/>
              <w:rPr>
                <w:b/>
              </w:rPr>
            </w:pPr>
            <w:r>
              <w:rPr>
                <w:b/>
              </w:rPr>
              <w:t>(1) </w:t>
            </w:r>
          </w:p>
        </w:tc>
      </w:tr>
      <w:tr>
        <w:trPr/>
        <w:tc>
          <w:tcPr>
            <w:tcW w:w="86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Offering expenses</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w:t>
            </w:r>
          </w:p>
        </w:tc>
        <w:tc>
          <w:tcPr>
            <w:tcW w:w="362" w:type="dxa"/>
            <w:tcBorders/>
            <w:shd w:fill="CCEEFF" w:val="clear"/>
            <w:vAlign w:val="bottom"/>
          </w:tcPr>
          <w:p>
            <w:pPr>
              <w:pStyle w:val="TableContents"/>
              <w:bidi w:val="0"/>
              <w:spacing w:before="0" w:after="283"/>
              <w:jc w:val="left"/>
              <w:rPr>
                <w:b/>
              </w:rPr>
            </w:pPr>
            <w:r>
              <w:rPr>
                <w:b/>
              </w:rPr>
              <w:t>(2) </w:t>
            </w:r>
          </w:p>
        </w:tc>
      </w:tr>
      <w:tr>
        <w:trPr/>
        <w:tc>
          <w:tcPr>
            <w:tcW w:w="86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None</w:t>
            </w:r>
          </w:p>
        </w:tc>
        <w:tc>
          <w:tcPr>
            <w:tcW w:w="362" w:type="dxa"/>
            <w:tcBorders/>
            <w:vAlign w:val="bottom"/>
          </w:tcPr>
          <w:p>
            <w:pPr>
              <w:pStyle w:val="TableContents"/>
              <w:bidi w:val="0"/>
              <w:spacing w:before="0" w:after="283"/>
              <w:jc w:val="left"/>
              <w:rPr>
                <w:b/>
              </w:rPr>
            </w:pPr>
            <w:r>
              <w:rPr>
                <w:b/>
              </w:rPr>
              <w:t>(3) </w:t>
            </w:r>
          </w:p>
        </w:tc>
      </w:tr>
      <w:tr>
        <w:trPr/>
        <w:tc>
          <w:tcPr>
            <w:tcW w:w="86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annual expenses (as a percentage of net assets attributable to common stock)(4):</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r>
      <w:tr>
        <w:trPr/>
        <w:tc>
          <w:tcPr>
            <w:tcW w:w="86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Management Fee payable under the Investment Advisory Agreement</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3.10%</w:t>
            </w:r>
          </w:p>
        </w:tc>
        <w:tc>
          <w:tcPr>
            <w:tcW w:w="362" w:type="dxa"/>
            <w:tcBorders/>
            <w:vAlign w:val="bottom"/>
          </w:tcPr>
          <w:p>
            <w:pPr>
              <w:pStyle w:val="TableContents"/>
              <w:bidi w:val="0"/>
              <w:spacing w:before="0" w:after="283"/>
              <w:jc w:val="left"/>
              <w:rPr>
                <w:b/>
              </w:rPr>
            </w:pPr>
            <w:r>
              <w:rPr>
                <w:b/>
              </w:rPr>
              <w:t>(5) </w:t>
            </w:r>
          </w:p>
        </w:tc>
      </w:tr>
      <w:tr>
        <w:trPr/>
        <w:tc>
          <w:tcPr>
            <w:tcW w:w="86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Incentive Fee payable under the Investment Advisory Agreement</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2.85%</w:t>
            </w:r>
          </w:p>
        </w:tc>
        <w:tc>
          <w:tcPr>
            <w:tcW w:w="362" w:type="dxa"/>
            <w:tcBorders/>
            <w:shd w:fill="CCEEFF" w:val="clear"/>
            <w:vAlign w:val="bottom"/>
          </w:tcPr>
          <w:p>
            <w:pPr>
              <w:pStyle w:val="TableContents"/>
              <w:bidi w:val="0"/>
              <w:spacing w:before="0" w:after="283"/>
              <w:jc w:val="left"/>
              <w:rPr>
                <w:b/>
              </w:rPr>
            </w:pPr>
            <w:r>
              <w:rPr>
                <w:b/>
              </w:rPr>
              <w:t>(6) </w:t>
            </w:r>
          </w:p>
        </w:tc>
      </w:tr>
      <w:tr>
        <w:trPr/>
        <w:tc>
          <w:tcPr>
            <w:tcW w:w="86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8.54%</w:t>
            </w:r>
          </w:p>
        </w:tc>
        <w:tc>
          <w:tcPr>
            <w:tcW w:w="362" w:type="dxa"/>
            <w:tcBorders/>
            <w:vAlign w:val="bottom"/>
          </w:tcPr>
          <w:p>
            <w:pPr>
              <w:pStyle w:val="TableContents"/>
              <w:bidi w:val="0"/>
              <w:spacing w:before="0" w:after="283"/>
              <w:jc w:val="left"/>
              <w:rPr>
                <w:b/>
              </w:rPr>
            </w:pPr>
            <w:r>
              <w:rPr>
                <w:b/>
              </w:rPr>
              <w:t>(7) </w:t>
            </w:r>
          </w:p>
        </w:tc>
      </w:tr>
      <w:tr>
        <w:trPr/>
        <w:tc>
          <w:tcPr>
            <w:tcW w:w="86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1.05%</w:t>
            </w:r>
          </w:p>
        </w:tc>
        <w:tc>
          <w:tcPr>
            <w:tcW w:w="362" w:type="dxa"/>
            <w:tcBorders/>
            <w:shd w:fill="CCEEFF" w:val="clear"/>
            <w:vAlign w:val="bottom"/>
          </w:tcPr>
          <w:p>
            <w:pPr>
              <w:pStyle w:val="TableContents"/>
              <w:bidi w:val="0"/>
              <w:spacing w:before="0" w:after="283"/>
              <w:jc w:val="left"/>
              <w:rPr>
                <w:b/>
              </w:rPr>
            </w:pPr>
            <w:r>
              <w:rPr>
                <w:b/>
              </w:rPr>
              <w:t>(8) </w:t>
            </w:r>
          </w:p>
        </w:tc>
      </w:tr>
      <w:tr>
        <w:trPr/>
        <w:tc>
          <w:tcPr>
            <w:tcW w:w="8672" w:type="dxa"/>
            <w:tcBorders/>
          </w:tcPr>
          <w:p>
            <w:pPr>
              <w:pStyle w:val="TableContents"/>
              <w:bidi w:val="0"/>
              <w:spacing w:before="0" w:after="0"/>
              <w:jc w:val="left"/>
              <w:rPr>
                <w:rFonts w:ascii="Times New Roman" w:hAnsi="Times New Roman"/>
                <w:sz w:val="20"/>
              </w:rPr>
            </w:pPr>
            <w:r>
              <w:rPr>
                <w:rFonts w:ascii="Times New Roman" w:hAnsi="Times New Roman"/>
                <w:sz w:val="20"/>
              </w:rPr>
              <w:t>Total annual expenses</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15.53%</w:t>
            </w:r>
          </w:p>
        </w:tc>
        <w:tc>
          <w:tcPr>
            <w:tcW w:w="36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sales load (underwriting discount or commission) with respect to the shares of common stock sold in this offering, which is a one-time fee paid to the underwriters, is the only sales load paid in connection with this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estimated offering expenses of approximately $    million.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 in the accompanying prospectus.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assets attributable to common stock used to calculate the percentages in this table reflect our net assets of $1,496.4 million as of December 31,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(as defined in the accompanying prospectus). Under the 1940 Act, any material change to our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Advisory Agreement must be submitted to stockholders for approval. See Management Agreements in Part I, Item 1 of our 2023 Annual Report and in Note 3 to our consolidated financial statements in our 2023 Annual Report.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Management Fee reflected in the table is calculated by determining the ratio that the Management Fee for the year ended December 31, 2023 bears to our net assets attributable to common stock (rather than our gross assets). </w:t>
      </w:r>
    </w:p>
    <w:p>
      <w:pPr>
        <w:pStyle w:val="TextBody"/>
        <w:bidi w:val="0"/>
        <w:spacing w:before="120" w:after="0"/>
        <w:jc w:val="left"/>
        <w:rPr>
          <w:rFonts w:ascii="Times New Roman" w:hAnsi="Times New Roman"/>
          <w:sz w:val="20"/>
        </w:rPr>
      </w:pPr>
      <w:r>
        <w:rPr>
          <w:rFonts w:ascii="Times New Roman" w:hAnsi="Times New Roman"/>
          <w:sz w:val="20"/>
        </w:rPr>
        <w:t>From time to time, our Adviser voluntarily has waived certain Management Fees. See </w:t>
      </w:r>
      <w:r>
        <w:rPr>
          <w:rFonts w:ascii="Times New Roman" w:hAnsi="Times New Roman"/>
          <w:i/>
          <w:sz w:val="20"/>
        </w:rPr>
        <w:t>Managements Discussion and Analysis of Financial Condition and Results of OperationsResults of OperationsManagement Fees</w:t>
      </w:r>
      <w:r>
        <w:rPr>
          <w:rFonts w:ascii="Times New Roman" w:hAnsi="Times New Roman"/>
          <w:sz w:val="20"/>
        </w:rPr>
        <w:t xml:space="preserve"> in Part II, Item 2 of our 2023 Annual Report. The above estimates are based on our actual Management Fees for the year ended December 31, 2023. For the year ended December 31, 2023, Management Fees of $1.2 million were waived consisting solely of Management Fees pursuant to the Leverage Waiver. </w:t>
      </w:r>
    </w:p>
    <w:p>
      <w:pPr>
        <w:pStyle w:val="TextBody"/>
        <w:bidi w:val="0"/>
        <w:spacing w:before="120" w:after="0"/>
        <w:jc w:val="left"/>
        <w:rPr>
          <w:rFonts w:ascii="Times New Roman" w:hAnsi="Times New Roman"/>
          <w:sz w:val="20"/>
        </w:rPr>
      </w:pPr>
      <w:r>
        <w:rPr>
          <w:rFonts w:ascii="Times New Roman" w:hAnsi="Times New Roman"/>
          <w:sz w:val="20"/>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The Adviser waived Management Fees of $1.2 million for the year ended December 31, 2023 pursuant to the Leverage Waiver. The Adviser waived Management Fees of $0.4 million for the year ended December 31, 2022 pursuant to the Leverage Waiver.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capital gains and interest income that could result in the payment of an Incentive Fee to the Adviser in the twelve months after the date of this prospectus supplement. The Incentive Fee payable in the example above is based upon our actual results for the year ended December 31, 2023 and assumes that the Incentive Fee is 17.5% for all relevant periods. However, the Incentive Fee payable to the Adviser is based on our performance and will not be paid unless we achieve certain goals.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Incentive Fee consists of two parts,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component, payable at the end of each fiscal year in arrears, equaled 15% through March 31, 2014 and, beginning April 1, 2014, equals a weighted percentage of cumulative realized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were no remaining investments that were made prior to April 1, 2014, and as a result, the Incentive Fee rate of 17.5% is applicable to any future realized capital gains.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determining whether pre-Incentive Fee net investment income exceeds the hurdle rate, pre-Incentive Fee net investment income is expressed as a rate of return on the value of our net assets at the end of the immediately preceding calendar quarter. </w:t>
      </w:r>
    </w:p>
    <w:p>
      <w:pPr>
        <w:pStyle w:val="TextBody"/>
        <w:bidi w:val="0"/>
        <w:spacing w:before="120" w:after="0"/>
        <w:jc w:val="left"/>
        <w:rPr>
          <w:rFonts w:ascii="Times New Roman" w:hAnsi="Times New Roman"/>
          <w:sz w:val="20"/>
        </w:rPr>
      </w:pPr>
      <w:r>
        <w:rPr>
          <w:rFonts w:ascii="Times New Roman" w:hAnsi="Times New Roman"/>
          <w:sz w:val="20"/>
        </w:rPr>
        <w:t xml:space="preserve">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bidi w:val="0"/>
        <w:spacing w:before="120" w:after="0"/>
        <w:jc w:val="left"/>
        <w:rPr>
          <w:rFonts w:ascii="Times New Roman" w:hAnsi="Times New Roman"/>
          <w:sz w:val="20"/>
        </w:rPr>
      </w:pPr>
      <w:r>
        <w:rPr>
          <w:rFonts w:ascii="Times New Roman" w:hAnsi="Times New Roman"/>
          <w:sz w:val="20"/>
        </w:rPr>
        <w:t xml:space="preserve">Section 205(b)(3) of the Advisers Act, as amended, prohibits the Adviser from receiving the payment of fees on unrealized gains until those gains are realized, if ever. There can be no assurance that such unrealized gains will be realized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See Note 3 to our consolidated financial statements in our 2023 Annual Report and Agreements and Related Party TransactionsAdministration Agreement; Investment Advisory Agreement; in Part I, Item 1 of our 2023 Annual Report.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our Adviser has voluntarily waived certain Incentive Fees. See Managements Discussion and Analysis of Financial Condition and Results of Operations-Results of Operations-Incentive Fees in Part II, Item 2 of our 2023 Annual Report. The above estimates do not reflect or assume any such waivers.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payments on borrowed funds is based on our interest expense for the year ended December 31, 2023 under our credit facilities excluding fees (such as fees on undrawn amounts and amortization of upfront fees) and including the swap-adjusted interest expense related to our 2024 Notes, 2026 Notes and 2028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Our stockholders indirectly bear the costs of borrowings under any debt instruments we may enter into.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our overhead expenses, such as payments under the Administration Agreement for certain expenses incurred by the Adviser, and excise taxes. See Agreements and Related Party Transactions-Administration Agreement; Investment Advisory Agreement; in Part I, Item 1 of our 2023 Annual Report and Note 3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our consolidated financial statements in our 2023 Annual Report. The expenses in this table are based on our actual other expenses and excise taxes for the year ended December 31,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Example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06"/>
        <w:gridCol w:w="375"/>
        <w:gridCol w:w="175"/>
        <w:gridCol w:w="479"/>
        <w:gridCol w:w="60"/>
        <w:gridCol w:w="375"/>
        <w:gridCol w:w="199"/>
        <w:gridCol w:w="592"/>
        <w:gridCol w:w="60"/>
        <w:gridCol w:w="375"/>
        <w:gridCol w:w="199"/>
        <w:gridCol w:w="592"/>
        <w:gridCol w:w="60"/>
        <w:gridCol w:w="375"/>
        <w:gridCol w:w="231"/>
        <w:gridCol w:w="670"/>
        <w:gridCol w:w="65"/>
      </w:tblGrid>
      <w:tr>
        <w:trPr/>
        <w:tc>
          <w:tcPr>
            <w:tcW w:w="4506"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506"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6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year</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 years</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 years</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 years</w:t>
            </w:r>
          </w:p>
        </w:tc>
        <w:tc>
          <w:tcPr>
            <w:tcW w:w="65"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common stock investment, assuming a 5% annual return from realized capital gains</w:t>
            </w:r>
          </w:p>
        </w:tc>
        <w:tc>
          <w:tcPr>
            <w:tcW w:w="37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79" w:type="dxa"/>
            <w:tcBorders/>
            <w:shd w:fill="CCEEFF" w:val="clear"/>
            <w:vAlign w:val="bottom"/>
          </w:tcPr>
          <w:p>
            <w:pPr>
              <w:pStyle w:val="TableContents"/>
              <w:bidi w:val="0"/>
              <w:spacing w:before="0" w:after="283"/>
              <w:jc w:val="right"/>
              <w:rPr/>
            </w:pPr>
            <w:r>
              <w:rPr/>
              <w:t>136</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92" w:type="dxa"/>
            <w:tcBorders/>
            <w:shd w:fill="CCEEFF" w:val="clear"/>
            <w:vAlign w:val="bottom"/>
          </w:tcPr>
          <w:p>
            <w:pPr>
              <w:pStyle w:val="TableContents"/>
              <w:bidi w:val="0"/>
              <w:spacing w:before="0" w:after="283"/>
              <w:jc w:val="right"/>
              <w:rPr/>
            </w:pPr>
            <w:r>
              <w:rPr/>
              <w:t>373</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92" w:type="dxa"/>
            <w:tcBorders/>
            <w:shd w:fill="CCEEFF" w:val="clear"/>
            <w:vAlign w:val="bottom"/>
          </w:tcPr>
          <w:p>
            <w:pPr>
              <w:pStyle w:val="TableContents"/>
              <w:bidi w:val="0"/>
              <w:spacing w:before="0" w:after="283"/>
              <w:jc w:val="right"/>
              <w:rPr/>
            </w:pPr>
            <w:r>
              <w:rPr/>
              <w:t>571</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937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 </w:t>
      </w:r>
    </w:p>
    <w:p>
      <w:pPr>
        <w:pStyle w:val="TextBody"/>
        <w:bidi w:val="0"/>
        <w:spacing w:before="240" w:after="0"/>
        <w:jc w:val="left"/>
        <w:rPr>
          <w:rFonts w:ascii="Times New Roman" w:hAnsi="Times New Roman"/>
          <w:b/>
          <w:sz w:val="20"/>
        </w:rPr>
      </w:pPr>
      <w:r>
        <w:rPr>
          <w:rFonts w:ascii="Times New Roman" w:hAnsi="Times New Roman"/>
          <w:b/>
          <w:sz w:val="2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toc570824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we will receive from the sale of 4,000,000 shares of our common stock in this offering will be approximately $    million (or approximately $    million if the underwriters fully exercise their option to purchase additional shares), in each case after deducting the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We intend to use 100% of the net proceeds of this offering to pay down a portion of the outstanding indebtedness on the Revolving Credit Facility on or about the date of the closing of this offering. As of December 31, 2023, aggregate commitments under the facility were $1.710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June 12, 2028 with respect to $1.465 billion of commitments, January 31, 2025 for $25.0 million of commitments, February 4, 2026 for $50.0 million of commitments, and April 30, 2027 with respect to $170.0 million of commitments. As of December 31, 2023, amounts drawn under the facility bear interest at either the applicable reference rate plus an applicable credit spread adjustment, plus a margin of either 1.75% or 1.875%, or the base rate plus a margin of either 0.75% or 0.875%. See </w:t>
      </w:r>
      <w:r>
        <w:rPr>
          <w:rFonts w:ascii="Times New Roman" w:hAnsi="Times New Roman"/>
          <w:i/>
          <w:sz w:val="20"/>
        </w:rPr>
        <w:t>Managements Discussion and Analysis of Financial Condition and Results of OperationsFinancial Condition, Liquidity and Capital ResourcesRevolving Credit Facility</w:t>
      </w:r>
      <w:r>
        <w:rPr>
          <w:rFonts w:ascii="Times New Roman" w:hAnsi="Times New Roman"/>
          <w:sz w:val="20"/>
        </w:rPr>
        <w:t xml:space="preserve"> in Part II, Item 2 of our 2023 Annual Report. </w:t>
      </w:r>
    </w:p>
    <w:p>
      <w:pPr>
        <w:pStyle w:val="TextBody"/>
        <w:bidi w:val="0"/>
        <w:spacing w:before="240" w:after="0"/>
        <w:jc w:val="left"/>
        <w:rPr>
          <w:rFonts w:ascii="Times New Roman" w:hAnsi="Times New Roman"/>
          <w:sz w:val="20"/>
        </w:rPr>
      </w:pPr>
      <w:r>
        <w:rPr>
          <w:rFonts w:ascii="Times New Roman" w:hAnsi="Times New Roman"/>
          <w:sz w:val="20"/>
        </w:rPr>
        <w:t xml:space="preserve">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toc570824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consolidated capitalization at December 31, 2023, as adjusted to reflect the Companys issuance on January 16, 2024 of $350.0 million aggregate principal amount of its 6.125% notes due 2029. You should read this table together with Use of Proceeds described in this prospectus supplement and our most recent balance sheet included in our 2023 Annual Report incorporated by reference in this prospectus supplement.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01"/>
        <w:gridCol w:w="381"/>
        <w:gridCol w:w="167"/>
        <w:gridCol w:w="1427"/>
        <w:gridCol w:w="163"/>
      </w:tblGrid>
      <w:tr>
        <w:trPr/>
        <w:tc>
          <w:tcPr>
            <w:tcW w:w="4801"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01"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w:t>
              <w:br/>
              <w:t>2023(1)</w:t>
            </w:r>
          </w:p>
        </w:tc>
        <w:tc>
          <w:tcPr>
            <w:tcW w:w="163"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(Amounts in thousands, except share and per share amounts)</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427"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 </w:t>
            </w:r>
            <w:r>
              <w:rPr/>
              <w:t>25,196</w:t>
            </w:r>
          </w:p>
        </w:tc>
        <w:tc>
          <w:tcPr>
            <w:tcW w:w="163"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Debt(1)</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427"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889,659</w:t>
            </w:r>
          </w:p>
        </w:tc>
        <w:tc>
          <w:tcPr>
            <w:tcW w:w="163"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Notes</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347,500</w:t>
            </w:r>
          </w:p>
        </w:tc>
        <w:tc>
          <w:tcPr>
            <w:tcW w:w="163" w:type="dxa"/>
            <w:tcBorders/>
            <w:shd w:fill="CCEEFF" w:val="clear"/>
            <w:vAlign w:val="bottom"/>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2026 Notes</w:t>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300,000</w:t>
            </w:r>
          </w:p>
        </w:tc>
        <w:tc>
          <w:tcPr>
            <w:tcW w:w="163"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 Notes</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300,000</w:t>
            </w:r>
          </w:p>
        </w:tc>
        <w:tc>
          <w:tcPr>
            <w:tcW w:w="163" w:type="dxa"/>
            <w:tcBorders/>
            <w:shd w:fill="CCEEFF" w:val="clear"/>
            <w:vAlign w:val="bottom"/>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2029 Notes</w:t>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350,000</w:t>
            </w:r>
          </w:p>
        </w:tc>
        <w:tc>
          <w:tcPr>
            <w:tcW w:w="163"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2,187,159</w:t>
            </w:r>
          </w:p>
        </w:tc>
        <w:tc>
          <w:tcPr>
            <w:tcW w:w="163" w:type="dxa"/>
            <w:tcBorders/>
            <w:shd w:fill="CCEEFF" w:val="clear"/>
            <w:vAlign w:val="bottom"/>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427"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$0.01 par value; 100,000,000 shares authorized; no shares issued and outstanding</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400,000,000 shares authorized; 88,493,749 shares issued and 87,829,499 shares outstanding</w:t>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885</w:t>
            </w:r>
          </w:p>
        </w:tc>
        <w:tc>
          <w:tcPr>
            <w:tcW w:w="163"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1,405,173</w:t>
            </w:r>
          </w:p>
        </w:tc>
        <w:tc>
          <w:tcPr>
            <w:tcW w:w="163" w:type="dxa"/>
            <w:tcBorders/>
            <w:shd w:fill="CCEEFF" w:val="clear"/>
            <w:vAlign w:val="bottom"/>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at cost, 664,250 shares</w:t>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(10,459</w:t>
            </w:r>
          </w:p>
        </w:tc>
        <w:tc>
          <w:tcPr>
            <w:tcW w:w="163" w:type="dxa"/>
            <w:tcBorders/>
            <w:vAlign w:val="bottom"/>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Distributable earnings</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100,776</w:t>
            </w:r>
          </w:p>
        </w:tc>
        <w:tc>
          <w:tcPr>
            <w:tcW w:w="163" w:type="dxa"/>
            <w:tcBorders/>
            <w:shd w:fill="CCEEFF" w:val="clear"/>
            <w:vAlign w:val="bottom"/>
          </w:tcPr>
          <w:p>
            <w:pPr>
              <w:pStyle w:val="TableContents"/>
              <w:bidi w:val="0"/>
              <w:spacing w:before="0" w:after="283"/>
              <w:jc w:val="left"/>
              <w:rPr/>
            </w:pPr>
            <w:r>
              <w:rPr/>
              <w:t> </w:t>
            </w:r>
          </w:p>
        </w:tc>
      </w:tr>
      <w:tr>
        <w:trPr/>
        <w:tc>
          <w:tcPr>
            <w:tcW w:w="480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 </w:t>
            </w:r>
            <w:r>
              <w:rPr/>
              <w:t>1,496,375</w:t>
            </w:r>
          </w:p>
        </w:tc>
        <w:tc>
          <w:tcPr>
            <w:tcW w:w="163" w:type="dxa"/>
            <w:tcBorders/>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3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 </w:t>
            </w:r>
            <w:r>
              <w:rPr/>
              <w:t>3,693,808</w:t>
            </w:r>
          </w:p>
        </w:tc>
        <w:tc>
          <w:tcPr>
            <w:tcW w:w="163" w:type="dxa"/>
            <w:tcBorders/>
            <w:shd w:fill="CCEEFF" w:val="clear"/>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above table reflects the principal amount of indebtedness outstanding as of December 31, 2023, as adjusted to reflect the Companys issuance on January 16, 2024 of $350.0 million aggregate principal amount of its 6.125% notes due 2029. As of February 28, 2024, $604.9 million was drawn on the Revolving Credit Facility. The net proceeds from the sale of our common stock in this offering are expected to be used to pay down outstanding indebtedness under the Revolving Credit Facility. See Use of Proceeds in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ptoc570824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74"/>
        <w:gridCol w:w="460"/>
        <w:gridCol w:w="84"/>
        <w:gridCol w:w="1058"/>
        <w:gridCol w:w="63"/>
      </w:tblGrid>
      <w:tr>
        <w:trPr/>
        <w:tc>
          <w:tcPr>
            <w:tcW w:w="5274"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460"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4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4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4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4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4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74"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274"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as amended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The underwriters may effect such transactions by selling shares of common stock to or through dealers, and such dealers may receive compensation in the form of discounts, concessions or commissions from the underwriters and/or purchasers of shares of common stock for whom they may act as agents or to whom they may sell as principal. </w:t>
      </w:r>
    </w:p>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estimated at $    million and are payable by us.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Underwriters Option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the underwriters an option to buy, within 30 days from the date of this prospectus supplement, up to 600,000 additional shares of common stock. If any shares are purchased pursuant to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we have agreed not to directly or indirectly, (i) offer, pledge, sell, contract to sell, grant any option for the sale of or otherwise transfer or dispose of, directly or indirectly, or file with the SEC a registration statement under the Securities Act relating to, any shares of our common stock or securities convertible into or exchangeable or exercisable for any shares of our common stock (except for any shelf registration statements filed by us),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Morgan Stanley &amp; Co. LLC for a period of 30 days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Adviser, our directors and certain of our executive officers have entered into lock-up agreements with the underwriters prior to the commencement of this offering pursuant to which each of these persons or entities, with limited exceptions, for a period of 30 days after the date of this prospectus supplement, may not, subject to certain exceptions, without the prior written consent of Morgan Stanley &amp; Co.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publicly disclose the intention to make any offer, sale, pledge or disposition,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NYSE Listing </w:t>
      </w:r>
    </w:p>
    <w:p>
      <w:pPr>
        <w:pStyle w:val="TextBody"/>
        <w:bidi w:val="0"/>
        <w:spacing w:before="120" w:after="0"/>
        <w:jc w:val="left"/>
        <w:rPr>
          <w:rFonts w:ascii="Times New Roman" w:hAnsi="Times New Roman"/>
          <w:sz w:val="20"/>
        </w:rPr>
      </w:pPr>
      <w:r>
        <w:rPr>
          <w:rFonts w:ascii="Times New Roman" w:hAnsi="Times New Roman"/>
          <w:sz w:val="20"/>
        </w:rPr>
        <w:t xml:space="preserve">The shares are listed on the NYSE under the symbol TSLX.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may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sales load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NYSE,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Any such credit default swaps or short positions could adversely affect future trading prices of our securities.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intend to use the net proceeds of this offering to pay down a portion of the outstanding indebtedness under the Revolving Credit Facility and for general corporate purposes.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is also acting as our agent for the Company stock repurchase 10b5-1 Plan.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Business Addresses </w:t>
      </w:r>
    </w:p>
    <w:p>
      <w:pPr>
        <w:pStyle w:val="TextBody"/>
        <w:bidi w:val="0"/>
        <w:spacing w:before="120" w:after="0"/>
        <w:jc w:val="left"/>
        <w:rPr>
          <w:rFonts w:ascii="Times New Roman" w:hAnsi="Times New Roman"/>
          <w:sz w:val="20"/>
        </w:rPr>
      </w:pPr>
      <w:r>
        <w:rPr>
          <w:rFonts w:ascii="Times New Roman" w:hAnsi="Times New Roman"/>
          <w:sz w:val="20"/>
        </w:rPr>
        <w:t xml:space="preserve">The principal business address of Morgan Stanley &amp; Co. LLC is 1585 Broadway, New York, NY 10036. </w:t>
      </w:r>
    </w:p>
    <w:p>
      <w:pPr>
        <w:pStyle w:val="TextBody"/>
        <w:bidi w:val="0"/>
        <w:spacing w:before="360" w:after="0"/>
        <w:jc w:val="left"/>
        <w:rPr>
          <w:rFonts w:ascii="Times New Roman" w:hAnsi="Times New Roman"/>
          <w:b/>
          <w:sz w:val="20"/>
        </w:rPr>
      </w:pPr>
      <w:r>
        <w:rPr>
          <w:rFonts w:ascii="Times New Roman" w:hAnsi="Times New Roman"/>
          <w:b/>
          <w:sz w:val="20"/>
        </w:rPr>
        <w:t xml:space="preserve">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or subject to restrictions on their resale. Prospective purchasers of the common stock offered should conduct their own due diligence on the common stock. If you do not understand the contents of this prospectus supplement you should consult an authorized financial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has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constitutes an exempt offering document as defined in and for the purposes of applicable Canadian securities laws. No prospectus has been filed with any securities commission or similar regulatory authority in Canada in connection with the offer and sale of the shares. No securities commission or similar regulatory authority in Canada has reviewed or in any way passed upon this prospectus or on the merits of the shares and any representation to the contrary is an offence. </w:t>
      </w:r>
    </w:p>
    <w:p>
      <w:pPr>
        <w:pStyle w:val="TextBody"/>
        <w:bidi w:val="0"/>
        <w:spacing w:before="240" w:after="0"/>
        <w:jc w:val="left"/>
        <w:rPr>
          <w:rFonts w:ascii="Times New Roman" w:hAnsi="Times New Roman"/>
          <w:sz w:val="20"/>
        </w:rPr>
      </w:pPr>
      <w:r>
        <w:rPr>
          <w:rFonts w:ascii="Times New Roman" w:hAnsi="Times New Roman"/>
          <w:b/>
          <w:sz w:val="20"/>
        </w:rPr>
        <w:t xml:space="preserve">Canadian investors are advised that this prospectus has been prepared in reliance on section 3A.3 of National Instrument 33-105 </w:t>
      </w:r>
      <w:r>
        <w:rPr>
          <w:rFonts w:ascii="Times New Roman" w:hAnsi="Times New Roman"/>
          <w:b/>
          <w:i/>
          <w:sz w:val="20"/>
        </w:rPr>
        <w:t>Underwriting Conflicts</w:t>
      </w:r>
      <w:r>
        <w:rPr>
          <w:rFonts w:ascii="Times New Roman" w:hAnsi="Times New Roman"/>
          <w:sz w:val="20"/>
        </w:rPr>
        <w:t xml:space="preserve"> </w:t>
      </w:r>
      <w:r>
        <w:rPr>
          <w:rFonts w:ascii="Times New Roman" w:hAnsi="Times New Roman"/>
          <w:b/>
          <w:sz w:val="20"/>
        </w:rPr>
        <w:t xml:space="preserve">(NI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shares in Canada is being made on a private placement basis only and is exempt from the requirement that the company prepares and files a prospectus under applicable Canadian securities laws. Any resale of shares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shares outside of Canada.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of Purchasers </w:t>
      </w:r>
    </w:p>
    <w:p>
      <w:pPr>
        <w:pStyle w:val="TextBody"/>
        <w:bidi w:val="0"/>
        <w:spacing w:before="120" w:after="0"/>
        <w:jc w:val="left"/>
        <w:rPr>
          <w:rFonts w:ascii="Times New Roman" w:hAnsi="Times New Roman"/>
          <w:sz w:val="20"/>
        </w:rPr>
      </w:pPr>
      <w:r>
        <w:rPr>
          <w:rFonts w:ascii="Times New Roman" w:hAnsi="Times New Roman"/>
          <w:sz w:val="20"/>
        </w:rPr>
        <w:t xml:space="preserve">Each Canadian investor who purchases the shares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and Eligibility for Investment </w:t>
      </w:r>
    </w:p>
    <w:p>
      <w:pPr>
        <w:pStyle w:val="TextBody"/>
        <w:bidi w:val="0"/>
        <w:spacing w:before="120" w:after="0"/>
        <w:jc w:val="left"/>
        <w:rPr>
          <w:rFonts w:ascii="Times New Roman" w:hAnsi="Times New Roman"/>
          <w:sz w:val="20"/>
        </w:rPr>
      </w:pPr>
      <w:r>
        <w:rPr>
          <w:rFonts w:ascii="Times New Roman" w:hAnsi="Times New Roman"/>
          <w:sz w:val="20"/>
        </w:rPr>
        <w:t xml:space="preserve">Any discussion of taxation and related matters contained in this prospectus does not purport to be a comprehensive description of all of the tax considerations that may be relevant to a Canadian investor when deciding to purchase the shares and, in particular, does not address any Canadian tax considerations. No representation or warranty is hereby made as to the tax consequences to a resident, or deemed resident, of Canada of an investment in the shares or with respect to the eligibility of the Notes for investment by such investor under relevant Canadian federal and provincial legislation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of Action for Damages or Rescission </w:t>
      </w:r>
    </w:p>
    <w:p>
      <w:pPr>
        <w:pStyle w:val="TextBody"/>
        <w:bidi w:val="0"/>
        <w:spacing w:before="120" w:after="0"/>
        <w:jc w:val="left"/>
        <w:rPr>
          <w:rFonts w:ascii="Times New Roman" w:hAnsi="Times New Roman"/>
          <w:sz w:val="20"/>
        </w:rPr>
      </w:pPr>
      <w:r>
        <w:rPr>
          <w:rFonts w:ascii="Times New Roman" w:hAnsi="Times New Roman"/>
          <w:sz w:val="20"/>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45-501 </w:t>
      </w:r>
      <w:r>
        <w:rPr>
          <w:rFonts w:ascii="Times New Roman" w:hAnsi="Times New Roman"/>
          <w:i/>
          <w:sz w:val="20"/>
        </w:rPr>
        <w:t>Ontario Prospectus and Registration Exemptions</w:t>
      </w:r>
      <w:r>
        <w:rPr>
          <w:rFonts w:ascii="Times New Roman" w:hAnsi="Times New Roman"/>
          <w:sz w:val="20"/>
        </w:rPr>
        <w:t xml:space="preserve"> and in Multilateral Instrument 45-107 </w:t>
      </w:r>
      <w:r>
        <w:rPr>
          <w:rFonts w:ascii="Times New Roman" w:hAnsi="Times New Roman"/>
          <w:i/>
          <w:sz w:val="20"/>
        </w:rPr>
        <w:t>Listing Representation and Statutory Rights of Action Disclosure Exemptions</w:t>
      </w:r>
      <w:r>
        <w:rPr>
          <w:rFonts w:ascii="Times New Roman" w:hAnsi="Times New Roman"/>
          <w:sz w:val="20"/>
        </w:rPr>
        <w:t xml:space="preserve">, as applicable, with a remedy for damages or rescission,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Language of Documents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hAnsi="Times New Roman"/>
          <w:i/>
          <w:sz w:val="20"/>
        </w:rPr>
        <w:t>Par la réception de ce document, chaque investisseur canadien confirme par les présentes quil a expressément exigé que tous les documents faisantfoi ou se rapportant de quelque manière que ce soit à la vente des valeurs mobilières décrites aux présentes (incluant, pour plus de certitude, toute confirmation dachat ou tout avis) soient rédigés en anglais seulement.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ptoc570824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underwriters by Ropes &amp; Gray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upptoc570824_10"/>
      <w:bookmarkEnd w:id="12"/>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15, 2024 (the 2023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w:t>
            </w:r>
            <w:hyperlink r:id="rId4">
              <w:r>
                <w:rPr>
                  <w:rStyle w:val="InternetLink"/>
                  <w:rFonts w:ascii="Times New Roman" w:hAnsi="Times New Roman"/>
                  <w:sz w:val="20"/>
                </w:rPr>
                <w:t>Form 8-K</w:t>
              </w:r>
            </w:hyperlink>
            <w:r>
              <w:rPr>
                <w:rFonts w:ascii="Times New Roman" w:hAnsi="Times New Roman"/>
                <w:sz w:val="20"/>
              </w:rPr>
              <w:t xml:space="preserve">, filed with the SEC on January 16,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Annual Report on Form 10-K for the fiscal year ended December 31, 2022, filed with the SEC on February  16, 2023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relating to our 2023 Annual Meeting of Stockholders, filed with the SEC on April 13,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888 7th Avenue, 41st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10106 </w:t>
      </w:r>
    </w:p>
    <w:p>
      <w:pPr>
        <w:pStyle w:val="TextBody"/>
        <w:bidi w:val="0"/>
        <w:spacing w:before="0" w:after="0"/>
        <w:jc w:val="center"/>
        <w:rPr>
          <w:rFonts w:ascii="Times New Roman" w:hAnsi="Times New Roman"/>
          <w:sz w:val="20"/>
        </w:rPr>
      </w:pPr>
      <w:r>
        <w:rPr>
          <w:rFonts w:ascii="Times New Roman" w:hAnsi="Times New Roman"/>
          <w:sz w:val="20"/>
        </w:rPr>
        <w:t xml:space="preserve">Attention: TSLXInvestor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Email: IRTSLX@sixthstreet.com.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5580" cy="60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95580" cy="609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Sixth Street Specialty Lending,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convertible or exchangeable into shares of our common stock. The securities may be offered at prices and on terms to be described in one or more supplements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 </w:t>
      </w:r>
    </w:p>
    <w:p>
      <w:pPr>
        <w:pStyle w:val="TextBody"/>
        <w:bidi w:val="0"/>
        <w:spacing w:before="240" w:after="0"/>
        <w:jc w:val="left"/>
        <w:rPr/>
      </w:pPr>
      <w:r>
        <w:rPr>
          <w:rFonts w:ascii="Times New Roman" w:hAnsi="Times New Roman"/>
          <w:b/>
          <w:sz w:val="24"/>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toc570824_5">
        <w:r>
          <w:rPr>
            <w:rStyle w:val="InternetLink"/>
            <w:rFonts w:ascii="Times New Roman" w:hAnsi="Times New Roman"/>
            <w:b/>
            <w:sz w:val="24"/>
          </w:rPr>
          <w:t xml:space="preserve">Risk Factors </w:t>
        </w:r>
      </w:hyperlink>
      <w:r>
        <w:rPr>
          <w:rFonts w:ascii="Times New Roman" w:hAnsi="Times New Roman"/>
          <w:b/>
          <w:sz w:val="24"/>
        </w:rPr>
        <w:t xml:space="preserve"> beginning on page 24 of this prospectus and in the documents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consummate sales of our securities unless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and Exchange Commission has not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December 22,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57082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3">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4">
              <w:r>
                <w:rPr>
                  <w:rStyle w:val="InternetLink"/>
                  <w:rFonts w:ascii="Times New Roman" w:hAnsi="Times New Roman"/>
                  <w:sz w:val="20"/>
                </w:rPr>
                <w:t>FEES AND EXPENSES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4a">
              <w:r>
                <w:rPr>
                  <w:rStyle w:val="InternetLink"/>
                  <w:rFonts w:ascii="Times New Roman" w:hAnsi="Times New Roman"/>
                  <w:sz w:val="20"/>
                </w:rPr>
                <w:t>FINANCIAL HIGHLIGHTS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6">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8">
              <w:r>
                <w:rPr>
                  <w:rStyle w:val="InternetLink"/>
                  <w:rFonts w:ascii="Times New Roman" w:hAnsi="Times New Roman"/>
                  <w:sz w:val="20"/>
                </w:rPr>
                <w:t>PRICE RANGE OF COMMON STOCK AND DISTRIBUTIONS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9">
              <w:r>
                <w:rPr>
                  <w:rStyle w:val="InternetLink"/>
                  <w:rFonts w:ascii="Times New Roman" w:hAnsi="Times New Roman"/>
                  <w:sz w:val="20"/>
                </w:rPr>
                <w:t>SENIOR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0">
              <w:r>
                <w:rPr>
                  <w:rStyle w:val="InternetLink"/>
                  <w:rFonts w:ascii="Times New Roman" w:hAnsi="Times New Roman"/>
                  <w:sz w:val="20"/>
                </w:rPr>
                <w:t>PORTFOLIO COMPANIES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1">
              <w:r>
                <w:rPr>
                  <w:rStyle w:val="InternetLink"/>
                  <w:rFonts w:ascii="Times New Roman" w:hAnsi="Times New Roman"/>
                  <w:sz w:val="20"/>
                </w:rPr>
                <w:t>MANAGEMENT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2">
              <w:r>
                <w:rPr>
                  <w:rStyle w:val="InternetLink"/>
                  <w:rFonts w:ascii="Times New Roman" w:hAnsi="Times New Roman"/>
                  <w:sz w:val="20"/>
                </w:rPr>
                <w:t>DETERMINATION OF NET ASSET VALUE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3">
              <w:r>
                <w:rPr>
                  <w:rStyle w:val="InternetLink"/>
                  <w:rFonts w:ascii="Times New Roman" w:hAnsi="Times New Roman"/>
                  <w:sz w:val="20"/>
                </w:rPr>
                <w:t>SALES OF COMMON STOCK BELOW NET ASSET VALUE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4">
              <w:r>
                <w:rPr>
                  <w:rStyle w:val="InternetLink"/>
                  <w:rFonts w:ascii="Times New Roman" w:hAnsi="Times New Roman"/>
                  <w:sz w:val="20"/>
                </w:rPr>
                <w:t>DIVIDEND REINVESTMENT PLAN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5">
              <w:r>
                <w:rPr>
                  <w:rStyle w:val="InternetLink"/>
                  <w:rFonts w:ascii="Times New Roman" w:hAnsi="Times New Roman"/>
                  <w:sz w:val="20"/>
                </w:rPr>
                <w:t>MATERIAL U.S.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6">
              <w:r>
                <w:rPr>
                  <w:rStyle w:val="InternetLink"/>
                  <w:rFonts w:ascii="Times New Roman" w:hAnsi="Times New Roman"/>
                  <w:sz w:val="20"/>
                </w:rPr>
                <w:t>DESCRIPTION OF OUR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7">
              <w:r>
                <w:rPr>
                  <w:rStyle w:val="InternetLink"/>
                  <w:rFonts w:ascii="Times New Roman" w:hAnsi="Times New Roman"/>
                  <w:sz w:val="20"/>
                </w:rPr>
                <w:t>DESCRIPTION OF OUR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8">
              <w:r>
                <w:rPr>
                  <w:rStyle w:val="InternetLink"/>
                  <w:rFonts w:ascii="Times New Roman" w:hAnsi="Times New Roman"/>
                  <w:sz w:val="20"/>
                </w:rPr>
                <w:t>DESCRIPTION OF OUR PREFERRED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19">
              <w:r>
                <w:rPr>
                  <w:rStyle w:val="InternetLink"/>
                  <w:rFonts w:ascii="Times New Roman" w:hAnsi="Times New Roman"/>
                  <w:sz w:val="20"/>
                </w:rPr>
                <w:t>DESCRIPTION OF OUR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0">
              <w:r>
                <w:rPr>
                  <w:rStyle w:val="InternetLink"/>
                  <w:rFonts w:ascii="Times New Roman" w:hAnsi="Times New Roman"/>
                  <w:sz w:val="20"/>
                </w:rPr>
                <w:t>DESCRIPTION OF OUR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1">
              <w:r>
                <w:rPr>
                  <w:rStyle w:val="InternetLink"/>
                  <w:rFonts w:ascii="Times New Roman" w:hAnsi="Times New Roman"/>
                  <w:sz w:val="20"/>
                </w:rPr>
                <w:t>DESCRIPTION OF OUR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2">
              <w:r>
                <w:rPr>
                  <w:rStyle w:val="InternetLink"/>
                  <w:rFonts w:ascii="Times New Roman" w:hAnsi="Times New Roman"/>
                  <w:sz w:val="20"/>
                </w:rPr>
                <w:t>CUSTODIAN, TRANSFER AND DIVIDEND PAYING AGENT AND REGISTRAR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3">
              <w:r>
                <w:rPr>
                  <w:rStyle w:val="InternetLink"/>
                  <w:rFonts w:ascii="Times New Roman" w:hAnsi="Times New Roman"/>
                  <w:sz w:val="20"/>
                </w:rPr>
                <w:t>BROKERAGE ALLOCATION AND OTHER PRACTICES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7">
              <w:r>
                <w:rPr>
                  <w:rStyle w:val="InternetLink"/>
                  <w:rFonts w:ascii="Times New Roman" w:hAnsi="Times New Roman"/>
                  <w:sz w:val="20"/>
                </w:rPr>
                <w:t>AVAILABLE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570824_28">
              <w:r>
                <w:rPr>
                  <w:rStyle w:val="InternetLink"/>
                  <w:rFonts w:ascii="Times New Roman" w:hAnsi="Times New Roman"/>
                  <w:sz w:val="20"/>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 </w:t>
      </w:r>
    </w:p>
    <w:p>
      <w:pPr>
        <w:pStyle w:val="TextBody"/>
        <w:bidi w:val="0"/>
        <w:spacing w:before="360" w:after="0"/>
        <w:jc w:val="left"/>
        <w:rPr>
          <w:rFonts w:ascii="Times New Roman" w:hAnsi="Times New Roman"/>
          <w:b/>
          <w:sz w:val="20"/>
        </w:rPr>
      </w:pPr>
      <w:bookmarkStart w:id="13" w:name="toc570824_1"/>
      <w:bookmarkEnd w:id="13"/>
      <w:r>
        <w:rPr>
          <w:rFonts w:ascii="Times New Roman" w:hAnsi="Times New Roman"/>
          <w:b/>
          <w:sz w:val="20"/>
        </w:rPr>
        <w:t xml:space="preserve">ABOUT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4" w:name="toc570824_2"/>
      <w:bookmarkEnd w:id="1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used in the prospectus, except where the context suggests otherwise, references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TSLX, Sixth Street Specialty Lending, we, us, our, the Company, and the Registrant refer to Sixth Street Specialty Lending, Inc., a Delaware corporation, and its consolidated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subsidiaries of Sixth Street Specialty Lending, Inc. refers to TC Lending, LLC, Sixth Street SL SPV, LLC and Sixth Street SL Holding, LLC, each a Delaware limited liability company, and Sixth Street Specialty Lending Sub, LLC, a Cayman Islands limited liability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Adviser refers to Sixth Street Specialty Lending Advisers, LLC, a Delaware limited liability company;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refers to Sixth Street Partners, LLC.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Sixth Street Specialty Lending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specialty finance company focused on lending to middle-market companies. Since we began our investment activities in July 2011, through September 30, 2023, we have originated more than $28.6 billion aggregate principal amount of investments and retained approximately $9.8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2023 our core portfolio companies, which excludes certain investments that fall outside of our typical borrower profile and represent 92.8% of our total investments based on fair value, had weighted average annual revenue of $209.0 million and weighted average annual EBITDA of $69.2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Investment Portfolio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Specialty Lending, Inc. is a Delaware corporation formed on July 21, 2010. Sixth Street Specialty Lending Advisers, LLC is our external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Adviser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is a Delaware limited liability company. Our Adviser acts as our investment adviser and administrator and is a registered investment adviser with the Securities and Exchange Commission (the SEC) under the Investment Advisers Act of 1940, as amended, or the Advisers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Administrator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Administration Agreement in Note 3 to our consolidated financial statements in our 3Q 2023 Quarterly Report.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Market Opportunity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objective is to generate current income by targeting investments with favorable risk-adjusted returns. We believe the middle-market lending environment provides opportunities for us to meet this objective as a result of a combination of the following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Limited availability of capital for middle-market companies</w:t>
      </w:r>
      <w:r>
        <w:rPr>
          <w:rFonts w:ascii="Times New Roman" w:hAnsi="Times New Roman"/>
          <w:sz w:val="20"/>
          <w:bdr w:val="single" w:sz="8" w:space="1" w:color="000000"/>
        </w:rPr>
        <w:t xml:space="preserve">. We believe that certain structural changes in the market have reduced the 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Strong demand for debt capital</w:t>
      </w:r>
      <w:r>
        <w:rPr>
          <w:rFonts w:ascii="Times New Roman" w:hAnsi="Times New Roman"/>
          <w:sz w:val="20"/>
          <w:bdr w:val="single" w:sz="8" w:space="1" w:color="000000"/>
        </w:rPr>
        <w:t xml:space="preserve">. We believe middle-market companies will continue to require access to debt capital to refinance existing 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Attractive investment dynamics</w:t>
      </w:r>
      <w:r>
        <w:rPr>
          <w:rFonts w:ascii="Times New Roman" w:hAnsi="Times New Roman"/>
          <w:sz w:val="20"/>
          <w:bdr w:val="single" w:sz="8" w:space="1" w:color="000000"/>
        </w:rPr>
        <w:t xml:space="preserve">. An imbalance between the supply of, and demand for, middle-market debt capital creates attractive pricing 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Conservative capital structures</w:t>
      </w:r>
      <w:r>
        <w:rPr>
          <w:rFonts w:ascii="Times New Roman" w:hAnsi="Times New Roman"/>
          <w:sz w:val="20"/>
          <w:bdr w:val="single" w:sz="8" w:space="1" w:color="000000"/>
        </w:rPr>
        <w:t xml:space="preserve">. Following the credit crisis, which we define broadly as occurring between mid-2007 and mid-2009, 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Specialized lending requirements</w:t>
      </w:r>
      <w:r>
        <w:rPr>
          <w:rFonts w:ascii="Times New Roman" w:hAnsi="Times New Roman"/>
          <w:sz w:val="20"/>
          <w:bdr w:val="single" w:sz="8" w:space="1" w:color="000000"/>
        </w:rPr>
        <w:t xml:space="preserve">. Lending to middle-market companies requires specialized due diligence and underwriting capabilities, as 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Desirability of partnering with BDCs</w:t>
      </w:r>
      <w:r>
        <w:rPr>
          <w:rFonts w:ascii="Times New Roman" w:hAnsi="Times New Roman"/>
          <w:sz w:val="20"/>
          <w:bdr w:val="single" w:sz="8" w:space="1" w:color="000000"/>
        </w:rPr>
        <w:t xml:space="preserve">. We believe middle-market companies see advantages in raising capital from BDCs. BDCs have the 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Competitive Strengths and Core Competencies </w:t>
      </w:r>
    </w:p>
    <w:p>
      <w:pPr>
        <w:pStyle w:val="TextBody"/>
        <w:bidi w:val="0"/>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Leading platform and access to proprietary deal flow</w:t>
      </w:r>
      <w:r>
        <w:rPr>
          <w:rFonts w:ascii="Times New Roman" w:hAnsi="Times New Roman"/>
          <w:sz w:val="20"/>
          <w:bdr w:val="single" w:sz="8" w:space="1" w:color="000000"/>
        </w:rPr>
        <w:t xml:space="preserve">. The substantial majority of our investments are not intermediated and are originated 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Disciplined investment and underwriting process</w:t>
      </w:r>
      <w:r>
        <w:rPr>
          <w:rFonts w:ascii="Times New Roman" w:hAnsi="Times New Roman"/>
          <w:sz w:val="20"/>
          <w:bdr w:val="single" w:sz="8" w:space="1" w:color="000000"/>
        </w:rPr>
        <w:t xml:space="preserve">. Through our Adviser, we seek to achieve the highest risk-adjusted returns available as opposed to the highest absolute return available. Our investment approach seeks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combine a rigorous analysis of macroeconomic and market factors with a deep understanding of individual companies and their assets, management and prospects. We believe four factors distinguish our investment approach: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Flexibility</w:t>
            </w:r>
            <w:r>
              <w:rPr>
                <w:rFonts w:ascii="Times New Roman" w:hAnsi="Times New Roman"/>
                <w:sz w:val="20"/>
              </w:rPr>
              <w:t xml:space="preserve">. Our broad middle-market focus and our Advisers integrated position within Sixth Street allow us to determine current market opportunities and identify relative value.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Risk</w:t>
            </w:r>
            <w:r>
              <w:rPr>
                <w:rFonts w:ascii="Times New Roman" w:hAnsi="Times New Roman"/>
                <w:sz w:val="20"/>
              </w:rPr>
              <w:t xml:space="preserve"> </w:t>
            </w:r>
            <w:r>
              <w:rPr>
                <w:rFonts w:ascii="Times New Roman" w:hAnsi="Times New Roman"/>
                <w:i/>
                <w:sz w:val="20"/>
              </w:rPr>
              <w:t>pricing</w:t>
            </w:r>
            <w:r>
              <w:rPr>
                <w:rFonts w:ascii="Times New Roman" w:hAnsi="Times New Roman"/>
                <w:sz w:val="20"/>
              </w:rPr>
              <w:t xml:space="preserve">. The risk profile of our portfolio evolves across credit cycles as credit tightens and loosens. During periods when risk 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Disciplined four-tiered investment framework</w:t>
            </w:r>
            <w:r>
              <w:rPr>
                <w:rFonts w:ascii="Times New Roman" w:hAnsi="Times New Roman"/>
                <w:sz w:val="20"/>
              </w:rPr>
              <w:t xml:space="preserve">. Through our Adviser, we perform detailed company-specific analysis focusing on a four-tiered investment framework: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Business and sector selection</w:t>
            </w:r>
            <w:r>
              <w:rPr>
                <w:rFonts w:ascii="Times New Roman" w:hAnsi="Times New Roman"/>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Investment structuring</w:t>
            </w:r>
            <w:r>
              <w:rPr>
                <w:rFonts w:ascii="Times New Roman" w:hAnsi="Times New Roman"/>
                <w:sz w:val="20"/>
              </w:rPr>
              <w:t xml:space="preserve">. We focus on investing at the top of the capital structure and protecting that position.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Deal dynamics</w:t>
            </w:r>
            <w:r>
              <w:rPr>
                <w:rFonts w:ascii="Times New Roman" w:hAnsi="Times New Roman"/>
                <w:sz w:val="20"/>
              </w:rPr>
              <w:t xml:space="preserve">. We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Risk Mitigation</w:t>
            </w:r>
            <w:r>
              <w:rPr>
                <w:rFonts w:ascii="Times New Roman" w:hAnsi="Times New Roman"/>
                <w:sz w:val="20"/>
              </w:rPr>
              <w:t xml:space="preserve">. We seek to mitigate non-credit-related risk on our returns in several ways, including call protection provisions to protect future payment income. In addition, most of our investments are floating rate in nature, which we believe helps act as a portfolio-wide hedge against inflation.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Robust and active investment management</w:t>
            </w:r>
            <w:r>
              <w:rPr>
                <w:rFonts w:ascii="Times New Roman" w:hAnsi="Times New Roman"/>
                <w:sz w:val="20"/>
              </w:rPr>
              <w:t xml:space="preserve">. Our Adviser rigorously monitors the credit profile of portfolio investments, with the aim of proactively identifying sector and operational issues and carefully managing risks. The information gathered on market trends through this process also informs our underwriting for new loans.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tailor investments rather than focusing only on driving investment volume.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Carefully constructed, existing portfolio consisting of predominantly senior, floating rate loans across a broad range of industries and borrowers</w:t>
      </w:r>
      <w:r>
        <w:rPr>
          <w:rFonts w:ascii="Times New Roman" w:hAnsi="Times New Roman"/>
          <w:sz w:val="20"/>
          <w:bdr w:val="single" w:sz="8" w:space="1" w:color="000000"/>
        </w:rPr>
        <w:t xml:space="preserve">. Since we began investing in July 2011, through September 30, 2023, we have originated more than $28.6 billion aggregate principal amount of investments. As of September 30, 2023, our investment portfolio consisted of investments in 131 portfolio companies (including 42 structured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Experienced management team</w:t>
      </w:r>
      <w:r>
        <w:rPr>
          <w:rFonts w:ascii="Times New Roman" w:hAnsi="Times New Roman"/>
          <w:sz w:val="20"/>
          <w:bdr w:val="single" w:sz="8" w:space="1" w:color="000000"/>
        </w:rPr>
        <w:t xml:space="preserve">. The Adviser has a highly experienced management team consisting of nine Sixth Street Partners and nine 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Aligned investment professionals</w:t>
      </w:r>
      <w:r>
        <w:rPr>
          <w:rFonts w:ascii="Times New Roman" w:hAnsi="Times New Roman"/>
          <w:sz w:val="20"/>
          <w:bdr w:val="single" w:sz="8" w:space="1" w:color="000000"/>
        </w:rPr>
        <w:t xml:space="preserve">. We believe our investment professionals are aligned with our investment objective. The compensation structure for our investment professionals is based on our returns, as opposed to transaction volume, which we believe fosters a focus on credit quality when originating investments.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Operating and Regulatory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manages our investment activities under the direction of our board of directors, or the Board. A majority of our Board members are not interested persons of us, the Adviser and our respective affiliates, as such term is defined under Section 2(a)(19) of the 1940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BDC, we are required to comply with numerous regulatory requirements: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Leverage</w:t>
            </w:r>
            <w:r>
              <w:rPr>
                <w:rFonts w:ascii="Times New Roman" w:hAnsi="Times New Roman"/>
                <w:sz w:val="20"/>
              </w:rPr>
              <w:t xml:space="preserve">. Regulations under the 1940 Act limit our ability to use borrowing, also known as leverage, in significant respects. In 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Investment Allocation</w:t>
            </w:r>
            <w:r>
              <w:rPr>
                <w:rFonts w:ascii="Times New Roman" w:hAnsi="Times New Roman"/>
                <w:sz w:val="20"/>
              </w:rPr>
              <w:t xml:space="preserve">. As a BDC, we are required to invest at least 70% of our total assets in qualifying assets, which generally include securities of eligible portfolio companies, cash, cash equivalents, U.S. government securities and high-quality debt instruments maturing in one year or less from the time of investment. Eligible portfolio companies are defined in the 1940 Act as: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 domestic operating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domestic operating companies whose securities are not listed on a national securities exchange (e.g., the NYSE Amex Equities and The NASDAQ Global Market) or registered under the Securities Exchange Act of 1934, as amended, or the Exchange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domestic operating companies having a market capitalization of less than $250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Public domestic operating companies whose securities are quoted on the over-the-counter bulletin board and through OTC Markets Group, Inc. are not listed on a national securities exchange and, as a result, are eligible portfolio companies.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RIC Status</w:t>
            </w:r>
            <w:r>
              <w:rPr>
                <w:rFonts w:ascii="Times New Roman" w:hAnsi="Times New Roman"/>
                <w:sz w:val="20"/>
              </w:rPr>
              <w:t xml:space="preserve">. We have elected to be treated as a RIC for U.S. federal income tax purposes. To maintain our status as a RIC and to avoid having our earnings subject to corporate-level U.S. federal income taxation, we must satisfy certain source of income, asset diversification and distribution requirements.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Material U.S. Federal Income Tax Considerations.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Leverage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Conflicts of Interests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Certain Relationships and Related Party Transactions in our Definitive Proxy Statement on Schedule 14A relating to our 2023 Annual Meeting of Stockholders filed with the SEC on April 13, 2023 (2023 Annual Proxy), and such section is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Exemptive Order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Regulation as a Business Development Company-Transactions with our Affiliates in our 2022 Annual Report, and such section is incorporated by reference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Certain Relationships and Related Party TransactionsExemptive Order in our 2023 Annual Proxy, and such section is incorporated by reference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Repurchase Plan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and Structure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upon management personnel of the Adviser, Sixth Street and their affiliates for our future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significant regulations governing our operation as a BDC, which affect our ability to, and the way in which we, raise additional capital. Changes in regulation could adversely affect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borrow money, which magnifies the potential for gain or loss and increases the risk of investing in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competitive market for investment opportunities.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source investments, access financing or manage future growth effectively, we may be unable to achieve our investment objective.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in the event the value of your investment declines, the Management Fee and, in certain circumstances, the Incentive Fee will still be payable to the Adviser.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we do not realize income or choose not to retain after-tax realized net capital gains, we will have a greater need for additional capital to fund our investments and operating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corporate-level U.S. federal income tax if we are unable to maintain our qualification as a RIC under Subchapter M of the Code, including as a result of our failure to satisfy the RIC distribution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be expected to retain some income and capital gains in excess of what is permissible for excise tax purposes and such amounts will be subject to a nondeductible 4% U.S. federal excise tax.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Adviser and its affiliates, officers and employees may face certain conflicts of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Advisers liability is limited under the Investment Advisory Agreement, and we are required to indemnify the Adviser against certain liabilities, which may lead the Adviser to act in a riskier manner on our behalf than it would when acting for its own account.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our status as a BDC would reduce our operating flexibility.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incur significant costs as a result of being a publicly traded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of the General Corporation Law of the State of Delaware and our certificate of incorporation and bylaws could deter takeover attempts and have an adverse effect on the price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investors are limited in their ability to make significant investments in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risks and cyber incidents may adversely affect our business or those of our portfolio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may change our investment objective, operating policies and strategies without prior notice or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of our debt investments to our portfolio companies and our indebtedness that extend beyond 2023 might be subject to change based on recent regulatory changes.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Economic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COVID-19 pandemic has materially and adversely affected, and is likely to continue to materially and adversely affect, our portfolio companies and the results of our operations, including our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state of the economy and financial markets increases the likelihood of adverse effects on our financial position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about financial stability could have a significant adverse effect on our business, results of operations and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recessions or downturns could impair our portfolio companies and harm our operating results.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Portfolio Company Investments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investments are very risky and highly speculative.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liquidity in our investments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portfolio may be focused on a limited number of portfolio companies or industries, which will subject us to a risk of significant loss if any of these companies defaults on its obligations under any of its debt instruments or if there is a downturn in a particular industry.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securitize certain of our investments, which may subject us to certain structured financing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we generally do not hold controlling interests in our portfolio companies, we may not be in a position to exercise control over those portfolio companies or prevent decisions by management of those portfolio companies that could decrease the value of our investments.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exposed to risks associated with changes in interest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realize expected returns on our invested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originating loans to companies that are experiencing significant financial or business difficulties, we may be exposed to distressed lending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portfolio companies in some cases may incur debt or issue equity securities that rank equally with, or senior to, our investments in those companies and we may be exposed to special risks associated with bankruptcy cases.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make follow-on investments in our portfolio companies could impair the value of our investments.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transactions with our affiliates is restricted.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acquisitions or strategic investments that we pursue are subject to risks and uncertainties.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guarantee that we will be able to obtain various required licenses in U.S. states or in any other jurisdiction where they may be required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investments in foreign companies may involve significant risks in addition to the risks inherent in U.S. investments.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expose ourselves to risks when we engage in hedging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market structure applicable to derivatives imposed by the Dodd-Frank Act may affect our ability to use over-the-counter (OTC) derivatives for hedging purposes.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portfolio investments may present special tax issues, and there are certain risks associated with holding debt obligations that have original issue discount or payment-in-kind interest.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Securities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risk that investors in our common stock may not receive dividends or that our dividends may not grow over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Investing in our securities may involve a high degree of risk and the market price of our common stock may fluctuate significantly and could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will experience dilution in their ownership percentage if they opt out of our dividend reinvestment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of our common stock by us under the Company 10b5-1 Plan may result in dilution to our net asset value per share and the price of our common stock being higher than the price that otherwise might exist in the open market.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General Risk Factors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highly dependent on information systems and systems failures could significantly disrupt our business, which may, in turn, negatively affect the market price of our common stock and our ability to pay dividend.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governing our operations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global climate change may impact the operations of our portfolio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Legislation allows us to incur additional leverage.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borrow money, which magnifies the potential for gain or loss and increases the risk of investing in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governing our operation as a BDC affect our ability to, and the way in which we, raise additional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adversely affect our business, financial conditions or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in the event the value of your investment declines, the Management Fee and, in certain circumstances, the Incentive Fee will still be payable to the Adviser.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broad discretion over the use of proceeds of any offering made pursuant to this prospectus, to the extent it is successful.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asset value per share of our common stock may be diluted if we sell or otherwise issue shares of our common stock at prices below the then-current net asset value per share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in the future determine to issue preferred stock, which could adversely affect the market value of our common stock and cause the net asset value and market value of our common stock to be more volatile.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any preferred stock we might issue would have the right to elect members of the board of directors and class voting rights on certain matters.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5" w:name="toc570824_3"/>
      <w:bookmarkEnd w:id="15"/>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is additional information regarding offerings of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Proceeds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supplement to this prospectus relating to an offering will more fully identify the use of the proceeds from such offering. See Use of Proceeds.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b/>
              </w:rPr>
            </w:pPr>
            <w:r>
              <w:rPr>
                <w:b/>
              </w:rPr>
              <w:t>Symbol on the NYSE</w:t>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TSLX</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Distributions</w:t>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maintain our tax treatment as a RIC, we must make certain distributions. See Material U.S. Federal Income Tax Considerations-Regulated Investment Company Classification.</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Anti-Takeover Provisions</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Leverage</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 a BDC, we are permitted under the 1940 Act to borrow funds or issue senior securities to finance a portion of our investments. As a result, we are exposed to the risks of leverage, which may be considered a speculative investment technique.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Dividend Reinvestment Plan</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Taxation</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maintain our status as a RIC and to avoid being subject to corporate-level U.S. federal income taxation on our earnings, we must, among other things: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our election under the 1940 Act to be treated as a BDC;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gains from the sale or other disposition of stock or securities and other specified categories of investment income;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diversified holdings.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we must distribute (or be treated as distributing) in each taxable year dividends for tax purposes equal to at least 90% of our investment company taxable income and net tax-exempt income for that taxable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Arrangements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Trading at a Discount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Available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maintain a website at https://sixthstreetspecialtylending.com and make all of our periodic and current reports, proxy statements and other information available, free of charge, on or through our website.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our website is not incorporated into or part of this prospectus. You may also obtain such information free of charge by contacting us in writing at 888 7th Avenue, 41st Floor, New York, NY 10106, Attention: TSLX Investor Relations, or by emailing us at IRTSLX@sixthstreet.com.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Information Incorporated by Reference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6" w:name="toc570824_4"/>
      <w:bookmarkEnd w:id="16"/>
      <w:r>
        <w:rPr>
          <w:rFonts w:ascii="Times New Roman" w:hAnsi="Times New Roman"/>
          <w:b/>
          <w:sz w:val="20"/>
          <w:bdr w:val="single" w:sz="8" w:space="1" w:color="000000"/>
        </w:rPr>
        <w:t xml:space="preserve">FEES AND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9060"/>
        <w:gridCol w:w="172"/>
        <w:gridCol w:w="60"/>
        <w:gridCol w:w="140"/>
        <w:gridCol w:w="60"/>
        <w:gridCol w:w="172"/>
        <w:gridCol w:w="60"/>
        <w:gridCol w:w="280"/>
        <w:gridCol w:w="201"/>
      </w:tblGrid>
      <w:tr>
        <w:trPr/>
        <w:tc>
          <w:tcPr>
            <w:tcW w:w="90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90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 (as a percentage of offering price):</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sz w:val="4"/>
                <w:szCs w:val="4"/>
              </w:rPr>
            </w:pPr>
            <w:r>
              <w:rPr>
                <w:sz w:val="4"/>
                <w:szCs w:val="4"/>
              </w:rPr>
            </w:r>
          </w:p>
        </w:tc>
      </w:tr>
      <w:tr>
        <w:trPr/>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Sales load</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right"/>
              <w:rPr/>
            </w:pPr>
            <w:r>
              <w:rPr/>
              <w:t>(1 </w:t>
            </w:r>
          </w:p>
        </w:tc>
        <w:tc>
          <w:tcPr>
            <w:tcW w:w="201" w:type="dxa"/>
            <w:tcBorders/>
            <w:vAlign w:val="bottom"/>
          </w:tcPr>
          <w:p>
            <w:pPr>
              <w:pStyle w:val="TableContents"/>
              <w:bidi w:val="0"/>
              <w:spacing w:before="0" w:after="283"/>
              <w:jc w:val="left"/>
              <w:rPr/>
            </w:pPr>
            <w:r>
              <w:rPr/>
              <w:t>) </w:t>
            </w:r>
          </w:p>
        </w:tc>
      </w:tr>
      <w:tr>
        <w:trPr/>
        <w:tc>
          <w:tcPr>
            <w:tcW w:w="9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expenses</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right"/>
              <w:rPr/>
            </w:pPr>
            <w:r>
              <w:rPr/>
              <w:t>(2 </w:t>
            </w:r>
          </w:p>
        </w:tc>
        <w:tc>
          <w:tcPr>
            <w:tcW w:w="201" w:type="dxa"/>
            <w:tcBorders/>
            <w:shd w:fill="CCEEFF" w:val="clear"/>
            <w:vAlign w:val="bottom"/>
          </w:tcPr>
          <w:p>
            <w:pPr>
              <w:pStyle w:val="TableContents"/>
              <w:bidi w:val="0"/>
              <w:spacing w:before="0" w:after="283"/>
              <w:jc w:val="left"/>
              <w:rPr/>
            </w:pPr>
            <w:r>
              <w:rPr/>
              <w:t>) </w:t>
            </w:r>
          </w:p>
        </w:tc>
      </w:tr>
      <w:tr>
        <w:trPr/>
        <w:tc>
          <w:tcPr>
            <w:tcW w:w="9060" w:type="dxa"/>
            <w:tcBorders/>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right"/>
              <w:rPr/>
            </w:pPr>
            <w:r>
              <w:rPr/>
              <w:t>(3 </w:t>
            </w:r>
          </w:p>
        </w:tc>
        <w:tc>
          <w:tcPr>
            <w:tcW w:w="201"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8503"/>
        <w:gridCol w:w="169"/>
        <w:gridCol w:w="60"/>
        <w:gridCol w:w="567"/>
        <w:gridCol w:w="280"/>
        <w:gridCol w:w="126"/>
        <w:gridCol w:w="60"/>
        <w:gridCol w:w="280"/>
        <w:gridCol w:w="160"/>
      </w:tblGrid>
      <w:tr>
        <w:trPr/>
        <w:tc>
          <w:tcPr>
            <w:tcW w:w="8503"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5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annual expenses (as a percentage of net assets attributable to common stock)(4):</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8503" w:type="dxa"/>
            <w:tcBorders/>
          </w:tcPr>
          <w:p>
            <w:pPr>
              <w:pStyle w:val="TableContents"/>
              <w:bidi w:val="0"/>
              <w:spacing w:before="0" w:after="0"/>
              <w:jc w:val="left"/>
              <w:rPr>
                <w:rFonts w:ascii="Times New Roman" w:hAnsi="Times New Roman"/>
                <w:sz w:val="20"/>
              </w:rPr>
            </w:pPr>
            <w:r>
              <w:rPr>
                <w:rFonts w:ascii="Times New Roman" w:hAnsi="Times New Roman"/>
                <w:sz w:val="20"/>
              </w:rPr>
              <w:t>Management Fee payable under the Investment Advisory Agreement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2.97</w:t>
            </w:r>
          </w:p>
        </w:tc>
        <w:tc>
          <w:tcPr>
            <w:tcW w:w="28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right"/>
              <w:rPr/>
            </w:pPr>
            <w:r>
              <w:rPr/>
              <w:t>(5 </w:t>
            </w:r>
          </w:p>
        </w:tc>
        <w:tc>
          <w:tcPr>
            <w:tcW w:w="160" w:type="dxa"/>
            <w:tcBorders/>
            <w:vAlign w:val="bottom"/>
          </w:tcPr>
          <w:p>
            <w:pPr>
              <w:pStyle w:val="TableContents"/>
              <w:bidi w:val="0"/>
              <w:spacing w:before="0" w:after="283"/>
              <w:jc w:val="left"/>
              <w:rPr/>
            </w:pPr>
            <w:r>
              <w:rPr/>
              <w:t>) </w:t>
            </w:r>
          </w:p>
        </w:tc>
      </w:tr>
      <w:tr>
        <w:trPr/>
        <w:tc>
          <w:tcPr>
            <w:tcW w:w="8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Incentive Fee payable under the Investment Advisory Agreement</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2.49</w:t>
            </w:r>
          </w:p>
        </w:tc>
        <w:tc>
          <w:tcPr>
            <w:tcW w:w="28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right"/>
              <w:rPr/>
            </w:pPr>
            <w:r>
              <w:rPr/>
              <w:t>(6 </w:t>
            </w:r>
          </w:p>
        </w:tc>
        <w:tc>
          <w:tcPr>
            <w:tcW w:w="160" w:type="dxa"/>
            <w:tcBorders/>
            <w:shd w:fill="CCEEFF" w:val="clear"/>
            <w:vAlign w:val="bottom"/>
          </w:tcPr>
          <w:p>
            <w:pPr>
              <w:pStyle w:val="TableContents"/>
              <w:bidi w:val="0"/>
              <w:spacing w:before="0" w:after="283"/>
              <w:jc w:val="left"/>
              <w:rPr/>
            </w:pPr>
            <w:r>
              <w:rPr/>
              <w:t>) </w:t>
            </w:r>
          </w:p>
        </w:tc>
      </w:tr>
      <w:tr>
        <w:trPr/>
        <w:tc>
          <w:tcPr>
            <w:tcW w:w="8503" w:type="dxa"/>
            <w:tcBorders/>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4.17</w:t>
            </w:r>
          </w:p>
        </w:tc>
        <w:tc>
          <w:tcPr>
            <w:tcW w:w="28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right"/>
              <w:rPr/>
            </w:pPr>
            <w:r>
              <w:rPr/>
              <w:t>(7 </w:t>
            </w:r>
          </w:p>
        </w:tc>
        <w:tc>
          <w:tcPr>
            <w:tcW w:w="160" w:type="dxa"/>
            <w:tcBorders/>
            <w:vAlign w:val="bottom"/>
          </w:tcPr>
          <w:p>
            <w:pPr>
              <w:pStyle w:val="TableContents"/>
              <w:bidi w:val="0"/>
              <w:spacing w:before="0" w:after="283"/>
              <w:jc w:val="left"/>
              <w:rPr/>
            </w:pPr>
            <w:r>
              <w:rPr/>
              <w:t>) </w:t>
            </w:r>
          </w:p>
        </w:tc>
      </w:tr>
      <w:tr>
        <w:trPr/>
        <w:tc>
          <w:tcPr>
            <w:tcW w:w="8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1.20</w:t>
            </w:r>
          </w:p>
        </w:tc>
        <w:tc>
          <w:tcPr>
            <w:tcW w:w="28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right"/>
              <w:rPr/>
            </w:pPr>
            <w:r>
              <w:rPr/>
              <w:t>(8 </w:t>
            </w:r>
          </w:p>
        </w:tc>
        <w:tc>
          <w:tcPr>
            <w:tcW w:w="160" w:type="dxa"/>
            <w:tcBorders/>
            <w:shd w:fill="CCEEFF" w:val="clear"/>
            <w:vAlign w:val="bottom"/>
          </w:tcPr>
          <w:p>
            <w:pPr>
              <w:pStyle w:val="TableContents"/>
              <w:bidi w:val="0"/>
              <w:spacing w:before="0" w:after="283"/>
              <w:jc w:val="left"/>
              <w:rPr/>
            </w:pPr>
            <w:r>
              <w:rPr/>
              <w:t>) </w:t>
            </w:r>
          </w:p>
        </w:tc>
      </w:tr>
      <w:tr>
        <w:trPr/>
        <w:tc>
          <w:tcPr>
            <w:tcW w:w="8503" w:type="dxa"/>
            <w:tcBorders/>
          </w:tcPr>
          <w:p>
            <w:pPr>
              <w:pStyle w:val="TableContents"/>
              <w:bidi w:val="0"/>
              <w:spacing w:before="0" w:after="0"/>
              <w:jc w:val="left"/>
              <w:rPr>
                <w:rFonts w:ascii="Times New Roman" w:hAnsi="Times New Roman"/>
                <w:sz w:val="20"/>
              </w:rPr>
            </w:pPr>
            <w:r>
              <w:rPr>
                <w:rFonts w:ascii="Times New Roman" w:hAnsi="Times New Roman"/>
                <w:sz w:val="20"/>
              </w:rPr>
              <w:t>Total annual expenses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10.83</w:t>
            </w:r>
          </w:p>
        </w:tc>
        <w:tc>
          <w:tcPr>
            <w:tcW w:w="28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securities to which this prospectus relates are sold to or through underwriters, a corresponding prospectus supplement will disclose the applicable sales load (underwriting discount or commission).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prospectus supplement will disclose the estimated amount of offering expenses, the offering price and the offering expenses borne by us as a percentage of the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assets attributable to common stock used to calculate the percentages in this table reflect our net assets of $1,341.6 million as of December 31,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Management Fee reflected in the table is calculated by determining the ratio that the Management Fee for the year ended December 31, 2022 bears to our net assets attributable to common stock (rather than our gross assets).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Incentive Fee consists of two parts, as follows: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purposes of determining whether pre-Incentive Fee net investment income exceeds the hurdle rate, pre-Incentive Fee net investment income is expressed as a rate of return on the value of our net assets at the end of the immediately preceding calendar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205(b)(3) of the Advisers Act, as amended, prohibits the Adviser from receiving the payment of fees on unrealized gains until those gains are realized, if ever. There can be no assurance that such unrealized gains will be realized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Example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705"/>
        <w:gridCol w:w="295"/>
        <w:gridCol w:w="227"/>
        <w:gridCol w:w="440"/>
        <w:gridCol w:w="60"/>
        <w:gridCol w:w="295"/>
        <w:gridCol w:w="199"/>
        <w:gridCol w:w="545"/>
        <w:gridCol w:w="60"/>
        <w:gridCol w:w="295"/>
        <w:gridCol w:w="199"/>
        <w:gridCol w:w="544"/>
        <w:gridCol w:w="60"/>
        <w:gridCol w:w="295"/>
        <w:gridCol w:w="231"/>
        <w:gridCol w:w="687"/>
        <w:gridCol w:w="68"/>
      </w:tblGrid>
      <w:tr>
        <w:trPr/>
        <w:tc>
          <w:tcPr>
            <w:tcW w:w="570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70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year</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 years</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7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 years</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 years</w:t>
            </w:r>
          </w:p>
        </w:tc>
        <w:tc>
          <w:tcPr>
            <w:tcW w:w="68"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common stock investment, assuming a 5% annual return from realized capital gains</w:t>
            </w:r>
          </w:p>
        </w:tc>
        <w:tc>
          <w:tcPr>
            <w:tcW w:w="29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92</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45" w:type="dxa"/>
            <w:tcBorders/>
            <w:shd w:fill="CCEEFF" w:val="clear"/>
            <w:vAlign w:val="bottom"/>
          </w:tcPr>
          <w:p>
            <w:pPr>
              <w:pStyle w:val="TableContents"/>
              <w:bidi w:val="0"/>
              <w:spacing w:before="0" w:after="283"/>
              <w:jc w:val="right"/>
              <w:rPr/>
            </w:pPr>
            <w:r>
              <w:rPr/>
              <w:t>265</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544" w:type="dxa"/>
            <w:tcBorders/>
            <w:shd w:fill="CCEEFF" w:val="clear"/>
            <w:vAlign w:val="bottom"/>
          </w:tcPr>
          <w:p>
            <w:pPr>
              <w:pStyle w:val="TableContents"/>
              <w:bidi w:val="0"/>
              <w:spacing w:before="0" w:after="283"/>
              <w:jc w:val="right"/>
              <w:rPr/>
            </w:pPr>
            <w:r>
              <w:rPr/>
              <w:t>423</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765</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570824_4a"/>
      <w:bookmarkEnd w:id="17"/>
      <w:r>
        <w:rPr>
          <w:rFonts w:ascii="Times New Roman" w:hAnsi="Times New Roman"/>
          <w:b/>
          <w:sz w:val="20"/>
        </w:rPr>
        <w:t xml:space="preserve">FINANCIAL HIGHLIGHTS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 </w:t>
      </w:r>
    </w:p>
    <w:p>
      <w:pPr>
        <w:pStyle w:val="TextBody"/>
        <w:bidi w:val="0"/>
        <w:spacing w:before="0" w:after="0"/>
        <w:jc w:val="left"/>
        <w:rPr/>
      </w:pPr>
      <w:r>
        <w:rPr/>
        <w:t> </w:t>
      </w:r>
    </w:p>
    <w:tbl>
      <w:tblPr>
        <w:tblW w:w="10670" w:type="dxa"/>
        <w:jc w:val="center"/>
        <w:tblInd w:w="0" w:type="dxa"/>
        <w:tblLayout w:type="fixed"/>
        <w:tblCellMar>
          <w:top w:w="0" w:type="dxa"/>
          <w:left w:w="0" w:type="dxa"/>
          <w:bottom w:w="0" w:type="dxa"/>
          <w:right w:w="0" w:type="dxa"/>
        </w:tblCellMar>
      </w:tblPr>
      <w:tblGrid>
        <w:gridCol w:w="830"/>
        <w:gridCol w:w="60"/>
        <w:gridCol w:w="295"/>
        <w:gridCol w:w="1180"/>
        <w:gridCol w:w="155"/>
        <w:gridCol w:w="60"/>
        <w:gridCol w:w="283"/>
        <w:gridCol w:w="1132"/>
        <w:gridCol w:w="155"/>
        <w:gridCol w:w="60"/>
        <w:gridCol w:w="283"/>
        <w:gridCol w:w="1132"/>
        <w:gridCol w:w="155"/>
        <w:gridCol w:w="60"/>
        <w:gridCol w:w="283"/>
        <w:gridCol w:w="1132"/>
        <w:gridCol w:w="155"/>
        <w:gridCol w:w="60"/>
        <w:gridCol w:w="283"/>
        <w:gridCol w:w="1132"/>
        <w:gridCol w:w="155"/>
        <w:gridCol w:w="60"/>
        <w:gridCol w:w="283"/>
        <w:gridCol w:w="1132"/>
        <w:gridCol w:w="155"/>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w:t>
              <w:br/>
              <w:t>September 30,</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2018</w:t>
            </w:r>
          </w:p>
        </w:tc>
        <w:tc>
          <w:tcPr>
            <w:tcW w:w="15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Per Share Data(8)</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16"/>
              </w:rPr>
            </w:pPr>
            <w:r>
              <w:rPr>
                <w:rFonts w:ascii="Times New Roman" w:hAnsi="Times New Roman"/>
                <w:sz w:val="16"/>
              </w:rPr>
              <w:t>Net asset value, beginning of period</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16.48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16.84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17.16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16.83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16.25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16.09</w:t>
            </w:r>
          </w:p>
        </w:tc>
        <w:tc>
          <w:tcPr>
            <w:tcW w:w="15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investment income(1)</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2.25</w:t>
            </w:r>
          </w:p>
        </w:tc>
        <w:tc>
          <w:tcPr>
            <w:tcW w:w="15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16"/>
              </w:rPr>
            </w:pPr>
            <w:r>
              <w:rPr>
                <w:rFonts w:ascii="Times New Roman" w:hAnsi="Times New Roman"/>
                <w:sz w:val="16"/>
              </w:rPr>
              <w:t>Net realized and unrealized gains (losses)(1)</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0.35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(0.39</w:t>
            </w:r>
          </w:p>
        </w:tc>
        <w:tc>
          <w:tcPr>
            <w:tcW w:w="155"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from operations</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1.86</w:t>
            </w:r>
          </w:p>
        </w:tc>
        <w:tc>
          <w:tcPr>
            <w:tcW w:w="15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common stock, net of offering costs(2)</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0.08</w:t>
            </w:r>
          </w:p>
        </w:tc>
        <w:tc>
          <w:tcPr>
            <w:tcW w:w="15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Settlement of 2022 Convertible Notes(2)</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16"/>
              </w:rPr>
            </w:pPr>
            <w:r>
              <w:rPr>
                <w:rFonts w:ascii="Times New Roman" w:hAnsi="Times New Roman"/>
                <w:sz w:val="16"/>
              </w:rPr>
              <w:t>Repurchase of common stock(2)</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Repurchase of debt(2)</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16"/>
              </w:rPr>
            </w:pPr>
            <w:r>
              <w:rPr>
                <w:rFonts w:ascii="Times New Roman" w:hAnsi="Times New Roman"/>
                <w:sz w:val="16"/>
              </w:rPr>
              <w:t>Dividends declared from net investment income(2)</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 declared from realized gains(2)</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16"/>
              </w:rPr>
            </w:pPr>
            <w:r>
              <w:rPr>
                <w:rFonts w:ascii="Times New Roman" w:hAnsi="Times New Roman"/>
                <w:sz w:val="16"/>
              </w:rPr>
              <w:t>Total increase/(decrease) in net assets</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0.49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Net Asset Value, End of Period</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16.97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16.48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16.84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16.83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16.25</w:t>
            </w:r>
          </w:p>
        </w:tc>
        <w:tc>
          <w:tcPr>
            <w:tcW w:w="155" w:type="dxa"/>
            <w:tcBorders/>
            <w:shd w:fill="CCEEFF" w:val="clear"/>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tbl>
      <w:tblPr>
        <w:tblW w:w="5000" w:type="pct"/>
        <w:jc w:val="center"/>
        <w:tblInd w:w="0" w:type="dxa"/>
        <w:tblLayout w:type="fixed"/>
        <w:tblCellMar>
          <w:top w:w="0" w:type="dxa"/>
          <w:left w:w="0" w:type="dxa"/>
          <w:bottom w:w="0" w:type="dxa"/>
          <w:right w:w="0" w:type="dxa"/>
        </w:tblCellMar>
      </w:tblPr>
      <w:tblGrid>
        <w:gridCol w:w="1552"/>
        <w:gridCol w:w="158"/>
        <w:gridCol w:w="283"/>
        <w:gridCol w:w="1133"/>
        <w:gridCol w:w="155"/>
        <w:gridCol w:w="158"/>
        <w:gridCol w:w="283"/>
        <w:gridCol w:w="1133"/>
        <w:gridCol w:w="155"/>
        <w:gridCol w:w="158"/>
        <w:gridCol w:w="283"/>
        <w:gridCol w:w="1132"/>
        <w:gridCol w:w="155"/>
        <w:gridCol w:w="158"/>
        <w:gridCol w:w="283"/>
        <w:gridCol w:w="1133"/>
        <w:gridCol w:w="155"/>
        <w:gridCol w:w="158"/>
        <w:gridCol w:w="283"/>
        <w:gridCol w:w="1133"/>
        <w:gridCol w:w="164"/>
      </w:tblGrid>
      <w:tr>
        <w:trPr/>
        <w:tc>
          <w:tcPr>
            <w:tcW w:w="1552"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2017</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2016</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2015</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2014</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2013</w:t>
            </w:r>
          </w:p>
        </w:tc>
        <w:tc>
          <w:tcPr>
            <w:tcW w:w="164" w:type="dxa"/>
            <w:tcBorders/>
            <w:vAlign w:val="bottom"/>
          </w:tcPr>
          <w:p>
            <w:pPr>
              <w:pStyle w:val="TableContents"/>
              <w:bidi w:val="0"/>
              <w:spacing w:before="0" w:after="283"/>
              <w:jc w:val="left"/>
              <w:rPr/>
            </w:pPr>
            <w:r>
              <w:rPr/>
              <w:t> </w:t>
            </w:r>
          </w:p>
        </w:tc>
      </w:tr>
      <w:tr>
        <w:trPr/>
        <w:tc>
          <w:tcPr>
            <w:tcW w:w="155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Per Share Data(8)</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1552" w:type="dxa"/>
            <w:tcBorders/>
          </w:tcPr>
          <w:p>
            <w:pPr>
              <w:pStyle w:val="TableContents"/>
              <w:bidi w:val="0"/>
              <w:spacing w:before="0" w:after="0"/>
              <w:jc w:val="left"/>
              <w:rPr>
                <w:rFonts w:ascii="Times New Roman" w:hAnsi="Times New Roman"/>
                <w:sz w:val="16"/>
              </w:rPr>
            </w:pPr>
            <w:r>
              <w:rPr>
                <w:rFonts w:ascii="Times New Roman" w:hAnsi="Times New Roman"/>
                <w:sz w:val="16"/>
              </w:rPr>
              <w:t>Net asset value, beginning of period</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15.95</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15.15</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15.53</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15.52</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15.19</w:t>
            </w:r>
          </w:p>
        </w:tc>
        <w:tc>
          <w:tcPr>
            <w:tcW w:w="164" w:type="dxa"/>
            <w:tcBorders/>
            <w:vAlign w:val="bottom"/>
          </w:tcPr>
          <w:p>
            <w:pPr>
              <w:pStyle w:val="TableContents"/>
              <w:bidi w:val="0"/>
              <w:spacing w:before="0" w:after="283"/>
              <w:jc w:val="left"/>
              <w:rPr/>
            </w:pPr>
            <w:r>
              <w:rPr/>
              <w:t> </w:t>
            </w:r>
          </w:p>
        </w:tc>
      </w:tr>
      <w:tr>
        <w:trPr/>
        <w:tc>
          <w:tcPr>
            <w:tcW w:w="155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investment income(1)</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1.83</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2.07</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1.66</w:t>
            </w:r>
          </w:p>
        </w:tc>
        <w:tc>
          <w:tcPr>
            <w:tcW w:w="164" w:type="dxa"/>
            <w:tcBorders/>
            <w:shd w:fill="CCEEFF" w:val="clear"/>
            <w:vAlign w:val="bottom"/>
          </w:tcPr>
          <w:p>
            <w:pPr>
              <w:pStyle w:val="TableContents"/>
              <w:bidi w:val="0"/>
              <w:spacing w:before="0" w:after="283"/>
              <w:jc w:val="left"/>
              <w:rPr/>
            </w:pPr>
            <w:r>
              <w:rPr/>
              <w:t> </w:t>
            </w:r>
          </w:p>
        </w:tc>
      </w:tr>
      <w:tr>
        <w:trPr/>
        <w:tc>
          <w:tcPr>
            <w:tcW w:w="1552" w:type="dxa"/>
            <w:tcBorders/>
          </w:tcPr>
          <w:p>
            <w:pPr>
              <w:pStyle w:val="TableContents"/>
              <w:bidi w:val="0"/>
              <w:spacing w:before="0" w:after="0"/>
              <w:jc w:val="left"/>
              <w:rPr>
                <w:rFonts w:ascii="Times New Roman" w:hAnsi="Times New Roman"/>
                <w:sz w:val="16"/>
              </w:rPr>
            </w:pPr>
            <w:r>
              <w:rPr>
                <w:rFonts w:ascii="Times New Roman" w:hAnsi="Times New Roman"/>
                <w:sz w:val="16"/>
              </w:rPr>
              <w:t>Net realized and unrealized gains (losses)(1)</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0.51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(0.58</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(0.33</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0.23</w:t>
            </w:r>
          </w:p>
        </w:tc>
        <w:tc>
          <w:tcPr>
            <w:tcW w:w="164" w:type="dxa"/>
            <w:tcBorders/>
            <w:vAlign w:val="bottom"/>
          </w:tcPr>
          <w:p>
            <w:pPr>
              <w:pStyle w:val="TableContents"/>
              <w:bidi w:val="0"/>
              <w:spacing w:before="0" w:after="283"/>
              <w:jc w:val="left"/>
              <w:rPr/>
            </w:pPr>
            <w:r>
              <w:rPr/>
              <w:t> </w:t>
            </w:r>
          </w:p>
        </w:tc>
      </w:tr>
      <w:tr>
        <w:trPr/>
        <w:tc>
          <w:tcPr>
            <w:tcW w:w="155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5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from operations</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1.86</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1.89</w:t>
            </w:r>
          </w:p>
        </w:tc>
        <w:tc>
          <w:tcPr>
            <w:tcW w:w="164" w:type="dxa"/>
            <w:tcBorders/>
            <w:shd w:fill="CCEEFF" w:val="clear"/>
            <w:vAlign w:val="bottom"/>
          </w:tcPr>
          <w:p>
            <w:pPr>
              <w:pStyle w:val="TableContents"/>
              <w:bidi w:val="0"/>
              <w:spacing w:before="0" w:after="283"/>
              <w:jc w:val="left"/>
              <w:rPr/>
            </w:pPr>
            <w:r>
              <w:rPr/>
              <w:t> </w:t>
            </w:r>
          </w:p>
        </w:tc>
      </w:tr>
      <w:tr>
        <w:trPr/>
        <w:tc>
          <w:tcPr>
            <w:tcW w:w="1552"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common stock, net of offering costs(2)</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(0.20</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5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Settlement of 2022 Convertible Notes(2)</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52" w:type="dxa"/>
            <w:tcBorders/>
          </w:tcPr>
          <w:p>
            <w:pPr>
              <w:pStyle w:val="TableContents"/>
              <w:bidi w:val="0"/>
              <w:spacing w:before="0" w:after="0"/>
              <w:jc w:val="left"/>
              <w:rPr>
                <w:rFonts w:ascii="Times New Roman" w:hAnsi="Times New Roman"/>
                <w:sz w:val="16"/>
              </w:rPr>
            </w:pPr>
            <w:r>
              <w:rPr>
                <w:rFonts w:ascii="Times New Roman" w:hAnsi="Times New Roman"/>
                <w:sz w:val="16"/>
              </w:rPr>
              <w:t>Repurchase of common stock(2)</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5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Repurchase of debt(2)</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52" w:type="dxa"/>
            <w:tcBorders/>
          </w:tcPr>
          <w:p>
            <w:pPr>
              <w:pStyle w:val="TableContents"/>
              <w:bidi w:val="0"/>
              <w:spacing w:before="0" w:after="0"/>
              <w:jc w:val="left"/>
              <w:rPr>
                <w:rFonts w:ascii="Times New Roman" w:hAnsi="Times New Roman"/>
                <w:sz w:val="16"/>
              </w:rPr>
            </w:pPr>
            <w:r>
              <w:rPr>
                <w:rFonts w:ascii="Times New Roman" w:hAnsi="Times New Roman"/>
                <w:sz w:val="16"/>
              </w:rPr>
              <w:t>Dividends declared from net investment income(2)</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(1.53</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(1.51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(1.36</w:t>
            </w:r>
          </w:p>
        </w:tc>
        <w:tc>
          <w:tcPr>
            <w:tcW w:w="164" w:type="dxa"/>
            <w:tcBorders/>
            <w:vAlign w:val="bottom"/>
          </w:tcPr>
          <w:p>
            <w:pPr>
              <w:pStyle w:val="TableContents"/>
              <w:bidi w:val="0"/>
              <w:spacing w:before="0" w:after="283"/>
              <w:jc w:val="left"/>
              <w:rPr/>
            </w:pPr>
            <w:r>
              <w:rPr/>
              <w:t>) </w:t>
            </w:r>
          </w:p>
        </w:tc>
      </w:tr>
      <w:tr>
        <w:trPr/>
        <w:tc>
          <w:tcPr>
            <w:tcW w:w="155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 declared from realized gains(2)</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(0.22</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(0.41</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(0.20</w:t>
            </w:r>
          </w:p>
        </w:tc>
        <w:tc>
          <w:tcPr>
            <w:tcW w:w="164" w:type="dxa"/>
            <w:tcBorders/>
            <w:shd w:fill="CCEEFF" w:val="clear"/>
            <w:vAlign w:val="bottom"/>
          </w:tcPr>
          <w:p>
            <w:pPr>
              <w:pStyle w:val="TableContents"/>
              <w:bidi w:val="0"/>
              <w:spacing w:before="0" w:after="283"/>
              <w:jc w:val="left"/>
              <w:rPr/>
            </w:pPr>
            <w:r>
              <w:rPr/>
              <w:t>) </w:t>
            </w:r>
          </w:p>
        </w:tc>
      </w:tr>
      <w:tr>
        <w:trPr/>
        <w:tc>
          <w:tcPr>
            <w:tcW w:w="155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52" w:type="dxa"/>
            <w:tcBorders/>
          </w:tcPr>
          <w:p>
            <w:pPr>
              <w:pStyle w:val="TableContents"/>
              <w:bidi w:val="0"/>
              <w:spacing w:before="0" w:after="0"/>
              <w:jc w:val="left"/>
              <w:rPr>
                <w:rFonts w:ascii="Times New Roman" w:hAnsi="Times New Roman"/>
                <w:sz w:val="16"/>
              </w:rPr>
            </w:pPr>
            <w:r>
              <w:rPr>
                <w:rFonts w:ascii="Times New Roman" w:hAnsi="Times New Roman"/>
                <w:sz w:val="16"/>
              </w:rPr>
              <w:t>Total increase/(decrease) in net assets</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0.81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(0.38</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0.33</w:t>
            </w:r>
          </w:p>
        </w:tc>
        <w:tc>
          <w:tcPr>
            <w:tcW w:w="164" w:type="dxa"/>
            <w:tcBorders/>
            <w:vAlign w:val="bottom"/>
          </w:tcPr>
          <w:p>
            <w:pPr>
              <w:pStyle w:val="TableContents"/>
              <w:bidi w:val="0"/>
              <w:spacing w:before="0" w:after="283"/>
              <w:jc w:val="left"/>
              <w:rPr/>
            </w:pPr>
            <w:r>
              <w:rPr/>
              <w:t> </w:t>
            </w:r>
          </w:p>
        </w:tc>
      </w:tr>
      <w:tr>
        <w:trPr/>
        <w:tc>
          <w:tcPr>
            <w:tcW w:w="155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52"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Net Asset Value, End of Period</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16.09</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15.95</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15.15</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15.53</w:t>
            </w:r>
          </w:p>
        </w:tc>
        <w:tc>
          <w:tcPr>
            <w:tcW w:w="15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15.52</w:t>
            </w:r>
          </w:p>
        </w:tc>
        <w:tc>
          <w:tcPr>
            <w:tcW w:w="164" w:type="dxa"/>
            <w:tcBorders/>
            <w:shd w:fill="CCEEFF" w:val="clear"/>
            <w:vAlign w:val="bottom"/>
          </w:tcPr>
          <w:p>
            <w:pPr>
              <w:pStyle w:val="TableContents"/>
              <w:bidi w:val="0"/>
              <w:spacing w:before="0" w:after="283"/>
              <w:jc w:val="left"/>
              <w:rPr/>
            </w:pPr>
            <w:r>
              <w:rPr/>
              <w:t> </w:t>
            </w:r>
          </w:p>
        </w:tc>
      </w:tr>
      <w:tr>
        <w:trPr/>
        <w:tc>
          <w:tcPr>
            <w:tcW w:w="155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720" w:type="dxa"/>
        <w:jc w:val="center"/>
        <w:tblInd w:w="0" w:type="dxa"/>
        <w:tblLayout w:type="fixed"/>
        <w:tblCellMar>
          <w:top w:w="0" w:type="dxa"/>
          <w:left w:w="0" w:type="dxa"/>
          <w:bottom w:w="0" w:type="dxa"/>
          <w:right w:w="0" w:type="dxa"/>
        </w:tblCellMar>
      </w:tblPr>
      <w:tblGrid>
        <w:gridCol w:w="1085"/>
        <w:gridCol w:w="60"/>
        <w:gridCol w:w="166"/>
        <w:gridCol w:w="1309"/>
        <w:gridCol w:w="275"/>
        <w:gridCol w:w="60"/>
        <w:gridCol w:w="159"/>
        <w:gridCol w:w="1256"/>
        <w:gridCol w:w="350"/>
        <w:gridCol w:w="60"/>
        <w:gridCol w:w="159"/>
        <w:gridCol w:w="1256"/>
        <w:gridCol w:w="275"/>
        <w:gridCol w:w="60"/>
        <w:gridCol w:w="159"/>
        <w:gridCol w:w="1256"/>
        <w:gridCol w:w="275"/>
        <w:gridCol w:w="60"/>
        <w:gridCol w:w="159"/>
        <w:gridCol w:w="1256"/>
        <w:gridCol w:w="275"/>
        <w:gridCol w:w="60"/>
        <w:gridCol w:w="159"/>
        <w:gridCol w:w="1256"/>
        <w:gridCol w:w="27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w:t>
              <w:br/>
              <w:t>September 30,</w:t>
              <w:br/>
              <w:t>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2018</w:t>
            </w:r>
          </w:p>
        </w:tc>
        <w:tc>
          <w:tcPr>
            <w:tcW w:w="27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share market value at end of period</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20.44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17.80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23.39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20.75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21.47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18.09</w:t>
            </w:r>
          </w:p>
        </w:tc>
        <w:tc>
          <w:tcPr>
            <w:tcW w:w="27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Total return based on market value with reinvestment of dividends(3)</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23.65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(15.78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30.57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4.24</w:t>
            </w:r>
          </w:p>
        </w:tc>
        <w:tc>
          <w:tcPr>
            <w:tcW w:w="27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return based on market value(4)</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25.14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(16.03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0.35</w:t>
            </w:r>
          </w:p>
        </w:tc>
        <w:tc>
          <w:tcPr>
            <w:tcW w:w="27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Total return based on net asset value(5)</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12.49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8.79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19.06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12.06</w:t>
            </w:r>
          </w:p>
        </w:tc>
        <w:tc>
          <w:tcPr>
            <w:tcW w:w="27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Shares Outstanding, End of Period</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87,546,498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81,389,287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75,771,542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67,684,209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66,524,591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65,412,817</w:t>
            </w:r>
          </w:p>
        </w:tc>
        <w:tc>
          <w:tcPr>
            <w:tcW w:w="27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6"/>
              </w:rPr>
            </w:pPr>
            <w:r>
              <w:rPr>
                <w:rFonts w:ascii="Times New Roman" w:hAnsi="Times New Roman"/>
                <w:b/>
                <w:sz w:val="16"/>
              </w:rPr>
              <w:t>Ratios / Supplemental Data(6)</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Ratio of net expenses to average net assets(7)</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16.71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11.05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11.32</w:t>
            </w:r>
          </w:p>
        </w:tc>
        <w:tc>
          <w:tcPr>
            <w:tcW w:w="27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Ratio of net investment income to average net assets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13.39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12.85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11.67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13.26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11.73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13.80</w:t>
            </w:r>
          </w:p>
        </w:tc>
        <w:tc>
          <w:tcPr>
            <w:tcW w:w="27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Portfolio turnover</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16.12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26.67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44.23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41.88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44.57</w:t>
            </w:r>
          </w:p>
        </w:tc>
        <w:tc>
          <w:tcPr>
            <w:tcW w:w="27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Net assets, end of period</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1,485,822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1,341,569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1,275,848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1,161,315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1,119,297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1,063,202</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7"/>
        <w:gridCol w:w="87"/>
        <w:gridCol w:w="159"/>
        <w:gridCol w:w="1256"/>
        <w:gridCol w:w="275"/>
        <w:gridCol w:w="87"/>
        <w:gridCol w:w="159"/>
        <w:gridCol w:w="1256"/>
        <w:gridCol w:w="275"/>
        <w:gridCol w:w="87"/>
        <w:gridCol w:w="159"/>
        <w:gridCol w:w="1256"/>
        <w:gridCol w:w="275"/>
        <w:gridCol w:w="87"/>
        <w:gridCol w:w="159"/>
        <w:gridCol w:w="1255"/>
        <w:gridCol w:w="275"/>
        <w:gridCol w:w="87"/>
        <w:gridCol w:w="159"/>
        <w:gridCol w:w="1256"/>
        <w:gridCol w:w="279"/>
      </w:tblGrid>
      <w:tr>
        <w:trPr/>
        <w:tc>
          <w:tcPr>
            <w:tcW w:w="1317"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2017</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2016</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2015</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2014</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2013</w:t>
            </w:r>
          </w:p>
        </w:tc>
        <w:tc>
          <w:tcPr>
            <w:tcW w:w="279" w:type="dxa"/>
            <w:tcBorders/>
            <w:vAlign w:val="bottom"/>
          </w:tcPr>
          <w:p>
            <w:pPr>
              <w:pStyle w:val="TableContents"/>
              <w:bidi w:val="0"/>
              <w:spacing w:before="0" w:after="283"/>
              <w:jc w:val="left"/>
              <w:rPr/>
            </w:pPr>
            <w:r>
              <w:rPr/>
              <w:t> </w:t>
            </w:r>
          </w:p>
        </w:tc>
      </w:tr>
      <w:tr>
        <w:trPr/>
        <w:tc>
          <w:tcPr>
            <w:tcW w:w="131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share market value at end of period</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19.80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18.68</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16.22</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16.82</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1317" w:type="dxa"/>
            <w:tcBorders/>
          </w:tcPr>
          <w:p>
            <w:pPr>
              <w:pStyle w:val="TableContents"/>
              <w:bidi w:val="0"/>
              <w:spacing w:before="0" w:after="0"/>
              <w:jc w:val="left"/>
              <w:rPr>
                <w:rFonts w:ascii="Times New Roman" w:hAnsi="Times New Roman"/>
                <w:sz w:val="16"/>
              </w:rPr>
            </w:pPr>
            <w:r>
              <w:rPr>
                <w:rFonts w:ascii="Times New Roman" w:hAnsi="Times New Roman"/>
                <w:sz w:val="16"/>
              </w:rPr>
              <w:t>Total return based on market value with reinvestment of dividends(3)</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15.75</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26.74</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5.75</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12.28</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131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return based on market value(4)</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15.36</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24.78</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5.71</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14.69</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1317" w:type="dxa"/>
            <w:tcBorders/>
          </w:tcPr>
          <w:p>
            <w:pPr>
              <w:pStyle w:val="TableContents"/>
              <w:bidi w:val="0"/>
              <w:spacing w:before="0" w:after="0"/>
              <w:jc w:val="left"/>
              <w:rPr>
                <w:rFonts w:ascii="Times New Roman" w:hAnsi="Times New Roman"/>
                <w:sz w:val="16"/>
              </w:rPr>
            </w:pPr>
            <w:r>
              <w:rPr>
                <w:rFonts w:ascii="Times New Roman" w:hAnsi="Times New Roman"/>
                <w:sz w:val="16"/>
              </w:rPr>
              <w:t>Total return based on net asset value(5)</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11.87</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15.54</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7.62</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9.92</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12.44</w:t>
            </w:r>
          </w:p>
        </w:tc>
        <w:tc>
          <w:tcPr>
            <w:tcW w:w="279" w:type="dxa"/>
            <w:tcBorders/>
            <w:vAlign w:val="bottom"/>
          </w:tcPr>
          <w:p>
            <w:pPr>
              <w:pStyle w:val="TableContents"/>
              <w:bidi w:val="0"/>
              <w:spacing w:before="0" w:after="283"/>
              <w:jc w:val="left"/>
              <w:rPr/>
            </w:pPr>
            <w:r>
              <w:rPr/>
              <w:t>% </w:t>
            </w:r>
          </w:p>
        </w:tc>
      </w:tr>
      <w:tr>
        <w:trPr/>
        <w:tc>
          <w:tcPr>
            <w:tcW w:w="131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Shares Outstanding, End of Period</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60,247,201</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59,716,205</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54,163,960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53,797,358</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37,026,023</w:t>
            </w:r>
          </w:p>
        </w:tc>
        <w:tc>
          <w:tcPr>
            <w:tcW w:w="279" w:type="dxa"/>
            <w:tcBorders/>
            <w:shd w:fill="CCEEFF" w:val="clear"/>
            <w:vAlign w:val="bottom"/>
          </w:tcPr>
          <w:p>
            <w:pPr>
              <w:pStyle w:val="TableContents"/>
              <w:bidi w:val="0"/>
              <w:spacing w:before="0" w:after="283"/>
              <w:jc w:val="left"/>
              <w:rPr/>
            </w:pPr>
            <w:r>
              <w:rPr/>
              <w:t> </w:t>
            </w:r>
          </w:p>
        </w:tc>
      </w:tr>
      <w:tr>
        <w:trPr/>
        <w:tc>
          <w:tcPr>
            <w:tcW w:w="1317" w:type="dxa"/>
            <w:tcBorders/>
          </w:tcPr>
          <w:p>
            <w:pPr>
              <w:pStyle w:val="TableContents"/>
              <w:bidi w:val="0"/>
              <w:spacing w:before="0" w:after="0"/>
              <w:jc w:val="left"/>
              <w:rPr>
                <w:rFonts w:ascii="Times New Roman" w:hAnsi="Times New Roman"/>
                <w:b/>
                <w:sz w:val="16"/>
              </w:rPr>
            </w:pPr>
            <w:r>
              <w:rPr>
                <w:rFonts w:ascii="Times New Roman" w:hAnsi="Times New Roman"/>
                <w:b/>
                <w:sz w:val="16"/>
              </w:rPr>
              <w:t>Ratios / Supplemental Data(6)</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r>
      <w:tr>
        <w:trPr/>
        <w:tc>
          <w:tcPr>
            <w:tcW w:w="131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Ratio of net expenses to average net assets(7)</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9.41</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9.39</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9.31</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7.56</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6.60</w:t>
            </w:r>
          </w:p>
        </w:tc>
        <w:tc>
          <w:tcPr>
            <w:tcW w:w="279" w:type="dxa"/>
            <w:tcBorders/>
            <w:shd w:fill="CCEEFF" w:val="clear"/>
            <w:vAlign w:val="bottom"/>
          </w:tcPr>
          <w:p>
            <w:pPr>
              <w:pStyle w:val="TableContents"/>
              <w:bidi w:val="0"/>
              <w:spacing w:before="0" w:after="283"/>
              <w:jc w:val="left"/>
              <w:rPr/>
            </w:pPr>
            <w:r>
              <w:rPr/>
              <w:t>% </w:t>
            </w:r>
          </w:p>
        </w:tc>
      </w:tr>
      <w:tr>
        <w:trPr/>
        <w:tc>
          <w:tcPr>
            <w:tcW w:w="1317" w:type="dxa"/>
            <w:tcBorders/>
          </w:tcPr>
          <w:p>
            <w:pPr>
              <w:pStyle w:val="TableContents"/>
              <w:bidi w:val="0"/>
              <w:spacing w:before="0" w:after="0"/>
              <w:jc w:val="left"/>
              <w:rPr>
                <w:rFonts w:ascii="Times New Roman" w:hAnsi="Times New Roman"/>
                <w:sz w:val="16"/>
              </w:rPr>
            </w:pPr>
            <w:r>
              <w:rPr>
                <w:rFonts w:ascii="Times New Roman" w:hAnsi="Times New Roman"/>
                <w:sz w:val="16"/>
              </w:rPr>
              <w:t>Ratio of net investment income to average net assets</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12.49</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11.84</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11.35</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13.42</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10.80</w:t>
            </w:r>
          </w:p>
        </w:tc>
        <w:tc>
          <w:tcPr>
            <w:tcW w:w="279" w:type="dxa"/>
            <w:tcBorders/>
            <w:vAlign w:val="bottom"/>
          </w:tcPr>
          <w:p>
            <w:pPr>
              <w:pStyle w:val="TableContents"/>
              <w:bidi w:val="0"/>
              <w:spacing w:before="0" w:after="283"/>
              <w:jc w:val="left"/>
              <w:rPr/>
            </w:pPr>
            <w:r>
              <w:rPr/>
              <w:t>% </w:t>
            </w:r>
          </w:p>
        </w:tc>
      </w:tr>
      <w:tr>
        <w:trPr/>
        <w:tc>
          <w:tcPr>
            <w:tcW w:w="131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Portfolio turnover</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58.08</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37.40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34.51</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53.16</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26.97</w:t>
            </w:r>
          </w:p>
        </w:tc>
        <w:tc>
          <w:tcPr>
            <w:tcW w:w="279" w:type="dxa"/>
            <w:tcBorders/>
            <w:shd w:fill="CCEEFF" w:val="clear"/>
            <w:vAlign w:val="bottom"/>
          </w:tcPr>
          <w:p>
            <w:pPr>
              <w:pStyle w:val="TableContents"/>
              <w:bidi w:val="0"/>
              <w:spacing w:before="0" w:after="283"/>
              <w:jc w:val="left"/>
              <w:rPr/>
            </w:pPr>
            <w:r>
              <w:rPr/>
              <w:t>% </w:t>
            </w:r>
          </w:p>
        </w:tc>
      </w:tr>
      <w:tr>
        <w:trPr/>
        <w:tc>
          <w:tcPr>
            <w:tcW w:w="1317" w:type="dxa"/>
            <w:tcBorders/>
          </w:tcPr>
          <w:p>
            <w:pPr>
              <w:pStyle w:val="TableContents"/>
              <w:bidi w:val="0"/>
              <w:spacing w:before="0" w:after="0"/>
              <w:jc w:val="left"/>
              <w:rPr>
                <w:rFonts w:ascii="Times New Roman" w:hAnsi="Times New Roman"/>
                <w:sz w:val="16"/>
              </w:rPr>
            </w:pPr>
            <w:r>
              <w:rPr>
                <w:rFonts w:ascii="Times New Roman" w:hAnsi="Times New Roman"/>
                <w:sz w:val="16"/>
              </w:rPr>
              <w:t>Net assets, end of period</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969,284</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952,212</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820,741</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835,405</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574,696</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per share data was derived by using the weighted average shares outstanding during the period.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per share data was derived by using the actual shares outstanding at the date of the relevant transactions.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Total return based on market value with dividends reinvested is calculated as the change in market value per share during the period plus declared dividends per share, assuming reinvestment of dividends, divided by the beginning market value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Total return based on market value is calculated as the change in market value per share during the period plus declared dividends per share, divided by the beginning market value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Total return based on net asset value is calculated as the change in net asset value per share during the period plus declared dividends per share, divided by the beginning net asset value per share.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ratios reflect an annualized amount.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Table may not sum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570824_5"/>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Offerings Pursuant to This Prospectus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over the use of proceeds of any offering made pursuant to this prospectus, to the extent it is successful. </w:t>
      </w:r>
    </w:p>
    <w:p>
      <w:pPr>
        <w:pStyle w:val="TextBody"/>
        <w:bidi w:val="0"/>
        <w:spacing w:before="120" w:after="0"/>
        <w:jc w:val="left"/>
        <w:rPr>
          <w:rFonts w:ascii="Times New Roman" w:hAnsi="Times New Roman"/>
          <w:sz w:val="20"/>
        </w:rPr>
      </w:pPr>
      <w:r>
        <w:rPr>
          <w:rFonts w:ascii="Times New Roman" w:hAnsi="Times New Roman"/>
          <w:sz w:val="20"/>
        </w:rPr>
        <w:t xml:space="preserve">We will have significant flexibility in applying the proceeds of any offering made pursuant to this prospectus. For example, we may pay operating expenses from net proceeds, which could limit our ability to achieve our investment objective.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net asset value per share of our common stock may be diluted if we sell or otherwise issue shares of our common stock at prices below the then-current net asset value per share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Any decision to sell or otherwise issue shares of our common stock below our then-current net asset value per share would be subject to the determination by our board of directors that such issuance or sale is in our and our stockholders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 </w:t>
      </w:r>
    </w:p>
    <w:p>
      <w:pPr>
        <w:pStyle w:val="TextBody"/>
        <w:bidi w:val="0"/>
        <w:spacing w:before="240" w:after="0"/>
        <w:jc w:val="left"/>
        <w:rPr>
          <w:rFonts w:ascii="Times New Roman" w:hAnsi="Times New Roman"/>
          <w:sz w:val="20"/>
        </w:rPr>
      </w:pPr>
      <w:r>
        <w:rPr>
          <w:rFonts w:ascii="Times New Roman" w:hAnsi="Times New Roman"/>
          <w:sz w:val="20"/>
        </w:rPr>
        <w:t xml:space="preserve">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 the future determine to issue preferred stock, which could adversely affect the market value of our common stock and cause the net asset value and market value of our common stock to be more volatile.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any preferred stock we might issue would have the right to elect members of the board of directors and class voting rights on certain matters. </w:t>
      </w:r>
    </w:p>
    <w:p>
      <w:pPr>
        <w:pStyle w:val="TextBody"/>
        <w:bidi w:val="0"/>
        <w:spacing w:before="120" w:after="0"/>
        <w:jc w:val="left"/>
        <w:rPr>
          <w:rFonts w:ascii="Times New Roman" w:hAnsi="Times New Roman"/>
          <w:sz w:val="20"/>
        </w:rPr>
      </w:pPr>
      <w:r>
        <w:rPr>
          <w:rFonts w:ascii="Times New Roman" w:hAnsi="Times New Roman"/>
          <w:sz w:val="20"/>
        </w:rPr>
        <w:t xml:space="preserve">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purposes. While we would intend to redeem our preferred stock to the extent necessary to enable us to distribute our income as required to maintain our qualification as a RIC, there can be no assurance that such actions could be effected in time to meet the tax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570824_6"/>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factors identified elsewhere in this prospectus and the documents incorporated by reference herein, the following factors, among others, could cause actual results to differ materially from forward-looking statements or historical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could impair our portfolio companies abilities to continue to operate, which could lead to the loss of some or all of our investments in those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entitled Risk Factors in this prospectus and in Part I, Item 1A of our 2022 Annual Report and Part II, Item 1A of our 3Q 2023 Quarterly Report, and those discussed in other documents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TSLX and TAO marks are marks of Sixth Street.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570824_7"/>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it will take less than three months for us to substantially invest the net proceeds of any offering made pursuant to this prospectus, depending on the availability of attractive opportunities, market conditions and the amount raised. </w:t>
      </w:r>
    </w:p>
    <w:p>
      <w:pPr>
        <w:pStyle w:val="TextBody"/>
        <w:bidi w:val="0"/>
        <w:spacing w:before="240" w:after="0"/>
        <w:jc w:val="left"/>
        <w:rPr>
          <w:rFonts w:ascii="Times New Roman" w:hAnsi="Times New Roman"/>
          <w:sz w:val="20"/>
        </w:rPr>
      </w:pPr>
      <w:r>
        <w:rPr>
          <w:rFonts w:ascii="Times New Roman" w:hAnsi="Times New Roman"/>
          <w:sz w:val="20"/>
        </w:rPr>
        <w:t xml:space="preserve">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570824_8"/>
      <w:bookmarkEnd w:id="21"/>
      <w:r>
        <w:rPr>
          <w:rFonts w:ascii="Times New Roman" w:hAnsi="Times New Roman"/>
          <w:b/>
          <w:sz w:val="20"/>
        </w:rPr>
        <w:t xml:space="preserve">PRICE RANGE OF COMMON STOCK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8"/>
        <w:gridCol w:w="202"/>
        <w:gridCol w:w="140"/>
        <w:gridCol w:w="604"/>
        <w:gridCol w:w="60"/>
        <w:gridCol w:w="202"/>
        <w:gridCol w:w="140"/>
        <w:gridCol w:w="573"/>
        <w:gridCol w:w="60"/>
        <w:gridCol w:w="202"/>
        <w:gridCol w:w="140"/>
        <w:gridCol w:w="573"/>
        <w:gridCol w:w="60"/>
        <w:gridCol w:w="202"/>
        <w:gridCol w:w="146"/>
        <w:gridCol w:w="1136"/>
        <w:gridCol w:w="282"/>
        <w:gridCol w:w="147"/>
        <w:gridCol w:w="126"/>
        <w:gridCol w:w="972"/>
        <w:gridCol w:w="351"/>
        <w:gridCol w:w="147"/>
        <w:gridCol w:w="240"/>
        <w:gridCol w:w="752"/>
        <w:gridCol w:w="70"/>
      </w:tblGrid>
      <w:tr>
        <w:trPr/>
        <w:tc>
          <w:tcPr>
            <w:tcW w:w="267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78" w:type="dxa"/>
            <w:vMerge w:val="restart"/>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Price Range</w:t>
            </w:r>
          </w:p>
        </w:tc>
        <w:tc>
          <w:tcPr>
            <w:tcW w:w="60" w:type="dxa"/>
            <w:tcBorders/>
            <w:vAlign w:val="bottom"/>
          </w:tcPr>
          <w:p>
            <w:pPr>
              <w:pStyle w:val="TableContents"/>
              <w:bidi w:val="0"/>
              <w:spacing w:before="0" w:after="283"/>
              <w:jc w:val="left"/>
              <w:rPr/>
            </w:pPr>
            <w:r>
              <w:rPr/>
              <w:t> </w:t>
            </w:r>
          </w:p>
        </w:tc>
        <w:tc>
          <w:tcPr>
            <w:tcW w:w="202" w:type="dxa"/>
            <w:vMerge w:val="restart"/>
            <w:tcBorders/>
            <w:vAlign w:val="bottom"/>
          </w:tcPr>
          <w:p>
            <w:pPr>
              <w:pStyle w:val="TableContents"/>
              <w:bidi w:val="0"/>
              <w:spacing w:before="0" w:after="283"/>
              <w:jc w:val="left"/>
              <w:rPr/>
            </w:pPr>
            <w:r>
              <w:rPr/>
              <w:t>  </w:t>
            </w:r>
          </w:p>
        </w:tc>
        <w:tc>
          <w:tcPr>
            <w:tcW w:w="1282"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High Sales</w:t>
              <w:br/>
              <w:t>Price to Net</w:t>
              <w:br/>
              <w:t>Asset</w:t>
              <w:br/>
              <w:t>Value(2)</w:t>
            </w:r>
          </w:p>
        </w:tc>
        <w:tc>
          <w:tcPr>
            <w:tcW w:w="282" w:type="dxa"/>
            <w:vMerge w:val="restart"/>
            <w:tcBorders/>
            <w:vAlign w:val="bottom"/>
          </w:tcPr>
          <w:p>
            <w:pPr>
              <w:pStyle w:val="TableContents"/>
              <w:bidi w:val="0"/>
              <w:spacing w:before="0" w:after="283"/>
              <w:jc w:val="left"/>
              <w:rPr/>
            </w:pPr>
            <w:r>
              <w:rPr/>
              <w:t> </w:t>
            </w:r>
          </w:p>
        </w:tc>
        <w:tc>
          <w:tcPr>
            <w:tcW w:w="147" w:type="dxa"/>
            <w:vMerge w:val="restart"/>
            <w:tcBorders/>
            <w:vAlign w:val="bottom"/>
          </w:tcPr>
          <w:p>
            <w:pPr>
              <w:pStyle w:val="TableContents"/>
              <w:bidi w:val="0"/>
              <w:spacing w:before="0" w:after="283"/>
              <w:jc w:val="left"/>
              <w:rPr/>
            </w:pPr>
            <w:r>
              <w:rPr/>
              <w:t> </w:t>
            </w:r>
          </w:p>
        </w:tc>
        <w:tc>
          <w:tcPr>
            <w:tcW w:w="109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Low Sales</w:t>
              <w:br/>
              <w:t>Price to</w:t>
              <w:br/>
              <w:t>Net Asset</w:t>
              <w:br/>
              <w:t>Value</w:t>
            </w:r>
          </w:p>
        </w:tc>
        <w:tc>
          <w:tcPr>
            <w:tcW w:w="351" w:type="dxa"/>
            <w:vMerge w:val="restart"/>
            <w:tcBorders/>
            <w:vAlign w:val="bottom"/>
          </w:tcPr>
          <w:p>
            <w:pPr>
              <w:pStyle w:val="TableContents"/>
              <w:bidi w:val="0"/>
              <w:spacing w:before="0" w:after="283"/>
              <w:jc w:val="left"/>
              <w:rPr/>
            </w:pPr>
            <w:r>
              <w:rPr/>
              <w:t> </w:t>
            </w:r>
          </w:p>
        </w:tc>
        <w:tc>
          <w:tcPr>
            <w:tcW w:w="147" w:type="dxa"/>
            <w:vMerge w:val="restart"/>
            <w:tcBorders/>
            <w:vAlign w:val="bottom"/>
          </w:tcPr>
          <w:p>
            <w:pPr>
              <w:pStyle w:val="TableContents"/>
              <w:bidi w:val="0"/>
              <w:spacing w:before="0" w:after="283"/>
              <w:jc w:val="left"/>
              <w:rPr/>
            </w:pPr>
            <w:r>
              <w:rPr/>
              <w:t> </w:t>
            </w:r>
          </w:p>
        </w:tc>
        <w:tc>
          <w:tcPr>
            <w:tcW w:w="992"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Cash</w:t>
              <w:br/>
              <w:t>Dividend</w:t>
              <w:br/>
              <w:t>Per</w:t>
              <w:br/>
              <w:t>Share(3)</w:t>
            </w:r>
          </w:p>
        </w:tc>
        <w:tc>
          <w:tcPr>
            <w:tcW w:w="70" w:type="dxa"/>
            <w:vMerge w:val="restart"/>
            <w:tcBorders/>
            <w:vAlign w:val="bottom"/>
          </w:tcPr>
          <w:p>
            <w:pPr>
              <w:pStyle w:val="TableContents"/>
              <w:bidi w:val="0"/>
              <w:spacing w:before="0" w:after="283"/>
              <w:jc w:val="left"/>
              <w:rPr/>
            </w:pPr>
            <w:r>
              <w:rPr/>
              <w:t> </w:t>
            </w:r>
          </w:p>
        </w:tc>
      </w:tr>
      <w:tr>
        <w:trPr/>
        <w:tc>
          <w:tcPr>
            <w:tcW w:w="2678" w:type="dxa"/>
            <w:vMerge w:val="continue"/>
            <w:tcBorders/>
            <w:vAlign w:val="bottom"/>
          </w:tcPr>
          <w:p>
            <w:pPr>
              <w:pStyle w:val="Normal"/>
              <w:bidi w:val="0"/>
              <w:jc w:val="left"/>
              <w:rPr/>
            </w:pPr>
            <w:r>
              <w:rPr/>
            </w:r>
          </w:p>
        </w:tc>
        <w:tc>
          <w:tcPr>
            <w:tcW w:w="202"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NAV(1)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202" w:type="dxa"/>
            <w:vMerge w:val="continue"/>
            <w:tcBorders/>
            <w:vAlign w:val="bottom"/>
          </w:tcPr>
          <w:p>
            <w:pPr>
              <w:pStyle w:val="Normal"/>
              <w:bidi w:val="0"/>
              <w:jc w:val="left"/>
              <w:rPr/>
            </w:pPr>
            <w:r>
              <w:rPr/>
            </w:r>
          </w:p>
        </w:tc>
        <w:tc>
          <w:tcPr>
            <w:tcW w:w="1282" w:type="dxa"/>
            <w:gridSpan w:val="2"/>
            <w:vMerge w:val="continue"/>
            <w:tcBorders>
              <w:bottom w:val="single" w:sz="8" w:space="0" w:color="000000"/>
            </w:tcBorders>
            <w:tcMar>
              <w:bottom w:w="28" w:type="dxa"/>
            </w:tcMar>
            <w:vAlign w:val="bottom"/>
          </w:tcPr>
          <w:p>
            <w:pPr>
              <w:pStyle w:val="Normal"/>
              <w:bidi w:val="0"/>
              <w:jc w:val="left"/>
              <w:rPr/>
            </w:pPr>
            <w:r>
              <w:rPr/>
            </w:r>
          </w:p>
        </w:tc>
        <w:tc>
          <w:tcPr>
            <w:tcW w:w="282" w:type="dxa"/>
            <w:vMerge w:val="continue"/>
            <w:tcBorders/>
            <w:vAlign w:val="bottom"/>
          </w:tcPr>
          <w:p>
            <w:pPr>
              <w:pStyle w:val="Normal"/>
              <w:bidi w:val="0"/>
              <w:jc w:val="left"/>
              <w:rPr/>
            </w:pPr>
            <w:r>
              <w:rPr/>
            </w:r>
          </w:p>
        </w:tc>
        <w:tc>
          <w:tcPr>
            <w:tcW w:w="147" w:type="dxa"/>
            <w:vMerge w:val="continue"/>
            <w:tcBorders>
              <w:bottom w:val="single" w:sz="8" w:space="0" w:color="000000"/>
            </w:tcBorders>
            <w:tcMar>
              <w:bottom w:w="28" w:type="dxa"/>
            </w:tcMar>
            <w:vAlign w:val="bottom"/>
          </w:tcPr>
          <w:p>
            <w:pPr>
              <w:pStyle w:val="Normal"/>
              <w:bidi w:val="0"/>
              <w:jc w:val="left"/>
              <w:rPr/>
            </w:pPr>
            <w:r>
              <w:rPr/>
            </w:r>
          </w:p>
        </w:tc>
        <w:tc>
          <w:tcPr>
            <w:tcW w:w="1098" w:type="dxa"/>
            <w:gridSpan w:val="2"/>
            <w:vMerge w:val="continue"/>
            <w:tcBorders/>
            <w:vAlign w:val="bottom"/>
          </w:tcPr>
          <w:p>
            <w:pPr>
              <w:pStyle w:val="Normal"/>
              <w:bidi w:val="0"/>
              <w:jc w:val="left"/>
              <w:rPr/>
            </w:pPr>
            <w:r>
              <w:rPr/>
            </w:r>
          </w:p>
        </w:tc>
        <w:tc>
          <w:tcPr>
            <w:tcW w:w="351" w:type="dxa"/>
            <w:vMerge w:val="continue"/>
            <w:tcBorders>
              <w:bottom w:val="single" w:sz="8" w:space="0" w:color="000000"/>
            </w:tcBorders>
            <w:tcMar>
              <w:bottom w:w="28" w:type="dxa"/>
            </w:tcMar>
            <w:vAlign w:val="bottom"/>
          </w:tcPr>
          <w:p>
            <w:pPr>
              <w:pStyle w:val="Normal"/>
              <w:bidi w:val="0"/>
              <w:jc w:val="left"/>
              <w:rPr/>
            </w:pPr>
            <w:r>
              <w:rPr/>
            </w:r>
          </w:p>
        </w:tc>
        <w:tc>
          <w:tcPr>
            <w:tcW w:w="147" w:type="dxa"/>
            <w:vMerge w:val="continue"/>
            <w:tcBorders/>
            <w:vAlign w:val="bottom"/>
          </w:tcPr>
          <w:p>
            <w:pPr>
              <w:pStyle w:val="Normal"/>
              <w:bidi w:val="0"/>
              <w:jc w:val="left"/>
              <w:rPr/>
            </w:pPr>
            <w:r>
              <w:rPr/>
            </w:r>
          </w:p>
        </w:tc>
        <w:tc>
          <w:tcPr>
            <w:tcW w:w="992" w:type="dxa"/>
            <w:gridSpan w:val="2"/>
            <w:vMerge w:val="continue"/>
            <w:tcBorders>
              <w:bottom w:val="single" w:sz="8" w:space="0" w:color="000000"/>
            </w:tcBorders>
            <w:tcMar>
              <w:bottom w:w="28" w:type="dxa"/>
            </w:tcMar>
            <w:vAlign w:val="bottom"/>
          </w:tcPr>
          <w:p>
            <w:pPr>
              <w:pStyle w:val="Normal"/>
              <w:bidi w:val="0"/>
              <w:jc w:val="left"/>
              <w:rPr/>
            </w:pPr>
            <w:r>
              <w:rPr/>
            </w:r>
          </w:p>
        </w:tc>
        <w:tc>
          <w:tcPr>
            <w:tcW w:w="70" w:type="dxa"/>
            <w:vMerge w:val="continue"/>
            <w:tcBorders/>
            <w:vAlign w:val="bottom"/>
          </w:tcPr>
          <w:p>
            <w:pPr>
              <w:pStyle w:val="Normal"/>
              <w:bidi w:val="0"/>
              <w:jc w:val="left"/>
              <w:rPr/>
            </w:pPr>
            <w:r>
              <w:rPr/>
            </w:r>
          </w:p>
        </w:tc>
      </w:tr>
      <w:tr>
        <w:trPr/>
        <w:tc>
          <w:tcPr>
            <w:tcW w:w="26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2021</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136"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75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16.47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22.76</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20.46</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38.2</w:t>
            </w:r>
          </w:p>
        </w:tc>
        <w:tc>
          <w:tcPr>
            <w:tcW w:w="28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24.2</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2" w:type="dxa"/>
            <w:tcBorders/>
            <w:vAlign w:val="bottom"/>
          </w:tcPr>
          <w:p>
            <w:pPr>
              <w:pStyle w:val="TableContents"/>
              <w:bidi w:val="0"/>
              <w:spacing w:before="0" w:after="283"/>
              <w:jc w:val="right"/>
              <w:rPr/>
            </w:pPr>
            <w:r>
              <w:rPr/>
              <w:t>1.71</w:t>
            </w:r>
          </w:p>
        </w:tc>
        <w:tc>
          <w:tcPr>
            <w:tcW w:w="70" w:type="dxa"/>
            <w:tcBorders/>
            <w:vAlign w:val="bottom"/>
          </w:tcPr>
          <w:p>
            <w:pPr>
              <w:pStyle w:val="TableContents"/>
              <w:bidi w:val="0"/>
              <w:spacing w:before="0" w:after="283"/>
              <w:jc w:val="left"/>
              <w:rPr/>
            </w:pPr>
            <w:r>
              <w:rPr/>
              <w:t> </w:t>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16.85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22.78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20.80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35.2</w:t>
            </w:r>
          </w:p>
        </w:tc>
        <w:tc>
          <w:tcPr>
            <w:tcW w:w="28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23.4</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0.47</w:t>
            </w:r>
          </w:p>
        </w:tc>
        <w:tc>
          <w:tcPr>
            <w:tcW w:w="70" w:type="dxa"/>
            <w:tcBorders/>
            <w:shd w:fill="CCEEFF" w:val="clear"/>
            <w:vAlign w:val="bottom"/>
          </w:tcPr>
          <w:p>
            <w:pPr>
              <w:pStyle w:val="TableContents"/>
              <w:bidi w:val="0"/>
              <w:spacing w:before="0" w:after="283"/>
              <w:jc w:val="left"/>
              <w:rPr/>
            </w:pPr>
            <w:r>
              <w:rPr/>
              <w:t> </w:t>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17.18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23.97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21.13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39.5</w:t>
            </w:r>
          </w:p>
        </w:tc>
        <w:tc>
          <w:tcPr>
            <w:tcW w:w="28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23.0</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0.43</w:t>
            </w:r>
          </w:p>
        </w:tc>
        <w:tc>
          <w:tcPr>
            <w:tcW w:w="70" w:type="dxa"/>
            <w:tcBorders/>
            <w:vAlign w:val="bottom"/>
          </w:tcPr>
          <w:p>
            <w:pPr>
              <w:pStyle w:val="TableContents"/>
              <w:bidi w:val="0"/>
              <w:spacing w:before="0" w:after="283"/>
              <w:jc w:val="left"/>
              <w:rPr/>
            </w:pPr>
            <w:r>
              <w:rPr/>
              <w:t> </w:t>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16.84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24.74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21.97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47.0</w:t>
            </w:r>
          </w:p>
        </w:tc>
        <w:tc>
          <w:tcPr>
            <w:tcW w:w="28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30.5</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0.98</w:t>
            </w:r>
          </w:p>
        </w:tc>
        <w:tc>
          <w:tcPr>
            <w:tcW w:w="70" w:type="dxa"/>
            <w:tcBorders/>
            <w:shd w:fill="CCEEFF" w:val="clear"/>
            <w:vAlign w:val="bottom"/>
          </w:tcPr>
          <w:p>
            <w:pPr>
              <w:pStyle w:val="TableContents"/>
              <w:bidi w:val="0"/>
              <w:spacing w:before="0" w:after="283"/>
              <w:jc w:val="left"/>
              <w:rPr/>
            </w:pPr>
            <w:r>
              <w:rPr/>
              <w:t> </w:t>
            </w:r>
          </w:p>
        </w:tc>
      </w:tr>
      <w:tr>
        <w:trPr/>
        <w:tc>
          <w:tcPr>
            <w:tcW w:w="2678" w:type="dxa"/>
            <w:tcBorders/>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2022</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136"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75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4" w:type="dxa"/>
            <w:tcBorders/>
            <w:shd w:fill="CCEEFF" w:val="clear"/>
            <w:vAlign w:val="bottom"/>
          </w:tcPr>
          <w:p>
            <w:pPr>
              <w:pStyle w:val="TableContents"/>
              <w:bidi w:val="0"/>
              <w:spacing w:before="0" w:after="283"/>
              <w:jc w:val="right"/>
              <w:rPr/>
            </w:pPr>
            <w:r>
              <w:rPr/>
              <w:t>16.88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24.27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22.40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43.8</w:t>
            </w:r>
          </w:p>
        </w:tc>
        <w:tc>
          <w:tcPr>
            <w:tcW w:w="28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23.0</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0.52</w:t>
            </w:r>
          </w:p>
        </w:tc>
        <w:tc>
          <w:tcPr>
            <w:tcW w:w="70" w:type="dxa"/>
            <w:tcBorders/>
            <w:shd w:fill="CCEEFF" w:val="clear"/>
            <w:vAlign w:val="bottom"/>
          </w:tcPr>
          <w:p>
            <w:pPr>
              <w:pStyle w:val="TableContents"/>
              <w:bidi w:val="0"/>
              <w:spacing w:before="0" w:after="283"/>
              <w:jc w:val="left"/>
              <w:rPr/>
            </w:pPr>
            <w:r>
              <w:rPr/>
              <w:t> </w:t>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16.27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23.64</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18.09</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45.3</w:t>
            </w:r>
          </w:p>
        </w:tc>
        <w:tc>
          <w:tcPr>
            <w:tcW w:w="28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11.2</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0.45</w:t>
            </w:r>
          </w:p>
        </w:tc>
        <w:tc>
          <w:tcPr>
            <w:tcW w:w="70" w:type="dxa"/>
            <w:tcBorders/>
            <w:vAlign w:val="bottom"/>
          </w:tcPr>
          <w:p>
            <w:pPr>
              <w:pStyle w:val="TableContents"/>
              <w:bidi w:val="0"/>
              <w:spacing w:before="0" w:after="283"/>
              <w:jc w:val="left"/>
              <w:rPr/>
            </w:pPr>
            <w:r>
              <w:rPr/>
              <w:t> </w:t>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16.36</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19.64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6.13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19.9</w:t>
            </w:r>
          </w:p>
        </w:tc>
        <w:tc>
          <w:tcPr>
            <w:tcW w:w="28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(1.4</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0.42</w:t>
            </w:r>
          </w:p>
        </w:tc>
        <w:tc>
          <w:tcPr>
            <w:tcW w:w="70" w:type="dxa"/>
            <w:tcBorders/>
            <w:shd w:fill="CCEEFF" w:val="clear"/>
            <w:vAlign w:val="bottom"/>
          </w:tcPr>
          <w:p>
            <w:pPr>
              <w:pStyle w:val="TableContents"/>
              <w:bidi w:val="0"/>
              <w:spacing w:before="0" w:after="283"/>
              <w:jc w:val="left"/>
              <w:rPr/>
            </w:pPr>
            <w:r>
              <w:rPr/>
              <w:t> </w:t>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16.48</w:t>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19.14</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16.56</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16.1</w:t>
            </w:r>
          </w:p>
        </w:tc>
        <w:tc>
          <w:tcPr>
            <w:tcW w:w="28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0.5</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0.45</w:t>
            </w:r>
          </w:p>
        </w:tc>
        <w:tc>
          <w:tcPr>
            <w:tcW w:w="70" w:type="dxa"/>
            <w:tcBorders/>
            <w:vAlign w:val="bottom"/>
          </w:tcPr>
          <w:p>
            <w:pPr>
              <w:pStyle w:val="TableContents"/>
              <w:bidi w:val="0"/>
              <w:spacing w:before="0" w:after="283"/>
              <w:jc w:val="left"/>
              <w:rPr/>
            </w:pPr>
            <w:r>
              <w:rPr/>
              <w:t> </w:t>
            </w:r>
          </w:p>
        </w:tc>
      </w:tr>
      <w:tr>
        <w:trPr/>
        <w:tc>
          <w:tcPr>
            <w:tcW w:w="26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 2023</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136"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75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16.59</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19.83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16.86</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19.5</w:t>
            </w:r>
          </w:p>
        </w:tc>
        <w:tc>
          <w:tcPr>
            <w:tcW w:w="28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1.6</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2" w:type="dxa"/>
            <w:tcBorders/>
            <w:vAlign w:val="bottom"/>
          </w:tcPr>
          <w:p>
            <w:pPr>
              <w:pStyle w:val="TableContents"/>
              <w:bidi w:val="0"/>
              <w:spacing w:before="0" w:after="283"/>
              <w:jc w:val="right"/>
              <w:rPr/>
            </w:pPr>
            <w:r>
              <w:rPr/>
              <w:t>0.55</w:t>
            </w:r>
          </w:p>
        </w:tc>
        <w:tc>
          <w:tcPr>
            <w:tcW w:w="70" w:type="dxa"/>
            <w:tcBorders/>
            <w:vAlign w:val="bottom"/>
          </w:tcPr>
          <w:p>
            <w:pPr>
              <w:pStyle w:val="TableContents"/>
              <w:bidi w:val="0"/>
              <w:spacing w:before="0" w:after="283"/>
              <w:jc w:val="left"/>
              <w:rPr/>
            </w:pPr>
            <w:r>
              <w:rPr/>
              <w:t> </w:t>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16.74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20.08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17.31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20.0</w:t>
            </w:r>
          </w:p>
        </w:tc>
        <w:tc>
          <w:tcPr>
            <w:tcW w:w="28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3.4</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0.50</w:t>
            </w:r>
          </w:p>
        </w:tc>
        <w:tc>
          <w:tcPr>
            <w:tcW w:w="70" w:type="dxa"/>
            <w:tcBorders/>
            <w:shd w:fill="CCEEFF" w:val="clear"/>
            <w:vAlign w:val="bottom"/>
          </w:tcPr>
          <w:p>
            <w:pPr>
              <w:pStyle w:val="TableContents"/>
              <w:bidi w:val="0"/>
              <w:spacing w:before="0" w:after="283"/>
              <w:jc w:val="left"/>
              <w:rPr/>
            </w:pPr>
            <w:r>
              <w:rPr/>
              <w:t> </w:t>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16.97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20.97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19.02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23.6</w:t>
            </w:r>
          </w:p>
        </w:tc>
        <w:tc>
          <w:tcPr>
            <w:tcW w:w="28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12.1</w:t>
            </w:r>
          </w:p>
        </w:tc>
        <w:tc>
          <w:tcPr>
            <w:tcW w:w="35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0.52</w:t>
            </w:r>
          </w:p>
        </w:tc>
        <w:tc>
          <w:tcPr>
            <w:tcW w:w="70" w:type="dxa"/>
            <w:tcBorders/>
            <w:vAlign w:val="bottom"/>
          </w:tcPr>
          <w:p>
            <w:pPr>
              <w:pStyle w:val="TableContents"/>
              <w:bidi w:val="0"/>
              <w:spacing w:before="0" w:after="283"/>
              <w:jc w:val="left"/>
              <w:rPr/>
            </w:pPr>
            <w:r>
              <w:rPr/>
              <w:t> </w:t>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 (through December 20, 2023)</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21.49</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19.05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w:t>
            </w:r>
          </w:p>
        </w:tc>
        <w:tc>
          <w:tcPr>
            <w:tcW w:w="35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0.53</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net asset value, divided by net asset value (in each case, as of the applicable quarter). Does not reflect intraday trading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dividends declared in the relevant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asset value has not yet been reported for this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tables summarize dividends declared during the nine months ended September 30, 2023 and years ended December 31,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4"/>
        <w:gridCol w:w="169"/>
        <w:gridCol w:w="60"/>
        <w:gridCol w:w="1465"/>
        <w:gridCol w:w="60"/>
        <w:gridCol w:w="169"/>
        <w:gridCol w:w="60"/>
        <w:gridCol w:w="2163"/>
        <w:gridCol w:w="60"/>
        <w:gridCol w:w="169"/>
        <w:gridCol w:w="60"/>
        <w:gridCol w:w="2163"/>
        <w:gridCol w:w="60"/>
        <w:gridCol w:w="169"/>
        <w:gridCol w:w="247"/>
        <w:gridCol w:w="872"/>
        <w:gridCol w:w="65"/>
      </w:tblGrid>
      <w:tr>
        <w:trPr/>
        <w:tc>
          <w:tcPr>
            <w:tcW w:w="219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19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77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2023</w:t>
            </w:r>
          </w:p>
        </w:tc>
        <w:tc>
          <w:tcPr>
            <w:tcW w:w="65" w:type="dxa"/>
            <w:tcBorders/>
            <w:vAlign w:val="bottom"/>
          </w:tcPr>
          <w:p>
            <w:pPr>
              <w:pStyle w:val="TableContents"/>
              <w:bidi w:val="0"/>
              <w:spacing w:before="0" w:after="283"/>
              <w:jc w:val="left"/>
              <w:rPr/>
            </w:pPr>
            <w:r>
              <w:rPr/>
              <w:t> </w:t>
            </w:r>
          </w:p>
        </w:tc>
      </w:tr>
      <w:tr>
        <w:trPr/>
        <w:tc>
          <w:tcPr>
            <w:tcW w:w="2194" w:type="dxa"/>
            <w:tcBorders/>
            <w:vAlign w:val="bottom"/>
          </w:tcPr>
          <w:p>
            <w:pPr>
              <w:pStyle w:val="TableContents"/>
              <w:bidi w:val="0"/>
              <w:spacing w:before="0" w:after="283"/>
              <w:jc w:val="left"/>
              <w:rPr>
                <w:b/>
              </w:rPr>
            </w:pPr>
            <w:r>
              <w:rPr>
                <w:b/>
              </w:rPr>
              <w:t>Date Declared</w:t>
            </w:r>
          </w:p>
        </w:tc>
        <w:tc>
          <w:tcPr>
            <w:tcW w:w="169"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Dividend</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Record Date</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Payment Date</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Dividend</w:t>
              <w:br/>
              <w:t>per Share</w:t>
            </w:r>
          </w:p>
        </w:tc>
        <w:tc>
          <w:tcPr>
            <w:tcW w:w="65" w:type="dxa"/>
            <w:tcBorders/>
            <w:vAlign w:val="bottom"/>
          </w:tcPr>
          <w:p>
            <w:pPr>
              <w:pStyle w:val="TableContents"/>
              <w:bidi w:val="0"/>
              <w:spacing w:before="0" w:after="283"/>
              <w:jc w:val="left"/>
              <w:rPr/>
            </w:pPr>
            <w:r>
              <w:rPr/>
              <w:t> </w:t>
            </w:r>
          </w:p>
        </w:tc>
      </w:tr>
      <w:tr>
        <w:trPr/>
        <w:tc>
          <w:tcPr>
            <w:tcW w:w="2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16, 2023</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center"/>
              <w:rPr/>
            </w:pPr>
            <w:r>
              <w:rPr/>
              <w:t>Supplemental</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3" w:type="dxa"/>
            <w:tcBorders/>
            <w:shd w:fill="CCEEFF" w:val="clear"/>
            <w:vAlign w:val="bottom"/>
          </w:tcPr>
          <w:p>
            <w:pPr>
              <w:pStyle w:val="TableContents"/>
              <w:bidi w:val="0"/>
              <w:spacing w:before="0" w:after="283"/>
              <w:jc w:val="center"/>
              <w:rPr/>
            </w:pPr>
            <w:r>
              <w:rPr/>
              <w:t>February 28, 2023</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3" w:type="dxa"/>
            <w:tcBorders/>
            <w:shd w:fill="CCEEFF" w:val="clear"/>
            <w:vAlign w:val="bottom"/>
          </w:tcPr>
          <w:p>
            <w:pPr>
              <w:pStyle w:val="TableContents"/>
              <w:bidi w:val="0"/>
              <w:spacing w:before="0" w:after="283"/>
              <w:jc w:val="center"/>
              <w:rPr/>
            </w:pPr>
            <w:r>
              <w:rPr/>
              <w:t>March 20, 2023</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0.09</w:t>
            </w:r>
          </w:p>
        </w:tc>
        <w:tc>
          <w:tcPr>
            <w:tcW w:w="65" w:type="dxa"/>
            <w:tcBorders/>
            <w:shd w:fill="CCEEFF" w:val="clear"/>
            <w:vAlign w:val="bottom"/>
          </w:tcPr>
          <w:p>
            <w:pPr>
              <w:pStyle w:val="TableContents"/>
              <w:bidi w:val="0"/>
              <w:spacing w:before="0" w:after="283"/>
              <w:jc w:val="left"/>
              <w:rPr/>
            </w:pPr>
            <w:r>
              <w:rPr/>
              <w:t> </w:t>
            </w:r>
          </w:p>
        </w:tc>
      </w:tr>
      <w:tr>
        <w:trPr/>
        <w:tc>
          <w:tcPr>
            <w:tcW w:w="2194" w:type="dxa"/>
            <w:tcBorders/>
          </w:tcPr>
          <w:p>
            <w:pPr>
              <w:pStyle w:val="TableContents"/>
              <w:bidi w:val="0"/>
              <w:spacing w:before="0" w:after="0"/>
              <w:jc w:val="left"/>
              <w:rPr>
                <w:rFonts w:ascii="Times New Roman" w:hAnsi="Times New Roman"/>
                <w:sz w:val="20"/>
              </w:rPr>
            </w:pPr>
            <w:r>
              <w:rPr>
                <w:rFonts w:ascii="Times New Roman" w:hAnsi="Times New Roman"/>
                <w:sz w:val="20"/>
              </w:rPr>
              <w:t>February 16, 2023</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center"/>
              <w:rPr/>
            </w:pPr>
            <w:r>
              <w:rPr/>
              <w:t>Base</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3" w:type="dxa"/>
            <w:tcBorders/>
            <w:vAlign w:val="bottom"/>
          </w:tcPr>
          <w:p>
            <w:pPr>
              <w:pStyle w:val="TableContents"/>
              <w:bidi w:val="0"/>
              <w:spacing w:before="0" w:after="283"/>
              <w:jc w:val="center"/>
              <w:rPr/>
            </w:pPr>
            <w:r>
              <w:rPr/>
              <w:t>March 15, 2023</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3" w:type="dxa"/>
            <w:tcBorders/>
            <w:vAlign w:val="bottom"/>
          </w:tcPr>
          <w:p>
            <w:pPr>
              <w:pStyle w:val="TableContents"/>
              <w:bidi w:val="0"/>
              <w:spacing w:before="0" w:after="283"/>
              <w:jc w:val="center"/>
              <w:rPr/>
            </w:pPr>
            <w:r>
              <w:rPr/>
              <w:t>March 31, 2023</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0.46</w:t>
            </w:r>
          </w:p>
        </w:tc>
        <w:tc>
          <w:tcPr>
            <w:tcW w:w="65" w:type="dxa"/>
            <w:tcBorders/>
            <w:vAlign w:val="bottom"/>
          </w:tcPr>
          <w:p>
            <w:pPr>
              <w:pStyle w:val="TableContents"/>
              <w:bidi w:val="0"/>
              <w:spacing w:before="0" w:after="283"/>
              <w:jc w:val="left"/>
              <w:rPr/>
            </w:pPr>
            <w:r>
              <w:rPr/>
              <w:t> </w:t>
            </w:r>
          </w:p>
        </w:tc>
      </w:tr>
      <w:tr>
        <w:trPr/>
        <w:tc>
          <w:tcPr>
            <w:tcW w:w="2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8, 2023</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center"/>
              <w:rPr/>
            </w:pPr>
            <w:r>
              <w:rPr/>
              <w:t>Supplemental</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3" w:type="dxa"/>
            <w:tcBorders/>
            <w:shd w:fill="CCEEFF" w:val="clear"/>
            <w:vAlign w:val="bottom"/>
          </w:tcPr>
          <w:p>
            <w:pPr>
              <w:pStyle w:val="TableContents"/>
              <w:bidi w:val="0"/>
              <w:spacing w:before="0" w:after="283"/>
              <w:jc w:val="center"/>
              <w:rPr/>
            </w:pPr>
            <w:r>
              <w:rPr/>
              <w:t>May 31, 2023</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3" w:type="dxa"/>
            <w:tcBorders/>
            <w:shd w:fill="CCEEFF" w:val="clear"/>
            <w:vAlign w:val="bottom"/>
          </w:tcPr>
          <w:p>
            <w:pPr>
              <w:pStyle w:val="TableContents"/>
              <w:bidi w:val="0"/>
              <w:spacing w:before="0" w:after="283"/>
              <w:jc w:val="center"/>
              <w:rPr/>
            </w:pPr>
            <w:r>
              <w:rPr/>
              <w:t>June 20, 2023</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0.04</w:t>
            </w:r>
          </w:p>
        </w:tc>
        <w:tc>
          <w:tcPr>
            <w:tcW w:w="65" w:type="dxa"/>
            <w:tcBorders/>
            <w:shd w:fill="CCEEFF" w:val="clear"/>
            <w:vAlign w:val="bottom"/>
          </w:tcPr>
          <w:p>
            <w:pPr>
              <w:pStyle w:val="TableContents"/>
              <w:bidi w:val="0"/>
              <w:spacing w:before="0" w:after="283"/>
              <w:jc w:val="left"/>
              <w:rPr/>
            </w:pPr>
            <w:r>
              <w:rPr/>
              <w:t> </w:t>
            </w:r>
          </w:p>
        </w:tc>
      </w:tr>
      <w:tr>
        <w:trPr/>
        <w:tc>
          <w:tcPr>
            <w:tcW w:w="2194" w:type="dxa"/>
            <w:tcBorders/>
          </w:tcPr>
          <w:p>
            <w:pPr>
              <w:pStyle w:val="TableContents"/>
              <w:bidi w:val="0"/>
              <w:spacing w:before="0" w:after="0"/>
              <w:jc w:val="left"/>
              <w:rPr>
                <w:rFonts w:ascii="Times New Roman" w:hAnsi="Times New Roman"/>
                <w:sz w:val="20"/>
              </w:rPr>
            </w:pPr>
            <w:r>
              <w:rPr>
                <w:rFonts w:ascii="Times New Roman" w:hAnsi="Times New Roman"/>
                <w:sz w:val="20"/>
              </w:rPr>
              <w:t>May 8, 2023</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center"/>
              <w:rPr/>
            </w:pPr>
            <w:r>
              <w:rPr/>
              <w:t>Base</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3" w:type="dxa"/>
            <w:tcBorders/>
            <w:vAlign w:val="bottom"/>
          </w:tcPr>
          <w:p>
            <w:pPr>
              <w:pStyle w:val="TableContents"/>
              <w:bidi w:val="0"/>
              <w:spacing w:before="0" w:after="283"/>
              <w:jc w:val="center"/>
              <w:rPr/>
            </w:pPr>
            <w:r>
              <w:rPr/>
              <w:t>June 15, 2023</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3" w:type="dxa"/>
            <w:tcBorders/>
            <w:vAlign w:val="bottom"/>
          </w:tcPr>
          <w:p>
            <w:pPr>
              <w:pStyle w:val="TableContents"/>
              <w:bidi w:val="0"/>
              <w:spacing w:before="0" w:after="283"/>
              <w:jc w:val="center"/>
              <w:rPr/>
            </w:pPr>
            <w:r>
              <w:rPr/>
              <w:t>June 30, 2023</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0.46</w:t>
            </w:r>
          </w:p>
        </w:tc>
        <w:tc>
          <w:tcPr>
            <w:tcW w:w="65" w:type="dxa"/>
            <w:tcBorders/>
            <w:vAlign w:val="bottom"/>
          </w:tcPr>
          <w:p>
            <w:pPr>
              <w:pStyle w:val="TableContents"/>
              <w:bidi w:val="0"/>
              <w:spacing w:before="0" w:after="283"/>
              <w:jc w:val="left"/>
              <w:rPr/>
            </w:pPr>
            <w:r>
              <w:rPr/>
              <w:t> </w:t>
            </w:r>
          </w:p>
        </w:tc>
      </w:tr>
      <w:tr>
        <w:trPr/>
        <w:tc>
          <w:tcPr>
            <w:tcW w:w="2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3, 2023</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center"/>
              <w:rPr/>
            </w:pPr>
            <w:r>
              <w:rPr/>
              <w:t>Supplemental</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3" w:type="dxa"/>
            <w:tcBorders/>
            <w:shd w:fill="CCEEFF" w:val="clear"/>
            <w:vAlign w:val="bottom"/>
          </w:tcPr>
          <w:p>
            <w:pPr>
              <w:pStyle w:val="TableContents"/>
              <w:bidi w:val="0"/>
              <w:spacing w:before="0" w:after="283"/>
              <w:jc w:val="center"/>
              <w:rPr/>
            </w:pPr>
            <w:r>
              <w:rPr/>
              <w:t>August 31, 2023</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3" w:type="dxa"/>
            <w:tcBorders/>
            <w:shd w:fill="CCEEFF" w:val="clear"/>
            <w:vAlign w:val="bottom"/>
          </w:tcPr>
          <w:p>
            <w:pPr>
              <w:pStyle w:val="TableContents"/>
              <w:bidi w:val="0"/>
              <w:spacing w:before="0" w:after="283"/>
              <w:jc w:val="center"/>
              <w:rPr/>
            </w:pPr>
            <w:r>
              <w:rPr/>
              <w:t>September 20, 2023</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0.06</w:t>
            </w:r>
          </w:p>
        </w:tc>
        <w:tc>
          <w:tcPr>
            <w:tcW w:w="65" w:type="dxa"/>
            <w:tcBorders/>
            <w:shd w:fill="CCEEFF" w:val="clear"/>
            <w:vAlign w:val="bottom"/>
          </w:tcPr>
          <w:p>
            <w:pPr>
              <w:pStyle w:val="TableContents"/>
              <w:bidi w:val="0"/>
              <w:spacing w:before="0" w:after="283"/>
              <w:jc w:val="left"/>
              <w:rPr/>
            </w:pPr>
            <w:r>
              <w:rPr/>
              <w:t> </w:t>
            </w:r>
          </w:p>
        </w:tc>
      </w:tr>
      <w:tr>
        <w:trPr/>
        <w:tc>
          <w:tcPr>
            <w:tcW w:w="2194" w:type="dxa"/>
            <w:tcBorders/>
          </w:tcPr>
          <w:p>
            <w:pPr>
              <w:pStyle w:val="TableContents"/>
              <w:bidi w:val="0"/>
              <w:spacing w:before="0" w:after="0"/>
              <w:jc w:val="left"/>
              <w:rPr>
                <w:rFonts w:ascii="Times New Roman" w:hAnsi="Times New Roman"/>
                <w:sz w:val="20"/>
              </w:rPr>
            </w:pPr>
            <w:r>
              <w:rPr>
                <w:rFonts w:ascii="Times New Roman" w:hAnsi="Times New Roman"/>
                <w:sz w:val="20"/>
              </w:rPr>
              <w:t>August 3, 2023</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center"/>
              <w:rPr/>
            </w:pPr>
            <w:r>
              <w:rPr/>
              <w:t>Base</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3" w:type="dxa"/>
            <w:tcBorders/>
            <w:vAlign w:val="bottom"/>
          </w:tcPr>
          <w:p>
            <w:pPr>
              <w:pStyle w:val="TableContents"/>
              <w:bidi w:val="0"/>
              <w:spacing w:before="0" w:after="283"/>
              <w:jc w:val="center"/>
              <w:rPr/>
            </w:pPr>
            <w:r>
              <w:rPr/>
              <w:t>September 15, 2023</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3" w:type="dxa"/>
            <w:tcBorders/>
            <w:vAlign w:val="bottom"/>
          </w:tcPr>
          <w:p>
            <w:pPr>
              <w:pStyle w:val="TableContents"/>
              <w:bidi w:val="0"/>
              <w:spacing w:before="0" w:after="283"/>
              <w:jc w:val="center"/>
              <w:rPr/>
            </w:pPr>
            <w:r>
              <w:rPr/>
              <w:t>September 29, 2023</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0.46</w:t>
            </w:r>
          </w:p>
        </w:tc>
        <w:tc>
          <w:tcPr>
            <w:tcW w:w="65" w:type="dxa"/>
            <w:tcBorders/>
            <w:vAlign w:val="bottom"/>
          </w:tcPr>
          <w:p>
            <w:pPr>
              <w:pStyle w:val="TableContents"/>
              <w:bidi w:val="0"/>
              <w:spacing w:before="0" w:after="283"/>
              <w:jc w:val="left"/>
              <w:rPr/>
            </w:pPr>
            <w:r>
              <w:rPr/>
              <w:t> </w:t>
            </w:r>
          </w:p>
        </w:tc>
      </w:tr>
      <w:tr>
        <w:trPr/>
        <w:tc>
          <w:tcPr>
            <w:tcW w:w="2194"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1.57</w:t>
            </w:r>
          </w:p>
        </w:tc>
        <w:tc>
          <w:tcPr>
            <w:tcW w:w="65" w:type="dxa"/>
            <w:tcBorders/>
            <w:shd w:fill="CCEEFF" w:val="clear"/>
            <w:vAlign w:val="bottom"/>
          </w:tcPr>
          <w:p>
            <w:pPr>
              <w:pStyle w:val="TableContents"/>
              <w:bidi w:val="0"/>
              <w:spacing w:before="0" w:after="283"/>
              <w:jc w:val="left"/>
              <w:rPr/>
            </w:pPr>
            <w:r>
              <w:rPr/>
              <w:t> </w:t>
            </w:r>
          </w:p>
        </w:tc>
      </w:tr>
      <w:tr>
        <w:trPr/>
        <w:tc>
          <w:tcPr>
            <w:tcW w:w="2194"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9"/>
        <w:gridCol w:w="168"/>
        <w:gridCol w:w="60"/>
        <w:gridCol w:w="1464"/>
        <w:gridCol w:w="60"/>
        <w:gridCol w:w="168"/>
        <w:gridCol w:w="60"/>
        <w:gridCol w:w="2162"/>
        <w:gridCol w:w="60"/>
        <w:gridCol w:w="168"/>
        <w:gridCol w:w="60"/>
        <w:gridCol w:w="2162"/>
        <w:gridCol w:w="60"/>
        <w:gridCol w:w="168"/>
        <w:gridCol w:w="247"/>
        <w:gridCol w:w="870"/>
        <w:gridCol w:w="69"/>
      </w:tblGrid>
      <w:tr>
        <w:trPr/>
        <w:tc>
          <w:tcPr>
            <w:tcW w:w="2199"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19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76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2022</w:t>
            </w:r>
          </w:p>
        </w:tc>
        <w:tc>
          <w:tcPr>
            <w:tcW w:w="69" w:type="dxa"/>
            <w:tcBorders/>
            <w:vAlign w:val="bottom"/>
          </w:tcPr>
          <w:p>
            <w:pPr>
              <w:pStyle w:val="TableContents"/>
              <w:bidi w:val="0"/>
              <w:spacing w:before="0" w:after="283"/>
              <w:jc w:val="left"/>
              <w:rPr/>
            </w:pPr>
            <w:r>
              <w:rPr/>
              <w:t> </w:t>
            </w:r>
          </w:p>
        </w:tc>
      </w:tr>
      <w:tr>
        <w:trPr/>
        <w:tc>
          <w:tcPr>
            <w:tcW w:w="2199" w:type="dxa"/>
            <w:tcBorders/>
            <w:vAlign w:val="bottom"/>
          </w:tcPr>
          <w:p>
            <w:pPr>
              <w:pStyle w:val="TableContents"/>
              <w:bidi w:val="0"/>
              <w:spacing w:before="0" w:after="283"/>
              <w:jc w:val="left"/>
              <w:rPr>
                <w:b/>
              </w:rPr>
            </w:pPr>
            <w:r>
              <w:rPr>
                <w:b/>
              </w:rPr>
              <w:t>Date Declared</w:t>
            </w:r>
          </w:p>
        </w:tc>
        <w:tc>
          <w:tcPr>
            <w:tcW w:w="168"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Dividend</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Record Date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Payment Date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Dividend</w:t>
              <w:br/>
              <w:t>per Share</w:t>
            </w:r>
          </w:p>
        </w:tc>
        <w:tc>
          <w:tcPr>
            <w:tcW w:w="69" w:type="dxa"/>
            <w:tcBorders/>
            <w:vAlign w:val="bottom"/>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17, 2022</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Supplemental</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February 28, 2022</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March 31, 2022</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0.11</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tcPr>
          <w:p>
            <w:pPr>
              <w:pStyle w:val="TableContents"/>
              <w:bidi w:val="0"/>
              <w:spacing w:before="0" w:after="0"/>
              <w:jc w:val="left"/>
              <w:rPr>
                <w:rFonts w:ascii="Times New Roman" w:hAnsi="Times New Roman"/>
                <w:sz w:val="20"/>
              </w:rPr>
            </w:pPr>
            <w:r>
              <w:rPr>
                <w:rFonts w:ascii="Times New Roman" w:hAnsi="Times New Roman"/>
                <w:sz w:val="20"/>
              </w:rPr>
              <w:t>February 17, 2022</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Base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March 15, 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April 18, 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0.41</w:t>
            </w:r>
          </w:p>
        </w:tc>
        <w:tc>
          <w:tcPr>
            <w:tcW w:w="69" w:type="dxa"/>
            <w:tcBorders/>
            <w:vAlign w:val="bottom"/>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3, 2022</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Supplemental</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May 31, 2022</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September 30, 2022</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0.04</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tcPr>
          <w:p>
            <w:pPr>
              <w:pStyle w:val="TableContents"/>
              <w:bidi w:val="0"/>
              <w:spacing w:before="0" w:after="0"/>
              <w:jc w:val="left"/>
              <w:rPr>
                <w:rFonts w:ascii="Times New Roman" w:hAnsi="Times New Roman"/>
                <w:sz w:val="20"/>
              </w:rPr>
            </w:pPr>
            <w:r>
              <w:rPr>
                <w:rFonts w:ascii="Times New Roman" w:hAnsi="Times New Roman"/>
                <w:sz w:val="20"/>
              </w:rPr>
              <w:t>May 3, 2022</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Base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June 15, 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July 15, 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0.41</w:t>
            </w:r>
          </w:p>
        </w:tc>
        <w:tc>
          <w:tcPr>
            <w:tcW w:w="69" w:type="dxa"/>
            <w:tcBorders/>
            <w:vAlign w:val="bottom"/>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 2022</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Base</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September 15, 2022</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September 30, 2022</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0.42</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tcPr>
          <w:p>
            <w:pPr>
              <w:pStyle w:val="TableContents"/>
              <w:bidi w:val="0"/>
              <w:spacing w:before="0" w:after="0"/>
              <w:jc w:val="left"/>
              <w:rPr>
                <w:rFonts w:ascii="Times New Roman" w:hAnsi="Times New Roman"/>
                <w:sz w:val="20"/>
              </w:rPr>
            </w:pPr>
            <w:r>
              <w:rPr>
                <w:rFonts w:ascii="Times New Roman" w:hAnsi="Times New Roman"/>
                <w:sz w:val="20"/>
              </w:rPr>
              <w:t>November 1, 2022</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Base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December 15, 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December 30, 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0.45</w:t>
            </w:r>
          </w:p>
        </w:tc>
        <w:tc>
          <w:tcPr>
            <w:tcW w:w="69" w:type="dxa"/>
            <w:tcBorders/>
            <w:vAlign w:val="bottom"/>
          </w:tcPr>
          <w:p>
            <w:pPr>
              <w:pStyle w:val="TableContents"/>
              <w:bidi w:val="0"/>
              <w:spacing w:before="0" w:after="283"/>
              <w:jc w:val="left"/>
              <w:rPr/>
            </w:pPr>
            <w:r>
              <w:rPr/>
              <w:t> </w:t>
            </w:r>
          </w:p>
        </w:tc>
      </w:tr>
      <w:tr>
        <w:trPr/>
        <w:tc>
          <w:tcPr>
            <w:tcW w:w="2199"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1.84</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87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9"/>
        <w:gridCol w:w="168"/>
        <w:gridCol w:w="60"/>
        <w:gridCol w:w="1464"/>
        <w:gridCol w:w="60"/>
        <w:gridCol w:w="168"/>
        <w:gridCol w:w="60"/>
        <w:gridCol w:w="2162"/>
        <w:gridCol w:w="60"/>
        <w:gridCol w:w="168"/>
        <w:gridCol w:w="60"/>
        <w:gridCol w:w="2162"/>
        <w:gridCol w:w="60"/>
        <w:gridCol w:w="168"/>
        <w:gridCol w:w="247"/>
        <w:gridCol w:w="870"/>
        <w:gridCol w:w="69"/>
      </w:tblGrid>
      <w:tr>
        <w:trPr/>
        <w:tc>
          <w:tcPr>
            <w:tcW w:w="2199"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19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76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2021</w:t>
            </w:r>
          </w:p>
        </w:tc>
        <w:tc>
          <w:tcPr>
            <w:tcW w:w="69" w:type="dxa"/>
            <w:tcBorders/>
            <w:vAlign w:val="bottom"/>
          </w:tcPr>
          <w:p>
            <w:pPr>
              <w:pStyle w:val="TableContents"/>
              <w:bidi w:val="0"/>
              <w:spacing w:before="0" w:after="283"/>
              <w:jc w:val="left"/>
              <w:rPr/>
            </w:pPr>
            <w:r>
              <w:rPr/>
              <w:t> </w:t>
            </w:r>
          </w:p>
        </w:tc>
      </w:tr>
      <w:tr>
        <w:trPr/>
        <w:tc>
          <w:tcPr>
            <w:tcW w:w="2199" w:type="dxa"/>
            <w:tcBorders/>
            <w:vAlign w:val="bottom"/>
          </w:tcPr>
          <w:p>
            <w:pPr>
              <w:pStyle w:val="TableContents"/>
              <w:bidi w:val="0"/>
              <w:spacing w:before="0" w:after="283"/>
              <w:jc w:val="left"/>
              <w:rPr>
                <w:b/>
              </w:rPr>
            </w:pPr>
            <w:r>
              <w:rPr>
                <w:b/>
              </w:rPr>
              <w:t>Date Declared</w:t>
            </w:r>
          </w:p>
        </w:tc>
        <w:tc>
          <w:tcPr>
            <w:tcW w:w="168"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Dividend</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Record Date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Payment Date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Dividend</w:t>
              <w:br/>
              <w:t>per Share</w:t>
            </w:r>
          </w:p>
        </w:tc>
        <w:tc>
          <w:tcPr>
            <w:tcW w:w="69" w:type="dxa"/>
            <w:tcBorders/>
            <w:vAlign w:val="bottom"/>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Supplemental</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February 26,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March 31,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0.05</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Base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March 15,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April 15,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0.41</w:t>
            </w:r>
          </w:p>
        </w:tc>
        <w:tc>
          <w:tcPr>
            <w:tcW w:w="69" w:type="dxa"/>
            <w:tcBorders/>
            <w:vAlign w:val="bottom"/>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Special</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March 25,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April 8,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1.25</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tcPr>
          <w:p>
            <w:pPr>
              <w:pStyle w:val="TableContents"/>
              <w:bidi w:val="0"/>
              <w:spacing w:before="0" w:after="0"/>
              <w:jc w:val="left"/>
              <w:rPr>
                <w:rFonts w:ascii="Times New Roman" w:hAnsi="Times New Roman"/>
                <w:sz w:val="20"/>
              </w:rPr>
            </w:pPr>
            <w:r>
              <w:rPr>
                <w:rFonts w:ascii="Times New Roman" w:hAnsi="Times New Roman"/>
                <w:sz w:val="20"/>
              </w:rPr>
              <w:t>May 4, 2021</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Supplemental</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May 28,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June 30,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0.06</w:t>
            </w:r>
          </w:p>
        </w:tc>
        <w:tc>
          <w:tcPr>
            <w:tcW w:w="69" w:type="dxa"/>
            <w:tcBorders/>
            <w:vAlign w:val="bottom"/>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4, 2021</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Base</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June 15,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July 15,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0.41</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tcPr>
          <w:p>
            <w:pPr>
              <w:pStyle w:val="TableContents"/>
              <w:bidi w:val="0"/>
              <w:spacing w:before="0" w:after="0"/>
              <w:jc w:val="left"/>
              <w:rPr>
                <w:rFonts w:ascii="Times New Roman" w:hAnsi="Times New Roman"/>
                <w:sz w:val="20"/>
              </w:rPr>
            </w:pPr>
            <w:r>
              <w:rPr>
                <w:rFonts w:ascii="Times New Roman" w:hAnsi="Times New Roman"/>
                <w:sz w:val="20"/>
              </w:rPr>
              <w:t>August 3, 2021</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Supplemental</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August 31,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September 30,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0.02</w:t>
            </w:r>
          </w:p>
        </w:tc>
        <w:tc>
          <w:tcPr>
            <w:tcW w:w="69" w:type="dxa"/>
            <w:tcBorders/>
            <w:vAlign w:val="bottom"/>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3, 2021</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Base</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September 15,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October 15,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0.41</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Supplemental</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November 30,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December 31,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0.07</w:t>
            </w:r>
          </w:p>
        </w:tc>
        <w:tc>
          <w:tcPr>
            <w:tcW w:w="69" w:type="dxa"/>
            <w:tcBorders/>
            <w:vAlign w:val="bottom"/>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Special</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December 7,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center"/>
              <w:rPr/>
            </w:pPr>
            <w:r>
              <w:rPr/>
              <w:t>December 20, 2021</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0.50</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Base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December 15, 2021</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center"/>
              <w:rPr/>
            </w:pPr>
            <w:r>
              <w:rPr/>
              <w:t>January 14, 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0.41</w:t>
            </w:r>
          </w:p>
        </w:tc>
        <w:tc>
          <w:tcPr>
            <w:tcW w:w="69" w:type="dxa"/>
            <w:tcBorders/>
            <w:vAlign w:val="bottom"/>
          </w:tcPr>
          <w:p>
            <w:pPr>
              <w:pStyle w:val="TableContents"/>
              <w:bidi w:val="0"/>
              <w:spacing w:before="0" w:after="283"/>
              <w:jc w:val="left"/>
              <w:rPr/>
            </w:pPr>
            <w:r>
              <w:rPr/>
              <w:t> </w:t>
            </w:r>
          </w:p>
        </w:tc>
      </w:tr>
      <w:tr>
        <w:trPr/>
        <w:tc>
          <w:tcPr>
            <w:tcW w:w="2199"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1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870" w:type="dxa"/>
            <w:tcBorders/>
            <w:shd w:fill="CCEEFF" w:val="clear"/>
            <w:vAlign w:val="bottom"/>
          </w:tcPr>
          <w:p>
            <w:pPr>
              <w:pStyle w:val="TableContents"/>
              <w:bidi w:val="0"/>
              <w:spacing w:before="0" w:after="283"/>
              <w:jc w:val="right"/>
              <w:rPr/>
            </w:pPr>
            <w:r>
              <w:rPr/>
              <w:t>3.59</w:t>
            </w:r>
          </w:p>
        </w:tc>
        <w:tc>
          <w:tcPr>
            <w:tcW w:w="69" w:type="dxa"/>
            <w:tcBorders/>
            <w:shd w:fill="CCEEFF" w:val="clear"/>
            <w:vAlign w:val="bottom"/>
          </w:tcPr>
          <w:p>
            <w:pPr>
              <w:pStyle w:val="TableContents"/>
              <w:bidi w:val="0"/>
              <w:spacing w:before="0" w:after="283"/>
              <w:jc w:val="left"/>
              <w:rPr/>
            </w:pPr>
            <w:r>
              <w:rPr/>
              <w:t> </w:t>
            </w:r>
          </w:p>
        </w:tc>
      </w:tr>
      <w:tr>
        <w:trPr/>
        <w:tc>
          <w:tcPr>
            <w:tcW w:w="2199"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87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To be treated as a regulated investment company, or a RIC, for U.S. federal income tax purposes and therefore to avoid being subject to corporate-level U.S. federal income taxation of our earnings, we must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98% of our net ordinary income, excluding certain ordinary gains and losses, recognized during such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income or gains recognized, but not distributed, in preceding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 </w:t>
      </w:r>
    </w:p>
    <w:p>
      <w:pPr>
        <w:pStyle w:val="TextBody"/>
        <w:bidi w:val="0"/>
        <w:spacing w:before="240" w:after="0"/>
        <w:jc w:val="left"/>
        <w:rPr>
          <w:rFonts w:ascii="Times New Roman" w:hAnsi="Times New Roman"/>
          <w:sz w:val="20"/>
        </w:rPr>
      </w:pPr>
      <w:r>
        <w:rPr>
          <w:rFonts w:ascii="Times New Roman" w:hAnsi="Times New Roman"/>
          <w:sz w:val="20"/>
        </w:rPr>
        <w:t xml:space="preserve">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Unless our common stockholders elect to receive their dividends in cash, we intend to make such distributions in additional shares of our common stock under our dividend reinvestment plan. See Dividend Reinvestment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570824_9"/>
      <w:bookmarkEnd w:id="22"/>
      <w:r>
        <w:rPr>
          <w:rFonts w:ascii="Times New Roman" w:hAnsi="Times New Roman"/>
          <w:b/>
          <w:sz w:val="20"/>
        </w:rPr>
        <w:t xml:space="preserve">SENIOR SECURITIES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50"/>
        <w:gridCol w:w="280"/>
        <w:gridCol w:w="297"/>
        <w:gridCol w:w="1188"/>
        <w:gridCol w:w="60"/>
        <w:gridCol w:w="280"/>
        <w:gridCol w:w="158"/>
        <w:gridCol w:w="854"/>
        <w:gridCol w:w="60"/>
        <w:gridCol w:w="280"/>
        <w:gridCol w:w="370"/>
        <w:gridCol w:w="880"/>
        <w:gridCol w:w="60"/>
        <w:gridCol w:w="280"/>
        <w:gridCol w:w="106"/>
        <w:gridCol w:w="804"/>
        <w:gridCol w:w="65"/>
      </w:tblGrid>
      <w:tr>
        <w:trPr/>
        <w:tc>
          <w:tcPr>
            <w:tcW w:w="255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5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Class and Year/Period</w:t>
            </w:r>
          </w:p>
        </w:tc>
        <w:tc>
          <w:tcPr>
            <w:tcW w:w="280"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Amount</w:t>
              <w:br/>
              <w:t>Outstanding</w:t>
              <w:br/>
              <w:t>Exclusive of</w:t>
              <w:br/>
              <w:t>Treasury</w:t>
              <w:br/>
              <w:t>Securities (1)</w:t>
              <w:br/>
              <w:t>($  in millions)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w:t>
              <w:br/>
              <w:t>Coverage</w:t>
              <w:br/>
              <w:t>Per Unit</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Involuntary</w:t>
              <w:br/>
              <w:t>Liquidating</w:t>
              <w:br/>
              <w:t>Preference</w:t>
              <w:br/>
              <w:t>Per Unit</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Market</w:t>
              <w:br/>
              <w:t>Value</w:t>
              <w:br/>
              <w:t>Per Unit</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283"/>
              <w:jc w:val="left"/>
              <w:rPr>
                <w:b/>
                <w:u w:val="single"/>
              </w:rPr>
            </w:pPr>
            <w:r>
              <w:rPr>
                <w:b/>
                <w:u w:val="single"/>
              </w:rPr>
              <w:t>Revolving Credit Facilities</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758.2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4" w:type="dxa"/>
            <w:tcBorders/>
            <w:vAlign w:val="bottom"/>
          </w:tcPr>
          <w:p>
            <w:pPr>
              <w:pStyle w:val="TableContents"/>
              <w:bidi w:val="0"/>
              <w:spacing w:before="0" w:after="283"/>
              <w:jc w:val="right"/>
              <w:rPr/>
            </w:pPr>
            <w:r>
              <w:rPr/>
              <w:t>1,872.8</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719.3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1,885.7</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316.4</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2,053.6</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472.3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2,045.4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495.7</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2,004.1</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187.5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2,705.2</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486.8</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2,355.3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2016</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578.7</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2,376.6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2015</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540.3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2,257.3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2014</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283.9</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3,110.3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2013</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432.3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2,329.5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283"/>
              <w:jc w:val="left"/>
              <w:rPr>
                <w:b/>
                <w:u w:val="single"/>
              </w:rPr>
            </w:pPr>
            <w:r>
              <w:rPr>
                <w:b/>
                <w:u w:val="single"/>
              </w:rPr>
              <w:t>Convertible Senior Notes due 2019</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114.3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2,705.2</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113.7</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2,355.3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2016</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113.1</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2,376.6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2015</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112.5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2,257.3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2014</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111.9</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3,110.3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283"/>
              <w:jc w:val="left"/>
              <w:rPr>
                <w:b/>
                <w:u w:val="single"/>
              </w:rPr>
            </w:pPr>
            <w:r>
              <w:rPr>
                <w:b/>
                <w:u w:val="single"/>
              </w:rPr>
              <w:t>Convertible Senior Notes due 2022</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2,053.6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142.5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2,045.4</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171.9</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2,004.1</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171.7</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2,705.2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114.7</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2,355.3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283"/>
              <w:jc w:val="left"/>
              <w:rPr>
                <w:b/>
                <w:u w:val="single"/>
              </w:rPr>
            </w:pPr>
            <w:r>
              <w:rPr>
                <w:b/>
                <w:u w:val="single"/>
              </w:rPr>
              <w:t>2023 Notes</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1,885.7</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2,053.6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2,045.4</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2,004.1</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2,705.2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200" w:type="pct"/>
        <w:jc w:val="center"/>
        <w:tblInd w:w="0" w:type="dxa"/>
        <w:tblLayout w:type="fixed"/>
        <w:tblCellMar>
          <w:top w:w="0" w:type="dxa"/>
          <w:left w:w="0" w:type="dxa"/>
          <w:bottom w:w="0" w:type="dxa"/>
          <w:right w:w="0" w:type="dxa"/>
        </w:tblCellMar>
      </w:tblPr>
      <w:tblGrid>
        <w:gridCol w:w="2550"/>
        <w:gridCol w:w="280"/>
        <w:gridCol w:w="297"/>
        <w:gridCol w:w="1188"/>
        <w:gridCol w:w="60"/>
        <w:gridCol w:w="280"/>
        <w:gridCol w:w="158"/>
        <w:gridCol w:w="854"/>
        <w:gridCol w:w="60"/>
        <w:gridCol w:w="280"/>
        <w:gridCol w:w="370"/>
        <w:gridCol w:w="880"/>
        <w:gridCol w:w="60"/>
        <w:gridCol w:w="280"/>
        <w:gridCol w:w="106"/>
        <w:gridCol w:w="804"/>
        <w:gridCol w:w="65"/>
      </w:tblGrid>
      <w:tr>
        <w:trPr/>
        <w:tc>
          <w:tcPr>
            <w:tcW w:w="255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5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Class and Year/Period</w:t>
            </w:r>
          </w:p>
        </w:tc>
        <w:tc>
          <w:tcPr>
            <w:tcW w:w="280"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Amount</w:t>
              <w:br/>
              <w:t>Outstanding</w:t>
              <w:br/>
              <w:t>Exclusive of</w:t>
              <w:br/>
              <w:t>Treasury</w:t>
              <w:br/>
              <w:t>Securities (1)</w:t>
              <w:br/>
              <w:t>($  in millions)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w:t>
              <w:br/>
              <w:t>Coverage</w:t>
              <w:br/>
              <w:t>Per Unit</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Involuntary</w:t>
              <w:br/>
              <w:t>Liquidating</w:t>
              <w:br/>
              <w:t>Preference</w:t>
              <w:br/>
              <w:t>Per Unit</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Market</w:t>
              <w:br/>
              <w:t>Value</w:t>
              <w:br/>
              <w:t>Per Unit</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2024 Notes</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347.1</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4" w:type="dxa"/>
            <w:tcBorders/>
            <w:vAlign w:val="bottom"/>
          </w:tcPr>
          <w:p>
            <w:pPr>
              <w:pStyle w:val="TableContents"/>
              <w:bidi w:val="0"/>
              <w:spacing w:before="0" w:after="283"/>
              <w:jc w:val="right"/>
              <w:rPr/>
            </w:pPr>
            <w:r>
              <w:rPr/>
              <w:t>1,872.8</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346.8</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1,885.7</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346.4</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2,053.6</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346.1</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2,045.4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297.2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2,004.1</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283"/>
              <w:jc w:val="left"/>
              <w:rPr>
                <w:b/>
                <w:u w:val="single"/>
              </w:rPr>
            </w:pPr>
            <w:r>
              <w:rPr>
                <w:b/>
                <w:u w:val="single"/>
              </w:rPr>
              <w:t>2026 Notes</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298.8</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4" w:type="dxa"/>
            <w:tcBorders/>
            <w:vAlign w:val="bottom"/>
          </w:tcPr>
          <w:p>
            <w:pPr>
              <w:pStyle w:val="TableContents"/>
              <w:bidi w:val="0"/>
              <w:spacing w:before="0" w:after="283"/>
              <w:jc w:val="right"/>
              <w:rPr/>
            </w:pPr>
            <w:r>
              <w:rPr/>
              <w:t>1,872.8</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298.5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1,885.7</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N/A</w:t>
            </w:r>
          </w:p>
        </w:tc>
        <w:tc>
          <w:tcPr>
            <w:tcW w:w="65"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298.1</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2,053.6</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2028 Notes</w:t>
            </w:r>
          </w:p>
        </w:tc>
        <w:tc>
          <w:tcPr>
            <w:tcW w:w="28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2023 (unaudited)</w:t>
            </w:r>
          </w:p>
        </w:tc>
        <w:tc>
          <w:tcPr>
            <w:tcW w:w="28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298.2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4" w:type="dxa"/>
            <w:tcBorders/>
            <w:vAlign w:val="bottom"/>
          </w:tcPr>
          <w:p>
            <w:pPr>
              <w:pStyle w:val="TableContents"/>
              <w:bidi w:val="0"/>
              <w:spacing w:before="0" w:after="283"/>
              <w:jc w:val="right"/>
              <w:rPr/>
            </w:pPr>
            <w:r>
              <w:rPr/>
              <w:t>1,872.8</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N/A</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amount of each class of senior securities outstanding at carrying value, excluding the impact of deferred financing costs and hedge accounting relationships, at the end of the period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570824_10"/>
      <w:bookmarkEnd w:id="23"/>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 </w:t>
      </w:r>
    </w:p>
    <w:p>
      <w:pPr>
        <w:pStyle w:val="TextBody"/>
        <w:bidi w:val="0"/>
        <w:spacing w:before="0" w:after="0"/>
        <w:jc w:val="left"/>
        <w:rPr/>
      </w:pPr>
      <w:r>
        <w:rPr/>
        <w:t> </w:t>
      </w:r>
    </w:p>
    <w:tbl>
      <w:tblPr>
        <w:tblW w:w="11975" w:type="dxa"/>
        <w:jc w:val="center"/>
        <w:tblInd w:w="0" w:type="dxa"/>
        <w:tblLayout w:type="fixed"/>
        <w:tblCellMar>
          <w:top w:w="0" w:type="dxa"/>
          <w:left w:w="0" w:type="dxa"/>
          <w:bottom w:w="0" w:type="dxa"/>
          <w:right w:w="0" w:type="dxa"/>
        </w:tblCellMar>
      </w:tblPr>
      <w:tblGrid>
        <w:gridCol w:w="1100"/>
        <w:gridCol w:w="60"/>
        <w:gridCol w:w="695"/>
        <w:gridCol w:w="60"/>
        <w:gridCol w:w="125"/>
        <w:gridCol w:w="1050"/>
        <w:gridCol w:w="60"/>
        <w:gridCol w:w="60"/>
        <w:gridCol w:w="60"/>
        <w:gridCol w:w="1310"/>
        <w:gridCol w:w="275"/>
        <w:gridCol w:w="60"/>
        <w:gridCol w:w="129"/>
        <w:gridCol w:w="1211"/>
        <w:gridCol w:w="275"/>
        <w:gridCol w:w="60"/>
        <w:gridCol w:w="187"/>
        <w:gridCol w:w="913"/>
        <w:gridCol w:w="60"/>
        <w:gridCol w:w="60"/>
        <w:gridCol w:w="141"/>
        <w:gridCol w:w="974"/>
        <w:gridCol w:w="125"/>
        <w:gridCol w:w="60"/>
        <w:gridCol w:w="209"/>
        <w:gridCol w:w="1116"/>
        <w:gridCol w:w="275"/>
        <w:gridCol w:w="60"/>
        <w:gridCol w:w="572"/>
        <w:gridCol w:w="573"/>
        <w:gridCol w:w="60"/>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Debt Investments</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9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74"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b/>
                <w:sz w:val="16"/>
              </w:rPr>
            </w:pPr>
            <w:r>
              <w:rPr>
                <w:rFonts w:ascii="Times New Roman" w:hAnsi="Times New Roman"/>
                <w:b/>
                <w:sz w:val="16"/>
              </w:rPr>
              <w:t>Automotive</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74"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0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Bestpass, Inc. (3)(5) </w:t>
              <w:br/>
              <w:t xml:space="preserve">500 New Karner Road </w:t>
              <w:br/>
              <w:t xml:space="preserve">Albany, NY 12205 </w:t>
              <w:br/>
              <w:t>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($39,900 par, due 5/2029)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5/26/2023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+ 5.75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38,810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74" w:type="dxa"/>
            <w:tcBorders/>
            <w:shd w:fill="CCEEFF" w:val="clear"/>
            <w:vAlign w:val="bottom"/>
          </w:tcPr>
          <w:p>
            <w:pPr>
              <w:pStyle w:val="TableContents"/>
              <w:bidi w:val="0"/>
              <w:spacing w:before="0" w:after="283"/>
              <w:jc w:val="right"/>
              <w:rPr/>
            </w:pPr>
            <w:r>
              <w:rPr/>
              <w:t>39,202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Carlstar Group, LLC (3) </w:t>
              <w:br/>
              <w:t xml:space="preserve">725 Cool Springs Boulevard </w:t>
              <w:br/>
              <w:t xml:space="preserve">Suite 500 </w:t>
              <w:br/>
              <w:t xml:space="preserve">Franklin, TN 37067 </w:t>
              <w:br/>
              <w:t>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($26,118 par, due 7/2027)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7/8/2022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11.92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25,508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26,378</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64,318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65,580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b/>
                <w:sz w:val="16"/>
              </w:rPr>
            </w:pPr>
            <w:r>
              <w:rPr>
                <w:rFonts w:ascii="Times New Roman" w:hAnsi="Times New Roman"/>
                <w:b/>
                <w:sz w:val="16"/>
              </w:rPr>
              <w:t>Business Services</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74"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0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Acceo Solutions, Inc. (3)(4)(5) </w:t>
              <w:br/>
              <w:t xml:space="preserve">75, Queen Street </w:t>
              <w:br/>
              <w:t xml:space="preserve">Suite 6100 </w:t>
              <w:br/>
              <w:t xml:space="preserve">Montreal, Quebec H3C 2N6 </w:t>
              <w:br/>
              <w:t>Canada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(CAD 57,353 par, due 10/2025)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7/6/2018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C + 4.75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10.14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43,340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jc w:val="right"/>
              <w:rPr/>
            </w:pPr>
            <w:r>
              <w:rPr/>
              <w:t>42,633</w:t>
            </w:r>
          </w:p>
          <w:p>
            <w:pPr>
              <w:pStyle w:val="TableContents"/>
              <w:bidi w:val="0"/>
              <w:spacing w:before="0" w:after="20"/>
              <w:jc w:val="right"/>
              <w:rPr>
                <w:rFonts w:ascii="Times New Roman" w:hAnsi="Times New Roman"/>
                <w:sz w:val="16"/>
              </w:rPr>
            </w:pPr>
            <w:r>
              <w:rPr>
                <w:rFonts w:ascii="Times New Roman" w:hAnsi="Times New Roman"/>
                <w:sz w:val="16"/>
              </w:rPr>
              <w:t>(CAD 57,640</w:t>
            </w:r>
          </w:p>
        </w:tc>
        <w:tc>
          <w:tcPr>
            <w:tcW w:w="12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Alpha Midco, Inc. (3)(5) 3933 Lake Washington Blvd NE </w:t>
              <w:br/>
              <w:t xml:space="preserve">#350 </w:t>
              <w:br/>
              <w:t xml:space="preserve">Kirkland, WA 98033 </w:t>
              <w:br/>
              <w:t>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($68,794 par, due 8/2025)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8/15/2019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+ 7.65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12.99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68,125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69,660</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0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BCTO Ignition Purchaser, Inc. (3) </w:t>
              <w:br/>
              <w:t xml:space="preserve">1801 West End Ave </w:t>
              <w:br/>
              <w:t xml:space="preserve">Suite 300 </w:t>
              <w:br/>
              <w:t xml:space="preserve">Nashville, TN 37203 </w:t>
              <w:br/>
              <w:t>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holdco loan ($30,913 par, due 10/2030)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+ 9.00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jc w:val="right"/>
              <w:rPr/>
            </w:pPr>
            <w:r>
              <w:rPr/>
              <w:t>14.31</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30,045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30,449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Dye &amp; Durham Corp. (3)(4) </w:t>
              <w:br/>
              <w:t xml:space="preserve">25 York Street </w:t>
              <w:br/>
              <w:t xml:space="preserve">Suite 1100 </w:t>
              <w:br/>
              <w:t xml:space="preserve">Toronto, Ontario M5J 2V5 </w:t>
              <w:br/>
              <w:t>Canada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(CAD 36,778 par, due 12/2027)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12/3/2021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C + 5.75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28,026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jc w:val="right"/>
              <w:rPr/>
            </w:pPr>
            <w:r>
              <w:rPr/>
              <w:t>27,483</w:t>
            </w:r>
          </w:p>
          <w:p>
            <w:pPr>
              <w:pStyle w:val="TableContents"/>
              <w:bidi w:val="0"/>
              <w:spacing w:before="0" w:after="20"/>
              <w:jc w:val="right"/>
              <w:rPr>
                <w:rFonts w:ascii="Times New Roman" w:hAnsi="Times New Roman"/>
                <w:sz w:val="16"/>
              </w:rPr>
            </w:pPr>
            <w:r>
              <w:rPr>
                <w:rFonts w:ascii="Times New Roman" w:hAnsi="Times New Roman"/>
                <w:sz w:val="16"/>
              </w:rPr>
              <w:t>(CAD 37,157</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(CAD 1,086 par, due 12/2026)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12/3/2021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C + 5.75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715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jc w:val="right"/>
              <w:rPr/>
            </w:pPr>
            <w:r>
              <w:rPr/>
              <w:t>804</w:t>
            </w:r>
          </w:p>
          <w:p>
            <w:pPr>
              <w:pStyle w:val="TableContents"/>
              <w:bidi w:val="0"/>
              <w:spacing w:before="0" w:after="20"/>
              <w:jc w:val="right"/>
              <w:rPr>
                <w:rFonts w:ascii="Times New Roman" w:hAnsi="Times New Roman"/>
                <w:sz w:val="16"/>
              </w:rPr>
            </w:pPr>
            <w:r>
              <w:rPr>
                <w:rFonts w:ascii="Times New Roman" w:hAnsi="Times New Roman"/>
                <w:sz w:val="16"/>
              </w:rPr>
              <w:t>(CAD 1,086</w:t>
            </w:r>
          </w:p>
        </w:tc>
        <w:tc>
          <w:tcPr>
            <w:tcW w:w="12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095" w:type="dxa"/>
        <w:jc w:val="center"/>
        <w:tblInd w:w="0" w:type="dxa"/>
        <w:tblLayout w:type="fixed"/>
        <w:tblCellMar>
          <w:top w:w="0" w:type="dxa"/>
          <w:left w:w="0" w:type="dxa"/>
          <w:bottom w:w="0" w:type="dxa"/>
          <w:right w:w="0" w:type="dxa"/>
        </w:tblCellMar>
      </w:tblPr>
      <w:tblGrid>
        <w:gridCol w:w="1055"/>
        <w:gridCol w:w="60"/>
        <w:gridCol w:w="695"/>
        <w:gridCol w:w="60"/>
        <w:gridCol w:w="125"/>
        <w:gridCol w:w="1050"/>
        <w:gridCol w:w="60"/>
        <w:gridCol w:w="60"/>
        <w:gridCol w:w="60"/>
        <w:gridCol w:w="1310"/>
        <w:gridCol w:w="275"/>
        <w:gridCol w:w="60"/>
        <w:gridCol w:w="60"/>
        <w:gridCol w:w="1190"/>
        <w:gridCol w:w="275"/>
        <w:gridCol w:w="60"/>
        <w:gridCol w:w="89"/>
        <w:gridCol w:w="1011"/>
        <w:gridCol w:w="60"/>
        <w:gridCol w:w="60"/>
        <w:gridCol w:w="89"/>
        <w:gridCol w:w="1281"/>
        <w:gridCol w:w="125"/>
        <w:gridCol w:w="60"/>
        <w:gridCol w:w="209"/>
        <w:gridCol w:w="1116"/>
        <w:gridCol w:w="275"/>
        <w:gridCol w:w="60"/>
        <w:gridCol w:w="572"/>
        <w:gridCol w:w="573"/>
        <w:gridCol w:w="60"/>
      </w:tblGrid>
      <w:tr>
        <w:trPr/>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ExtraHop Networks, Inc. (3)(5) </w:t>
              <w:br/>
              <w:t xml:space="preserve">520 Pike St </w:t>
              <w:br/>
              <w:t xml:space="preserve">Suite 1600 </w:t>
              <w:br/>
              <w:t>Seattle, WA 98101 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($64,162 par, due 7/2027)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7/22/2021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63,157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63,681</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ForeScout Technologies, Inc. (3) 300 Santana Row </w:t>
              <w:br/>
              <w:t xml:space="preserve">Suite 400 </w:t>
              <w:br/>
              <w:t>San Jose, CA 95128 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($2,788 par, due 8/2026)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+ 9.10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jc w:val="right"/>
              <w:rPr/>
            </w:pPr>
            <w:r>
              <w:rPr/>
              <w:t>14.49</w:t>
            </w:r>
          </w:p>
          <w:p>
            <w:pPr>
              <w:pStyle w:val="TableContents"/>
              <w:bidi w:val="0"/>
              <w:spacing w:before="0" w:after="20"/>
              <w:jc w:val="right"/>
              <w:rPr>
                <w:rFonts w:ascii="Times New Roman" w:hAnsi="Times New Roman"/>
                <w:sz w:val="16"/>
              </w:rPr>
            </w:pPr>
            <w:r>
              <w:rPr>
                <w:rFonts w:ascii="Times New Roman" w:hAnsi="Times New Roman"/>
                <w:sz w:val="16"/>
              </w:rPr>
              <w:t>(incl. 9.00% PIK)</w:t>
            </w:r>
          </w:p>
        </w:tc>
        <w:tc>
          <w:tcPr>
            <w:tcW w:w="275"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2,737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2,803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($2,566 par, due 8/2026)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8/17/2020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+ 9.10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jc w:val="right"/>
              <w:rPr/>
            </w:pPr>
            <w:r>
              <w:rPr/>
              <w:t>14.49</w:t>
            </w:r>
          </w:p>
          <w:p>
            <w:pPr>
              <w:pStyle w:val="TableContents"/>
              <w:bidi w:val="0"/>
              <w:spacing w:before="0" w:after="20"/>
              <w:jc w:val="right"/>
              <w:rPr>
                <w:rFonts w:ascii="Times New Roman" w:hAnsi="Times New Roman"/>
                <w:sz w:val="16"/>
              </w:rPr>
            </w:pPr>
            <w:r>
              <w:rPr>
                <w:rFonts w:ascii="Times New Roman" w:hAnsi="Times New Roman"/>
                <w:sz w:val="16"/>
              </w:rPr>
              <w:t>(incl. 9.00% 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2,572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Galileo Parent, Inc. (3) </w:t>
              <w:br/>
              <w:t xml:space="preserve">Prudential Tower, 800 Boylston Street Boston, MA 02199 </w:t>
              <w:br/>
              <w:t>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($64,904 par, due 5/2030)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5/3/2023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+ 7.25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12.64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63,030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63,930</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($4,471 par, due 5/2029)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4,189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4,320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Hornetsecurity Holding GmbH (3)(4) Am Listholze 78 </w:t>
              <w:br/>
              <w:t xml:space="preserve">30177 Hanover </w:t>
              <w:br/>
              <w:t>Germany</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3,335 par, due 11/2029)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11/14/2022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E + 6.50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10.30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jc w:val="right"/>
              <w:rPr/>
            </w:pPr>
            <w:r>
              <w:rPr/>
              <w:t>3,335</w:t>
            </w:r>
          </w:p>
          <w:p>
            <w:pPr>
              <w:pStyle w:val="TableContents"/>
              <w:bidi w:val="0"/>
              <w:spacing w:before="0" w:after="20"/>
              <w:jc w:val="right"/>
              <w:rPr>
                <w:rFonts w:ascii="Times New Roman" w:hAnsi="Times New Roman"/>
                <w:sz w:val="16"/>
              </w:rPr>
            </w:pPr>
            <w:r>
              <w:rPr>
                <w:rFonts w:ascii="Times New Roman" w:hAnsi="Times New Roman"/>
                <w:sz w:val="16"/>
              </w:rPr>
              <w:t>(EUR 3,150</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Information Clearinghouse, LLC and MS Market Service, LLC (3)(5) </w:t>
              <w:br/>
              <w:t xml:space="preserve">310 East Shore Road </w:t>
              <w:br/>
              <w:t>Great Neck, NY 11023 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($17,685 par, due 12/2026)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12/20/2021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17,361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17,596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Mitnick Corporate Purchaser, Inc. (3)(9) </w:t>
              <w:br/>
              <w:t xml:space="preserve">197 East University Drive </w:t>
              <w:br/>
              <w:t>Auburn, AL 36832 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($330 par, due 5/2029)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+ 4.60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9.97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317</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Netwrix Corp. (3) </w:t>
              <w:br/>
              <w:t xml:space="preserve">6160 Warren Parkway </w:t>
              <w:br/>
              <w:t xml:space="preserve">Suite 100 </w:t>
              <w:br/>
              <w:t xml:space="preserve">Frisco, TX 75034 </w:t>
              <w:br/>
              <w:t>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($36,456 par, due 6/2029)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6/9/2022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10.30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35,952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36,456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($718 par, due 6/2029)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6/9/2022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718</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OutSystems Luxco SARL(3)(4)(5) </w:t>
              <w:br/>
              <w:t xml:space="preserve">55 Thomson Place </w:t>
              <w:br/>
              <w:t xml:space="preserve">2nd Floor </w:t>
              <w:br/>
              <w:t>Boston, MA 02210 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3,180 par, due 12/2028)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E + 5.75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9.72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jc w:val="right"/>
              <w:rPr/>
            </w:pPr>
            <w:r>
              <w:rPr/>
              <w:t>3,180</w:t>
            </w:r>
          </w:p>
          <w:p>
            <w:pPr>
              <w:pStyle w:val="TableContents"/>
              <w:bidi w:val="0"/>
              <w:spacing w:before="0" w:after="20"/>
              <w:jc w:val="right"/>
              <w:rPr>
                <w:rFonts w:ascii="Times New Roman" w:hAnsi="Times New Roman"/>
                <w:sz w:val="16"/>
              </w:rPr>
            </w:pPr>
            <w:r>
              <w:rPr>
                <w:rFonts w:ascii="Times New Roman" w:hAnsi="Times New Roman"/>
                <w:sz w:val="16"/>
              </w:rPr>
              <w:t>(EUR 3,004</w:t>
            </w:r>
          </w:p>
        </w:tc>
        <w:tc>
          <w:tcPr>
            <w:tcW w:w="12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140" w:type="dxa"/>
        <w:jc w:val="center"/>
        <w:tblInd w:w="0" w:type="dxa"/>
        <w:tblLayout w:type="fixed"/>
        <w:tblCellMar>
          <w:top w:w="0" w:type="dxa"/>
          <w:left w:w="0" w:type="dxa"/>
          <w:bottom w:w="0" w:type="dxa"/>
          <w:right w:w="0" w:type="dxa"/>
        </w:tblCellMar>
      </w:tblPr>
      <w:tblGrid>
        <w:gridCol w:w="1235"/>
        <w:gridCol w:w="60"/>
        <w:gridCol w:w="845"/>
        <w:gridCol w:w="60"/>
        <w:gridCol w:w="125"/>
        <w:gridCol w:w="1050"/>
        <w:gridCol w:w="60"/>
        <w:gridCol w:w="60"/>
        <w:gridCol w:w="60"/>
        <w:gridCol w:w="1310"/>
        <w:gridCol w:w="275"/>
        <w:gridCol w:w="60"/>
        <w:gridCol w:w="129"/>
        <w:gridCol w:w="1211"/>
        <w:gridCol w:w="275"/>
        <w:gridCol w:w="60"/>
        <w:gridCol w:w="76"/>
        <w:gridCol w:w="1024"/>
        <w:gridCol w:w="60"/>
        <w:gridCol w:w="60"/>
        <w:gridCol w:w="60"/>
        <w:gridCol w:w="935"/>
        <w:gridCol w:w="125"/>
        <w:gridCol w:w="60"/>
        <w:gridCol w:w="159"/>
        <w:gridCol w:w="1166"/>
        <w:gridCol w:w="275"/>
        <w:gridCol w:w="60"/>
        <w:gridCol w:w="572"/>
        <w:gridCol w:w="573"/>
        <w:gridCol w:w="6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8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ReliaQuest Holdings, LLC (3)(5) </w:t>
              <w:br/>
              <w:t xml:space="preserve">777 South Harbour Island Boulevard </w:t>
              <w:br/>
              <w:t xml:space="preserve">Suite 500 </w:t>
              <w:br/>
              <w:t xml:space="preserve">Tampa, FL 33602 </w:t>
              <w:br/>
              <w:t>USA</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($76,220 par, due 10/2026)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10/8/2020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12.62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75,271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77,172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Wrangler TopCo, LLC (3) </w:t>
              <w:br/>
              <w:t xml:space="preserve">555 California Street </w:t>
              <w:br/>
              <w:t xml:space="preserve">Suite 2900 </w:t>
              <w:br/>
              <w:t xml:space="preserve">San Francisco, CA 94104 </w:t>
              <w:br/>
              <w:t>USA</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($4,153 par, due 7/2029)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+ 7.50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12.88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4,041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4,095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445,788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451,204</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Chemicals</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Erling Lux Bidco SARL(3)(4) </w:t>
              <w:br/>
              <w:t xml:space="preserve">1-3 Boulevard De La Foire </w:t>
              <w:br/>
              <w:t xml:space="preserve">1528 Luxembourg </w:t>
              <w:br/>
              <w:t>Luxembourg</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9,625 par, due 9/2028)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9/6/2022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E + 6.75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10.61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9,514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jc w:val="right"/>
              <w:rPr/>
            </w:pPr>
            <w:r>
              <w:rPr/>
              <w:t>10,257</w:t>
            </w:r>
          </w:p>
          <w:p>
            <w:pPr>
              <w:pStyle w:val="TableContents"/>
              <w:bidi w:val="0"/>
              <w:spacing w:before="0" w:after="20"/>
              <w:jc w:val="right"/>
              <w:rPr>
                <w:rFonts w:ascii="Times New Roman" w:hAnsi="Times New Roman"/>
                <w:sz w:val="16"/>
              </w:rPr>
            </w:pPr>
            <w:r>
              <w:rPr>
                <w:rFonts w:ascii="Times New Roman" w:hAnsi="Times New Roman"/>
                <w:sz w:val="16"/>
              </w:rPr>
              <w:t>(EUR 9,688</w:t>
            </w:r>
          </w:p>
        </w:tc>
        <w:tc>
          <w:tcPr>
            <w:tcW w:w="12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(GBP 10,217 par, due 9/2028)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 + 6.75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11.94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11,276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jc w:val="right"/>
              <w:rPr/>
            </w:pPr>
            <w:r>
              <w:rPr/>
              <w:t>12,533</w:t>
            </w:r>
          </w:p>
          <w:p>
            <w:pPr>
              <w:pStyle w:val="TableContents"/>
              <w:bidi w:val="0"/>
              <w:spacing w:before="0" w:after="20"/>
              <w:jc w:val="right"/>
              <w:rPr>
                <w:rFonts w:ascii="Times New Roman" w:hAnsi="Times New Roman"/>
                <w:sz w:val="16"/>
              </w:rPr>
            </w:pPr>
            <w:r>
              <w:rPr>
                <w:rFonts w:ascii="Times New Roman" w:hAnsi="Times New Roman"/>
                <w:sz w:val="16"/>
              </w:rPr>
              <w:t>(GBP 10,269</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(GBP 312 par, due 9/2028)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9/6/2022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 + 6.75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jc w:val="right"/>
              <w:rPr/>
            </w:pPr>
            <w:r>
              <w:rPr/>
              <w:t>382</w:t>
            </w:r>
          </w:p>
          <w:p>
            <w:pPr>
              <w:pStyle w:val="TableContents"/>
              <w:bidi w:val="0"/>
              <w:spacing w:before="0" w:after="20"/>
              <w:jc w:val="right"/>
              <w:rPr>
                <w:rFonts w:ascii="Times New Roman" w:hAnsi="Times New Roman"/>
                <w:sz w:val="16"/>
              </w:rPr>
            </w:pPr>
            <w:r>
              <w:rPr>
                <w:rFonts w:ascii="Times New Roman" w:hAnsi="Times New Roman"/>
                <w:sz w:val="16"/>
              </w:rPr>
              <w:t>(GBP 313</w:t>
            </w:r>
          </w:p>
        </w:tc>
        <w:tc>
          <w:tcPr>
            <w:tcW w:w="12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21,190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23,172</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Communications</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Banyan Software Holdings, LLC (3)(4) </w:t>
              <w:br/>
              <w:t xml:space="preserve">303 Perimeter Center North </w:t>
              <w:br/>
              <w:t xml:space="preserve">Suite 450 </w:t>
              <w:br/>
              <w:t xml:space="preserve">Atlanta, GA 30346 </w:t>
              <w:br/>
              <w:t>USA</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($19,850 par, due 10/2026)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+ 7.35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12.67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18,803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19,651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Celtra Technologies, Inc. (3)(5) </w:t>
              <w:br/>
              <w:t xml:space="preserve">545 Boylston Street </w:t>
              <w:br/>
              <w:t xml:space="preserve">11th Floor </w:t>
              <w:br/>
              <w:t xml:space="preserve">Boston, MA 02116 </w:t>
              <w:br/>
              <w:t>USA</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($34,256 par, due 11/2026)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11/19/2021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33,521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33,742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IntelePeer Holdings, Inc. </w:t>
              <w:br/>
              <w:t xml:space="preserve">155 Bovet Rd. </w:t>
              <w:br/>
              <w:t xml:space="preserve">Suite 405 </w:t>
              <w:br/>
              <w:t xml:space="preserve">San Mateo, CA 94402 </w:t>
              <w:br/>
              <w:t>USA</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($33,925 par, due 12/2024) (3)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12/2/2019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+ 8.40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13.79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33,899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33,586</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Convertible note ($4,619 par, due 5/2028)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5/12/2021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jc w:val="right"/>
              <w:rPr/>
            </w:pPr>
            <w:r>
              <w:rPr/>
              <w:t>7.00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4,803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90,813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91,782</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Education</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Astra Acquisition Corp. (3) </w:t>
              <w:br/>
              <w:t xml:space="preserve">5201 Congress Ave. </w:t>
              <w:br/>
              <w:t>Boca Raton, FL 33487</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Second-lien loan ($43,479 par, due 10/2029)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10/25/2021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+ 8.99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14.53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42,796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34,566</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Destiny Solutions Parent Holding Company (3)(5) </w:t>
              <w:br/>
              <w:t xml:space="preserve">1320 Flynn Road, Suite 100 </w:t>
              <w:br/>
              <w:t>Camarillo, CA 93012</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($59,700 par, due 6/2026)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6/8/2021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+ 5.85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58,941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59,103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975" w:type="dxa"/>
        <w:jc w:val="center"/>
        <w:tblInd w:w="0" w:type="dxa"/>
        <w:tblLayout w:type="fixed"/>
        <w:tblCellMar>
          <w:top w:w="0" w:type="dxa"/>
          <w:left w:w="0" w:type="dxa"/>
          <w:bottom w:w="0" w:type="dxa"/>
          <w:right w:w="0" w:type="dxa"/>
        </w:tblCellMar>
      </w:tblPr>
      <w:tblGrid>
        <w:gridCol w:w="1295"/>
        <w:gridCol w:w="60"/>
        <w:gridCol w:w="695"/>
        <w:gridCol w:w="60"/>
        <w:gridCol w:w="125"/>
        <w:gridCol w:w="1050"/>
        <w:gridCol w:w="60"/>
        <w:gridCol w:w="60"/>
        <w:gridCol w:w="60"/>
        <w:gridCol w:w="1310"/>
        <w:gridCol w:w="275"/>
        <w:gridCol w:w="60"/>
        <w:gridCol w:w="60"/>
        <w:gridCol w:w="1190"/>
        <w:gridCol w:w="275"/>
        <w:gridCol w:w="60"/>
        <w:gridCol w:w="76"/>
        <w:gridCol w:w="1024"/>
        <w:gridCol w:w="60"/>
        <w:gridCol w:w="60"/>
        <w:gridCol w:w="60"/>
        <w:gridCol w:w="950"/>
        <w:gridCol w:w="125"/>
        <w:gridCol w:w="60"/>
        <w:gridCol w:w="159"/>
        <w:gridCol w:w="1166"/>
        <w:gridCol w:w="275"/>
        <w:gridCol w:w="60"/>
        <w:gridCol w:w="572"/>
        <w:gridCol w:w="573"/>
        <w:gridCol w:w="60"/>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EMS Linq, Inc. (3) </w:t>
              <w:br/>
              <w:t xml:space="preserve">2528 INDEPENDENCE BLVD STE 200 </w:t>
              <w:br/>
              <w:t>WILMINGTON NC 28412-2591</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($56,216 par, due 12/2027)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12/22/2021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11.67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55,240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54,916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156,977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148,585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Financial Services</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Alaska Bidco Oy (3)(4) </w:t>
              <w:br/>
              <w:t xml:space="preserve">Linnoitustie 6 </w:t>
              <w:br/>
              <w:t>02600, Norway</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727 par, due 5/2030)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5/30/2023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E + 6.25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10.39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763</w:t>
            </w:r>
          </w:p>
          <w:p>
            <w:pPr>
              <w:pStyle w:val="TableContents"/>
              <w:bidi w:val="0"/>
              <w:spacing w:before="0" w:after="20"/>
              <w:jc w:val="right"/>
              <w:rPr>
                <w:rFonts w:ascii="Times New Roman" w:hAnsi="Times New Roman"/>
                <w:sz w:val="16"/>
              </w:rPr>
            </w:pPr>
            <w:r>
              <w:rPr>
                <w:rFonts w:ascii="Times New Roman" w:hAnsi="Times New Roman"/>
                <w:sz w:val="16"/>
              </w:rPr>
              <w:t>(EUR 720</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BCTO Bluebill Buyer, Inc. (3)(5) </w:t>
              <w:br/>
              <w:t xml:space="preserve">6100 W. 96th Street, Suite 100 </w:t>
              <w:br/>
              <w:t>Indianapolis, IN 46278</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($28,164 par, due 7/2029)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27,122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27,319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BTRS Holdings, Inc.(3) 1009 Lenox Drive, Suite 101 </w:t>
              <w:br/>
              <w:t>Lawrenceville, NJ 08648</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($46,580 par, due 12/2028)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12/16/2022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+ 8.00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13.41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45,277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46,323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Bear OpCo, LLC (3)(5) </w:t>
              <w:br/>
              <w:t xml:space="preserve">5435 Corporate Drive, Suite 300 </w:t>
              <w:br/>
              <w:t>Troy, MI 48098</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($21,082 par, due 10/2024)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10/10/2019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20,953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21,345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BlueSnap, Inc. (3)(5) </w:t>
              <w:br/>
              <w:t xml:space="preserve">800 South Street </w:t>
              <w:br/>
              <w:t xml:space="preserve">Suite 640 </w:t>
              <w:br/>
              <w:t>Waltham, MA 02453</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($42,000 par, due 10/2024)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10/25/2019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+ 7.15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12.54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41,786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42,223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Ibis Intermediate Co. (3)(5) </w:t>
              <w:br/>
              <w:t xml:space="preserve">485 Lexington Ave, 20th Floor </w:t>
              <w:br/>
              <w:t>New York, NY 10017</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($1,514 par, due 5/2027)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5/28/2021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+ 4.65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10.07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1,593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Ibis US Blocker Co. (3) 485 Lexington Ave, 20th Floor </w:t>
              <w:br/>
              <w:t>New York, NY 10017</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($15,419 par, due 5/2028)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5/28/2021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+ 8.40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jc w:val="right"/>
              <w:rPr/>
            </w:pPr>
            <w:r>
              <w:rPr/>
              <w:t>13.82</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15,196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15,342</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Kyriba Corp.(3) </w:t>
              <w:br/>
              <w:t xml:space="preserve">4435 Eastgate Mall, Suite 200 </w:t>
              <w:br/>
              <w:t>San Diego, CA 92121</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($20,382 par, due 4/2025)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4/9/2019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+ 9.25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jc w:val="right"/>
              <w:rPr/>
            </w:pPr>
            <w:r>
              <w:rPr/>
              <w:t>14.72</w:t>
            </w:r>
          </w:p>
          <w:p>
            <w:pPr>
              <w:pStyle w:val="TableContents"/>
              <w:bidi w:val="0"/>
              <w:spacing w:before="0" w:after="20"/>
              <w:jc w:val="right"/>
              <w:rPr>
                <w:rFonts w:ascii="Times New Roman" w:hAnsi="Times New Roman"/>
                <w:sz w:val="16"/>
              </w:rPr>
            </w:pPr>
            <w:r>
              <w:rPr>
                <w:rFonts w:ascii="Times New Roman" w:hAnsi="Times New Roman"/>
                <w:sz w:val="16"/>
              </w:rPr>
              <w:t>(incl. 9.00% 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20,255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20,433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10,617 par, due 4/2025)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4/9/2019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E + 9.00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jc w:val="right"/>
              <w:rPr/>
            </w:pPr>
            <w:r>
              <w:rPr/>
              <w:t>13.14</w:t>
            </w:r>
          </w:p>
          <w:p>
            <w:pPr>
              <w:pStyle w:val="TableContents"/>
              <w:bidi w:val="0"/>
              <w:spacing w:before="0" w:after="20"/>
              <w:jc w:val="right"/>
              <w:rPr>
                <w:rFonts w:ascii="Times New Roman" w:hAnsi="Times New Roman"/>
                <w:sz w:val="16"/>
              </w:rPr>
            </w:pPr>
            <w:r>
              <w:rPr>
                <w:rFonts w:ascii="Times New Roman" w:hAnsi="Times New Roman"/>
                <w:sz w:val="16"/>
              </w:rPr>
              <w:t>(incl. 9.00% PIK)</w:t>
            </w:r>
          </w:p>
        </w:tc>
        <w:tc>
          <w:tcPr>
            <w:tcW w:w="275"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11,782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11,269</w:t>
            </w:r>
          </w:p>
          <w:p>
            <w:pPr>
              <w:pStyle w:val="TableContents"/>
              <w:bidi w:val="0"/>
              <w:spacing w:before="0" w:after="20"/>
              <w:jc w:val="right"/>
              <w:rPr>
                <w:rFonts w:ascii="Times New Roman" w:hAnsi="Times New Roman"/>
                <w:sz w:val="16"/>
              </w:rPr>
            </w:pPr>
            <w:r>
              <w:rPr>
                <w:rFonts w:ascii="Times New Roman" w:hAnsi="Times New Roman"/>
                <w:sz w:val="16"/>
              </w:rPr>
              <w:t>(EUR 10,644</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($1,411 par, due 4/2025)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4/9/2019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1,415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(EUR 336 par, due 4/2025)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4/9/2019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E + 7.25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11.39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356</w:t>
            </w:r>
          </w:p>
          <w:p>
            <w:pPr>
              <w:pStyle w:val="TableContents"/>
              <w:bidi w:val="0"/>
              <w:spacing w:before="0" w:after="20"/>
              <w:jc w:val="right"/>
              <w:rPr>
                <w:rFonts w:ascii="Times New Roman" w:hAnsi="Times New Roman"/>
                <w:sz w:val="16"/>
              </w:rPr>
            </w:pPr>
            <w:r>
              <w:rPr>
                <w:rFonts w:ascii="Times New Roman" w:hAnsi="Times New Roman"/>
                <w:sz w:val="16"/>
              </w:rPr>
              <w:t>(EUR 336</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395" w:type="dxa"/>
        <w:jc w:val="center"/>
        <w:tblInd w:w="0" w:type="dxa"/>
        <w:tblLayout w:type="fixed"/>
        <w:tblCellMar>
          <w:top w:w="0" w:type="dxa"/>
          <w:left w:w="0" w:type="dxa"/>
          <w:bottom w:w="0" w:type="dxa"/>
          <w:right w:w="0" w:type="dxa"/>
        </w:tblCellMar>
      </w:tblPr>
      <w:tblGrid>
        <w:gridCol w:w="1085"/>
        <w:gridCol w:w="60"/>
        <w:gridCol w:w="845"/>
        <w:gridCol w:w="60"/>
        <w:gridCol w:w="125"/>
        <w:gridCol w:w="1050"/>
        <w:gridCol w:w="60"/>
        <w:gridCol w:w="60"/>
        <w:gridCol w:w="60"/>
        <w:gridCol w:w="1430"/>
        <w:gridCol w:w="275"/>
        <w:gridCol w:w="60"/>
        <w:gridCol w:w="60"/>
        <w:gridCol w:w="1190"/>
        <w:gridCol w:w="275"/>
        <w:gridCol w:w="60"/>
        <w:gridCol w:w="76"/>
        <w:gridCol w:w="1024"/>
        <w:gridCol w:w="60"/>
        <w:gridCol w:w="60"/>
        <w:gridCol w:w="89"/>
        <w:gridCol w:w="1281"/>
        <w:gridCol w:w="125"/>
        <w:gridCol w:w="60"/>
        <w:gridCol w:w="159"/>
        <w:gridCol w:w="1166"/>
        <w:gridCol w:w="275"/>
        <w:gridCol w:w="60"/>
        <w:gridCol w:w="572"/>
        <w:gridCol w:w="573"/>
        <w:gridCol w:w="6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8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Passport Labs, Inc. </w:t>
              <w:br/>
              <w:t xml:space="preserve">128 S Tryon St, Ste 1000 </w:t>
              <w:br/>
              <w:t>Charlotte, NC 28202</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($24,349 par, due 4/2026) (3)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4/28/2021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+ 8.40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13.79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24,174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24,294</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Convertible Promissory Note A ($694 par, due 9/2024)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3/2/2023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8.00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694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943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Ping Identity Holding Corp. (3) </w:t>
              <w:br/>
              <w:t xml:space="preserve">1001 17th Street, Suite 100 </w:t>
              <w:br/>
              <w:t>Denver, CO 80202</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($22,727 par, due 10/2029)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10/17/2022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22,165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23,040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PrimeRevenue, Inc. (3) </w:t>
              <w:br/>
              <w:t xml:space="preserve">600 Peachtree St NE, Suite 4400 </w:t>
              <w:br/>
              <w:t>Atlanta, GA 30308</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($15,007 par, due 12/2024)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12/31/2018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+ 7.15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12.55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14,997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15,113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TradingScreen, Inc. (3)(5) </w:t>
              <w:br/>
              <w:t xml:space="preserve">1 Penn Plaza, 49th Fl </w:t>
              <w:br/>
              <w:t>New York, NY 10119</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($47,318 par, due 4/2027)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4/30/2021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+ 6.35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11.72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46,421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47,081</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Volante Technologies, Inc. </w:t>
              <w:br/>
              <w:t xml:space="preserve">Harborside 5 </w:t>
              <w:br/>
              <w:t xml:space="preserve">185 Hudson Street, #1605 </w:t>
              <w:br/>
              <w:t>Jersey City, NJ 07311</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($2,500 par, due 9/2028)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9/29/2023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jc w:val="right"/>
              <w:rPr/>
            </w:pPr>
            <w:r>
              <w:rPr/>
              <w:t>16.50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2,438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2,438</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297,146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301,290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b/>
                <w:sz w:val="16"/>
              </w:rPr>
            </w:pPr>
            <w:r>
              <w:rPr>
                <w:rFonts w:ascii="Times New Roman" w:hAnsi="Times New Roman"/>
                <w:b/>
                <w:sz w:val="16"/>
              </w:rPr>
              <w:t>Healthcare</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BCTO Ace Purchaser, Inc. (3) </w:t>
              <w:br/>
              <w:t xml:space="preserve">3675 Mt. Diablo Boulevard, Suite 100B </w:t>
              <w:br/>
              <w:t>Lafayette, CA 94549</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($69,231 par, due 11/2027) (5)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11/23/2020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+ 8.45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13.87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68,271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69,577</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Second-lien loan ($5,401 par, due 1/2030)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1/23/2023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+ 10.70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jc w:val="right"/>
              <w:rPr/>
            </w:pPr>
            <w:r>
              <w:rPr/>
              <w:t>16.05</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5,266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5,374</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Edge Bidco B.V (3)(4)(5) De Lairessestraat 145 </w:t>
              <w:br/>
              <w:t>1075 HJ Amsterdam</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3,520 par, due 2/2029)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2/24/2023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E + 7.00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jc w:val="right"/>
              <w:rPr/>
            </w:pPr>
            <w:r>
              <w:rPr/>
              <w:t>10.97</w:t>
            </w:r>
          </w:p>
          <w:p>
            <w:pPr>
              <w:pStyle w:val="TableContents"/>
              <w:bidi w:val="0"/>
              <w:spacing w:before="0" w:after="20"/>
              <w:jc w:val="right"/>
              <w:rPr>
                <w:rFonts w:ascii="Times New Roman" w:hAnsi="Times New Roman"/>
                <w:sz w:val="16"/>
              </w:rPr>
            </w:pPr>
            <w:r>
              <w:rPr>
                <w:rFonts w:ascii="Times New Roman" w:hAnsi="Times New Roman"/>
                <w:sz w:val="16"/>
              </w:rPr>
              <w:t>(incl. 3.25% 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jc w:val="right"/>
              <w:rPr/>
            </w:pPr>
            <w:r>
              <w:rPr/>
              <w:t>3,727</w:t>
            </w:r>
          </w:p>
          <w:p>
            <w:pPr>
              <w:pStyle w:val="TableContents"/>
              <w:bidi w:val="0"/>
              <w:spacing w:before="0" w:after="20"/>
              <w:jc w:val="right"/>
              <w:rPr>
                <w:rFonts w:ascii="Times New Roman" w:hAnsi="Times New Roman"/>
                <w:sz w:val="16"/>
              </w:rPr>
            </w:pPr>
            <w:r>
              <w:rPr>
                <w:rFonts w:ascii="Times New Roman" w:hAnsi="Times New Roman"/>
                <w:sz w:val="16"/>
              </w:rPr>
              <w:t>(EUR 3,520</w:t>
            </w:r>
          </w:p>
        </w:tc>
        <w:tc>
          <w:tcPr>
            <w:tcW w:w="12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Homecare Software Solutions, LLC (3)(5) </w:t>
              <w:br/>
              <w:t xml:space="preserve">130 West 42nd Street </w:t>
              <w:br/>
              <w:t xml:space="preserve">2nd Floor </w:t>
              <w:br/>
              <w:t>New York, NY 10036</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($65,000 par, due 10/2026)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+ 5.70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11.03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63,942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64,675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4.4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750" w:type="dxa"/>
        <w:jc w:val="center"/>
        <w:tblInd w:w="0" w:type="dxa"/>
        <w:tblLayout w:type="fixed"/>
        <w:tblCellMar>
          <w:top w:w="0" w:type="dxa"/>
          <w:left w:w="0" w:type="dxa"/>
          <w:bottom w:w="0" w:type="dxa"/>
          <w:right w:w="0" w:type="dxa"/>
        </w:tblCellMar>
      </w:tblPr>
      <w:tblGrid>
        <w:gridCol w:w="950"/>
        <w:gridCol w:w="60"/>
        <w:gridCol w:w="695"/>
        <w:gridCol w:w="60"/>
        <w:gridCol w:w="125"/>
        <w:gridCol w:w="1050"/>
        <w:gridCol w:w="60"/>
        <w:gridCol w:w="60"/>
        <w:gridCol w:w="60"/>
        <w:gridCol w:w="1310"/>
        <w:gridCol w:w="275"/>
        <w:gridCol w:w="60"/>
        <w:gridCol w:w="129"/>
        <w:gridCol w:w="1211"/>
        <w:gridCol w:w="275"/>
        <w:gridCol w:w="60"/>
        <w:gridCol w:w="76"/>
        <w:gridCol w:w="1024"/>
        <w:gridCol w:w="60"/>
        <w:gridCol w:w="60"/>
        <w:gridCol w:w="60"/>
        <w:gridCol w:w="980"/>
        <w:gridCol w:w="125"/>
        <w:gridCol w:w="60"/>
        <w:gridCol w:w="159"/>
        <w:gridCol w:w="1166"/>
        <w:gridCol w:w="275"/>
        <w:gridCol w:w="60"/>
        <w:gridCol w:w="572"/>
        <w:gridCol w:w="573"/>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Merative L.P. (3)(5) </w:t>
              <w:br/>
              <w:t xml:space="preserve">100 Phoenix Drive </w:t>
              <w:br/>
              <w:t>Ann Arbor, MI 48108</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($70,103 par, due 6/2028)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68,127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69,052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Raptor US Buyer II Corp. (3) 205 West Wacker Drive, Suite 1800 </w:t>
              <w:br/>
              <w:t>Chicago, IL 60606</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($15,609 par, due 3/2029)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12.14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15,083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15,413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SL Buyer Corp. (3)(5) </w:t>
              <w:br/>
              <w:t>111 South Wood Avenue Iselin, NJ 08830</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($31,475 par, due 7/2029)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30,096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30,520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254,375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258,338</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Hotel, Gaming and Leisure</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ASG II, LLC (3)(5) </w:t>
              <w:br/>
              <w:t>Walnut Creek, CA 94596 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($60,693 par, due 5/2028)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5/25/2022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11.77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59,414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60,693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4.1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IRGSE Holding Corp. (3)(6) </w:t>
              <w:br/>
              <w:t xml:space="preserve">1555 Palm Beach Lake Blvd </w:t>
              <w:br/>
              <w:t xml:space="preserve">Unit 1105 </w:t>
              <w:br/>
              <w:t xml:space="preserve">West Palm Beach, FL 33401 </w:t>
              <w:br/>
              <w:t>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($30,261 par, due 6/2024)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9/29/2015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+ 9.65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15.04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28,594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30,034</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($24,752 par, due 6/2024)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9/29/2015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+ 9.65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15.04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24,752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24,564</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112,760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115,291</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b/>
                <w:sz w:val="16"/>
              </w:rPr>
            </w:pPr>
            <w:r>
              <w:rPr>
                <w:rFonts w:ascii="Times New Roman" w:hAnsi="Times New Roman"/>
                <w:b/>
                <w:sz w:val="16"/>
              </w:rPr>
              <w:t>Human Resource Support Services</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Axonify, Inc. (3)(4)(5) </w:t>
              <w:br/>
              <w:t xml:space="preserve">450 Phillip St </w:t>
              <w:br/>
              <w:t xml:space="preserve">Waterloo, Ontario N2L 5J2 </w:t>
              <w:br/>
              <w:t>Canada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($40,920 par, due 5/2027)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5/5/2021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13.02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40,312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40,920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bswift, LLC (3)(5) </w:t>
              <w:br/>
              <w:t xml:space="preserve">500 W. Monroe </w:t>
              <w:br/>
              <w:t xml:space="preserve">Suite 3800 </w:t>
              <w:br/>
              <w:t xml:space="preserve">Chicago, IL 60661 </w:t>
              <w:br/>
              <w:t>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($44,470 par, due 11/2028)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11/7/2022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11.91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43,287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44,582</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Elysian Finco Ltd. (3)(4)(5) </w:t>
              <w:br/>
              <w:t xml:space="preserve">27-28 Clements Lane </w:t>
              <w:br/>
              <w:t xml:space="preserve">London EC4N 7AE </w:t>
              <w:br/>
              <w:t>United Kingdom</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($18,955 par, due 1/2028)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1/31/2022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11.95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18,528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19,356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Employment Hero Holdings Pty Ltd. (3)(4) </w:t>
              <w:br/>
              <w:t xml:space="preserve">Level 2, 441 Kent Street </w:t>
              <w:br/>
              <w:t xml:space="preserve">Sydney, New South Wales 2000 </w:t>
              <w:br/>
              <w:t>Australia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(AUD 32,270 par, due 12/2026)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B + 6.50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10.72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34,791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32,067</w:t>
            </w:r>
          </w:p>
          <w:p>
            <w:pPr>
              <w:pStyle w:val="TableContents"/>
              <w:bidi w:val="0"/>
              <w:spacing w:before="0" w:after="20"/>
              <w:jc w:val="right"/>
              <w:rPr>
                <w:rFonts w:ascii="Times New Roman" w:hAnsi="Times New Roman"/>
                <w:sz w:val="16"/>
              </w:rPr>
            </w:pPr>
            <w:r>
              <w:rPr>
                <w:rFonts w:ascii="Times New Roman" w:hAnsi="Times New Roman"/>
                <w:sz w:val="16"/>
              </w:rPr>
              <w:t>(AUD 49,685</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HireVue, Inc.(3) </w:t>
              <w:br/>
              <w:t xml:space="preserve">10876 South River Front Parkway </w:t>
              <w:br/>
              <w:t xml:space="preserve">Suite 500 </w:t>
              <w:br/>
              <w:t xml:space="preserve">South Jordan, UT 84095 </w:t>
              <w:br/>
              <w:t>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($54,113 par, due 5/2029)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52,422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53,350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795" w:type="dxa"/>
        <w:jc w:val="center"/>
        <w:tblInd w:w="0" w:type="dxa"/>
        <w:tblLayout w:type="fixed"/>
        <w:tblCellMar>
          <w:top w:w="0" w:type="dxa"/>
          <w:left w:w="0" w:type="dxa"/>
          <w:bottom w:w="0" w:type="dxa"/>
          <w:right w:w="0" w:type="dxa"/>
        </w:tblCellMar>
      </w:tblPr>
      <w:tblGrid>
        <w:gridCol w:w="995"/>
        <w:gridCol w:w="60"/>
        <w:gridCol w:w="695"/>
        <w:gridCol w:w="60"/>
        <w:gridCol w:w="125"/>
        <w:gridCol w:w="1050"/>
        <w:gridCol w:w="60"/>
        <w:gridCol w:w="60"/>
        <w:gridCol w:w="60"/>
        <w:gridCol w:w="1310"/>
        <w:gridCol w:w="275"/>
        <w:gridCol w:w="60"/>
        <w:gridCol w:w="129"/>
        <w:gridCol w:w="1211"/>
        <w:gridCol w:w="275"/>
        <w:gridCol w:w="60"/>
        <w:gridCol w:w="76"/>
        <w:gridCol w:w="1024"/>
        <w:gridCol w:w="60"/>
        <w:gridCol w:w="60"/>
        <w:gridCol w:w="60"/>
        <w:gridCol w:w="980"/>
        <w:gridCol w:w="125"/>
        <w:gridCol w:w="60"/>
        <w:gridCol w:w="159"/>
        <w:gridCol w:w="1166"/>
        <w:gridCol w:w="275"/>
        <w:gridCol w:w="60"/>
        <w:gridCol w:w="572"/>
        <w:gridCol w:w="573"/>
        <w:gridCol w:w="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PageUp People, Ltd. (3)(4)(5) </w:t>
              <w:br/>
              <w:t xml:space="preserve">Suite S5051, Level 5, 447 Collins Street </w:t>
              <w:br/>
              <w:t xml:space="preserve">Melbourne, Victoria 3000 </w:t>
              <w:br/>
              <w:t>Australia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(AUD 13,916 par, due 12/2025)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1/11/2018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B + 5.25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9.36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jc w:val="right"/>
              <w:rPr/>
            </w:pPr>
            <w:r>
              <w:rPr/>
              <w:t>8,982</w:t>
            </w:r>
          </w:p>
          <w:p>
            <w:pPr>
              <w:pStyle w:val="TableContents"/>
              <w:bidi w:val="0"/>
              <w:spacing w:before="0" w:after="20"/>
              <w:jc w:val="right"/>
              <w:rPr>
                <w:rFonts w:ascii="Times New Roman" w:hAnsi="Times New Roman"/>
                <w:sz w:val="16"/>
              </w:rPr>
            </w:pPr>
            <w:r>
              <w:rPr>
                <w:rFonts w:ascii="Times New Roman" w:hAnsi="Times New Roman"/>
                <w:sz w:val="16"/>
              </w:rPr>
              <w:t>(AUD 13,916</w:t>
            </w:r>
          </w:p>
        </w:tc>
        <w:tc>
          <w:tcPr>
            <w:tcW w:w="12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(GBP 3,258 par, due 12/2025)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10/28/2021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 + 5.28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10.47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4,487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3,976</w:t>
            </w:r>
          </w:p>
          <w:p>
            <w:pPr>
              <w:pStyle w:val="TableContents"/>
              <w:bidi w:val="0"/>
              <w:spacing w:before="0" w:after="20"/>
              <w:jc w:val="right"/>
              <w:rPr>
                <w:rFonts w:ascii="Times New Roman" w:hAnsi="Times New Roman"/>
                <w:sz w:val="16"/>
              </w:rPr>
            </w:pPr>
            <w:r>
              <w:rPr>
                <w:rFonts w:ascii="Times New Roman" w:hAnsi="Times New Roman"/>
                <w:sz w:val="16"/>
              </w:rPr>
              <w:t>(GBP 3,258</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($11,441 par, due 12/2025)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10/28/2021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+ 5.35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10.67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11,431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11,441</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PayScale Holdings, Inc. (3)(5) </w:t>
              <w:br/>
              <w:t xml:space="preserve">255 S King Street </w:t>
              <w:br/>
              <w:t xml:space="preserve">Ste 800 </w:t>
              <w:br/>
              <w:t xml:space="preserve">Seattle, WA 98104 </w:t>
              <w:br/>
              <w:t>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($71,379 par, due 5/2027)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5/3/2019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11.74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70,985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71,379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PrimePay Intermediate, LLC (3)(5) </w:t>
              <w:br/>
              <w:t>1487 Dunwoody Drive West Chester, PA 19380 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($34,462 par, due 12/2026)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12/17/2021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33,697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34,290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320,440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320,343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Insurance</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Disco Parent, Inc. (3) </w:t>
              <w:br/>
              <w:t xml:space="preserve">22 Boston Wharf Road Boston, MA 02210 </w:t>
              <w:br/>
              <w:t>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($4,545 par, due 3/2029)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3/30/2023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+ 7.50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12.92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4,495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Internet Services</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Arrow Buyer, Inc. (3) </w:t>
              <w:br/>
              <w:t xml:space="preserve">12 East 49th Street </w:t>
              <w:br/>
              <w:t xml:space="preserve">Tower 49 </w:t>
              <w:br/>
              <w:t xml:space="preserve">New York, NY 10017 </w:t>
              <w:br/>
              <w:t>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($33,125 par, due 7/2030)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6/30/2023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32,225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32,514</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Bayshore Intermediate #2, L.P. (3) </w:t>
              <w:br/>
              <w:t xml:space="preserve">1400 Liberty Ridge Drive </w:t>
              <w:br/>
              <w:t>Chesterbrook, PA 19087 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($35,464 par, due 10/2028)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jc w:val="right"/>
              <w:rPr/>
            </w:pPr>
            <w:r>
              <w:rPr/>
              <w:t>13.00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bottom"/>
          </w:tcPr>
          <w:p>
            <w:pPr>
              <w:pStyle w:val="TableContents"/>
              <w:bidi w:val="0"/>
              <w:jc w:val="left"/>
              <w:rPr/>
            </w:pPr>
            <w:r>
              <w:rPr/>
              <w:t>%</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34,947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35,198</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($480 par, due 10/2027)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11.87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Coupa Holdings, LLC (3) </w:t>
              <w:br/>
              <w:t xml:space="preserve">1855 S. Grant Street </w:t>
              <w:br/>
              <w:t xml:space="preserve">San Mateo, CA 94402 </w:t>
              <w:br/>
              <w:t>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($43,191 par, due 2/2030)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2/27/2023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42,092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43,066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CrunchTime Information, Systems, Inc. (3)(5) </w:t>
              <w:br/>
              <w:t xml:space="preserve">129 Portland Street </w:t>
              <w:br/>
              <w:t xml:space="preserve">Boston, MA 02114 </w:t>
              <w:br/>
              <w:t>USA</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($59,651 par, due 6/2028)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6/17/2022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11.32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58,579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59,651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EDB Parent, LLC (3)(5) </w:t>
              <w:br/>
              <w:t xml:space="preserve">34 Crosby Drive </w:t>
              <w:br/>
              <w:t xml:space="preserve">Suite 201, CORPORATION TRUST CENTER 1209 ORANGE ST </w:t>
              <w:br/>
              <w:t xml:space="preserve">Bedford, MA 01730 </w:t>
              <w:br/>
              <w:t>USA</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($61,858 par, due 7/2028)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7/7/2022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60,612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61,394</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215" w:type="dxa"/>
        <w:jc w:val="center"/>
        <w:tblInd w:w="0" w:type="dxa"/>
        <w:tblLayout w:type="fixed"/>
        <w:tblCellMar>
          <w:top w:w="0" w:type="dxa"/>
          <w:left w:w="0" w:type="dxa"/>
          <w:bottom w:w="0" w:type="dxa"/>
          <w:right w:w="0" w:type="dxa"/>
        </w:tblCellMar>
      </w:tblPr>
      <w:tblGrid>
        <w:gridCol w:w="1115"/>
        <w:gridCol w:w="60"/>
        <w:gridCol w:w="755"/>
        <w:gridCol w:w="60"/>
        <w:gridCol w:w="125"/>
        <w:gridCol w:w="1050"/>
        <w:gridCol w:w="60"/>
        <w:gridCol w:w="60"/>
        <w:gridCol w:w="60"/>
        <w:gridCol w:w="1310"/>
        <w:gridCol w:w="275"/>
        <w:gridCol w:w="60"/>
        <w:gridCol w:w="60"/>
        <w:gridCol w:w="1190"/>
        <w:gridCol w:w="275"/>
        <w:gridCol w:w="60"/>
        <w:gridCol w:w="76"/>
        <w:gridCol w:w="1024"/>
        <w:gridCol w:w="60"/>
        <w:gridCol w:w="60"/>
        <w:gridCol w:w="95"/>
        <w:gridCol w:w="1275"/>
        <w:gridCol w:w="125"/>
        <w:gridCol w:w="60"/>
        <w:gridCol w:w="159"/>
        <w:gridCol w:w="1166"/>
        <w:gridCol w:w="275"/>
        <w:gridCol w:w="60"/>
        <w:gridCol w:w="572"/>
        <w:gridCol w:w="573"/>
        <w:gridCol w:w="6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7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Higher Logic, LLC (3)(5)</w:t>
              <w:br/>
              <w:t xml:space="preserve">1919 North Lynn Street </w:t>
              <w:br/>
              <w:t xml:space="preserve">Suite 500 </w:t>
              <w:br/>
              <w:t xml:space="preserve">Arlington, VA 22209 </w:t>
              <w:br/>
              <w:t>USA</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($53,658 par, due 1/2025)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6/18/2018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53,464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53,792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LeanTaaS Holdings, Inc. (3)(5) </w:t>
              <w:br/>
              <w:t xml:space="preserve">471 El Camino Real Suite 230 </w:t>
              <w:br/>
              <w:t xml:space="preserve">Santa Clara, CA 95050 </w:t>
              <w:br/>
              <w:t>USA</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($35,413 par, due 7/2028)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7/12/2022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+ 7.50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12.89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34,602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35,556</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1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Lithium Technologies, LLC (3) </w:t>
              <w:br/>
              <w:t xml:space="preserve">One World Trade Center </w:t>
              <w:br/>
              <w:t xml:space="preserve">Suite 46D </w:t>
              <w:br/>
              <w:t xml:space="preserve">New York, NY 10007 </w:t>
              <w:br/>
              <w:t>USA</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($57,009 par, due 1/2025)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10/3/2017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+ 9.00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jc w:val="right"/>
              <w:rPr/>
            </w:pPr>
            <w:r>
              <w:rPr/>
              <w:t>14.37</w:t>
            </w:r>
          </w:p>
          <w:p>
            <w:pPr>
              <w:pStyle w:val="TableContents"/>
              <w:bidi w:val="0"/>
              <w:spacing w:before="0" w:after="20"/>
              <w:jc w:val="right"/>
              <w:rPr>
                <w:rFonts w:ascii="Times New Roman" w:hAnsi="Times New Roman"/>
                <w:sz w:val="16"/>
              </w:rPr>
            </w:pPr>
            <w:r>
              <w:rPr>
                <w:rFonts w:ascii="Times New Roman" w:hAnsi="Times New Roman"/>
                <w:sz w:val="16"/>
              </w:rPr>
              <w:t>(incl. 4.50% 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56,996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55,726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Lucidworks, Inc. (3)(5) </w:t>
              <w:br/>
              <w:t xml:space="preserve">235 Montgomery Street </w:t>
              <w:br/>
              <w:t xml:space="preserve">Suite 500 </w:t>
              <w:br/>
              <w:t xml:space="preserve">San Francisco, CA 94104 </w:t>
              <w:br/>
              <w:t>USA</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($8,764 par, due 2/2027)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2/11/2022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+ 7.50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jc w:val="right"/>
              <w:rPr/>
            </w:pPr>
            <w:r>
              <w:rPr/>
              <w:t>12.82</w:t>
            </w:r>
          </w:p>
          <w:p>
            <w:pPr>
              <w:pStyle w:val="TableContents"/>
              <w:bidi w:val="0"/>
              <w:spacing w:before="0" w:after="20"/>
              <w:jc w:val="right"/>
              <w:rPr>
                <w:rFonts w:ascii="Times New Roman" w:hAnsi="Times New Roman"/>
                <w:sz w:val="16"/>
              </w:rPr>
            </w:pPr>
            <w:r>
              <w:rPr>
                <w:rFonts w:ascii="Times New Roman" w:hAnsi="Times New Roman"/>
                <w:sz w:val="16"/>
              </w:rPr>
              <w:t>(incl. 3.50% PIK)</w:t>
            </w:r>
          </w:p>
        </w:tc>
        <w:tc>
          <w:tcPr>
            <w:tcW w:w="275"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8,763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8,717</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1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Piano Software, Inc. (3)(5) </w:t>
              <w:br/>
              <w:t xml:space="preserve">One World Trade Center </w:t>
              <w:br/>
              <w:t xml:space="preserve">Suite 46D </w:t>
              <w:br/>
              <w:t xml:space="preserve">New York, NY 10007 </w:t>
              <w:br/>
              <w:t>USA</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($51,218 par, due 2/2026)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2/25/2021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12.42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50,545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50,706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SMA Technologies Holdings, LLC(3)(5) </w:t>
              <w:br/>
              <w:t xml:space="preserve">14237 East Sam Houston Pawkway N. </w:t>
              <w:br/>
              <w:t xml:space="preserve">Suite 200-314 </w:t>
              <w:br/>
              <w:t>Houston, TX 77044 USA</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($36,833 par, due 10/2028)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10/31/2022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12.07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35,406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36,649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468,675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473,430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b/>
                <w:sz w:val="16"/>
              </w:rPr>
            </w:pPr>
            <w:r>
              <w:rPr>
                <w:rFonts w:ascii="Times New Roman" w:hAnsi="Times New Roman"/>
                <w:b/>
                <w:sz w:val="16"/>
              </w:rPr>
              <w:t>Manufacturing</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27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1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ASP Unifrax Holdings, Inc. (9) </w:t>
              <w:br/>
              <w:t xml:space="preserve">600 Riverwalk Parkway </w:t>
              <w:br/>
              <w:t xml:space="preserve">Suite 120 </w:t>
              <w:br/>
              <w:t xml:space="preserve">Tonawanda, NY 14150 </w:t>
              <w:br/>
              <w:t>USA</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($1,133 par, due 12/2025) (3)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8/25/2023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+ 3.90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9.29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1,055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364 par, due 12/2025) (3)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9/14/2023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E + 3.75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7.72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jc w:val="right"/>
              <w:rPr/>
            </w:pPr>
            <w:r>
              <w:rPr/>
              <w:t>354</w:t>
            </w:r>
          </w:p>
          <w:p>
            <w:pPr>
              <w:pStyle w:val="TableContents"/>
              <w:bidi w:val="0"/>
              <w:spacing w:before="0" w:after="20"/>
              <w:jc w:val="right"/>
              <w:rPr>
                <w:rFonts w:ascii="Times New Roman" w:hAnsi="Times New Roman"/>
                <w:sz w:val="16"/>
              </w:rPr>
            </w:pPr>
            <w:r>
              <w:rPr>
                <w:rFonts w:ascii="Times New Roman" w:hAnsi="Times New Roman"/>
                <w:sz w:val="16"/>
              </w:rPr>
              <w:t>(EUR 335</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Unsecured Note ($227 par, due 9/2029)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8/31/2023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7.50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7.50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720" w:type="dxa"/>
        <w:jc w:val="center"/>
        <w:tblInd w:w="0" w:type="dxa"/>
        <w:tblLayout w:type="fixed"/>
        <w:tblCellMar>
          <w:top w:w="0" w:type="dxa"/>
          <w:left w:w="0" w:type="dxa"/>
          <w:bottom w:w="0" w:type="dxa"/>
          <w:right w:w="0" w:type="dxa"/>
        </w:tblCellMar>
      </w:tblPr>
      <w:tblGrid>
        <w:gridCol w:w="980"/>
        <w:gridCol w:w="60"/>
        <w:gridCol w:w="680"/>
        <w:gridCol w:w="60"/>
        <w:gridCol w:w="125"/>
        <w:gridCol w:w="1050"/>
        <w:gridCol w:w="60"/>
        <w:gridCol w:w="60"/>
        <w:gridCol w:w="60"/>
        <w:gridCol w:w="1310"/>
        <w:gridCol w:w="275"/>
        <w:gridCol w:w="60"/>
        <w:gridCol w:w="60"/>
        <w:gridCol w:w="1280"/>
        <w:gridCol w:w="275"/>
        <w:gridCol w:w="60"/>
        <w:gridCol w:w="76"/>
        <w:gridCol w:w="1024"/>
        <w:gridCol w:w="60"/>
        <w:gridCol w:w="60"/>
        <w:gridCol w:w="60"/>
        <w:gridCol w:w="935"/>
        <w:gridCol w:w="125"/>
        <w:gridCol w:w="60"/>
        <w:gridCol w:w="209"/>
        <w:gridCol w:w="1116"/>
        <w:gridCol w:w="275"/>
        <w:gridCol w:w="60"/>
        <w:gridCol w:w="572"/>
        <w:gridCol w:w="573"/>
        <w:gridCol w:w="60"/>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6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Avalara, Inc (3) </w:t>
              <w:br/>
              <w:t xml:space="preserve">255 South King Street #1200 </w:t>
              <w:br/>
              <w:t>Seattle, WA 98104</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($38,636 par, due 10/2028)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10/19/2022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12.64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37,701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38,424</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Skylark UK DebtCo Limited (3)(4) </w:t>
              <w:br/>
              <w:t xml:space="preserve">4th Floor 100 Pall Mall </w:t>
              <w:br/>
              <w:t>London SW1Y 5NQ United Kingdom</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($16,340 par, due 9/2030)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15,705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15,697</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4,851 par, due 9/2030)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9/7/2023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E + 6.25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10.08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5,051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jc w:val="right"/>
              <w:rPr/>
            </w:pPr>
            <w:r>
              <w:rPr/>
              <w:t>5,021</w:t>
            </w:r>
          </w:p>
          <w:p>
            <w:pPr>
              <w:pStyle w:val="TableContents"/>
              <w:bidi w:val="0"/>
              <w:spacing w:before="0" w:after="20"/>
              <w:jc w:val="right"/>
              <w:rPr>
                <w:rFonts w:ascii="Times New Roman" w:hAnsi="Times New Roman"/>
                <w:sz w:val="16"/>
              </w:rPr>
            </w:pPr>
            <w:r>
              <w:rPr>
                <w:rFonts w:ascii="Times New Roman" w:hAnsi="Times New Roman"/>
                <w:sz w:val="16"/>
              </w:rPr>
              <w:t>(EUR 4,742</w:t>
            </w:r>
          </w:p>
        </w:tc>
        <w:tc>
          <w:tcPr>
            <w:tcW w:w="12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(GBP 16,640 par, due 9/2030)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 + 6.25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11.44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20,194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jc w:val="right"/>
              <w:rPr/>
            </w:pPr>
            <w:r>
              <w:rPr/>
              <w:t>19,852</w:t>
            </w:r>
          </w:p>
          <w:p>
            <w:pPr>
              <w:pStyle w:val="TableContents"/>
              <w:bidi w:val="0"/>
              <w:spacing w:before="0" w:after="20"/>
              <w:jc w:val="right"/>
              <w:rPr>
                <w:rFonts w:ascii="Times New Roman" w:hAnsi="Times New Roman"/>
                <w:sz w:val="16"/>
              </w:rPr>
            </w:pPr>
            <w:r>
              <w:rPr>
                <w:rFonts w:ascii="Times New Roman" w:hAnsi="Times New Roman"/>
                <w:sz w:val="16"/>
              </w:rPr>
              <w:t>(GBP 16,265</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80,178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80,526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b/>
                <w:sz w:val="16"/>
              </w:rPr>
            </w:pPr>
            <w:r>
              <w:rPr>
                <w:rFonts w:ascii="Times New Roman" w:hAnsi="Times New Roman"/>
                <w:b/>
                <w:sz w:val="16"/>
              </w:rPr>
              <w:t>Office Products</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USR Parent, Inc. (3)(5) </w:t>
              <w:br/>
              <w:t xml:space="preserve">500 Staples Drive MS: E5A </w:t>
              <w:br/>
              <w:t>Framingham, MA 01702</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ABL FILO term loan ($17,500 par, due 4/2027)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4/25/2022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11.83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17,185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17,369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b/>
                <w:sz w:val="16"/>
              </w:rPr>
            </w:pPr>
            <w:r>
              <w:rPr>
                <w:rFonts w:ascii="Times New Roman" w:hAnsi="Times New Roman"/>
                <w:b/>
                <w:sz w:val="16"/>
              </w:rPr>
              <w:t>Oil, Gas and Consumable Fuels</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Laramie Energy, LLC (3) </w:t>
              <w:br/>
              <w:t xml:space="preserve">730 17th Street </w:t>
              <w:br/>
              <w:t>Denver, CO 80202</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($27,317 par, due 2/2027)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2/21/2023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12.42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26,724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27,055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Murchison Oil and Gas, LLC (3) </w:t>
              <w:br/>
              <w:t xml:space="preserve">1100 Mira Vista </w:t>
              <w:br/>
              <w:t>Plano, TX 79093</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($29,478 par, due 6/2026)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6/30/2022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+ 8.65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14.04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28,986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29,887</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TRP Assets, LLC (3) </w:t>
              <w:br/>
              <w:t xml:space="preserve">1111 Louisiana Street Suite 4550 </w:t>
              <w:br/>
              <w:t>Houston, TX</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($65,000 par, due 12/2025)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12/3/2021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+ 7.76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13.15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64,299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67,310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120,009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124,252</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8.3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Other</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Omnigo Software, LLC (3)(5) </w:t>
              <w:br/>
              <w:t xml:space="preserve">10430 Baur Boulevard </w:t>
              <w:br/>
              <w:t>Saint Louis, MO 63132</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($40,045 par, due 3/2026)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11.92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39,492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39,745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Retail and Consumer Products</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99 Cents Only Stores LLC (3) </w:t>
              <w:br/>
              <w:t xml:space="preserve">4000 Union Pacific Avenue </w:t>
              <w:br/>
              <w:t>Commerce, CA 90023</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ABL FILO term loan ($25,000 par, due 5/2025)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9/6/2017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+ 8.65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14.05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24,845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25,000</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American Achievement, Corp. (3)(14) </w:t>
              <w:br/>
              <w:t xml:space="preserve">1550 W Mockingbird Lane </w:t>
              <w:br/>
              <w:t>Dallas, TX 75235</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($27,089 par, due 9/2026)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9/30/2015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jc w:val="right"/>
              <w:rPr/>
            </w:pPr>
            <w:r>
              <w:rPr/>
              <w:t>11.68</w:t>
            </w:r>
          </w:p>
          <w:p>
            <w:pPr>
              <w:pStyle w:val="TableContents"/>
              <w:bidi w:val="0"/>
              <w:spacing w:before="0" w:after="20"/>
              <w:jc w:val="right"/>
              <w:rPr>
                <w:rFonts w:ascii="Times New Roman" w:hAnsi="Times New Roman"/>
                <w:sz w:val="16"/>
              </w:rPr>
            </w:pPr>
            <w:r>
              <w:rPr>
                <w:rFonts w:ascii="Times New Roman" w:hAnsi="Times New Roman"/>
                <w:sz w:val="16"/>
              </w:rPr>
              <w:t>(incl. 11.19% 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26,260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20,452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3330" w:type="dxa"/>
        <w:jc w:val="center"/>
        <w:tblInd w:w="0" w:type="dxa"/>
        <w:tblLayout w:type="fixed"/>
        <w:tblCellMar>
          <w:top w:w="0" w:type="dxa"/>
          <w:left w:w="0" w:type="dxa"/>
          <w:bottom w:w="0" w:type="dxa"/>
          <w:right w:w="0" w:type="dxa"/>
        </w:tblCellMar>
      </w:tblPr>
      <w:tblGrid>
        <w:gridCol w:w="1640"/>
        <w:gridCol w:w="60"/>
        <w:gridCol w:w="1010"/>
        <w:gridCol w:w="60"/>
        <w:gridCol w:w="125"/>
        <w:gridCol w:w="1050"/>
        <w:gridCol w:w="60"/>
        <w:gridCol w:w="60"/>
        <w:gridCol w:w="60"/>
        <w:gridCol w:w="1430"/>
        <w:gridCol w:w="275"/>
        <w:gridCol w:w="60"/>
        <w:gridCol w:w="60"/>
        <w:gridCol w:w="1280"/>
        <w:gridCol w:w="275"/>
        <w:gridCol w:w="60"/>
        <w:gridCol w:w="76"/>
        <w:gridCol w:w="1024"/>
        <w:gridCol w:w="155"/>
        <w:gridCol w:w="60"/>
        <w:gridCol w:w="89"/>
        <w:gridCol w:w="1281"/>
        <w:gridCol w:w="155"/>
        <w:gridCol w:w="60"/>
        <w:gridCol w:w="159"/>
        <w:gridCol w:w="1166"/>
        <w:gridCol w:w="275"/>
        <w:gridCol w:w="60"/>
        <w:gridCol w:w="572"/>
        <w:gridCol w:w="573"/>
        <w:gridCol w:w="60"/>
      </w:tblGrid>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10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($1,355 par, due 9/2026)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6/10/2021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+ 14.10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jc w:val="right"/>
              <w:rPr/>
            </w:pPr>
            <w:r>
              <w:rPr/>
              <w:t>19.43</w:t>
            </w:r>
          </w:p>
          <w:p>
            <w:pPr>
              <w:pStyle w:val="TableContents"/>
              <w:bidi w:val="0"/>
              <w:spacing w:before="0" w:after="20"/>
              <w:jc w:val="right"/>
              <w:rPr>
                <w:rFonts w:ascii="Times New Roman" w:hAnsi="Times New Roman"/>
                <w:sz w:val="16"/>
              </w:rPr>
            </w:pPr>
            <w:r>
              <w:rPr>
                <w:rFonts w:ascii="Times New Roman" w:hAnsi="Times New Roman"/>
                <w:sz w:val="16"/>
              </w:rPr>
              <w:t>(incl. 18.93% 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1,355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Subordinated note ($4,740 par, due 9/2026)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3/16/2021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+ 1.15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jc w:val="right"/>
              <w:rPr/>
            </w:pPr>
            <w:r>
              <w:rPr/>
              <w:t>6.40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Bed Bath and Beyond Inc. (3)(15) </w:t>
              <w:br/>
              <w:t xml:space="preserve">650 Liberty Avenue </w:t>
              <w:br/>
              <w:t>Union, NJ 07083</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ABL FILO term loan ($15,375 par, due 8/2027)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9/2/2022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+ 9.90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15.22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15,055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15,029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Roll Up DIP term loan ($25,914 par, due 9/2024)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4/24/2023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+ 7.90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jc w:val="right"/>
              <w:rPr/>
            </w:pPr>
            <w:r>
              <w:rPr/>
              <w:t>13.22</w:t>
            </w:r>
          </w:p>
          <w:p>
            <w:pPr>
              <w:pStyle w:val="TableContents"/>
              <w:bidi w:val="0"/>
              <w:spacing w:before="0" w:after="20"/>
              <w:jc w:val="right"/>
              <w:rPr>
                <w:rFonts w:ascii="Times New Roman" w:hAnsi="Times New Roman"/>
                <w:sz w:val="16"/>
              </w:rPr>
            </w:pPr>
            <w:r>
              <w:rPr>
                <w:rFonts w:ascii="Times New Roman" w:hAnsi="Times New Roman"/>
                <w:sz w:val="16"/>
              </w:rPr>
              <w:t>(incl. 13.22% PIK)</w:t>
            </w:r>
          </w:p>
        </w:tc>
        <w:tc>
          <w:tcPr>
            <w:tcW w:w="275" w:type="dxa"/>
            <w:tcBorders/>
            <w:vAlign w:val="bottom"/>
          </w:tcPr>
          <w:p>
            <w:pPr>
              <w:pStyle w:val="TableContents"/>
              <w:bidi w:val="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25,914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25,331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Super-Priority DIP term loan ($4,946 par, due 9/2024)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+ 7.90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13.22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4,946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4,835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Cordance Operations, LLC (3) </w:t>
              <w:br/>
              <w:t xml:space="preserve">16 W. Martin Street </w:t>
              <w:br/>
              <w:t>Raleigh, NC 27601</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($47,006 par, due 7/2028)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7/25/2022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+ 9.25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14.62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46,095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47,006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Neuintel, LLC (3)(5) </w:t>
              <w:br/>
              <w:t xml:space="preserve">20 Pacifica Suite 1000 </w:t>
              <w:br/>
              <w:t>Irvine, CA 92618</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($57,701 par, due 12/2026)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12/20/2021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+ 7.65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13.02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56,869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57,990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Project P Intermediate 2, LLC (3) </w:t>
              <w:br/>
              <w:t xml:space="preserve">461 Nott Street </w:t>
              <w:br/>
              <w:t>Schenectady, NY 12308</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ABL FILO term loan ($71,250 par, due 5/2026)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11/8/2021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+ 8.10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13.42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70,344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72,141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Rapid Data GmbH Unternehmensberatung (3)(4) </w:t>
              <w:br/>
              <w:t xml:space="preserve">Agricolastr. 54 30952 </w:t>
              <w:br/>
              <w:t>Ronnenberg, Germany</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(EUR 4,495 par, due 7/2029)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E + 6.50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10.15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4,666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jc w:val="right"/>
              <w:rPr/>
            </w:pPr>
            <w:r>
              <w:rPr/>
              <w:t>4,625</w:t>
            </w:r>
          </w:p>
          <w:p>
            <w:pPr>
              <w:pStyle w:val="TableContents"/>
              <w:bidi w:val="0"/>
              <w:spacing w:before="0" w:after="20"/>
              <w:jc w:val="right"/>
              <w:rPr>
                <w:rFonts w:ascii="Times New Roman" w:hAnsi="Times New Roman"/>
                <w:sz w:val="16"/>
              </w:rPr>
            </w:pPr>
            <w:r>
              <w:rPr>
                <w:rFonts w:ascii="Times New Roman" w:hAnsi="Times New Roman"/>
                <w:sz w:val="16"/>
              </w:rPr>
              <w:t>(EUR 4,368</w:t>
            </w:r>
          </w:p>
        </w:tc>
        <w:tc>
          <w:tcPr>
            <w:tcW w:w="15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Tango Management Consulting, LLC (3)(5) </w:t>
              <w:br/>
              <w:t xml:space="preserve">9797 Rombauer Road Suite #450 </w:t>
              <w:br/>
              <w:t>Dallas, TX 75019</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($54,052 par, due 12/2027)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+ 6.85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12.18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53,318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53,512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($9 par, due 12/2027)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P + 6.85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15.25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330,156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326,065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Transportation</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Project44, Inc. (3)(5) </w:t>
              <w:br/>
              <w:t xml:space="preserve">222 W Merchandise Mart Plaza Suite 1744 </w:t>
              <w:br/>
              <w:t>Chicago, IL 60654</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($35,139 par, due 11/2027)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11/12/2021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SOFR + 6.40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34,210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34,864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Marcura Equities LTD (3)(4) </w:t>
              <w:br/>
              <w:t xml:space="preserve">Highdown House Yeoman Way </w:t>
              <w:br/>
              <w:t xml:space="preserve">Worthing, West Sussex </w:t>
              <w:br/>
              <w:t>BN99 3HH United Kingdom</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loan ($31,667 par, due 8/2029)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SOFR + 7.75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jc w:val="right"/>
              <w:rPr/>
            </w:pPr>
            <w:r>
              <w:rPr/>
              <w:t>13.14</w:t>
            </w:r>
          </w:p>
          <w:p>
            <w:pPr>
              <w:pStyle w:val="TableContents"/>
              <w:bidi w:val="0"/>
              <w:spacing w:before="0" w:after="20"/>
              <w:jc w:val="right"/>
              <w:rPr>
                <w:rFonts w:ascii="Times New Roman" w:hAnsi="Times New Roman"/>
                <w:sz w:val="16"/>
              </w:rPr>
            </w:pPr>
            <w:r>
              <w:rPr>
                <w:rFonts w:ascii="Times New Roman" w:hAnsi="Times New Roman"/>
                <w:sz w:val="16"/>
              </w:rPr>
              <w:t>(incl. 4.25% PIK)</w:t>
            </w:r>
          </w:p>
        </w:tc>
        <w:tc>
          <w:tcPr>
            <w:tcW w:w="27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30,641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31,146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445" w:type="dxa"/>
        <w:jc w:val="center"/>
        <w:tblInd w:w="0" w:type="dxa"/>
        <w:tblLayout w:type="fixed"/>
        <w:tblCellMar>
          <w:top w:w="0" w:type="dxa"/>
          <w:left w:w="0" w:type="dxa"/>
          <w:bottom w:w="0" w:type="dxa"/>
          <w:right w:w="0" w:type="dxa"/>
        </w:tblCellMar>
      </w:tblPr>
      <w:tblGrid>
        <w:gridCol w:w="1235"/>
        <w:gridCol w:w="60"/>
        <w:gridCol w:w="890"/>
        <w:gridCol w:w="60"/>
        <w:gridCol w:w="125"/>
        <w:gridCol w:w="1050"/>
        <w:gridCol w:w="60"/>
        <w:gridCol w:w="60"/>
        <w:gridCol w:w="60"/>
        <w:gridCol w:w="1310"/>
        <w:gridCol w:w="275"/>
        <w:gridCol w:w="60"/>
        <w:gridCol w:w="129"/>
        <w:gridCol w:w="1211"/>
        <w:gridCol w:w="275"/>
        <w:gridCol w:w="60"/>
        <w:gridCol w:w="63"/>
        <w:gridCol w:w="1037"/>
        <w:gridCol w:w="60"/>
        <w:gridCol w:w="60"/>
        <w:gridCol w:w="60"/>
        <w:gridCol w:w="980"/>
        <w:gridCol w:w="125"/>
        <w:gridCol w:w="60"/>
        <w:gridCol w:w="128"/>
        <w:gridCol w:w="1197"/>
        <w:gridCol w:w="275"/>
        <w:gridCol w:w="60"/>
        <w:gridCol w:w="137"/>
        <w:gridCol w:w="1008"/>
        <w:gridCol w:w="27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8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27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First-lien revolving loan ($1,667 par, due 8/2029)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12.39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1,625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66,436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67,635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Debt Investments</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2,890,369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2,909,102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195.8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Equity and Other Investments</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Business Services</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Dye &amp; Durham, Ltd. (4)(10) 25 York Street </w:t>
              <w:br/>
              <w:t xml:space="preserve">Suite 1100 </w:t>
              <w:br/>
              <w:t xml:space="preserve">Toronto, Ontario M5J 2V5 </w:t>
              <w:br/>
              <w:t>Canada</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Common Shares (126,968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12/3/2021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3,909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1,248</w:t>
            </w:r>
          </w:p>
          <w:p>
            <w:pPr>
              <w:pStyle w:val="TableContents"/>
              <w:bidi w:val="0"/>
              <w:spacing w:before="0" w:after="20"/>
              <w:jc w:val="right"/>
              <w:rPr>
                <w:rFonts w:ascii="Times New Roman" w:hAnsi="Times New Roman"/>
                <w:sz w:val="16"/>
              </w:rPr>
            </w:pPr>
            <w:r>
              <w:rPr>
                <w:rFonts w:ascii="Times New Roman" w:hAnsi="Times New Roman"/>
                <w:sz w:val="16"/>
              </w:rPr>
              <w:t>(CAD 1,688</w:t>
            </w:r>
          </w:p>
        </w:tc>
        <w:tc>
          <w:tcPr>
            <w:tcW w:w="12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Mitnick TA Aggregator, LP (11)(13) </w:t>
              <w:br/>
              <w:t xml:space="preserve">197 East University Drive </w:t>
              <w:br/>
              <w:t xml:space="preserve">Auburn, AL 36832 </w:t>
              <w:br/>
              <w:t>USA</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Membership Interest (0.43% ownership)</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5/2/2022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5,243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5,243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ReliaQuest, LLC (11)(13) </w:t>
              <w:br/>
              <w:t xml:space="preserve">777 South Harbour Island Boulevard </w:t>
              <w:br/>
              <w:t xml:space="preserve">Suite 500 </w:t>
              <w:br/>
              <w:t xml:space="preserve">Tampa, FL 33602 </w:t>
              <w:br/>
              <w:t>USA</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A-1 Units (567,683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11/23/2021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1,324</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Class A-2 Units (2,580 units)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6/21/2022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Sprinklr, Inc. (10)(11) </w:t>
              <w:br/>
              <w:t xml:space="preserve">29 West 35th Street </w:t>
              <w:br/>
              <w:t xml:space="preserve">7th Floor </w:t>
              <w:br/>
              <w:t>New York, NY 10001</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Common Shares (315,005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6/24/2021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2,716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4,360</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Warrior TopCo LP (11)(12) </w:t>
              <w:br/>
              <w:t xml:space="preserve">9171 Towne Center Drive Suite 200 </w:t>
              <w:br/>
              <w:t>San Diego, CA 92122</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Class A Units (423,728 units)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424</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13,418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12,607</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Communications</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Celtra Technologies, Inc. (11) 545 Boylston Street </w:t>
              <w:br/>
              <w:t xml:space="preserve">11th Floor </w:t>
              <w:br/>
              <w:t xml:space="preserve">Boston, MA 02116 </w:t>
              <w:br/>
              <w:t>USA</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 Units (1,250,000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11/19/2021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1,250</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IntelePeer Holdings, Inc. (11) </w:t>
              <w:br/>
              <w:t xml:space="preserve">155 Bovet Rd. </w:t>
              <w:br/>
              <w:t xml:space="preserve">Suite 405 </w:t>
              <w:br/>
              <w:t xml:space="preserve">San Mateo, CA 94402 </w:t>
              <w:br/>
              <w:t>USA</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Series C Preferred Shares (1,816,295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4/8/2021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1,866</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Series D Preferred Shares (1,598,874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4/8/2021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2,004</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4.1</w:t>
            </w:r>
          </w:p>
        </w:tc>
        <w:tc>
          <w:tcPr>
            <w:tcW w:w="27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280,000 Warrants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2/28/2020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11.7</w:t>
            </w:r>
          </w:p>
        </w:tc>
        <w:tc>
          <w:tcPr>
            <w:tcW w:w="27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106,592 Warrants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4/8/2021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4.1</w:t>
            </w:r>
          </w:p>
        </w:tc>
        <w:tc>
          <w:tcPr>
            <w:tcW w:w="27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5,120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Education</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Astra 2L Holdings II LLC (11) </w:t>
              <w:br/>
              <w:t xml:space="preserve">5201 Congress Ave. </w:t>
              <w:br/>
              <w:t>Boca Raton, FL 33487</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Membership Interest (10.17% ownership)</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1/13/2022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594</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920" w:type="dxa"/>
        <w:jc w:val="center"/>
        <w:tblInd w:w="0" w:type="dxa"/>
        <w:tblLayout w:type="fixed"/>
        <w:tblCellMar>
          <w:top w:w="0" w:type="dxa"/>
          <w:left w:w="0" w:type="dxa"/>
          <w:bottom w:w="0" w:type="dxa"/>
          <w:right w:w="0" w:type="dxa"/>
        </w:tblCellMar>
      </w:tblPr>
      <w:tblGrid>
        <w:gridCol w:w="1295"/>
        <w:gridCol w:w="60"/>
        <w:gridCol w:w="800"/>
        <w:gridCol w:w="60"/>
        <w:gridCol w:w="125"/>
        <w:gridCol w:w="1050"/>
        <w:gridCol w:w="60"/>
        <w:gridCol w:w="60"/>
        <w:gridCol w:w="520"/>
        <w:gridCol w:w="520"/>
        <w:gridCol w:w="60"/>
        <w:gridCol w:w="60"/>
        <w:gridCol w:w="670"/>
        <w:gridCol w:w="670"/>
        <w:gridCol w:w="60"/>
        <w:gridCol w:w="60"/>
        <w:gridCol w:w="89"/>
        <w:gridCol w:w="1011"/>
        <w:gridCol w:w="60"/>
        <w:gridCol w:w="60"/>
        <w:gridCol w:w="111"/>
        <w:gridCol w:w="1259"/>
        <w:gridCol w:w="60"/>
        <w:gridCol w:w="60"/>
        <w:gridCol w:w="209"/>
        <w:gridCol w:w="1116"/>
        <w:gridCol w:w="275"/>
        <w:gridCol w:w="60"/>
        <w:gridCol w:w="137"/>
        <w:gridCol w:w="1008"/>
        <w:gridCol w:w="275"/>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8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EMS Linq, Inc. (11) </w:t>
              <w:br/>
              <w:t xml:space="preserve">2528 INDEPENDENCE BLVD STE 200 </w:t>
              <w:br/>
              <w:t>WILMINGTON NC 28412-2591</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Class B Units (5,522,526 units)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12/22/2021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5,523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4,763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15.9</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RMCF IV CIV XXXV, LP. (11) </w:t>
              <w:br/>
              <w:t>1320 Flynn Road, Suite 100 Camarillo, CA 93012</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Partnership Interest (11.94% ownership)</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1,410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11.9</w:t>
            </w:r>
          </w:p>
        </w:tc>
        <w:tc>
          <w:tcPr>
            <w:tcW w:w="27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9,778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6,767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b/>
                <w:sz w:val="16"/>
              </w:rPr>
            </w:pPr>
            <w:r>
              <w:rPr>
                <w:rFonts w:ascii="Times New Roman" w:hAnsi="Times New Roman"/>
                <w:b/>
                <w:sz w:val="16"/>
              </w:rPr>
              <w:t>Financial Services</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AvidXchange, Inc. (10)(11) </w:t>
              <w:br/>
              <w:t xml:space="preserve">1210 AvidXchange Lane </w:t>
              <w:br/>
              <w:t>Charlotte, NC 28206</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Common Shares (50,179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10/15/2021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476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Newport Parent Holdings, LP (11) 58 Durham Road </w:t>
              <w:br/>
              <w:t>DH3 2QJ</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A-2 Units (131,569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12/10/2020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4,177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Oxford Square Capital Corp. (4)(10) </w:t>
              <w:br/>
              <w:t xml:space="preserve">8 Sound Shore Drive Suite 255 </w:t>
              <w:br/>
              <w:t xml:space="preserve">Suite 255 </w:t>
              <w:br/>
              <w:t>Greenwich, CT 06830</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Common Shares (1,620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8/5/2015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Passport Labs, Inc. (11) </w:t>
              <w:br/>
              <w:t xml:space="preserve">128 S Tryon St, Ste 1000 </w:t>
              <w:br/>
              <w:t>Charlotte, NC 28202</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17,534 Warrants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4/28/2021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16.4</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TradingScreen, Inc. (11)(13) </w:t>
              <w:br/>
              <w:t xml:space="preserve">1 Penn Plaza, 49th Fl </w:t>
              <w:br/>
              <w:t>New York, NY 10119</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Class A Units (600,000 units)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5/14/2021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5,231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10,690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Healthcare</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Caris Life Sciences, Inc. (11) </w:t>
              <w:br/>
              <w:t xml:space="preserve">750 W John Carpenter Fwy </w:t>
              <w:br/>
              <w:t xml:space="preserve">Suite 800 </w:t>
              <w:br/>
              <w:t>Irving, TX 75039</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Series C Preferred Shares (1,915,114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10/13/2020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6,703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Series D Preferred Shares (1,240,740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5/11/2021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10,050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9,573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633,376 Warrants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9/21/2018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569,991 Warrants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4/2/2020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893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Merative L.P. (11)(13) </w:t>
              <w:br/>
              <w:t xml:space="preserve">100 Phoenix Drive </w:t>
              <w:br/>
              <w:t>Ann Arbor, MI 48108</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989,691 Class A-1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6/30/2022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9,897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9,897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16.5</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Raptor US Buyer II Corp. (11)(12) </w:t>
              <w:br/>
              <w:t xml:space="preserve">205 West Wacker Drive, Suite 1800 </w:t>
              <w:br/>
              <w:t>Chicago, IL 60606</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2,027 Ordinary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3/24/2023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2,027 Class 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2,027 Class B</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3/24/2023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2,027 Class 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2,027 Class 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3/24/2023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2,027 Class 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2,027 Class F</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3/24/2023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2,027 Class 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2,027 Class H</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3/24/2023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2,027 Class I</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34.5</w:t>
            </w:r>
          </w:p>
        </w:tc>
        <w:tc>
          <w:tcPr>
            <w:tcW w:w="27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25,919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30,292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710" w:type="dxa"/>
        <w:jc w:val="center"/>
        <w:tblInd w:w="0" w:type="dxa"/>
        <w:tblLayout w:type="fixed"/>
        <w:tblCellMar>
          <w:top w:w="0" w:type="dxa"/>
          <w:left w:w="0" w:type="dxa"/>
          <w:bottom w:w="0" w:type="dxa"/>
          <w:right w:w="0" w:type="dxa"/>
        </w:tblCellMar>
      </w:tblPr>
      <w:tblGrid>
        <w:gridCol w:w="995"/>
        <w:gridCol w:w="60"/>
        <w:gridCol w:w="890"/>
        <w:gridCol w:w="60"/>
        <w:gridCol w:w="125"/>
        <w:gridCol w:w="1050"/>
        <w:gridCol w:w="60"/>
        <w:gridCol w:w="60"/>
        <w:gridCol w:w="520"/>
        <w:gridCol w:w="520"/>
        <w:gridCol w:w="60"/>
        <w:gridCol w:w="60"/>
        <w:gridCol w:w="670"/>
        <w:gridCol w:w="670"/>
        <w:gridCol w:w="60"/>
        <w:gridCol w:w="60"/>
        <w:gridCol w:w="89"/>
        <w:gridCol w:w="1011"/>
        <w:gridCol w:w="60"/>
        <w:gridCol w:w="60"/>
        <w:gridCol w:w="60"/>
        <w:gridCol w:w="1310"/>
        <w:gridCol w:w="60"/>
        <w:gridCol w:w="60"/>
        <w:gridCol w:w="209"/>
        <w:gridCol w:w="1116"/>
        <w:gridCol w:w="275"/>
        <w:gridCol w:w="60"/>
        <w:gridCol w:w="110"/>
        <w:gridCol w:w="1035"/>
        <w:gridCol w:w="275"/>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8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27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Hotel, Gaming and Leisure</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IRGSE Holding Corp. (7)(11) </w:t>
              <w:br/>
              <w:t xml:space="preserve">1555 Palm Beach Lake Blvd </w:t>
              <w:br/>
              <w:t xml:space="preserve">Unit 1105 </w:t>
              <w:br/>
              <w:t xml:space="preserve">West Palm Beach, FL 33401 </w:t>
              <w:br/>
              <w:t>USA</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 Units (33,790,171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12/21/2018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21,842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6,336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Class C-1 Units (8,800,000 units)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12/21/2018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86.1</w:t>
            </w:r>
          </w:p>
        </w:tc>
        <w:tc>
          <w:tcPr>
            <w:tcW w:w="275"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21,942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6,379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Human Resource Support Services</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Axonify, Inc. (4)(11)(13) </w:t>
              <w:br/>
              <w:t xml:space="preserve">450 Phillip St </w:t>
              <w:br/>
              <w:t xml:space="preserve">Waterloo, Ontario N2L 5J2 </w:t>
              <w:br/>
              <w:t>Canada</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A-1 Units (3,780,000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3,837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bswift, LLC (11)(12) </w:t>
              <w:br/>
              <w:t xml:space="preserve">500 W. Monroe </w:t>
              <w:br/>
              <w:t xml:space="preserve">Suite 3800 </w:t>
              <w:br/>
              <w:t xml:space="preserve">Chicago, IL 60661 </w:t>
              <w:br/>
              <w:t>USA</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Class A-1 Units (2,393,509 units)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11/7/2022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DaySmart Holdings, LLC (11)(13) </w:t>
              <w:br/>
              <w:t xml:space="preserve">312 Soutg State Street Fl 2 </w:t>
              <w:br/>
              <w:t>Ann Arbor, MI 48104</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 Units (166,811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10/1/2019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1,347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Employment Hero Holdings Pty Ltd. (4)(11) </w:t>
              <w:br/>
              <w:t xml:space="preserve">Level 2, 441 Kent Street </w:t>
              <w:br/>
              <w:t xml:space="preserve">Sydney, New South Wales 2000 </w:t>
              <w:br/>
              <w:t>Australia</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Series E Preferred Shares (113,250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3/1/2022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2,134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2,493</w:t>
              <w:br/>
              <w:t>(AUD 3,862)</w:t>
            </w:r>
          </w:p>
        </w:tc>
        <w:tc>
          <w:tcPr>
            <w:tcW w:w="60" w:type="dxa"/>
            <w:tcBorders/>
            <w:shd w:fill="CCEEFF" w:val="clear"/>
            <w:vAlign w:val="bottom"/>
          </w:tcPr>
          <w:p>
            <w:pPr>
              <w:pStyle w:val="TableContents"/>
              <w:bidi w:val="0"/>
              <w:spacing w:before="0" w:after="283"/>
              <w:jc w:val="left"/>
              <w:rPr/>
            </w:pPr>
            <w:r>
              <w:rPr/>
              <w:b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9,655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10,754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99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Internet Services</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Bayshore Intermediate #2, L.P. (11)(13) </w:t>
              <w:br/>
              <w:t xml:space="preserve">1400 Liberty Ridge Drive </w:t>
              <w:br/>
              <w:t>Chesterbrook, PA 19087 USA</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Co-Invest Common Units (8,837,008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8,837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8,152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Co-Invest 2 Common Units (3,493,701 units)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10/1/2021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3,223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Lucidworks, Inc. (11) </w:t>
              <w:br/>
              <w:t xml:space="preserve">235 Montgomery Street Suite 500 </w:t>
              <w:br/>
              <w:t xml:space="preserve">San Francisco, CA 94104 </w:t>
              <w:br/>
              <w:t>USA</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Series F Preferred Shares (199,054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8/2/2019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Piano Software, Inc. (11) </w:t>
              <w:br/>
              <w:t xml:space="preserve">One World Trade Center Suite 46D </w:t>
              <w:br/>
              <w:t xml:space="preserve">New York, NY 10007 </w:t>
              <w:br/>
              <w:t>USA</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Series C-1 Preferred Shares (418,527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12/22/2021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24.9</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845" w:type="dxa"/>
        <w:jc w:val="center"/>
        <w:tblInd w:w="0" w:type="dxa"/>
        <w:tblLayout w:type="fixed"/>
        <w:tblCellMar>
          <w:top w:w="0" w:type="dxa"/>
          <w:left w:w="0" w:type="dxa"/>
          <w:bottom w:w="0" w:type="dxa"/>
          <w:right w:w="0" w:type="dxa"/>
        </w:tblCellMar>
      </w:tblPr>
      <w:tblGrid>
        <w:gridCol w:w="1220"/>
        <w:gridCol w:w="60"/>
        <w:gridCol w:w="1040"/>
        <w:gridCol w:w="60"/>
        <w:gridCol w:w="125"/>
        <w:gridCol w:w="1050"/>
        <w:gridCol w:w="60"/>
        <w:gridCol w:w="60"/>
        <w:gridCol w:w="60"/>
        <w:gridCol w:w="1310"/>
        <w:gridCol w:w="275"/>
        <w:gridCol w:w="60"/>
        <w:gridCol w:w="160"/>
        <w:gridCol w:w="1180"/>
        <w:gridCol w:w="275"/>
        <w:gridCol w:w="60"/>
        <w:gridCol w:w="89"/>
        <w:gridCol w:w="1011"/>
        <w:gridCol w:w="60"/>
        <w:gridCol w:w="60"/>
        <w:gridCol w:w="111"/>
        <w:gridCol w:w="1259"/>
        <w:gridCol w:w="60"/>
        <w:gridCol w:w="60"/>
        <w:gridCol w:w="209"/>
        <w:gridCol w:w="1116"/>
        <w:gridCol w:w="275"/>
        <w:gridCol w:w="60"/>
        <w:gridCol w:w="137"/>
        <w:gridCol w:w="1008"/>
        <w:gridCol w:w="275"/>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10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27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Series C-2 Preferred Shares (27,588 shares)(12)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11/18/2022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SMA Technologies Holdings, LLC (11)(12) </w:t>
              <w:br/>
              <w:t xml:space="preserve">14237 East Sam Houston Pawkway N. </w:t>
              <w:br/>
              <w:t xml:space="preserve">Suite 200-314 </w:t>
              <w:br/>
              <w:t xml:space="preserve">Houston, TX 77044 </w:t>
              <w:br/>
              <w:t>USA</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 Units (1,300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11/21/2022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Class B Units (923,250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11/21/2022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17,629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16,673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Marketing Services</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Validity, Inc. (11) </w:t>
              <w:br/>
              <w:t xml:space="preserve">100 Summer St </w:t>
              <w:br/>
              <w:t xml:space="preserve">Suite 2900 </w:t>
              <w:br/>
              <w:t>Boston, MA 02110</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Series A Preferred Shares (3,840,000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5/31/2018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3,840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10,944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Oil, Gas and Consumable Fuels</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Murchison Oil and Gas, LLC (13) </w:t>
              <w:br/>
              <w:t xml:space="preserve">1100 Mira Vista </w:t>
              <w:br/>
              <w:t>Plano, TX 79093</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13,355 Preferred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6/30/2022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13,355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14,891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16.3</w:t>
            </w:r>
          </w:p>
        </w:tc>
        <w:tc>
          <w:tcPr>
            <w:tcW w:w="27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TRP Assets, LLC (11)(13) </w:t>
              <w:br/>
              <w:t xml:space="preserve">1111 Louisiana Street Suite 4550 </w:t>
              <w:br/>
              <w:t>Houston, TX</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Partnership Interest (1.89% ownership)</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8/25/2022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8,732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11,811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22,087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26,702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Pharmaceuticals</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TherapeuticsMD, Inc. (4)(11) </w:t>
              <w:br/>
              <w:t xml:space="preserve">3 Second Street, Suite 206 </w:t>
              <w:br/>
              <w:t>Jersey City, NJ</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14,256 Warrants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8/5/2020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Retail and Consumer Products</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American Achievement, Corp. (11) </w:t>
              <w:br/>
              <w:t xml:space="preserve">1550 W Mockingbird Lane </w:t>
              <w:br/>
              <w:t>Dallas, TX 75235</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Class A Units (687 units)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3/16/2021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3.8</w:t>
            </w:r>
          </w:p>
        </w:tc>
        <w:tc>
          <w:tcPr>
            <w:tcW w:w="27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Copper Bidco, LLC </w:t>
              <w:br/>
              <w:t xml:space="preserve">951 Yamato Road </w:t>
              <w:br/>
              <w:t xml:space="preserve">Suite 220 </w:t>
              <w:br/>
              <w:t>Boca Raton, FL 33431</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Trust Certificates (132,928 Certificates)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12/7/2020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Trust Certificates (996,958 Certificates) (9)</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1/30/2021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2,589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10,727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Neuintel, LLC (11)(13) </w:t>
              <w:br/>
              <w:t xml:space="preserve">20 Pacifica Suite 1000 </w:t>
              <w:br/>
              <w:t>Irvine, CA 92618</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Class A Units (1,176,494 units)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12/21/2021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2,468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5,589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13,252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2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Structured Credit</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Allegro CLO Ltd, Series 2018-1A, (3)(4)(9) </w:t>
              <w:br/>
              <w:t>100 West Putnam Ave, Third Floor, Greenwich, CT 06830</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6/2031)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5/26/2022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+ 3.11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8.42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000" w:type="dxa"/>
        <w:jc w:val="center"/>
        <w:tblInd w:w="0" w:type="dxa"/>
        <w:tblLayout w:type="fixed"/>
        <w:tblCellMar>
          <w:top w:w="0" w:type="dxa"/>
          <w:left w:w="0" w:type="dxa"/>
          <w:bottom w:w="0" w:type="dxa"/>
          <w:right w:w="0" w:type="dxa"/>
        </w:tblCellMar>
      </w:tblPr>
      <w:tblGrid>
        <w:gridCol w:w="950"/>
        <w:gridCol w:w="60"/>
        <w:gridCol w:w="740"/>
        <w:gridCol w:w="60"/>
        <w:gridCol w:w="125"/>
        <w:gridCol w:w="1050"/>
        <w:gridCol w:w="60"/>
        <w:gridCol w:w="60"/>
        <w:gridCol w:w="60"/>
        <w:gridCol w:w="1310"/>
        <w:gridCol w:w="275"/>
        <w:gridCol w:w="60"/>
        <w:gridCol w:w="129"/>
        <w:gridCol w:w="1211"/>
        <w:gridCol w:w="275"/>
        <w:gridCol w:w="60"/>
        <w:gridCol w:w="106"/>
        <w:gridCol w:w="994"/>
        <w:gridCol w:w="60"/>
        <w:gridCol w:w="60"/>
        <w:gridCol w:w="132"/>
        <w:gridCol w:w="1238"/>
        <w:gridCol w:w="60"/>
        <w:gridCol w:w="60"/>
        <w:gridCol w:w="209"/>
        <w:gridCol w:w="1116"/>
        <w:gridCol w:w="275"/>
        <w:gridCol w:w="60"/>
        <w:gridCol w:w="1145"/>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7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American Money Management Corp CLO Ltd, Series 2016-18A (3)(4)(9) </w:t>
              <w:br/>
              <w:t>301 East Fourth Street, 38 Th Floor, Cincinnati, OH 45202</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($1,500 par, due 5/2031)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6/22/2022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+ 3.31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Ares CLO Ltd, Series 2021-59A (3)(4)(9) </w:t>
              <w:br/>
              <w:t>245 Park Ave 44th floor, New York, NY 10167</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6/23/2022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Ares Loan Funding I Ltd, Series 2021-ALFA, Class E (3)(4)(9) </w:t>
              <w:br/>
              <w:t>245 Park Ave 44th floor, New York, NY 10167</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6/24/2022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+ 6.96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Bain Capital Credit CLO Ltd, Series 2018-1A (3)(4)(9) </w:t>
              <w:br/>
              <w:t>200 Clarendon St, Boston, MA 02116</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($500 par, due 4/2031)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10/15/2020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+ 5.61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10.96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Battalion CLO Ltd, Series 2021-21A (3)(4)(9) </w:t>
              <w:br/>
              <w:t>399 Park Avenue, 16th Floor, New York, NY 10022</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($1,300 par, due 7/2034)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7/13/2022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+ 3.56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Benefit Street Partners CLO Ltd, Series 2015-BR (3)(4)(9) </w:t>
              <w:br/>
              <w:t>9 W 57th St #4920, New York, NY 10019</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($2,500 par, due 7/2034)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7/13/2022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+ 4.11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9.44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2,190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Benefit Street Partners CLO Ltd, Series 2015-8A (3)(4)(9) </w:t>
              <w:br/>
              <w:t>9 W 57th St #4920, New York, NY 10019</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($1,425 par, due 1/2031)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9/13/2022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+ 3.01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1,282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1,334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Carlyle Global Market Strategies CLO Ltd, Series 2014-4RA (3)(4)(9) 1001 Pennsylvania Avenue NW Washington, DC</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5/26/2022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+ 3.16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8.47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Carlyle Global Market Strategies CLO Ltd, Series 2016-1, Ltd (3)(4)(9) </w:t>
              <w:br/>
              <w:t>1001 Pennsylvania Avenue NW Washington, DC</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($1,600 par, due 4/2034)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2/15/2023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Carlyle Global Market Strategies CLO Ltd, Series 2018-1A (3)(4)(9) </w:t>
              <w:br/>
              <w:t>1001 Pennsylvania Avenue NW Washington, DC</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($1,550 par, due 4/2031)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8/11/2020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11.34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1,386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000" w:type="dxa"/>
        <w:jc w:val="center"/>
        <w:tblInd w:w="0" w:type="dxa"/>
        <w:tblLayout w:type="fixed"/>
        <w:tblCellMar>
          <w:top w:w="0" w:type="dxa"/>
          <w:left w:w="0" w:type="dxa"/>
          <w:bottom w:w="0" w:type="dxa"/>
          <w:right w:w="0" w:type="dxa"/>
        </w:tblCellMar>
      </w:tblPr>
      <w:tblGrid>
        <w:gridCol w:w="950"/>
        <w:gridCol w:w="60"/>
        <w:gridCol w:w="740"/>
        <w:gridCol w:w="60"/>
        <w:gridCol w:w="125"/>
        <w:gridCol w:w="1050"/>
        <w:gridCol w:w="60"/>
        <w:gridCol w:w="60"/>
        <w:gridCol w:w="60"/>
        <w:gridCol w:w="1310"/>
        <w:gridCol w:w="275"/>
        <w:gridCol w:w="60"/>
        <w:gridCol w:w="129"/>
        <w:gridCol w:w="1211"/>
        <w:gridCol w:w="275"/>
        <w:gridCol w:w="60"/>
        <w:gridCol w:w="106"/>
        <w:gridCol w:w="994"/>
        <w:gridCol w:w="60"/>
        <w:gridCol w:w="60"/>
        <w:gridCol w:w="132"/>
        <w:gridCol w:w="1238"/>
        <w:gridCol w:w="60"/>
        <w:gridCol w:w="60"/>
        <w:gridCol w:w="209"/>
        <w:gridCol w:w="1116"/>
        <w:gridCol w:w="275"/>
        <w:gridCol w:w="60"/>
        <w:gridCol w:w="1145"/>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7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CarVal CLO III Ltd, Series 2019-2A (3)(4)(9) </w:t>
              <w:br/>
              <w:t>1601 Utica Avenue South, Suite 1000. Minneapolis, MN 55416</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Cedar Funding CLO Ltd, Series 2018-7A (3)(4)(9) </w:t>
              <w:br/>
              <w:t>1201 Wills Street, Suite 800. Baltimore, MD 21231</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7/21/2022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+ 4.81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10.14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CIFC CLO Ltd, Series 2018-3A (3)(4)(9) </w:t>
              <w:br/>
              <w:t>1 SE 3rd Avenue, Suite 1660, Miami, FL 33131</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6/16/2022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+ 5.76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CIFC CLO Ltd, Series 2021-4A (3)(4)(9) </w:t>
              <w:br/>
              <w:t>1 SE 3rd Avenue, Suite 1660, Miami, FL 33131</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7/14/2022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Crown Point CLO Ltd, Series 2021-10A (3)(4)(9) </w:t>
              <w:br/>
              <w:t>810 7th Ave, New York, NY 10019</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6/14/2022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+ 7.11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Dryden Senior Loan Fund, Series 2018-55A (3)(4)(9) </w:t>
              <w:br/>
              <w:t>655 Broad Street Newark, NJ 07102</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7/25/2022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+ 3.11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8.42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Dryden Senior Loan Fund, Series 2020-86A (3)(4)(9) </w:t>
              <w:br/>
              <w:t>655 Broad Street Newark, NJ 07102</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($1,500 par, due 7/2034)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8/17/2022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+ 6.76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1,358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Eaton CLO Ltd, Series 2015-1A (3)(4)(9)</w:t>
              <w:br/>
              <w:t>wo International Place, Suite 1400 Boston, MA 02110</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($2,500 par, due 1/2030)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6/23/2022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+ 2.76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8.09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2,252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2,394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Eaton CLO Ltd, Series 2020-1A (3)(4)(9) </w:t>
              <w:br/>
              <w:t>wo International Place, Suite 1400 Boston, MA 02110</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8/11/2022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GoldenTree CLO Ltd, Series 2020-7A (3)(4)(9) </w:t>
              <w:br/>
              <w:t>300 Park Avenue New York, NY 10022</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6/17/2022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12.09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Gulf Stream Meridian, Series 2021-4A (3)(4)(9) </w:t>
              <w:br/>
              <w:t>4201 Congress Street, Charlotte NC 28209</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($1,015 par, due 7/2034)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Gulf Stream Meridian, Series 2021-6A (3)(4)(9) </w:t>
              <w:br/>
              <w:t>4201 Congress Street, Charlotte NC 28209</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($2,000 par, due 1/2037)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9/12/2022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11.93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1,849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1,785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000" w:type="dxa"/>
        <w:jc w:val="center"/>
        <w:tblInd w:w="0" w:type="dxa"/>
        <w:tblLayout w:type="fixed"/>
        <w:tblCellMar>
          <w:top w:w="0" w:type="dxa"/>
          <w:left w:w="0" w:type="dxa"/>
          <w:bottom w:w="0" w:type="dxa"/>
          <w:right w:w="0" w:type="dxa"/>
        </w:tblCellMar>
      </w:tblPr>
      <w:tblGrid>
        <w:gridCol w:w="950"/>
        <w:gridCol w:w="60"/>
        <w:gridCol w:w="740"/>
        <w:gridCol w:w="60"/>
        <w:gridCol w:w="125"/>
        <w:gridCol w:w="1050"/>
        <w:gridCol w:w="60"/>
        <w:gridCol w:w="60"/>
        <w:gridCol w:w="60"/>
        <w:gridCol w:w="1310"/>
        <w:gridCol w:w="275"/>
        <w:gridCol w:w="60"/>
        <w:gridCol w:w="129"/>
        <w:gridCol w:w="1211"/>
        <w:gridCol w:w="275"/>
        <w:gridCol w:w="60"/>
        <w:gridCol w:w="106"/>
        <w:gridCol w:w="994"/>
        <w:gridCol w:w="60"/>
        <w:gridCol w:w="60"/>
        <w:gridCol w:w="132"/>
        <w:gridCol w:w="1238"/>
        <w:gridCol w:w="60"/>
        <w:gridCol w:w="60"/>
        <w:gridCol w:w="209"/>
        <w:gridCol w:w="1116"/>
        <w:gridCol w:w="275"/>
        <w:gridCol w:w="60"/>
        <w:gridCol w:w="1145"/>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7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Jefferson Mill CLO Ltd, Series 2015-1A (3)(4)(9) </w:t>
              <w:br/>
              <w:t>151 W 42nd St 29th Floor, New York, NY 10036</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5/23/2022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+ 3.81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9.14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KKR CLO Ltd, 49A (3)(4)(9) </w:t>
              <w:br/>
              <w:t>30 Hudson Yards, New York, NY 10001</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+ 8.26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13.33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Madison Park CLO, Series 2018-28A (3)(4)(9) </w:t>
              <w:br/>
              <w:t>11 Madison Ave, New York, NY 10010</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6/28/2022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+ 5.51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10.82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Magnetite CLO Ltd, Series 2021-30A (3)(4)(9) </w:t>
              <w:br/>
              <w:t>50 Hudson Yards, New York, NY 10001</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6/13/2022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MidOcean Credit CLO Ltd, Series 2016-6A (3)(4)(9) </w:t>
              <w:br/>
              <w:t>320 Park Avenue Suite 1600 New York, NY 10022 USA</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($3,500 par, due 4/2033)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5/23/2022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+ 3.78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9.11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MidOcean Credit CLO Ltd, Series 2018-9A (3)(4)(9) </w:t>
              <w:br/>
              <w:t>320 Park Avenue Suite 1600 New York, NY 10022 USA</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($1,100 par, due 7/2031)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Octagon 57 LLC, Series 2021-1A (3)(4)(9) </w:t>
              <w:br/>
              <w:t>250 Park Ave, New York, NY 10177</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5/24/2022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Octagon Investment Partners 18 Ltd, Series 2018-18A (3)(4)(9) </w:t>
              <w:br/>
              <w:t>250 Park Ave, New York, NY 10177</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7/26/2022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+ 2.96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8.27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Octagon Investment Partners 38 Ltd, Series 2018-1A (3)(4)(9) </w:t>
              <w:br/>
              <w:t>250 Park Ave, New York, NY 10177</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($2,800 par, due 7/2030)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9/20/2022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+ 3.21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2,489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2,620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Park Avenue Institutional Advisers CLO Ltd, Series 2018-1A (3)(4)(9) </w:t>
              <w:br/>
              <w:t>7 Hanover Square, New York, NY 10004</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10/2031)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9/23/2022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+ 3.59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8.92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Pikes Peak CLO, Series 2021-9A (3)(4)(9) </w:t>
              <w:br/>
              <w:t>1114 6th Ave, New York, NY 10036</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($2,000 par, due 10/2034)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8/31/2022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+ 6.84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12.20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1,782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1,894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RR Ltd, Series 2020-8A (3)(4)(9) </w:t>
              <w:br/>
              <w:t>126 East 56th Street, New York, New York 10022</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4/2033)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8/22/2022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+ 6.66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980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080" w:type="dxa"/>
        <w:jc w:val="center"/>
        <w:tblInd w:w="0" w:type="dxa"/>
        <w:tblLayout w:type="fixed"/>
        <w:tblCellMar>
          <w:top w:w="0" w:type="dxa"/>
          <w:left w:w="0" w:type="dxa"/>
          <w:bottom w:w="0" w:type="dxa"/>
          <w:right w:w="0" w:type="dxa"/>
        </w:tblCellMar>
      </w:tblPr>
      <w:tblGrid>
        <w:gridCol w:w="950"/>
        <w:gridCol w:w="60"/>
        <w:gridCol w:w="740"/>
        <w:gridCol w:w="60"/>
        <w:gridCol w:w="125"/>
        <w:gridCol w:w="1050"/>
        <w:gridCol w:w="60"/>
        <w:gridCol w:w="60"/>
        <w:gridCol w:w="60"/>
        <w:gridCol w:w="1310"/>
        <w:gridCol w:w="275"/>
        <w:gridCol w:w="60"/>
        <w:gridCol w:w="129"/>
        <w:gridCol w:w="1211"/>
        <w:gridCol w:w="275"/>
        <w:gridCol w:w="60"/>
        <w:gridCol w:w="140"/>
        <w:gridCol w:w="980"/>
        <w:gridCol w:w="60"/>
        <w:gridCol w:w="60"/>
        <w:gridCol w:w="171"/>
        <w:gridCol w:w="1199"/>
        <w:gridCol w:w="60"/>
        <w:gridCol w:w="60"/>
        <w:gridCol w:w="128"/>
        <w:gridCol w:w="1197"/>
        <w:gridCol w:w="275"/>
        <w:gridCol w:w="60"/>
        <w:gridCol w:w="572"/>
        <w:gridCol w:w="573"/>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Company (1)(6)</w:t>
            </w:r>
          </w:p>
        </w:tc>
        <w:tc>
          <w:tcPr>
            <w:tcW w:w="60" w:type="dxa"/>
            <w:tcBorders/>
            <w:vAlign w:val="bottom"/>
          </w:tcPr>
          <w:p>
            <w:pPr>
              <w:pStyle w:val="TableContents"/>
              <w:bidi w:val="0"/>
              <w:spacing w:before="0" w:after="283"/>
              <w:jc w:val="left"/>
              <w:rPr/>
            </w:pPr>
            <w:r>
              <w:rPr/>
              <w:t> </w:t>
            </w:r>
          </w:p>
        </w:tc>
        <w:tc>
          <w:tcPr>
            <w:tcW w:w="7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Acquisition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Reference</w:t>
              <w:br/>
              <w:t>Rate and</w:t>
              <w:br/>
              <w:t>Spread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Net Assets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w:t>
              <w:br/>
              <w:t>Class Held</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Signal Peak CLO LLC, Series 2018-5A (3)(4)(9) </w:t>
              <w:br/>
              <w:t xml:space="preserve">280 Park Avenue, 40 West </w:t>
              <w:br/>
              <w:t>New York, NY 10017</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($333 par, due 4/2031)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8/9/2022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+ 5.91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Southwick Park CLO Ltd, Series 2019-4A (3)(4)(9) </w:t>
              <w:br/>
              <w:t>345 PARK AVENUE NEW YORK, NY 10154</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7/2032)</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5/25/2022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11.84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Stewart Park CLO Ltd, Series 2015-1A (3)(4)(9) </w:t>
              <w:br/>
              <w:t xml:space="preserve">345 PARK AVENUE </w:t>
              <w:br/>
              <w:t>NEW YORK NY 10154</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($1,000 par, due 1/2030)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7/25/2022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+ 2.86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Voya CLO Ltd, Series 2018-3A (3)(4)(9) </w:t>
              <w:br/>
              <w:t>230 Park Ave, United States</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($2,750 par, due 10/2031)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6/22/2022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+ 6.01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11.32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2,391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Wind River CLO Ltd, Series 2014-2A (3)(4)(9) </w:t>
              <w:br/>
              <w:t>1345 Avenue of the Americas. New York, NY 10105.</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($1,500 par, due 1/2031)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6/23/2022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+ 3.16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1,339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Wind River CLO Ltd, Series 2017-1A (3)(4)(9) </w:t>
              <w:br/>
              <w:t>1345 Avenue of the Americas. New York, NY 10105.</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($3,000 par, due 4/2036)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7/14/2022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SOFR + 3.98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9.29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2,721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Wind River CLO Ltd, Series 2018-3A (3)(4)(9) </w:t>
              <w:br/>
              <w:t>1345 Avenue of the Americas. New York, NY 10105.</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Structured Credit ($2,000 par, due 1/2031)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12/12/2022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SOFR + 5.91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11.24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1,705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52,718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53,995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3.6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Equity and Other Investments</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0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1310" w:type="dxa"/>
            <w:tcBorders/>
            <w:shd w:fill="CCEEFF" w:val="clear"/>
          </w:tcPr>
          <w:p>
            <w:pPr>
              <w:pStyle w:val="TableContents"/>
              <w:bidi w:val="0"/>
              <w:spacing w:before="0" w:after="283"/>
              <w:jc w:val="left"/>
              <w:rPr>
                <w:sz w:val="4"/>
                <w:szCs w:val="4"/>
              </w:rPr>
            </w:pPr>
            <w:r>
              <w:rPr>
                <w:sz w:val="4"/>
                <w:szCs w:val="4"/>
              </w:rPr>
            </w:r>
          </w:p>
        </w:tc>
        <w:tc>
          <w:tcPr>
            <w:tcW w:w="27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195,009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204,175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Investments</w:t>
            </w:r>
          </w:p>
        </w:tc>
        <w:tc>
          <w:tcPr>
            <w:tcW w:w="60"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0" w:after="283"/>
              <w:jc w:val="left"/>
              <w:rPr>
                <w:sz w:val="4"/>
                <w:szCs w:val="4"/>
              </w:rPr>
            </w:pPr>
            <w:r>
              <w:rPr>
                <w:sz w:val="4"/>
                <w:szCs w:val="4"/>
              </w:rPr>
            </w:r>
          </w:p>
        </w:tc>
        <w:tc>
          <w:tcPr>
            <w:tcW w:w="2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3,085,378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3,113,277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209.5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0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portfolio company investments are subject to contractual restrictions on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amortized cost represents the original cost adjusted for the amortization of discounts and premiums, as applicable, on debt investments using the effective interest method.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portfolio company is not a qualifying asset under Section 55(a) of the Investment Company Act of 1940, as amended (the 1940 Act). Under the 1940 Act, the Company may not acquire any non-qualifying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asset unless, at the time such acquisition is made, qualifying assets represent at least 70% of total assets. Non-qualifying assets represented 11.0% of total assets as of September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 </w:t>
            </w:r>
          </w:p>
        </w:tc>
      </w:tr>
    </w:tbl>
    <w:p>
      <w:pPr>
        <w:pStyle w:val="TextBody"/>
        <w:bidi w:val="0"/>
        <w:spacing w:before="0" w:after="0"/>
        <w:jc w:val="left"/>
        <w:rPr/>
      </w:pPr>
      <w:r>
        <w:rPr/>
        <w:t> </w:t>
      </w:r>
    </w:p>
    <w:tbl>
      <w:tblPr>
        <w:tblW w:w="12670" w:type="dxa"/>
        <w:jc w:val="center"/>
        <w:tblInd w:w="0" w:type="dxa"/>
        <w:tblLayout w:type="fixed"/>
        <w:tblCellMar>
          <w:top w:w="0" w:type="dxa"/>
          <w:left w:w="0" w:type="dxa"/>
          <w:bottom w:w="0" w:type="dxa"/>
          <w:right w:w="0" w:type="dxa"/>
        </w:tblCellMar>
      </w:tblPr>
      <w:tblGrid>
        <w:gridCol w:w="1025"/>
        <w:gridCol w:w="60"/>
        <w:gridCol w:w="241"/>
        <w:gridCol w:w="1174"/>
        <w:gridCol w:w="60"/>
        <w:gridCol w:w="60"/>
        <w:gridCol w:w="253"/>
        <w:gridCol w:w="1012"/>
        <w:gridCol w:w="60"/>
        <w:gridCol w:w="60"/>
        <w:gridCol w:w="715"/>
        <w:gridCol w:w="715"/>
        <w:gridCol w:w="60"/>
        <w:gridCol w:w="60"/>
        <w:gridCol w:w="221"/>
        <w:gridCol w:w="1194"/>
        <w:gridCol w:w="155"/>
        <w:gridCol w:w="60"/>
        <w:gridCol w:w="445"/>
        <w:gridCol w:w="445"/>
        <w:gridCol w:w="60"/>
        <w:gridCol w:w="60"/>
        <w:gridCol w:w="505"/>
        <w:gridCol w:w="505"/>
        <w:gridCol w:w="60"/>
        <w:gridCol w:w="60"/>
        <w:gridCol w:w="251"/>
        <w:gridCol w:w="1224"/>
        <w:gridCol w:w="60"/>
        <w:gridCol w:w="60"/>
        <w:gridCol w:w="385"/>
        <w:gridCol w:w="385"/>
        <w:gridCol w:w="60"/>
        <w:gridCol w:w="60"/>
        <w:gridCol w:w="160"/>
        <w:gridCol w:w="640"/>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center"/>
              <w:rPr>
                <w:b/>
              </w:rPr>
            </w:pPr>
            <w:r>
              <w:rPr>
                <w:b/>
              </w:rPr>
              <w:t>Company</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at</w:t>
              <w:br/>
              <w:t>December 31,</w:t>
              <w:b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Additions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Reductions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Change</w:t>
              <w:br/>
              <w:t>In Unrealized</w:t>
              <w:br/>
              <w:t>Gain/(Loss)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Realized</w:t>
              <w:br/>
              <w:t>Gain/</w:t>
              <w:br/>
              <w:t>(Loss)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Transfers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at</w:t>
              <w:br/>
              <w:t>September 30,</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w:t>
              <w:br/>
              <w:t>Income</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IRGSE Holding Corp.</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70,755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8,005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(17,783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w:t>
            </w:r>
          </w:p>
        </w:tc>
        <w:tc>
          <w:tcPr>
            <w:tcW w:w="4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w:t>
            </w:r>
          </w:p>
        </w:tc>
        <w:tc>
          <w:tcPr>
            <w:tcW w:w="5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60,977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5,599</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5" w:type="dxa"/>
            <w:tcBorders/>
            <w:vAlign w:val="bottom"/>
          </w:tcPr>
          <w:p>
            <w:pPr>
              <w:pStyle w:val="TableContents"/>
              <w:pBdr>
                <w:top w:val="single" w:sz="2" w:space="1" w:color="000000"/>
              </w:pBdr>
              <w:bidi w:val="0"/>
              <w:spacing w:before="0" w:after="0"/>
              <w:jc w:val="left"/>
              <w:rPr/>
            </w:pPr>
            <w:r>
              <w:rPr/>
              <w:t> </w:t>
            </w:r>
          </w:p>
        </w:tc>
        <w:tc>
          <w:tcPr>
            <w:tcW w:w="5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b/>
              </w:rPr>
            </w:pPr>
            <w:r>
              <w:rPr>
                <w:b/>
              </w:rPr>
              <w:t>$</w:t>
            </w:r>
          </w:p>
        </w:tc>
        <w:tc>
          <w:tcPr>
            <w:tcW w:w="1174" w:type="dxa"/>
            <w:tcBorders/>
            <w:vAlign w:val="bottom"/>
          </w:tcPr>
          <w:p>
            <w:pPr>
              <w:pStyle w:val="TableContents"/>
              <w:bidi w:val="0"/>
              <w:spacing w:before="0" w:after="283"/>
              <w:jc w:val="right"/>
              <w:rPr>
                <w:b/>
              </w:rPr>
            </w:pPr>
            <w:r>
              <w:rPr>
                <w:b/>
              </w:rPr>
              <w:t>70,755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b/>
              </w:rPr>
            </w:pPr>
            <w:r>
              <w:rPr>
                <w:b/>
              </w:rPr>
              <w:t>$</w:t>
            </w:r>
          </w:p>
        </w:tc>
        <w:tc>
          <w:tcPr>
            <w:tcW w:w="1012" w:type="dxa"/>
            <w:tcBorders/>
            <w:vAlign w:val="bottom"/>
          </w:tcPr>
          <w:p>
            <w:pPr>
              <w:pStyle w:val="TableContents"/>
              <w:bidi w:val="0"/>
              <w:spacing w:before="0" w:after="283"/>
              <w:jc w:val="right"/>
              <w:rPr>
                <w:b/>
              </w:rPr>
            </w:pPr>
            <w:r>
              <w:rPr>
                <w:b/>
              </w:rPr>
              <w:t>8,005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left"/>
              <w:rPr>
                <w:b/>
              </w:rPr>
            </w:pPr>
            <w:r>
              <w:rPr>
                <w:b/>
              </w:rPr>
              <w:t>$</w:t>
            </w:r>
          </w:p>
        </w:tc>
        <w:tc>
          <w:tcPr>
            <w:tcW w:w="71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b/>
              </w:rPr>
            </w:pPr>
            <w:r>
              <w:rPr>
                <w:b/>
              </w:rPr>
              <w:t>$</w:t>
            </w:r>
          </w:p>
        </w:tc>
        <w:tc>
          <w:tcPr>
            <w:tcW w:w="1194" w:type="dxa"/>
            <w:tcBorders/>
            <w:vAlign w:val="bottom"/>
          </w:tcPr>
          <w:p>
            <w:pPr>
              <w:pStyle w:val="TableContents"/>
              <w:bidi w:val="0"/>
              <w:spacing w:before="0" w:after="283"/>
              <w:jc w:val="right"/>
              <w:rPr>
                <w:b/>
              </w:rPr>
            </w:pPr>
            <w:r>
              <w:rPr>
                <w:b/>
              </w:rPr>
              <w:t>(17,783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b/>
              </w:rPr>
            </w:pPr>
            <w:r>
              <w:rPr>
                <w:b/>
              </w:rPr>
              <w:t>$</w:t>
            </w:r>
          </w:p>
        </w:tc>
        <w:tc>
          <w:tcPr>
            <w:tcW w:w="44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b/>
              </w:rPr>
            </w:pPr>
            <w:r>
              <w:rPr>
                <w:b/>
              </w:rPr>
              <w:t>$</w:t>
            </w:r>
          </w:p>
        </w:tc>
        <w:tc>
          <w:tcPr>
            <w:tcW w:w="50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b/>
              </w:rPr>
            </w:pPr>
            <w:r>
              <w:rPr>
                <w:b/>
              </w:rPr>
              <w:t>$</w:t>
            </w:r>
          </w:p>
        </w:tc>
        <w:tc>
          <w:tcPr>
            <w:tcW w:w="1224" w:type="dxa"/>
            <w:tcBorders/>
            <w:vAlign w:val="bottom"/>
          </w:tcPr>
          <w:p>
            <w:pPr>
              <w:pStyle w:val="TableContents"/>
              <w:bidi w:val="0"/>
              <w:spacing w:before="0" w:after="283"/>
              <w:jc w:val="right"/>
              <w:rPr>
                <w:b/>
              </w:rPr>
            </w:pPr>
            <w:r>
              <w:rPr>
                <w:b/>
              </w:rPr>
              <w:t>60,977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b/>
              </w:rPr>
            </w:pPr>
            <w:r>
              <w:rPr>
                <w:b/>
              </w:rPr>
              <w:t>$</w:t>
            </w:r>
          </w:p>
        </w:tc>
        <w:tc>
          <w:tcPr>
            <w:tcW w:w="385" w:type="dxa"/>
            <w:tcBorders/>
            <w:vAlign w:val="bottom"/>
          </w:tcPr>
          <w:p>
            <w:pPr>
              <w:pStyle w:val="TableContents"/>
              <w:bidi w:val="0"/>
              <w:spacing w:before="0" w:after="283"/>
              <w:jc w:val="right"/>
              <w:rPr>
                <w:b/>
              </w:rPr>
            </w:pPr>
            <w:r>
              <w:rPr>
                <w:b/>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5,599</w:t>
            </w:r>
          </w:p>
        </w:tc>
        <w:tc>
          <w:tcPr>
            <w:tcW w:w="60"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double" w:sz="6" w:space="1" w:color="000000"/>
              </w:pBdr>
              <w:bidi w:val="0"/>
              <w:spacing w:before="0" w:after="0"/>
              <w:jc w:val="left"/>
              <w:rPr/>
            </w:pPr>
            <w:r>
              <w:rPr/>
              <w:t> </w:t>
            </w:r>
          </w:p>
        </w:tc>
        <w:tc>
          <w:tcPr>
            <w:tcW w:w="4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5" w:type="dxa"/>
            <w:tcBorders/>
            <w:vAlign w:val="bottom"/>
          </w:tcPr>
          <w:p>
            <w:pPr>
              <w:pStyle w:val="TableContents"/>
              <w:pBdr>
                <w:top w:val="double" w:sz="6" w:space="1" w:color="000000"/>
              </w:pBdr>
              <w:bidi w:val="0"/>
              <w:spacing w:before="0" w:after="0"/>
              <w:jc w:val="left"/>
              <w:rPr/>
            </w:pPr>
            <w:r>
              <w:rPr/>
              <w:t> </w:t>
            </w:r>
          </w:p>
        </w:tc>
        <w:tc>
          <w:tcPr>
            <w:tcW w:w="5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additions include increases in the cost basis of investments resulting from new investments, payment-in-kind interest or dividends, the amortization of any unearned income or discounts on debt investments,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2023, the estimated cost basis of investments for U.S. federal tax purposes was $3,096,469, resulting in estimated gross unrealized gains and losses of $147,820 and $125,469,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Financial Accounting Standards Board Accounting Standards Codification Topic 820, </w:t>
            </w:r>
            <w:r>
              <w:rPr>
                <w:rFonts w:ascii="Times New Roman" w:hAnsi="Times New Roman"/>
                <w:i/>
                <w:sz w:val="20"/>
              </w:rPr>
              <w:t>Fair Value Measurements</w:t>
            </w:r>
            <w:r>
              <w:rPr>
                <w:rFonts w:ascii="Times New Roman" w:hAnsi="Times New Roman"/>
                <w:sz w:val="20"/>
              </w:rPr>
              <w:t xml:space="preserve"> (ASC Topic 820), unless otherwise indicated, the fair values of all investments were determined using significant unobservable inputs and are considered Level 3 investments. See Note 6 for further information related to investments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2 investment. See Note 6 for further information related to investments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1 investment. See Note 6 for further information related to investments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non-income producing.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equity investments may occur through a holding company or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is on non-accrual status as of September 30,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oc570824_11"/>
      <w:bookmarkEnd w:id="24"/>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our most recent definitive proxy statement and in our 2022 Annual Report, as well as subsequent filings with the SEC, which are incorporated by reference herein, for information relating to the management of the Company and for information relating to the Adviser. </w:t>
      </w:r>
    </w:p>
    <w:p>
      <w:pPr>
        <w:pStyle w:val="TextBody"/>
        <w:bidi w:val="0"/>
        <w:spacing w:before="360" w:after="0"/>
        <w:jc w:val="left"/>
        <w:rPr>
          <w:rFonts w:ascii="Times New Roman" w:hAnsi="Times New Roman"/>
          <w:b/>
          <w:sz w:val="20"/>
        </w:rPr>
      </w:pPr>
      <w:r>
        <w:rPr>
          <w:rFonts w:ascii="Times New Roman" w:hAnsi="Times New Roman"/>
          <w:b/>
          <w:sz w:val="20"/>
        </w:rPr>
        <w:t xml:space="preserve">Portfolio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portfolio manager does not receive any direct compensation from us for serving is such capacity.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dollar range of shares of common stock beneficially owned by our portfolio manager as of December 20,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67"/>
        <w:gridCol w:w="306"/>
        <w:gridCol w:w="75"/>
        <w:gridCol w:w="1928"/>
        <w:gridCol w:w="63"/>
      </w:tblGrid>
      <w:tr>
        <w:trPr/>
        <w:tc>
          <w:tcPr>
            <w:tcW w:w="456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67" w:type="dxa"/>
            <w:tcBorders/>
            <w:vAlign w:val="bottom"/>
          </w:tcPr>
          <w:p>
            <w:pPr>
              <w:pStyle w:val="TableContents"/>
              <w:bidi w:val="0"/>
              <w:spacing w:before="0" w:after="283"/>
              <w:jc w:val="left"/>
              <w:rPr>
                <w:b/>
              </w:rPr>
            </w:pPr>
            <w:r>
              <w:rPr>
                <w:b/>
              </w:rPr>
              <w:t>Name of Portfolio Manager</w:t>
            </w:r>
          </w:p>
        </w:tc>
        <w:tc>
          <w:tcPr>
            <w:tcW w:w="306" w:type="dxa"/>
            <w:tcBorders/>
            <w:vAlign w:val="bottom"/>
          </w:tcPr>
          <w:p>
            <w:pPr>
              <w:pStyle w:val="TableContents"/>
              <w:bidi w:val="0"/>
              <w:spacing w:before="0" w:after="283"/>
              <w:jc w:val="left"/>
              <w:rPr/>
            </w:pPr>
            <w:r>
              <w:rPr/>
              <w:t>  </w:t>
            </w:r>
          </w:p>
        </w:tc>
        <w:tc>
          <w:tcPr>
            <w:tcW w:w="20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Range of</w:t>
              <w:br/>
              <w:t>Equity Securities in</w:t>
              <w:br/>
              <w:t>the Company</w:t>
            </w:r>
          </w:p>
        </w:tc>
        <w:tc>
          <w:tcPr>
            <w:tcW w:w="63" w:type="dxa"/>
            <w:tcBorders/>
            <w:vAlign w:val="bottom"/>
          </w:tcPr>
          <w:p>
            <w:pPr>
              <w:pStyle w:val="TableContents"/>
              <w:bidi w:val="0"/>
              <w:spacing w:before="0" w:after="283"/>
              <w:jc w:val="left"/>
              <w:rPr/>
            </w:pPr>
            <w:r>
              <w:rPr/>
              <w:t> </w:t>
            </w:r>
          </w:p>
        </w:tc>
      </w:tr>
      <w:tr>
        <w:trPr/>
        <w:tc>
          <w:tcPr>
            <w:tcW w:w="4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30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right"/>
              <w:rPr/>
            </w:pPr>
            <w:r>
              <w:rPr/>
              <w:t>Over 1,000,000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Accounts Managed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Joshua Easterly managed, or was a member of the management team for, the following client accounts: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60"/>
        <w:gridCol w:w="167"/>
        <w:gridCol w:w="154"/>
        <w:gridCol w:w="978"/>
        <w:gridCol w:w="60"/>
        <w:gridCol w:w="167"/>
        <w:gridCol w:w="140"/>
        <w:gridCol w:w="1251"/>
        <w:gridCol w:w="60"/>
        <w:gridCol w:w="167"/>
        <w:gridCol w:w="241"/>
        <w:gridCol w:w="1544"/>
        <w:gridCol w:w="60"/>
        <w:gridCol w:w="167"/>
        <w:gridCol w:w="181"/>
        <w:gridCol w:w="1626"/>
        <w:gridCol w:w="65"/>
      </w:tblGrid>
      <w:tr>
        <w:trPr/>
        <w:tc>
          <w:tcPr>
            <w:tcW w:w="23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 of</w:t>
              <w:br/>
              <w:t>Accounts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br/>
              <w:t>Subject to a</w:t>
              <w:br/>
              <w:t>Performance Fee</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w:t>
              <w:br/>
              <w:t>Subject to a</w:t>
              <w:br/>
              <w:t>Performance Fee</w:t>
            </w:r>
          </w:p>
        </w:tc>
        <w:tc>
          <w:tcPr>
            <w:tcW w:w="65" w:type="dxa"/>
            <w:tcBorders/>
            <w:vAlign w:val="bottom"/>
          </w:tcPr>
          <w:p>
            <w:pPr>
              <w:pStyle w:val="TableContents"/>
              <w:bidi w:val="0"/>
              <w:spacing w:before="0" w:after="283"/>
              <w:jc w:val="left"/>
              <w:rPr/>
            </w:pPr>
            <w:r>
              <w:rPr/>
              <w:t> </w:t>
            </w:r>
          </w:p>
        </w:tc>
      </w:tr>
      <w:tr>
        <w:trPr/>
        <w:tc>
          <w:tcPr>
            <w:tcW w:w="2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1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360" w:type="dxa"/>
            <w:tcBorders/>
          </w:tcPr>
          <w:p>
            <w:pPr>
              <w:pStyle w:val="TableContents"/>
              <w:bidi w:val="0"/>
              <w:spacing w:before="0" w:after="0"/>
              <w:jc w:val="left"/>
              <w:rPr>
                <w:rFonts w:ascii="Times New Roman" w:hAnsi="Times New Roman"/>
                <w:sz w:val="20"/>
              </w:rPr>
            </w:pPr>
            <w:r>
              <w:rPr>
                <w:rFonts w:ascii="Times New Roman" w:hAnsi="Times New Roman"/>
                <w:sz w:val="20"/>
              </w:rPr>
              <w:t>Pooled Investment Vehicles Other Than Registered Investment Companies(1)</w:t>
            </w:r>
          </w:p>
        </w:tc>
        <w:tc>
          <w:tcPr>
            <w:tcW w:w="1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64.47 billion</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626" w:type="dxa"/>
            <w:tcBorders/>
            <w:vAlign w:val="bottom"/>
          </w:tcPr>
          <w:p>
            <w:pPr>
              <w:pStyle w:val="TableContents"/>
              <w:bidi w:val="0"/>
              <w:spacing w:before="0" w:after="283"/>
              <w:jc w:val="right"/>
              <w:rPr/>
            </w:pPr>
            <w:r>
              <w:rPr/>
              <w:t>61.93 billion</w:t>
            </w:r>
          </w:p>
        </w:tc>
        <w:tc>
          <w:tcPr>
            <w:tcW w:w="65" w:type="dxa"/>
            <w:tcBorders/>
            <w:vAlign w:val="bottom"/>
          </w:tcPr>
          <w:p>
            <w:pPr>
              <w:pStyle w:val="TableContents"/>
              <w:bidi w:val="0"/>
              <w:spacing w:before="0" w:after="283"/>
              <w:jc w:val="left"/>
              <w:rPr/>
            </w:pPr>
            <w:r>
              <w:rPr/>
              <w:t> </w:t>
            </w:r>
          </w:p>
        </w:tc>
      </w:tr>
      <w:tr>
        <w:trPr/>
        <w:tc>
          <w:tcPr>
            <w:tcW w:w="2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1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3.79 billion</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626" w:type="dxa"/>
            <w:tcBorders/>
            <w:shd w:fill="CCEEFF" w:val="clear"/>
            <w:vAlign w:val="bottom"/>
          </w:tcPr>
          <w:p>
            <w:pPr>
              <w:pStyle w:val="TableContents"/>
              <w:bidi w:val="0"/>
              <w:spacing w:before="0" w:after="283"/>
              <w:jc w:val="right"/>
              <w:rPr/>
            </w:pPr>
            <w:r>
              <w:rPr/>
              <w:t>2.82 billion</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management investment companies that have elected to be regulated as business development companies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oc570824_12"/>
      <w:bookmarkEnd w:id="25"/>
      <w:r>
        <w:rPr>
          <w:rFonts w:ascii="Times New Roman" w:hAnsi="Times New Roman"/>
          <w:b/>
          <w:sz w:val="20"/>
        </w:rPr>
        <w:t xml:space="preserve">DETERMINATION OF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Determinations in Connection with Offerings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asset value of our common stock disclosed in the most recent periodic report that we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processes and procedures are part of our compliance policies and procedures. Records will be made contemporaneously with all determinations described in this section and these records will be maintained with other records that we are required to maintain under the 1940 Act. </w:t>
      </w:r>
    </w:p>
    <w:p>
      <w:pPr>
        <w:pStyle w:val="TextBody"/>
        <w:bidi w:val="0"/>
        <w:spacing w:before="480" w:after="0"/>
        <w:jc w:val="center"/>
        <w:rPr>
          <w:rFonts w:ascii="Times New Roman" w:hAnsi="Times New Roman"/>
          <w:b/>
          <w:sz w:val="20"/>
        </w:rPr>
      </w:pPr>
      <w:bookmarkStart w:id="26" w:name="toc570824_13"/>
      <w:bookmarkEnd w:id="26"/>
      <w:r>
        <w:rPr>
          <w:rFonts w:ascii="Times New Roman" w:hAnsi="Times New Roman"/>
          <w:b/>
          <w:sz w:val="20"/>
        </w:rPr>
        <w:t xml:space="preserve">SALES OF COMMON STOCK BELOW NET ASSET VALUE </w:t>
      </w:r>
    </w:p>
    <w:p>
      <w:pPr>
        <w:pStyle w:val="TextBody"/>
        <w:bidi w:val="0"/>
        <w:spacing w:before="120" w:after="0"/>
        <w:jc w:val="left"/>
        <w:rPr>
          <w:rFonts w:ascii="Times New Roman" w:hAnsi="Times New Roman"/>
          <w:sz w:val="20"/>
        </w:rPr>
      </w:pPr>
      <w:r>
        <w:rPr>
          <w:rFonts w:ascii="Times New Roman" w:hAnsi="Times New Roman"/>
          <w:sz w:val="20"/>
        </w:rPr>
        <w:t xml:space="preserve">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2026. We intend to propose the extension of this approval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our directors have determined that any such sale would be in the best interests of us and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issuance of such common stock, that the price at which such shares of common stock are to be sold is not less than a price which closely approximates the market value of those shares of common stock, less any distributing commission or discount;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to be issued does not exceed 25% of our then-outstanding common stock immediately prior to each such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There is no limit on the percentage below net asset value per share at which shares may be sold by us or the number of offerings, each for up to 25% of our then-outstanding common stock, that we may conduct under the approval for the one-year period that authorization is granted. </w:t>
      </w:r>
    </w:p>
    <w:p>
      <w:pPr>
        <w:pStyle w:val="TextBody"/>
        <w:bidi w:val="0"/>
        <w:spacing w:before="240" w:after="0"/>
        <w:jc w:val="left"/>
        <w:rPr>
          <w:rFonts w:ascii="Times New Roman" w:hAnsi="Times New Roman"/>
          <w:sz w:val="20"/>
        </w:rPr>
      </w:pPr>
      <w:r>
        <w:rPr>
          <w:rFonts w:ascii="Times New Roman" w:hAnsi="Times New Roman"/>
          <w:sz w:val="20"/>
        </w:rPr>
        <w:t xml:space="preserve">In making a determination that an offering of common stock at a price below its net asset value per share pursuant to the approval is in our and our stockholders best interests, our Board will consider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that an offering at a price below net asset value per share would have on our stockholders, including the potential dilution to the net asset value per share of our common stock our stockholders would experience as a result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per share by which the offering price per share and the net proceeds per share are less than our most recently determined net asset value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relationship of recent market prices of our common stock to net asset value per share and the potential impact of the offering on the market price per share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estimated offering price would closely approximate the market value of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market impact of being able to raise capital during the current financial market difficulties;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new investors anticipated to acquire shares of our common stock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rate of return on and quality, type and availability of investments;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leverage available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11.07 million shares of common stock at net proceeds to us of $8.50 per share, which would produce dilution of 6.67%, before we would reach the aggregate 15% limit. </w:t>
      </w:r>
    </w:p>
    <w:p>
      <w:pPr>
        <w:pStyle w:val="TextBody"/>
        <w:bidi w:val="0"/>
        <w:spacing w:before="240" w:after="0"/>
        <w:jc w:val="left"/>
        <w:rPr>
          <w:rFonts w:ascii="Times New Roman" w:hAnsi="Times New Roman"/>
          <w:sz w:val="20"/>
        </w:rPr>
      </w:pPr>
      <w:r>
        <w:rPr>
          <w:rFonts w:ascii="Times New Roman" w:hAnsi="Times New Roman"/>
          <w:sz w:val="20"/>
        </w:rPr>
        <w:t xml:space="preserve">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Examples of Dilutive Effect of the Issuance of Shares Below net asset value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two headings and accompanying tables explain and provide hypothetical examples on the impact of a public offering of the Companys common stock at a price less than net asset value on two different types of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placement of common stock at a price less than net asset value to a third party in a private placement would have an impact substantially similar to the impact on existing stockholders who do not purchase any shares in the public offering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Impact on Existing Stockholders Who Do Not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 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discounted offering is made will include a chart based on the actual number of shares of common stock in such offering and the actual discount to the most recently determined net asset value. It is not possible to predict the level of market price decline that may occur. </w:t>
      </w:r>
    </w:p>
    <w:p>
      <w:pPr>
        <w:pStyle w:val="TextBody"/>
        <w:bidi w:val="0"/>
        <w:spacing w:before="0" w:after="0"/>
        <w:jc w:val="left"/>
        <w:rPr/>
      </w:pPr>
      <w:r>
        <w:rPr/>
        <w:t> </w:t>
      </w:r>
    </w:p>
    <w:tbl>
      <w:tblPr>
        <w:tblW w:w="14160" w:type="dxa"/>
        <w:jc w:val="center"/>
        <w:tblInd w:w="0" w:type="dxa"/>
        <w:tblLayout w:type="fixed"/>
        <w:tblCellMar>
          <w:top w:w="0" w:type="dxa"/>
          <w:left w:w="0" w:type="dxa"/>
          <w:bottom w:w="0" w:type="dxa"/>
          <w:right w:w="0" w:type="dxa"/>
        </w:tblCellMar>
      </w:tblPr>
      <w:tblGrid>
        <w:gridCol w:w="1265"/>
        <w:gridCol w:w="60"/>
        <w:gridCol w:w="140"/>
        <w:gridCol w:w="1100"/>
        <w:gridCol w:w="275"/>
        <w:gridCol w:w="60"/>
        <w:gridCol w:w="140"/>
        <w:gridCol w:w="1100"/>
        <w:gridCol w:w="275"/>
        <w:gridCol w:w="60"/>
        <w:gridCol w:w="85"/>
        <w:gridCol w:w="730"/>
        <w:gridCol w:w="350"/>
        <w:gridCol w:w="60"/>
        <w:gridCol w:w="140"/>
        <w:gridCol w:w="1100"/>
        <w:gridCol w:w="275"/>
        <w:gridCol w:w="60"/>
        <w:gridCol w:w="85"/>
        <w:gridCol w:w="730"/>
        <w:gridCol w:w="350"/>
        <w:gridCol w:w="60"/>
        <w:gridCol w:w="140"/>
        <w:gridCol w:w="1100"/>
        <w:gridCol w:w="275"/>
        <w:gridCol w:w="60"/>
        <w:gridCol w:w="70"/>
        <w:gridCol w:w="745"/>
        <w:gridCol w:w="350"/>
        <w:gridCol w:w="60"/>
        <w:gridCol w:w="140"/>
        <w:gridCol w:w="1220"/>
        <w:gridCol w:w="275"/>
        <w:gridCol w:w="60"/>
        <w:gridCol w:w="70"/>
        <w:gridCol w:w="745"/>
        <w:gridCol w:w="35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Prior to</w:t>
              <w:br/>
              <w:t>Sale Below</w:t>
              <w:br/>
              <w:t>net asset</w:t>
              <w:br/>
              <w:t>value</w:t>
            </w:r>
          </w:p>
        </w:tc>
        <w:tc>
          <w:tcPr>
            <w:tcW w:w="27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4</w:t>
            </w:r>
          </w:p>
        </w:tc>
        <w:tc>
          <w:tcPr>
            <w:tcW w:w="35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24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 Offering at</w:t>
              <w:br/>
              <w:t>5% 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10% Offering at</w:t>
              <w:br/>
              <w:t>10% 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 Offering at</w:t>
              <w:br/>
              <w:t>20% 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25% Offering at</w:t>
              <w:br/>
              <w:t>25% Discount</w:t>
            </w:r>
          </w:p>
        </w:tc>
        <w:tc>
          <w:tcPr>
            <w:tcW w:w="35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24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Offering Price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16"/>
              </w:rPr>
            </w:pPr>
            <w:r>
              <w:rPr>
                <w:rFonts w:ascii="Times New Roman" w:hAnsi="Times New Roman"/>
                <w:sz w:val="16"/>
              </w:rPr>
              <w:t>Price per Share to Public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16.48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15.61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13.01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2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Proceeds per Share to Issuer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15.66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14.83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b/>
                <w:sz w:val="16"/>
              </w:rPr>
            </w:pPr>
            <w:r>
              <w:rPr>
                <w:rFonts w:ascii="Times New Roman" w:hAnsi="Times New Roman"/>
                <w:b/>
                <w:sz w:val="16"/>
              </w:rPr>
              <w:t>Decrease/Increase to Net Asset Value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2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Shares Offered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4,069,464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8,138,929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16,277,857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20,347,322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16"/>
              </w:rPr>
            </w:pPr>
            <w:r>
              <w:rPr>
                <w:rFonts w:ascii="Times New Roman" w:hAnsi="Times New Roman"/>
                <w:sz w:val="16"/>
              </w:rPr>
              <w:t>Total Shares Outstanding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81,389,287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85,458,751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89,528,216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97,667,144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101,736,609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2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Asset Value per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(0.89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15.93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(3.32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15.66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(4.98</w:t>
            </w:r>
          </w:p>
        </w:tc>
        <w:tc>
          <w:tcPr>
            <w:tcW w:w="35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b/>
                <w:sz w:val="16"/>
              </w:rPr>
            </w:pPr>
            <w:r>
              <w:rPr>
                <w:rFonts w:ascii="Times New Roman" w:hAnsi="Times New Roman"/>
                <w:b/>
                <w:sz w:val="16"/>
              </w:rPr>
              <w:t>Dilution to Nonparticipating Stockholder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2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Shares Held by Stockholder 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81,389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16"/>
              </w:rPr>
            </w:pPr>
            <w:r>
              <w:rPr>
                <w:rFonts w:ascii="Times New Roman" w:hAnsi="Times New Roman"/>
                <w:sz w:val="16"/>
              </w:rPr>
              <w:t>Percentage Held by Stockholder 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(4.76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(9.09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(16.67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(20.00</w:t>
            </w:r>
          </w:p>
        </w:tc>
        <w:tc>
          <w:tcPr>
            <w:tcW w:w="35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Net Asset Value Held by Stockholder 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1,341,570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1,338,359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1,329,347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(0.91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1,296,810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(3.34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1,274,446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(5.00</w:t>
            </w:r>
          </w:p>
        </w:tc>
        <w:tc>
          <w:tcPr>
            <w:tcW w:w="35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16"/>
              </w:rPr>
            </w:pPr>
            <w:r>
              <w:rPr>
                <w:rFonts w:ascii="Times New Roman" w:hAnsi="Times New Roman"/>
                <w:sz w:val="16"/>
              </w:rPr>
              <w:t>Total Investment by Stockholder A (Assumed to be $16.48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1,341,570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1,341,570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1,341,570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1,341,570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1,341,570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2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Dilution to Stockholder A (Total Net Asset Value Less Total Investment)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(3,211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(12,223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(44,760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(67,124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16"/>
              </w:rPr>
            </w:pPr>
            <w:r>
              <w:rPr>
                <w:rFonts w:ascii="Times New Roman" w:hAnsi="Times New Roman"/>
                <w:sz w:val="16"/>
              </w:rPr>
              <w:t>Investment per Share Held by Stockholder A (Assumed to be $16.48 per Share on Shares Held Prior to Sale)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16.48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16.48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16.48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16.48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16.48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Asset Value per Share Held by Stockholder 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15.93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15.66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265" w:type="dxa"/>
            <w:tcBorders/>
          </w:tcPr>
          <w:p>
            <w:pPr>
              <w:pStyle w:val="TableContents"/>
              <w:bidi w:val="0"/>
              <w:spacing w:before="0" w:after="0"/>
              <w:jc w:val="left"/>
              <w:rPr>
                <w:rFonts w:ascii="Times New Roman" w:hAnsi="Times New Roman"/>
                <w:sz w:val="16"/>
              </w:rPr>
            </w:pPr>
            <w:r>
              <w:rPr>
                <w:rFonts w:ascii="Times New Roman" w:hAnsi="Times New Roman"/>
                <w:sz w:val="16"/>
              </w:rPr>
              <w:t>Dilution per Share Held by Stockholder A (Net Asset Value per Share Less Investment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(0.55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26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Percentage Dilution to Stockholder A (Dilution per Share Divided by Investment per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(0.89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(3.32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(4.98</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Impact on Existing Stockholders Who Do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3"/>
        <w:gridCol w:w="212"/>
        <w:gridCol w:w="140"/>
        <w:gridCol w:w="1121"/>
        <w:gridCol w:w="280"/>
        <w:gridCol w:w="156"/>
        <w:gridCol w:w="140"/>
        <w:gridCol w:w="1121"/>
        <w:gridCol w:w="280"/>
        <w:gridCol w:w="156"/>
        <w:gridCol w:w="78"/>
        <w:gridCol w:w="759"/>
        <w:gridCol w:w="350"/>
        <w:gridCol w:w="155"/>
        <w:gridCol w:w="140"/>
        <w:gridCol w:w="1121"/>
        <w:gridCol w:w="280"/>
        <w:gridCol w:w="156"/>
        <w:gridCol w:w="78"/>
        <w:gridCol w:w="759"/>
        <w:gridCol w:w="360"/>
      </w:tblGrid>
      <w:tr>
        <w:trPr/>
        <w:tc>
          <w:tcPr>
            <w:tcW w:w="2363"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363" w:type="dxa"/>
            <w:tcBorders/>
            <w:vAlign w:val="bottom"/>
          </w:tcPr>
          <w:p>
            <w:pPr>
              <w:pStyle w:val="TableContents"/>
              <w:bidi w:val="0"/>
              <w:spacing w:before="0" w:after="283"/>
              <w:jc w:val="left"/>
              <w:rPr/>
            </w:pPr>
            <w:r>
              <w:rPr/>
              <w:t> </w:t>
            </w:r>
          </w:p>
        </w:tc>
        <w:tc>
          <w:tcPr>
            <w:tcW w:w="212" w:type="dxa"/>
            <w:vMerge w:val="restart"/>
            <w:tcBorders/>
            <w:vAlign w:val="bottom"/>
          </w:tcPr>
          <w:p>
            <w:pPr>
              <w:pStyle w:val="TableContents"/>
              <w:bidi w:val="0"/>
              <w:spacing w:before="0" w:after="283"/>
              <w:jc w:val="left"/>
              <w:rPr/>
            </w:pPr>
            <w:r>
              <w:rPr/>
              <w:t>  </w:t>
            </w:r>
          </w:p>
        </w:tc>
        <w:tc>
          <w:tcPr>
            <w:tcW w:w="126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Prior to Sale</w:t>
              <w:br/>
              <w:t>Below net</w:t>
              <w:br/>
              <w:t>asset value</w:t>
            </w:r>
          </w:p>
        </w:tc>
        <w:tc>
          <w:tcPr>
            <w:tcW w:w="280" w:type="dxa"/>
            <w:vMerge w:val="restart"/>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5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50% Participation</w:t>
            </w:r>
          </w:p>
        </w:tc>
        <w:tc>
          <w:tcPr>
            <w:tcW w:w="3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5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150% Participation</w:t>
            </w:r>
          </w:p>
        </w:tc>
        <w:tc>
          <w:tcPr>
            <w:tcW w:w="360" w:type="dxa"/>
            <w:tcBorders/>
            <w:vAlign w:val="bottom"/>
          </w:tcPr>
          <w:p>
            <w:pPr>
              <w:pStyle w:val="TableContents"/>
              <w:bidi w:val="0"/>
              <w:spacing w:before="0" w:after="283"/>
              <w:jc w:val="left"/>
              <w:rPr/>
            </w:pPr>
            <w:r>
              <w:rPr/>
              <w:t> </w:t>
            </w:r>
          </w:p>
        </w:tc>
      </w:tr>
      <w:tr>
        <w:trPr/>
        <w:tc>
          <w:tcPr>
            <w:tcW w:w="2363" w:type="dxa"/>
            <w:tcBorders/>
            <w:vAlign w:val="bottom"/>
          </w:tcPr>
          <w:p>
            <w:pPr>
              <w:pStyle w:val="TableContents"/>
              <w:bidi w:val="0"/>
              <w:spacing w:before="0" w:after="283"/>
              <w:jc w:val="left"/>
              <w:rPr/>
            </w:pPr>
            <w:r>
              <w:rPr/>
              <w:t> </w:t>
            </w:r>
          </w:p>
        </w:tc>
        <w:tc>
          <w:tcPr>
            <w:tcW w:w="212" w:type="dxa"/>
            <w:vMerge w:val="continue"/>
            <w:tcBorders/>
            <w:vAlign w:val="bottom"/>
          </w:tcPr>
          <w:p>
            <w:pPr>
              <w:pStyle w:val="Normal"/>
              <w:bidi w:val="0"/>
              <w:jc w:val="left"/>
              <w:rPr/>
            </w:pPr>
            <w:r>
              <w:rPr/>
            </w:r>
          </w:p>
        </w:tc>
        <w:tc>
          <w:tcPr>
            <w:tcW w:w="1261" w:type="dxa"/>
            <w:gridSpan w:val="2"/>
            <w:vMerge w:val="continue"/>
            <w:tcBorders>
              <w:bottom w:val="single" w:sz="8" w:space="0" w:color="000000"/>
            </w:tcBorders>
            <w:tcMar>
              <w:bottom w:w="28" w:type="dxa"/>
            </w:tcMar>
            <w:vAlign w:val="bottom"/>
          </w:tcPr>
          <w:p>
            <w:pPr>
              <w:pStyle w:val="Normal"/>
              <w:bidi w:val="0"/>
              <w:jc w:val="left"/>
              <w:rPr/>
            </w:pPr>
            <w:r>
              <w:rPr/>
            </w:r>
          </w:p>
        </w:tc>
        <w:tc>
          <w:tcPr>
            <w:tcW w:w="280" w:type="dxa"/>
            <w:vMerge w:val="continue"/>
            <w:tcBorders/>
            <w:vAlign w:val="bottom"/>
          </w:tcPr>
          <w:p>
            <w:pPr>
              <w:pStyle w:val="Normal"/>
              <w:bidi w:val="0"/>
              <w:jc w:val="left"/>
              <w:rPr/>
            </w:pPr>
            <w:r>
              <w:rPr/>
            </w:r>
          </w:p>
        </w:tc>
        <w:tc>
          <w:tcPr>
            <w:tcW w:w="156"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60" w:type="dxa"/>
            <w:tcBorders/>
            <w:vAlign w:val="bottom"/>
          </w:tcPr>
          <w:p>
            <w:pPr>
              <w:pStyle w:val="TableContents"/>
              <w:bidi w:val="0"/>
              <w:spacing w:before="0" w:after="283"/>
              <w:jc w:val="left"/>
              <w:rPr/>
            </w:pPr>
            <w:r>
              <w:rPr/>
              <w:t> </w:t>
            </w:r>
          </w:p>
        </w:tc>
      </w:tr>
      <w:tr>
        <w:trPr/>
        <w:tc>
          <w:tcPr>
            <w:tcW w:w="23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Offering Price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0"/>
              <w:jc w:val="left"/>
              <w:rPr>
                <w:rFonts w:ascii="Times New Roman" w:hAnsi="Times New Roman"/>
                <w:sz w:val="20"/>
              </w:rPr>
            </w:pPr>
            <w:r>
              <w:rPr>
                <w:rFonts w:ascii="Times New Roman" w:hAnsi="Times New Roman"/>
                <w:sz w:val="20"/>
              </w:rPr>
              <w:t>Price per Share to Public</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13.88</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13.88</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Proceeds per Share to Issuer</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13.18</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13.18</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0"/>
              <w:jc w:val="left"/>
              <w:rPr>
                <w:rFonts w:ascii="Times New Roman" w:hAnsi="Times New Roman"/>
                <w:b/>
                <w:sz w:val="20"/>
              </w:rPr>
            </w:pPr>
            <w:r>
              <w:rPr>
                <w:rFonts w:ascii="Times New Roman" w:hAnsi="Times New Roman"/>
                <w:b/>
                <w:sz w:val="20"/>
              </w:rPr>
              <w:t>Decrease/Increase to Net Asset Value</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Offered</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15,154,308</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15,154,308</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0"/>
              <w:jc w:val="left"/>
              <w:rPr>
                <w:rFonts w:ascii="Times New Roman" w:hAnsi="Times New Roman"/>
                <w:sz w:val="20"/>
              </w:rPr>
            </w:pPr>
            <w:r>
              <w:rPr>
                <w:rFonts w:ascii="Times New Roman" w:hAnsi="Times New Roman"/>
                <w:sz w:val="20"/>
              </w:rPr>
              <w:t>Total Shares Outstanding</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81,389,287</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97,667,144</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20.00</w:t>
            </w:r>
          </w:p>
        </w:tc>
        <w:tc>
          <w:tcPr>
            <w:tcW w:w="3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97,667,144</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20.00</w:t>
            </w:r>
          </w:p>
        </w:tc>
        <w:tc>
          <w:tcPr>
            <w:tcW w:w="360" w:type="dxa"/>
            <w:tcBorders/>
            <w:vAlign w:val="bottom"/>
          </w:tcPr>
          <w:p>
            <w:pPr>
              <w:pStyle w:val="TableContents"/>
              <w:bidi w:val="0"/>
              <w:spacing w:before="0" w:after="283"/>
              <w:jc w:val="left"/>
              <w:rPr/>
            </w:pPr>
            <w:r>
              <w:rPr/>
              <w:t>% </w:t>
            </w:r>
          </w:p>
        </w:tc>
      </w:tr>
      <w:tr>
        <w:trPr/>
        <w:tc>
          <w:tcPr>
            <w:tcW w:w="2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per Share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16.48</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15.93</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(3.32</w:t>
            </w:r>
          </w:p>
        </w:tc>
        <w:tc>
          <w:tcPr>
            <w:tcW w:w="35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15.93</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(3.32</w:t>
            </w:r>
          </w:p>
        </w:tc>
        <w:tc>
          <w:tcPr>
            <w:tcW w:w="360" w:type="dxa"/>
            <w:tcBorders/>
            <w:shd w:fill="CCEEFF" w:val="clear"/>
            <w:vAlign w:val="bottom"/>
          </w:tcPr>
          <w:p>
            <w:pPr>
              <w:pStyle w:val="TableContents"/>
              <w:bidi w:val="0"/>
              <w:spacing w:before="0" w:after="283"/>
              <w:jc w:val="left"/>
              <w:rPr/>
            </w:pPr>
            <w:r>
              <w:rPr/>
              <w:t>)% </w:t>
            </w:r>
          </w:p>
        </w:tc>
      </w:tr>
      <w:tr>
        <w:trPr/>
        <w:tc>
          <w:tcPr>
            <w:tcW w:w="2363" w:type="dxa"/>
            <w:tcBorders/>
          </w:tcPr>
          <w:p>
            <w:pPr>
              <w:pStyle w:val="TableContents"/>
              <w:bidi w:val="0"/>
              <w:spacing w:before="0" w:after="0"/>
              <w:jc w:val="left"/>
              <w:rPr>
                <w:rFonts w:ascii="Times New Roman" w:hAnsi="Times New Roman"/>
                <w:b/>
                <w:sz w:val="20"/>
              </w:rPr>
            </w:pPr>
            <w:r>
              <w:rPr>
                <w:rFonts w:ascii="Times New Roman" w:hAnsi="Times New Roman"/>
                <w:b/>
                <w:sz w:val="20"/>
              </w:rPr>
              <w:t>Dilution/Accretion to Participating Stockholder Shares Held by Stockholder A</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Held by Stockholder A</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81,389</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89,528</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10.00</w:t>
            </w:r>
          </w:p>
        </w:tc>
        <w:tc>
          <w:tcPr>
            <w:tcW w:w="35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105,806</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30.00</w:t>
            </w:r>
          </w:p>
        </w:tc>
        <w:tc>
          <w:tcPr>
            <w:tcW w:w="360" w:type="dxa"/>
            <w:tcBorders/>
            <w:shd w:fill="CCEEFF" w:val="clear"/>
            <w:vAlign w:val="bottom"/>
          </w:tcPr>
          <w:p>
            <w:pPr>
              <w:pStyle w:val="TableContents"/>
              <w:bidi w:val="0"/>
              <w:spacing w:before="0" w:after="283"/>
              <w:jc w:val="left"/>
              <w:rPr/>
            </w:pPr>
            <w:r>
              <w:rPr/>
              <w:t>% </w:t>
            </w:r>
          </w:p>
        </w:tc>
      </w:tr>
      <w:tr>
        <w:trPr/>
        <w:tc>
          <w:tcPr>
            <w:tcW w:w="2363" w:type="dxa"/>
            <w:tcBorders/>
          </w:tcPr>
          <w:p>
            <w:pPr>
              <w:pStyle w:val="TableContents"/>
              <w:bidi w:val="0"/>
              <w:spacing w:before="0" w:after="0"/>
              <w:jc w:val="left"/>
              <w:rPr>
                <w:rFonts w:ascii="Times New Roman" w:hAnsi="Times New Roman"/>
                <w:sz w:val="20"/>
              </w:rPr>
            </w:pPr>
            <w:r>
              <w:rPr>
                <w:rFonts w:ascii="Times New Roman" w:hAnsi="Times New Roman"/>
                <w:sz w:val="20"/>
              </w:rPr>
              <w:t>Percentage Held by Stockholder A</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0.10</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0.09</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(8.33</w:t>
            </w:r>
          </w:p>
        </w:tc>
        <w:tc>
          <w:tcPr>
            <w:tcW w:w="3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0.11</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8.33</w:t>
            </w:r>
          </w:p>
        </w:tc>
        <w:tc>
          <w:tcPr>
            <w:tcW w:w="360" w:type="dxa"/>
            <w:tcBorders/>
            <w:vAlign w:val="bottom"/>
          </w:tcPr>
          <w:p>
            <w:pPr>
              <w:pStyle w:val="TableContents"/>
              <w:bidi w:val="0"/>
              <w:spacing w:before="0" w:after="283"/>
              <w:jc w:val="left"/>
              <w:rPr/>
            </w:pPr>
            <w:r>
              <w:rPr/>
              <w:t>% </w:t>
            </w:r>
          </w:p>
        </w:tc>
      </w:tr>
      <w:tr>
        <w:trPr/>
        <w:tc>
          <w:tcPr>
            <w:tcW w:w="2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Asset Value Held by Stockholder A</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1,341,570</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1,426,491</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6.33</w:t>
            </w:r>
          </w:p>
        </w:tc>
        <w:tc>
          <w:tcPr>
            <w:tcW w:w="35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1,685,854</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25.66</w:t>
            </w:r>
          </w:p>
        </w:tc>
        <w:tc>
          <w:tcPr>
            <w:tcW w:w="360" w:type="dxa"/>
            <w:tcBorders/>
            <w:shd w:fill="CCEEFF" w:val="clear"/>
            <w:vAlign w:val="bottom"/>
          </w:tcPr>
          <w:p>
            <w:pPr>
              <w:pStyle w:val="TableContents"/>
              <w:bidi w:val="0"/>
              <w:spacing w:before="0" w:after="283"/>
              <w:jc w:val="left"/>
              <w:rPr/>
            </w:pPr>
            <w:r>
              <w:rPr/>
              <w:t>% </w:t>
            </w:r>
          </w:p>
        </w:tc>
      </w:tr>
      <w:tr>
        <w:trPr/>
        <w:tc>
          <w:tcPr>
            <w:tcW w:w="2363" w:type="dxa"/>
            <w:tcBorders/>
          </w:tcPr>
          <w:p>
            <w:pPr>
              <w:pStyle w:val="TableContents"/>
              <w:bidi w:val="0"/>
              <w:spacing w:before="0" w:after="0"/>
              <w:jc w:val="left"/>
              <w:rPr>
                <w:rFonts w:ascii="Times New Roman" w:hAnsi="Times New Roman"/>
                <w:sz w:val="20"/>
              </w:rPr>
            </w:pPr>
            <w:r>
              <w:rPr>
                <w:rFonts w:ascii="Times New Roman" w:hAnsi="Times New Roman"/>
                <w:sz w:val="20"/>
              </w:rPr>
              <w:t>Total Investment by Stockholder A (Assumed to be $16.48 per Share on Shares Held Prior to Sale)</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1,341,570</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1,454,521</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1,680,423</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Dilution/Accretion to Stockholder A (Total Net Asset Value Less Total Investment)</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(28,030</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5,431</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0"/>
              <w:jc w:val="left"/>
              <w:rPr>
                <w:rFonts w:ascii="Times New Roman" w:hAnsi="Times New Roman"/>
                <w:sz w:val="20"/>
              </w:rPr>
            </w:pPr>
            <w:r>
              <w:rPr>
                <w:rFonts w:ascii="Times New Roman" w:hAnsi="Times New Roman"/>
                <w:sz w:val="20"/>
              </w:rPr>
              <w:t>Investment per Share Held by Stockholder A (Assumed to be $16.48 per Share on Shares Held Prior to Sale)</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16.48</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16.25</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(1.42</w:t>
            </w:r>
          </w:p>
        </w:tc>
        <w:tc>
          <w:tcPr>
            <w:tcW w:w="3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15.88</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(3.63</w:t>
            </w:r>
          </w:p>
        </w:tc>
        <w:tc>
          <w:tcPr>
            <w:tcW w:w="360" w:type="dxa"/>
            <w:tcBorders/>
            <w:vAlign w:val="bottom"/>
          </w:tcPr>
          <w:p>
            <w:pPr>
              <w:pStyle w:val="TableContents"/>
              <w:bidi w:val="0"/>
              <w:spacing w:before="0" w:after="283"/>
              <w:jc w:val="left"/>
              <w:rPr/>
            </w:pPr>
            <w:r>
              <w:rPr/>
              <w:t>)% </w:t>
            </w:r>
          </w:p>
        </w:tc>
      </w:tr>
      <w:tr>
        <w:trPr/>
        <w:tc>
          <w:tcPr>
            <w:tcW w:w="2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per Share Held by Stockholder A</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15.93</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15.93</w:t>
            </w:r>
          </w:p>
        </w:tc>
        <w:tc>
          <w:tcPr>
            <w:tcW w:w="28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sz w:val="4"/>
                <w:szCs w:val="4"/>
              </w:rPr>
            </w:pPr>
            <w:r>
              <w:rPr>
                <w:sz w:val="4"/>
                <w:szCs w:val="4"/>
              </w:rPr>
            </w:r>
          </w:p>
        </w:tc>
      </w:tr>
      <w:tr>
        <w:trPr/>
        <w:tc>
          <w:tcPr>
            <w:tcW w:w="2363" w:type="dxa"/>
            <w:tcBorders/>
          </w:tcPr>
          <w:p>
            <w:pPr>
              <w:pStyle w:val="TableContents"/>
              <w:bidi w:val="0"/>
              <w:spacing w:before="0" w:after="0"/>
              <w:jc w:val="left"/>
              <w:rPr>
                <w:rFonts w:ascii="Times New Roman" w:hAnsi="Times New Roman"/>
                <w:sz w:val="20"/>
              </w:rPr>
            </w:pPr>
            <w:r>
              <w:rPr>
                <w:rFonts w:ascii="Times New Roman" w:hAnsi="Times New Roman"/>
                <w:sz w:val="20"/>
              </w:rPr>
              <w:t>Dilution/Accretion per Share Held by Stockholder A (Net Asset Value per Share Less Investment per Share)</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(0.31</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0.05</w:t>
            </w:r>
          </w:p>
        </w:tc>
        <w:tc>
          <w:tcPr>
            <w:tcW w:w="28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2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Dilution/Accretion to Stockholder A (Dilution per Share Divided by Investment per Share)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(1.93</w:t>
            </w:r>
          </w:p>
        </w:tc>
        <w:tc>
          <w:tcPr>
            <w:tcW w:w="35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0.32</w:t>
            </w:r>
          </w:p>
        </w:tc>
        <w:tc>
          <w:tcPr>
            <w:tcW w:w="3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Impact on New Investors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 </w:t>
      </w:r>
    </w:p>
    <w:p>
      <w:pPr>
        <w:pStyle w:val="TextBody"/>
        <w:bidi w:val="0"/>
        <w:spacing w:before="240" w:after="0"/>
        <w:jc w:val="left"/>
        <w:rPr>
          <w:rFonts w:ascii="Times New Roman" w:hAnsi="Times New Roman"/>
          <w:sz w:val="20"/>
        </w:rPr>
      </w:pPr>
      <w:r>
        <w:rPr>
          <w:rFonts w:ascii="Times New Roman" w:hAnsi="Times New Roman"/>
          <w:sz w:val="20"/>
        </w:rPr>
        <w:t xml:space="preserve">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 </w:t>
      </w:r>
    </w:p>
    <w:p>
      <w:pPr>
        <w:pStyle w:val="TextBody"/>
        <w:bidi w:val="0"/>
        <w:spacing w:before="0" w:after="0"/>
        <w:jc w:val="left"/>
        <w:rPr/>
      </w:pPr>
      <w:r>
        <w:rPr/>
        <w:t> </w:t>
      </w:r>
    </w:p>
    <w:tbl>
      <w:tblPr>
        <w:tblW w:w="13815" w:type="dxa"/>
        <w:jc w:val="center"/>
        <w:tblInd w:w="0" w:type="dxa"/>
        <w:tblLayout w:type="fixed"/>
        <w:tblCellMar>
          <w:top w:w="0" w:type="dxa"/>
          <w:left w:w="0" w:type="dxa"/>
          <w:bottom w:w="0" w:type="dxa"/>
          <w:right w:w="0" w:type="dxa"/>
        </w:tblCellMar>
      </w:tblPr>
      <w:tblGrid>
        <w:gridCol w:w="860"/>
        <w:gridCol w:w="120"/>
        <w:gridCol w:w="140"/>
        <w:gridCol w:w="1100"/>
        <w:gridCol w:w="275"/>
        <w:gridCol w:w="60"/>
        <w:gridCol w:w="140"/>
        <w:gridCol w:w="1100"/>
        <w:gridCol w:w="275"/>
        <w:gridCol w:w="60"/>
        <w:gridCol w:w="85"/>
        <w:gridCol w:w="730"/>
        <w:gridCol w:w="350"/>
        <w:gridCol w:w="60"/>
        <w:gridCol w:w="140"/>
        <w:gridCol w:w="1100"/>
        <w:gridCol w:w="275"/>
        <w:gridCol w:w="60"/>
        <w:gridCol w:w="85"/>
        <w:gridCol w:w="730"/>
        <w:gridCol w:w="350"/>
        <w:gridCol w:w="60"/>
        <w:gridCol w:w="140"/>
        <w:gridCol w:w="1100"/>
        <w:gridCol w:w="275"/>
        <w:gridCol w:w="60"/>
        <w:gridCol w:w="78"/>
        <w:gridCol w:w="737"/>
        <w:gridCol w:w="350"/>
        <w:gridCol w:w="60"/>
        <w:gridCol w:w="140"/>
        <w:gridCol w:w="1220"/>
        <w:gridCol w:w="275"/>
        <w:gridCol w:w="60"/>
        <w:gridCol w:w="78"/>
        <w:gridCol w:w="737"/>
        <w:gridCol w:w="35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4</w:t>
            </w:r>
          </w:p>
        </w:tc>
        <w:tc>
          <w:tcPr>
            <w:tcW w:w="350" w:type="dxa"/>
            <w:tcBorders/>
            <w:vAlign w:val="bottom"/>
          </w:tcPr>
          <w:p>
            <w:pPr>
              <w:pStyle w:val="TableContents"/>
              <w:bidi w:val="0"/>
              <w:spacing w:before="0" w:after="283"/>
              <w:jc w:val="left"/>
              <w:rPr/>
            </w:pPr>
            <w:r>
              <w:rPr/>
              <w:t> </w:t>
            </w:r>
          </w:p>
        </w:tc>
      </w:tr>
      <w:tr>
        <w:trPr/>
        <w:tc>
          <w:tcPr>
            <w:tcW w:w="8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2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Prior to</w:t>
              <w:br/>
              <w:t>Sale</w:t>
              <w:br/>
              <w:t>Below NAV</w:t>
            </w:r>
          </w:p>
        </w:tc>
        <w:tc>
          <w:tcPr>
            <w:tcW w:w="27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 Offering at 5%</w:t>
              <w:br/>
              <w:t>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10% Offering at</w:t>
              <w:br/>
              <w:t>10% 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 Offering at</w:t>
              <w:br/>
              <w:t>20% 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25% Offering at</w:t>
              <w:br/>
              <w:t>25% Discount</w:t>
            </w:r>
          </w:p>
        </w:tc>
        <w:tc>
          <w:tcPr>
            <w:tcW w:w="350" w:type="dxa"/>
            <w:tcBorders/>
            <w:vAlign w:val="bottom"/>
          </w:tcPr>
          <w:p>
            <w:pPr>
              <w:pStyle w:val="TableContents"/>
              <w:bidi w:val="0"/>
              <w:spacing w:before="0" w:after="283"/>
              <w:jc w:val="left"/>
              <w:rPr/>
            </w:pPr>
            <w:r>
              <w:rPr/>
              <w:t> </w:t>
            </w:r>
          </w:p>
        </w:tc>
      </w:tr>
      <w:tr>
        <w:trPr/>
        <w:tc>
          <w:tcPr>
            <w:tcW w:w="8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24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Offering Price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16.48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15.61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13.01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15.66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14.83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b/>
                <w:sz w:val="17"/>
              </w:rPr>
            </w:pPr>
            <w:r>
              <w:rPr>
                <w:rFonts w:ascii="Times New Roman" w:hAnsi="Times New Roman"/>
                <w:b/>
                <w:sz w:val="17"/>
              </w:rPr>
              <w:t>Decrease/Increase to Net Asset Value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81,389,287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85,458,751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89,528,216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97,667,144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101,736,609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Shares Offered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4,069,464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8,138,929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16,277,857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20,347,322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Asset Value per Share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(0.89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15.93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(3.32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15.66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(4.98</w:t>
            </w:r>
          </w:p>
        </w:tc>
        <w:tc>
          <w:tcPr>
            <w:tcW w:w="350" w:type="dxa"/>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b/>
                <w:sz w:val="17"/>
              </w:rPr>
            </w:pPr>
            <w:r>
              <w:rPr>
                <w:rFonts w:ascii="Times New Roman" w:hAnsi="Times New Roman"/>
                <w:b/>
                <w:sz w:val="17"/>
              </w:rPr>
              <w:t>Dilution/Accretion to New Investor 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Shares Held by Investor A</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4,069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16,278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20,347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Percentage Held by Investor 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 Net Asset Value Held by Investor A</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66,918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132,935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259,363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318,613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Total Investment by Investor A (At Price to Public)</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67,065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127,070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225,902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264,729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 Dilution/Accretion to Investor A (Total Net Asset Value Less Total Investment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5,865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33,460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53,883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Investment per Share Held by Investor 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16.48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15.61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13.01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Asset Value per Share Held by Investor A</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15.93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15.66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Dilution/Accretion per Share Held by Investor A (Net Asset Value per Share Less Investment per Share)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0.72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Percentage Dilution/Accretion to Investor A (Dilution per Share Divided by Investment per Share)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4.62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14.81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20.35</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oc570824_14"/>
      <w:bookmarkEnd w:id="27"/>
      <w:r>
        <w:rPr>
          <w:rFonts w:ascii="Times New Roman" w:hAnsi="Times New Roman"/>
          <w:b/>
          <w:sz w:val="20"/>
        </w:rPr>
        <w:t xml:space="preserve">DIVIDEND REINVESTMENT PLAN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the heading Dividend Reinvestment Plan in Part I, Item I of our 2022 Annual Report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All correspondence concerning the plan should be directed to the plan administrator by mail at Equiniti Trust Company, LLC, Transfer Agency-Sixth Street Specialty Lending, 6201 15th Avenue, Brooklyn, NY 11219.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oc570824_15"/>
      <w:bookmarkEnd w:id="28"/>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stockholders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(except as discussed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(except as discussed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trusts (except as discussed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taxed as partnerships or partners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shares of common stock or preferred stock as part of a straddle, hedge, conversion transaction, synthetic security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received our stock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our stock on behalf of another person as a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stockholders (as defined below) who have a functional currency other than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Finally, this summary does not address other U.S. federal tax consequences (such as estate, gift and Medicare contribution tax consequences), the alternative minimum tax or any state, local or foreign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under the heading Material U.S. Federal Income Tax Considerations, a U.S. stockholder is a beneficial owner of shares of our common stock or preferred stock that is, for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tax purposes, an individual who is a citizen or resident of the United States or a domestic corporation or otherwise subject to U.S. federal income tax on a net income basis in respect of our stock. </w:t>
      </w:r>
    </w:p>
    <w:p>
      <w:pPr>
        <w:pStyle w:val="TextBody"/>
        <w:bidi w:val="0"/>
        <w:spacing w:before="240" w:after="0"/>
        <w:jc w:val="left"/>
        <w:rPr>
          <w:rFonts w:ascii="Times New Roman" w:hAnsi="Times New Roman"/>
          <w:sz w:val="20"/>
        </w:rPr>
      </w:pPr>
      <w:r>
        <w:rPr>
          <w:rFonts w:ascii="Times New Roman" w:hAnsi="Times New Roman"/>
          <w:sz w:val="20"/>
        </w:rPr>
        <w:t xml:space="preserve">A Non-U.S. stockholder is a beneficial owner of shares of our common stock or preferred stock that is not a U.S. stockholder and not an entity taxed as a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Regulated Investment Company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w:t>
      </w:r>
    </w:p>
    <w:p>
      <w:pPr>
        <w:pStyle w:val="TextBody"/>
        <w:bidi w:val="0"/>
        <w:spacing w:before="240" w:after="0"/>
        <w:jc w:val="left"/>
        <w:rPr>
          <w:rFonts w:ascii="Times New Roman" w:hAnsi="Times New Roman"/>
          <w:sz w:val="20"/>
        </w:rPr>
      </w:pPr>
      <w:r>
        <w:rPr>
          <w:rFonts w:ascii="Times New Roman" w:hAnsi="Times New Roman"/>
          <w:sz w:val="20"/>
        </w:rPr>
        <w:t xml:space="preserve">To maintain our status as a RIC, we must,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our election under the 1940 Act to be treated as a BDC;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gains from the sale or other disposition of stock or securities and other specified categories of investment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diversified holdings so that, subject to certain exceptions and cure periods, at the end of each quarter of our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98% of our net ordinary income, excluding certain ordinary gains and losses, recognized during a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any income or gains recognized, but not distributed, in preceding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previously incurred, and can be expected to incur in the future, such excise tax on a portion of our income and gains. While we intend to distribute income and capital gains to minimize exposure to the 4% excise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we may not be able to, or may choose not to, distribute amounts sufficient to avoid the imposition of the tax entirely. In that event, we will be liable for the tax only on the amount by which we do not meet the foregoing distribution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cases where our taxable income exceeds our available cash flow, we will need to fund distributions with the proceeds of sale of securities or with borrowed money, and may raise funds for this purpose opportunistically over the course of the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we invest in foreign securities, we may be subject to withholding and other foreign taxes with respect to those securities. We do not expect to satisfy the conditions necessary to pass through to our stockholders their share of the foreign taxes paid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Currency Fluctuations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currency options or futures contracts and the disposition of debt securities denominated in foreign currency, to the extent attributable to fluctuations in exchange rates between the acquisition and disposition dates, are also treated as ordinary income or loss.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w:t>
      </w:r>
    </w:p>
    <w:p>
      <w:pPr>
        <w:pStyle w:val="TextBody"/>
        <w:bidi w:val="0"/>
        <w:spacing w:before="240" w:after="0"/>
        <w:jc w:val="left"/>
        <w:rPr>
          <w:rFonts w:ascii="Times New Roman" w:hAnsi="Times New Roman"/>
          <w:sz w:val="20"/>
        </w:rPr>
      </w:pPr>
      <w:r>
        <w:rPr>
          <w:rFonts w:ascii="Times New Roman" w:hAnsi="Times New Roman"/>
          <w:sz w:val="20"/>
        </w:rPr>
        <w:t xml:space="preserve">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 </w:t>
      </w:r>
    </w:p>
    <w:p>
      <w:pPr>
        <w:pStyle w:val="TextBody"/>
        <w:bidi w:val="0"/>
        <w:spacing w:before="240" w:after="0"/>
        <w:jc w:val="left"/>
        <w:rPr>
          <w:rFonts w:ascii="Times New Roman" w:hAnsi="Times New Roman"/>
          <w:sz w:val="20"/>
        </w:rPr>
      </w:pPr>
      <w:r>
        <w:rPr>
          <w:rFonts w:ascii="Times New Roman" w:hAnsi="Times New Roman"/>
          <w:sz w:val="20"/>
        </w:rPr>
        <w:t xml:space="preserve">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such dividend prior to the earlier of the 15th day of the ninth month following the close of that taxable year, or any applicable extended due date of our U.S. federal corporate income tax return for such prior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such amount in the 12-month period following the close of such prior taxable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 election in our U.S. federal corporate income tax return for the taxable year in which such undistributed investment company taxable income or net capital gains were recognized.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election will not alter the general rule that a U.S. stockholder will be treated as receiving a dividend in the taxable year in which the dividend is distributed, subject to the October, November, or December dividend declaration rule discussed immediately above.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 </w:t>
      </w:r>
    </w:p>
    <w:p>
      <w:pPr>
        <w:pStyle w:val="TextBody"/>
        <w:bidi w:val="0"/>
        <w:spacing w:before="240" w:after="0"/>
        <w:jc w:val="left"/>
        <w:rPr>
          <w:rFonts w:ascii="Times New Roman" w:hAnsi="Times New Roman"/>
          <w:sz w:val="20"/>
        </w:rPr>
      </w:pPr>
      <w:r>
        <w:rPr>
          <w:rFonts w:ascii="Times New Roman" w:hAnsi="Times New Roman"/>
          <w:sz w:val="20"/>
        </w:rPr>
        <w:t xml:space="preserve">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reporting requirement. U.S. stockholders should consult their own tax advisers to determine the applicability of these U.S. Treasury regulations in light of their individual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Limitation with Respect to Certain U.S. Stockholders on Deductions for Certain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our investment company taxable income that we pay to a Non-U.S. stockholder will be subject to U.S. withholding tax at a 30% rate to the extent of our current or accumulated earnings and profits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 </w:t>
      </w:r>
    </w:p>
    <w:p>
      <w:pPr>
        <w:pStyle w:val="TextBody"/>
        <w:bidi w:val="0"/>
        <w:spacing w:before="240" w:after="0"/>
        <w:jc w:val="left"/>
        <w:rPr>
          <w:rFonts w:ascii="Times New Roman" w:hAnsi="Times New Roman"/>
          <w:sz w:val="20"/>
        </w:rPr>
      </w:pPr>
      <w:r>
        <w:rPr>
          <w:rFonts w:ascii="Times New Roman" w:hAnsi="Times New Roman"/>
          <w:sz w:val="20"/>
        </w:rPr>
        <w:t xml:space="preserve">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distributions made by the Company (other than capital gain dividends), additional requirements will apply to Non-U.S. stockholders that are considered for U.S. federal income tax purposes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 </w:t>
      </w:r>
    </w:p>
    <w:p>
      <w:pPr>
        <w:pStyle w:val="TextBody"/>
        <w:bidi w:val="0"/>
        <w:spacing w:before="240" w:after="0"/>
        <w:jc w:val="left"/>
        <w:rPr>
          <w:rFonts w:ascii="Times New Roman" w:hAnsi="Times New Roman"/>
          <w:sz w:val="20"/>
        </w:rPr>
      </w:pPr>
      <w:r>
        <w:rPr>
          <w:rFonts w:ascii="Times New Roman" w:hAnsi="Times New Roman"/>
          <w:sz w:val="20"/>
        </w:rPr>
        <w:t xml:space="preserve">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should consult their own tax advisors with respect to the U.S. federal income tax and withholding tax, and state, local and foreign tax consequences of an investment in the shares of our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oc570824_16"/>
      <w:bookmarkEnd w:id="29"/>
      <w:r>
        <w:rPr>
          <w:rFonts w:ascii="Times New Roman" w:hAnsi="Times New Roman"/>
          <w:b/>
          <w:sz w:val="20"/>
        </w:rPr>
        <w:t xml:space="preserve">DESCRIPTION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 </w:t>
      </w:r>
    </w:p>
    <w:p>
      <w:pPr>
        <w:pStyle w:val="TextBody"/>
        <w:bidi w:val="0"/>
        <w:spacing w:before="480" w:after="0"/>
        <w:jc w:val="center"/>
        <w:rPr>
          <w:rFonts w:ascii="Times New Roman" w:hAnsi="Times New Roman"/>
          <w:b/>
          <w:sz w:val="20"/>
        </w:rPr>
      </w:pPr>
      <w:bookmarkStart w:id="30" w:name="toc570824_17"/>
      <w:bookmarkEnd w:id="30"/>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presents our outstanding classes of securities as of December 20,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823"/>
        <w:gridCol w:w="291"/>
        <w:gridCol w:w="97"/>
        <w:gridCol w:w="1989"/>
        <w:gridCol w:w="60"/>
        <w:gridCol w:w="291"/>
        <w:gridCol w:w="97"/>
        <w:gridCol w:w="1304"/>
        <w:gridCol w:w="60"/>
        <w:gridCol w:w="291"/>
        <w:gridCol w:w="112"/>
        <w:gridCol w:w="2091"/>
        <w:gridCol w:w="66"/>
      </w:tblGrid>
      <w:tr>
        <w:trPr/>
        <w:tc>
          <w:tcPr>
            <w:tcW w:w="1823"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8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Class</w:t>
            </w:r>
          </w:p>
        </w:tc>
        <w:tc>
          <w:tcPr>
            <w:tcW w:w="291" w:type="dxa"/>
            <w:tcBorders/>
            <w:vAlign w:val="bottom"/>
          </w:tcPr>
          <w:p>
            <w:pPr>
              <w:pStyle w:val="TableContents"/>
              <w:bidi w:val="0"/>
              <w:spacing w:before="0" w:after="283"/>
              <w:jc w:val="left"/>
              <w:rPr/>
            </w:pPr>
            <w:r>
              <w:rPr/>
              <w:t>  </w:t>
            </w:r>
          </w:p>
        </w:tc>
        <w:tc>
          <w:tcPr>
            <w:tcW w:w="2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Authorized</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Held</w:t>
              <w:br/>
              <w:t>by Us or for</w:t>
              <w:br/>
              <w:t>Our Account</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Outstanding</w:t>
              <w:br/>
              <w:t>Exclusive of Amount</w:t>
              <w:br/>
              <w:t>Held by Us or for</w:t>
              <w:br/>
              <w:t>Our Account</w:t>
            </w:r>
          </w:p>
        </w:tc>
        <w:tc>
          <w:tcPr>
            <w:tcW w:w="66" w:type="dxa"/>
            <w:tcBorders/>
            <w:vAlign w:val="bottom"/>
          </w:tcPr>
          <w:p>
            <w:pPr>
              <w:pStyle w:val="TableContents"/>
              <w:bidi w:val="0"/>
              <w:spacing w:before="0" w:after="283"/>
              <w:jc w:val="left"/>
              <w:rPr/>
            </w:pPr>
            <w:r>
              <w:rPr/>
              <w:t> </w:t>
            </w:r>
          </w:p>
        </w:tc>
      </w:tr>
      <w:tr>
        <w:trPr/>
        <w:tc>
          <w:tcPr>
            <w:tcW w:w="1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29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89" w:type="dxa"/>
            <w:tcBorders/>
            <w:shd w:fill="CCEEFF" w:val="clear"/>
            <w:vAlign w:val="bottom"/>
          </w:tcPr>
          <w:p>
            <w:pPr>
              <w:pStyle w:val="TableContents"/>
              <w:bidi w:val="0"/>
              <w:spacing w:before="0" w:after="283"/>
              <w:jc w:val="right"/>
              <w:rPr/>
            </w:pPr>
            <w:r>
              <w:rPr/>
              <w:t>400,000,000</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664,250</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091" w:type="dxa"/>
            <w:tcBorders/>
            <w:shd w:fill="CCEEFF" w:val="clear"/>
            <w:vAlign w:val="bottom"/>
          </w:tcPr>
          <w:p>
            <w:pPr>
              <w:pStyle w:val="TableContents"/>
              <w:bidi w:val="0"/>
              <w:spacing w:before="0" w:after="283"/>
              <w:jc w:val="right"/>
              <w:rPr/>
            </w:pPr>
            <w:r>
              <w:rPr/>
              <w:t>87,578,655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our Board is authorized to issue shares of preferred stock in one or more series without stockholder approval. See Description of Our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acts or omissions not in good faith or which involve willful misconduct, gross negligence, bad faith, reckless disregard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Section 174 of the DGCL, which relates to unlawful payment of dividends or unlawful stock purchases or redemptions,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adversely affect any rights to indemnification and to the advancement of expenses of a director or officer existing at the time of the repeal or modification with respect to any acts or omissions occurring prior to the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Investment Advisory Agreement, we have, to the extent permitted by applicable law, indemnified the Adviser and certain of its affiliates, as described under Management Agreements-Indemnification in Part I, Item 1 of our 2022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be divided into three classes, as nearly equal in size as possible, with staggered three-year terms (and the number of directors shall not be fewer than four or greater than nine);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may be removed only for cause by the affirmative vote of 75% of the holders of our capital stock then outstanding and entitled to vote in the election of directors, voting together as a single class;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any holders of preferred stock, any vacancy on the Board, however the vacancy occurs, including a vacancy due to an enlargement of the Board, may only be filled by vote of a majority of the directors then in office.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required or permitted to be taken by the stockholders at an annual meeting or special meeting of stockholders may only be taken if it is properly brought before such meeting;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meetings of the stockholders may only be called by our Board, Chairman, or a Chief Executive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be removed from office, but only for cause and at a meeting called for that purpose, by the affirmative vote of 75% of the holders of our capital stock then outstanding and entitled to vote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10% holder transactions subject to these special approval requirements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or any subsidiary of ours with or into any principal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 </w:t>
      </w:r>
    </w:p>
    <w:p>
      <w:pPr>
        <w:pStyle w:val="TextBody"/>
        <w:bidi w:val="0"/>
        <w:spacing w:before="240" w:after="0"/>
        <w:jc w:val="left"/>
        <w:rPr>
          <w:rFonts w:ascii="Times New Roman" w:hAnsi="Times New Roman"/>
          <w:sz w:val="20"/>
        </w:rPr>
      </w:pPr>
      <w:r>
        <w:rPr>
          <w:rFonts w:ascii="Times New Roman" w:hAnsi="Times New Roman"/>
          <w:sz w:val="20"/>
        </w:rPr>
        <w:t xml:space="preserve">The 1940 Act defines a majority of the outstanding voting securities as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 or more of the companys voting stock present at a meeting if more than 50% of the outstanding voting securities of the company are present or represented by proxy;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50% of the outstanding voting securities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 </w:t>
      </w:r>
    </w:p>
    <w:p>
      <w:pPr>
        <w:pStyle w:val="TextBody"/>
        <w:bidi w:val="0"/>
        <w:spacing w:before="240" w:after="0"/>
        <w:jc w:val="left"/>
        <w:rPr>
          <w:rFonts w:ascii="Times New Roman" w:hAnsi="Times New Roman"/>
          <w:sz w:val="20"/>
        </w:rPr>
      </w:pPr>
      <w:r>
        <w:rPr>
          <w:rFonts w:ascii="Times New Roman" w:hAnsi="Times New Roman"/>
          <w:sz w:val="20"/>
        </w:rPr>
        <w:t xml:space="preserve">Our Board has determined that provisions with respect to the Board and the stockholder voting requirements described above, which voting requirements are greater than the minimum requirements under Delaware law or the 1940 Act, are in the best interest of stockholders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oc570824_18"/>
      <w:bookmarkEnd w:id="31"/>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issuance and before any distribution is made with respect to common stock, we must meet a coverage ratio of total assets (less total liabilities other than indebtedness) to total indebtedness plus preferred stock, of at least 150%;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any series of preferred stock that we may issue, our Board will determine and the amendment to our certificate of incorporation and the prospectus supplement relating to such series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dividends will be paid on shares of such series, as well as whether such dividends are participating or non-participating;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including adjustments to the conversion price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series are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oc570824_19"/>
      <w:bookmarkEnd w:id="32"/>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of time the offering would remain open (which shall be open a minimum number of days such that all record holders would be eligible to participate in the offering and shall not be open longer than 120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such subscription rights (or method of calculation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ratio of the offering (which, in the case of transferable rights, will require a minimum of three shares to be held of record before a person is entitled to purchase an additional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such subscription rights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and the market on which they may be traded if they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applicable to the issuance or exercise of such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shall commence, and the date on which such right shall expire (subject to any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and the terms of such over-subscription privilege;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right we may have in connection with such subscription rights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exercise, settlement and other procedures and limitations relating to the transfer and exercise of such subscription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oc570824_20"/>
      <w:bookmarkEnd w:id="33"/>
      <w:r>
        <w:rPr>
          <w:rFonts w:ascii="Times New Roman" w:hAnsi="Times New Roman"/>
          <w:b/>
          <w:sz w:val="20"/>
        </w:rPr>
        <w:t xml:space="preserve">DESCRIPTION OF OUR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toc570824_21"/>
      <w:bookmarkEnd w:id="34"/>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Borough of Manhattan in the City of New York, of payment, transfer, conversion and/or exchange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is issuable in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federal income tax implications, including, if applicable, U.S. federal income tax considerations relating to 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secured and the terms of any security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we will usually issue debt securities in book-entry only form represented by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(unless the prospectus supplement relating to such debt securities states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on its due date, including upon any redemption date or required repurchase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when due, and such default is not cured within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on its due date, and do not cure this default within five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remain undischarged or unstayed for a period of 90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last business day of each of twenty-four consecutive calendar months, we have an asset coverage of less than 100%, giving effect to any amendments to Section 18(a)(1)(C)(ii) and Section 61 of the 1940 Act or to any exemptive relief granted to us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applicable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give your trustee written notice that an Event of Default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debt securities must not have given the trustee a direction inconsistent with the above notice during that 60 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principal amount of the debt securities of the affected series may waive any past defaults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principal, any premium or 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sell all or substantially all our assets, the resulting entity or transferee must be organized and existing in the United States and must agree to be legally responsible for our obligations under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no Default or Event of Default shall have happened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Covenants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security following a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(except as otherwise described in the prospectus or prospectus supplement) or currency of payment on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certain of the provisions of the indenture dealing with supplemental indentures, modification and waiver of past defaults, changes to the quorum or voting requirements or the waiver of certain covenants;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debt security described in 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covenant defeasance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Holders may exchange their certificated securities, if any, for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Provisions-Subordination </w:t>
      </w:r>
    </w:p>
    <w:p>
      <w:pPr>
        <w:pStyle w:val="TextBody"/>
        <w:bidi w:val="0"/>
        <w:spacing w:before="12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Secured Indebtedness and Ranking </w:t>
      </w:r>
    </w:p>
    <w:p>
      <w:pPr>
        <w:pStyle w:val="TextBody"/>
        <w:bidi w:val="0"/>
        <w:spacing w:before="120" w:after="0"/>
        <w:jc w:val="left"/>
        <w:rPr>
          <w:rFonts w:ascii="Times New Roman" w:hAnsi="Times New Roman"/>
          <w:sz w:val="20"/>
        </w:rPr>
      </w:pPr>
      <w:r>
        <w:rPr>
          <w:rFonts w:ascii="Times New Roman" w:hAnsi="Times New Roman"/>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 </w:t>
      </w:r>
    </w:p>
    <w:p>
      <w:pPr>
        <w:pStyle w:val="TextBody"/>
        <w:bidi w:val="0"/>
        <w:spacing w:before="240" w:after="0"/>
        <w:jc w:val="left"/>
        <w:rPr>
          <w:rFonts w:ascii="Times New Roman" w:hAnsi="Times New Roman"/>
          <w:sz w:val="20"/>
        </w:rPr>
      </w:pPr>
      <w:r>
        <w:rPr>
          <w:rFonts w:ascii="Times New Roman" w:hAnsi="Times New Roman"/>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debt securities will be made to Cede &amp; Co., or such other nominee as may be requested by an authorized representative of DTC. DTCs practice is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480" w:after="0"/>
        <w:jc w:val="center"/>
        <w:rPr>
          <w:rFonts w:ascii="Times New Roman" w:hAnsi="Times New Roman"/>
          <w:b/>
          <w:sz w:val="20"/>
        </w:rPr>
      </w:pPr>
      <w:bookmarkStart w:id="35" w:name="toc570824_22"/>
      <w:bookmarkEnd w:id="35"/>
      <w:r>
        <w:rPr>
          <w:rFonts w:ascii="Times New Roman" w:hAnsi="Times New Roman"/>
          <w:b/>
          <w:sz w:val="20"/>
        </w:rPr>
        <w:t xml:space="preserve">CUSTODIAN, TRANSFER AND DIVIDEND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 </w:t>
      </w:r>
    </w:p>
    <w:p>
      <w:pPr>
        <w:pStyle w:val="TextBody"/>
        <w:bidi w:val="0"/>
        <w:spacing w:before="480" w:after="0"/>
        <w:jc w:val="center"/>
        <w:rPr>
          <w:rFonts w:ascii="Times New Roman" w:hAnsi="Times New Roman"/>
          <w:b/>
          <w:sz w:val="20"/>
        </w:rPr>
      </w:pPr>
      <w:bookmarkStart w:id="36" w:name="toc570824_23"/>
      <w:bookmarkEnd w:id="36"/>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will acquire and dispose of many of our investments in privately negotiated transactions, many of the transactions that we engage in will not require the use of brokers or the payment of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before="240" w:after="0"/>
        <w:jc w:val="left"/>
        <w:rPr>
          <w:rFonts w:ascii="Times New Roman" w:hAnsi="Times New Roman"/>
          <w:sz w:val="20"/>
        </w:rPr>
      </w:pPr>
      <w:r>
        <w:rPr>
          <w:rFonts w:ascii="Times New Roman" w:hAnsi="Times New Roman"/>
          <w:sz w:val="20"/>
        </w:rPr>
        <w:t xml:space="preserve">We also pay brokerage commissions incurred in connection with purchases pursuant to the Company 10b5-1 Plan.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brokerage commissions paid by us during the three most recent completed fiscal years is less than $0.4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7" w:name="toc570824_24"/>
      <w:bookmarkEnd w:id="3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offered hereby will be sold in such jurisdictions only through registered or licensed brokers or dealers. </w:t>
      </w:r>
    </w:p>
    <w:p>
      <w:pPr>
        <w:pStyle w:val="TextBody"/>
        <w:bidi w:val="0"/>
        <w:spacing w:before="480" w:after="0"/>
        <w:jc w:val="center"/>
        <w:rPr>
          <w:rFonts w:ascii="Times New Roman" w:hAnsi="Times New Roman"/>
          <w:b/>
          <w:sz w:val="20"/>
        </w:rPr>
      </w:pPr>
      <w:bookmarkStart w:id="38" w:name="toc570824_25"/>
      <w:bookmarkEnd w:id="3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securities offered hereby will be passed upon for us by Simpson Thacher &amp; Bartlett LLP, Washington, D.C. Certain legal matters in connection with the offering will be passed upon for the underwriters, if any, by the counsel named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9" w:name="toc570824_26"/>
      <w:bookmarkEnd w:id="3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0" w:name="toc570824_27"/>
      <w:bookmarkEnd w:id="40"/>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with or submit to the SEC periodic and current reports, proxy statements and other information meeting the informational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Proxy Voting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 </w:t>
      </w:r>
    </w:p>
    <w:p>
      <w:pPr>
        <w:pStyle w:val="TextBody"/>
        <w:bidi w:val="0"/>
        <w:spacing w:before="480" w:after="0"/>
        <w:jc w:val="center"/>
        <w:rPr>
          <w:rFonts w:ascii="Times New Roman" w:hAnsi="Times New Roman"/>
          <w:b/>
          <w:sz w:val="20"/>
        </w:rPr>
      </w:pPr>
      <w:bookmarkStart w:id="41" w:name="toc570824_28"/>
      <w:bookmarkEnd w:id="41"/>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7">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February 16, 2023, including the information specifically incorporated by reference into the Form 10-K from our </w:t>
            </w:r>
            <w:hyperlink r:id="rId8">
              <w:r>
                <w:rPr>
                  <w:rStyle w:val="InternetLink"/>
                  <w:rFonts w:ascii="Times New Roman" w:hAnsi="Times New Roman"/>
                  <w:sz w:val="20"/>
                </w:rPr>
                <w:t>Definitive Proxy Statement</w:t>
              </w:r>
            </w:hyperlink>
            <w:r>
              <w:rPr>
                <w:rFonts w:ascii="Times New Roman" w:hAnsi="Times New Roman"/>
                <w:sz w:val="20"/>
              </w:rPr>
              <w:t xml:space="preserve"> on Schedule 14A relating to our 2023 Annual Meeting of Stockholders, filed with the SEC on April 13,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three months ended March 31, 2023, filed with the SEC on </w:t>
            </w:r>
            <w:hyperlink r:id="rId9">
              <w:r>
                <w:rPr>
                  <w:rStyle w:val="InternetLink"/>
                  <w:rFonts w:ascii="Times New Roman" w:hAnsi="Times New Roman"/>
                  <w:sz w:val="20"/>
                </w:rPr>
                <w:t>May 8, 2023</w:t>
              </w:r>
            </w:hyperlink>
            <w:r>
              <w:rPr>
                <w:rFonts w:ascii="Times New Roman" w:hAnsi="Times New Roman"/>
                <w:sz w:val="20"/>
              </w:rPr>
              <w:t xml:space="preserve">, for the three months ended June 30, 2023, filed with the SEC on </w:t>
            </w:r>
            <w:hyperlink r:id="rId10">
              <w:r>
                <w:rPr>
                  <w:rStyle w:val="InternetLink"/>
                  <w:rFonts w:ascii="Times New Roman" w:hAnsi="Times New Roman"/>
                  <w:sz w:val="20"/>
                </w:rPr>
                <w:t>August 3, 2023</w:t>
              </w:r>
            </w:hyperlink>
            <w:r>
              <w:rPr>
                <w:rFonts w:ascii="Times New Roman" w:hAnsi="Times New Roman"/>
                <w:sz w:val="20"/>
              </w:rPr>
              <w:t xml:space="preserve">, and for the three months ended September 30, 2023, filed with the SEC on </w:t>
            </w:r>
            <w:hyperlink r:id="rId11">
              <w:r>
                <w:rPr>
                  <w:rStyle w:val="InternetLink"/>
                  <w:rFonts w:ascii="Times New Roman" w:hAnsi="Times New Roman"/>
                  <w:sz w:val="20"/>
                </w:rPr>
                <w:t>November 2, 2023</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2">
              <w:r>
                <w:rPr>
                  <w:rStyle w:val="InternetLink"/>
                  <w:rFonts w:ascii="Times New Roman" w:hAnsi="Times New Roman"/>
                  <w:sz w:val="20"/>
                </w:rPr>
                <w:t>May 15, 2023</w:t>
              </w:r>
            </w:hyperlink>
            <w:r>
              <w:rPr>
                <w:rFonts w:ascii="Times New Roman" w:hAnsi="Times New Roman"/>
                <w:sz w:val="20"/>
              </w:rPr>
              <w:t xml:space="preserve">, </w:t>
            </w:r>
            <w:hyperlink r:id="rId13">
              <w:r>
                <w:rPr>
                  <w:rStyle w:val="InternetLink"/>
                  <w:rFonts w:ascii="Times New Roman" w:hAnsi="Times New Roman"/>
                  <w:sz w:val="20"/>
                </w:rPr>
                <w:t>May  26, 2023</w:t>
              </w:r>
            </w:hyperlink>
            <w:r>
              <w:rPr>
                <w:rFonts w:ascii="Times New Roman" w:hAnsi="Times New Roman"/>
                <w:sz w:val="20"/>
              </w:rPr>
              <w:t xml:space="preserve">, </w:t>
            </w:r>
            <w:hyperlink r:id="rId14">
              <w:r>
                <w:rPr>
                  <w:rStyle w:val="InternetLink"/>
                  <w:rFonts w:ascii="Times New Roman" w:hAnsi="Times New Roman"/>
                  <w:sz w:val="20"/>
                </w:rPr>
                <w:t>June  12, 2023</w:t>
              </w:r>
            </w:hyperlink>
            <w:r>
              <w:rPr>
                <w:rFonts w:ascii="Times New Roman" w:hAnsi="Times New Roman"/>
                <w:sz w:val="20"/>
              </w:rPr>
              <w:t xml:space="preserve">, </w:t>
            </w:r>
            <w:hyperlink r:id="rId15">
              <w:r>
                <w:rPr>
                  <w:rStyle w:val="InternetLink"/>
                  <w:rFonts w:ascii="Times New Roman" w:hAnsi="Times New Roman"/>
                  <w:sz w:val="20"/>
                </w:rPr>
                <w:t>June  13, 2023</w:t>
              </w:r>
            </w:hyperlink>
            <w:r>
              <w:rPr>
                <w:rFonts w:ascii="Times New Roman" w:hAnsi="Times New Roman"/>
                <w:sz w:val="20"/>
              </w:rPr>
              <w:t xml:space="preserve">, </w:t>
            </w:r>
            <w:hyperlink r:id="rId16">
              <w:r>
                <w:rPr>
                  <w:rStyle w:val="InternetLink"/>
                  <w:rFonts w:ascii="Times New Roman" w:hAnsi="Times New Roman"/>
                  <w:sz w:val="20"/>
                </w:rPr>
                <w:t>July  14, 2023</w:t>
              </w:r>
            </w:hyperlink>
            <w:r>
              <w:rPr>
                <w:rFonts w:ascii="Times New Roman" w:hAnsi="Times New Roman"/>
                <w:sz w:val="20"/>
              </w:rPr>
              <w:t xml:space="preserve">, </w:t>
            </w:r>
            <w:hyperlink r:id="rId17">
              <w:r>
                <w:rPr>
                  <w:rStyle w:val="InternetLink"/>
                  <w:rFonts w:ascii="Times New Roman" w:hAnsi="Times New Roman"/>
                  <w:sz w:val="20"/>
                </w:rPr>
                <w:t>July  17, 2023</w:t>
              </w:r>
            </w:hyperlink>
            <w:r>
              <w:rPr>
                <w:rFonts w:ascii="Times New Roman" w:hAnsi="Times New Roman"/>
                <w:sz w:val="20"/>
              </w:rPr>
              <w:t xml:space="preserve">, </w:t>
            </w:r>
            <w:hyperlink r:id="rId18">
              <w:r>
                <w:rPr>
                  <w:rStyle w:val="InternetLink"/>
                  <w:rFonts w:ascii="Times New Roman" w:hAnsi="Times New Roman"/>
                  <w:sz w:val="20"/>
                </w:rPr>
                <w:t>August  10, 2023</w:t>
              </w:r>
            </w:hyperlink>
            <w:r>
              <w:rPr>
                <w:rFonts w:ascii="Times New Roman" w:hAnsi="Times New Roman"/>
                <w:sz w:val="20"/>
              </w:rPr>
              <w:t xml:space="preserve"> and </w:t>
            </w:r>
            <w:hyperlink r:id="rId19">
              <w:r>
                <w:rPr>
                  <w:rStyle w:val="InternetLink"/>
                  <w:rFonts w:ascii="Times New Roman" w:hAnsi="Times New Roman"/>
                  <w:sz w:val="20"/>
                </w:rPr>
                <w:t>August 14,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0">
              <w:r>
                <w:rPr>
                  <w:rStyle w:val="InternetLink"/>
                  <w:rFonts w:ascii="Times New Roman" w:hAnsi="Times New Roman"/>
                  <w:sz w:val="20"/>
                </w:rPr>
                <w:t>Form 8-A</w:t>
              </w:r>
            </w:hyperlink>
            <w:r>
              <w:rPr>
                <w:rFonts w:ascii="Times New Roman" w:hAnsi="Times New Roman"/>
                <w:sz w:val="20"/>
              </w:rPr>
              <w:t xml:space="preserve"> (File No. 001-36364), as filed with the SEC on March 19, 2014, including any amendment or report filed for the purpose of updating such description prior to the termination of the offering of the common stock registered 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bidi w:val="0"/>
        <w:spacing w:before="20" w:after="0"/>
        <w:jc w:val="center"/>
        <w:rPr>
          <w:rFonts w:ascii="Times New Roman" w:hAnsi="Times New Roman"/>
          <w:sz w:val="20"/>
        </w:rPr>
      </w:pPr>
      <w:r>
        <w:rPr>
          <w:rFonts w:ascii="Times New Roman" w:hAnsi="Times New Roman"/>
          <w:sz w:val="20"/>
        </w:rPr>
        <w:t xml:space="preserve">888 7th Avenue, 41st Floor </w:t>
      </w:r>
    </w:p>
    <w:p>
      <w:pPr>
        <w:pStyle w:val="TextBody"/>
        <w:bidi w:val="0"/>
        <w:spacing w:before="20" w:after="0"/>
        <w:jc w:val="center"/>
        <w:rPr>
          <w:rFonts w:ascii="Times New Roman" w:hAnsi="Times New Roman"/>
          <w:sz w:val="20"/>
        </w:rPr>
      </w:pPr>
      <w:r>
        <w:rPr>
          <w:rFonts w:ascii="Times New Roman" w:hAnsi="Times New Roman"/>
          <w:sz w:val="20"/>
        </w:rPr>
        <w:t xml:space="preserve">New York, NY 10106 </w:t>
      </w:r>
    </w:p>
    <w:p>
      <w:pPr>
        <w:pStyle w:val="TextBody"/>
        <w:bidi w:val="0"/>
        <w:spacing w:before="20" w:after="0"/>
        <w:jc w:val="center"/>
        <w:rPr>
          <w:rFonts w:ascii="Times New Roman" w:hAnsi="Times New Roman"/>
          <w:sz w:val="20"/>
        </w:rPr>
      </w:pPr>
      <w:r>
        <w:rPr>
          <w:rFonts w:ascii="Times New Roman" w:hAnsi="Times New Roman"/>
          <w:sz w:val="20"/>
        </w:rPr>
        <w:t xml:space="preserve">Attention: TSLX Investor Relations </w:t>
      </w:r>
    </w:p>
    <w:p>
      <w:pPr>
        <w:pStyle w:val="TextBody"/>
        <w:bidi w:val="0"/>
        <w:spacing w:before="20" w:after="0"/>
        <w:jc w:val="center"/>
        <w:rPr>
          <w:rFonts w:ascii="Times New Roman" w:hAnsi="Times New Roman"/>
          <w:sz w:val="20"/>
        </w:rPr>
      </w:pPr>
      <w:r>
        <w:rPr>
          <w:rFonts w:ascii="Times New Roman" w:hAnsi="Times New Roman"/>
          <w:sz w:val="20"/>
          <w:u w:val="single"/>
        </w:rPr>
        <w:t>Email</w:t>
      </w:r>
      <w:r>
        <w:rPr>
          <w:rFonts w:ascii="Times New Roman" w:hAnsi="Times New Roman"/>
          <w:sz w:val="20"/>
        </w:rPr>
        <w:t xml:space="preserve">: IRTSLX@sixthstreet.com.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0" w:after="0"/>
        <w:jc w:val="center"/>
        <w:rPr>
          <w:rFonts w:ascii="Times New Roman" w:hAnsi="Times New Roman"/>
          <w:b/>
          <w:sz w:val="32"/>
        </w:rPr>
      </w:pPr>
      <w:r>
        <w:rPr>
          <w:rFonts w:ascii="Times New Roman" w:hAnsi="Times New Roman"/>
          <w:b/>
          <w:sz w:val="32"/>
        </w:rPr>
        <w:t xml:space="preserve">4,000,000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5580" cy="609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95580" cy="6096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12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102"/>
        <w:gridCol w:w="3061"/>
        <w:gridCol w:w="102"/>
        <w:gridCol w:w="2347"/>
        <w:gridCol w:w="102"/>
        <w:gridCol w:w="2450"/>
      </w:tblGrid>
      <w:tr>
        <w:trPr/>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3061" w:type="dxa"/>
            <w:tcBorders/>
          </w:tcPr>
          <w:p>
            <w:pPr>
              <w:pStyle w:val="TableContents"/>
              <w:bidi w:val="0"/>
              <w:spacing w:before="0" w:after="283"/>
              <w:jc w:val="right"/>
              <w:rPr>
                <w:b/>
              </w:rPr>
            </w:pPr>
            <w:r>
              <w:rPr>
                <w:b/>
              </w:rPr>
              <w:t>Wells Fargo Securities</w:t>
            </w:r>
          </w:p>
        </w:tc>
        <w:tc>
          <w:tcPr>
            <w:tcW w:w="102"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283"/>
              <w:jc w:val="center"/>
              <w:rPr>
                <w:b/>
              </w:rPr>
            </w:pPr>
            <w:r>
              <w:rPr>
                <w:b/>
              </w:rPr>
              <w:t>BofA Securities</w:t>
            </w:r>
          </w:p>
        </w:tc>
        <w:tc>
          <w:tcPr>
            <w:tcW w:w="102"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RBC Capital Markets</w:t>
            </w:r>
          </w:p>
        </w:tc>
      </w:tr>
    </w:tbl>
    <w:tbl>
      <w:tblPr>
        <w:tblW w:w="5000" w:type="pct"/>
        <w:jc w:val="left"/>
        <w:tblInd w:w="0" w:type="dxa"/>
        <w:tblLayout w:type="fixed"/>
        <w:tblCellMar>
          <w:top w:w="0" w:type="dxa"/>
          <w:left w:w="0" w:type="dxa"/>
          <w:bottom w:w="0" w:type="dxa"/>
          <w:right w:w="0" w:type="dxa"/>
        </w:tblCellMar>
      </w:tblPr>
      <w:tblGrid>
        <w:gridCol w:w="2115"/>
        <w:gridCol w:w="902"/>
        <w:gridCol w:w="3333"/>
        <w:gridCol w:w="117"/>
        <w:gridCol w:w="3738"/>
      </w:tblGrid>
      <w:tr>
        <w:trPr/>
        <w:tc>
          <w:tcPr>
            <w:tcW w:w="2115" w:type="dxa"/>
            <w:tcBorders/>
            <w:vAlign w:val="center"/>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350" w:type="dxa"/>
            <w:gridSpan w:val="3"/>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6350" w:type="dxa"/>
            <w:gridSpan w:val="3"/>
            <w:tcBorders/>
            <w:vAlign w:val="bottom"/>
          </w:tcPr>
          <w:p>
            <w:pPr>
              <w:pStyle w:val="TableContents"/>
              <w:bidi w:val="0"/>
              <w:spacing w:before="0" w:after="283"/>
              <w:jc w:val="center"/>
              <w:rPr/>
            </w:pPr>
            <w:r>
              <w:rPr>
                <w:b/>
              </w:rPr>
              <w:t>Keefe, Bruyette &amp; Woods,</w:t>
              <w:br/>
            </w:r>
            <w:r>
              <w:rPr/>
              <w:t>   </w:t>
            </w:r>
            <w:r>
              <w:rPr>
                <w:b/>
                <w:i/>
              </w:rPr>
              <w:t>A Stifel Company</w:t>
            </w:r>
          </w:p>
        </w:tc>
        <w:tc>
          <w:tcPr>
            <w:tcW w:w="117"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20"/>
              <w:jc w:val="center"/>
              <w:rPr>
                <w:rFonts w:ascii="Times New Roman" w:hAnsi="Times New Roman"/>
                <w:b/>
                <w:sz w:val="22"/>
              </w:rPr>
            </w:pPr>
            <w:r>
              <w:rPr>
                <w:rFonts w:ascii="Times New Roman" w:hAnsi="Times New Roman"/>
                <w:b/>
                <w:sz w:val="22"/>
              </w:rPr>
              <w:t>Raymond James</w:t>
            </w:r>
          </w:p>
        </w:tc>
      </w:tr>
    </w:tbl>
    <w:tbl>
      <w:tblPr>
        <w:tblW w:w="5000" w:type="pct"/>
        <w:jc w:val="left"/>
        <w:tblInd w:w="0" w:type="dxa"/>
        <w:tblLayout w:type="fixed"/>
        <w:tblCellMar>
          <w:top w:w="0" w:type="dxa"/>
          <w:left w:w="0" w:type="dxa"/>
          <w:bottom w:w="0" w:type="dxa"/>
          <w:right w:w="0" w:type="dxa"/>
        </w:tblCellMar>
      </w:tblPr>
      <w:tblGrid>
        <w:gridCol w:w="2151"/>
        <w:gridCol w:w="108"/>
        <w:gridCol w:w="2252"/>
        <w:gridCol w:w="956"/>
        <w:gridCol w:w="2254"/>
        <w:gridCol w:w="108"/>
        <w:gridCol w:w="2376"/>
      </w:tblGrid>
      <w:tr>
        <w:trPr/>
        <w:tc>
          <w:tcPr>
            <w:tcW w:w="215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956" w:type="dxa"/>
            <w:tcBorders/>
            <w:vAlign w:val="bottom"/>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151" w:type="dxa"/>
            <w:tcBorders/>
            <w:vAlign w:val="center"/>
          </w:tcPr>
          <w:p>
            <w:pPr>
              <w:pStyle w:val="TableContents"/>
              <w:bidi w:val="0"/>
              <w:spacing w:before="0" w:after="283"/>
              <w:jc w:val="left"/>
              <w:rPr>
                <w:sz w:val="4"/>
                <w:szCs w:val="4"/>
              </w:rPr>
            </w:pPr>
            <w:r>
              <w:rPr>
                <w:sz w:val="4"/>
                <w:szCs w:val="4"/>
              </w:rPr>
            </w:r>
          </w:p>
        </w:tc>
        <w:tc>
          <w:tcPr>
            <w:tcW w:w="5570" w:type="dxa"/>
            <w:gridSpan w:val="4"/>
            <w:tcBorders/>
            <w:vAlign w:val="center"/>
          </w:tcPr>
          <w:p>
            <w:pPr>
              <w:pStyle w:val="TableContents"/>
              <w:bidi w:val="0"/>
              <w:spacing w:before="0" w:after="283"/>
              <w:jc w:val="left"/>
              <w:rPr>
                <w:sz w:val="4"/>
                <w:szCs w:val="4"/>
              </w:rPr>
            </w:pPr>
            <w:r>
              <w:rPr>
                <w:sz w:val="4"/>
                <w:szCs w:val="4"/>
              </w:rPr>
            </w:r>
          </w:p>
        </w:tc>
        <w:tc>
          <w:tcPr>
            <w:tcW w:w="2484" w:type="dxa"/>
            <w:gridSpan w:val="2"/>
            <w:tcBorders/>
            <w:vAlign w:val="center"/>
          </w:tcPr>
          <w:p>
            <w:pPr>
              <w:pStyle w:val="TableContents"/>
              <w:bidi w:val="0"/>
              <w:spacing w:before="0" w:after="283"/>
              <w:jc w:val="left"/>
              <w:rPr>
                <w:sz w:val="4"/>
                <w:szCs w:val="4"/>
              </w:rPr>
            </w:pPr>
            <w:r>
              <w:rPr>
                <w:sz w:val="4"/>
                <w:szCs w:val="4"/>
              </w:rPr>
            </w:r>
          </w:p>
        </w:tc>
      </w:tr>
      <w:tr>
        <w:trPr/>
        <w:tc>
          <w:tcPr>
            <w:tcW w:w="2151" w:type="dxa"/>
            <w:tcBorders/>
            <w:vAlign w:val="bottom"/>
          </w:tcPr>
          <w:p>
            <w:pPr>
              <w:pStyle w:val="TableContents"/>
              <w:bidi w:val="0"/>
              <w:spacing w:before="0" w:after="283"/>
              <w:jc w:val="left"/>
              <w:rPr>
                <w:b/>
              </w:rPr>
            </w:pPr>
            <w:r>
              <w:rPr>
                <w:b/>
              </w:rPr>
              <w:t>Citigroup</w:t>
            </w:r>
          </w:p>
        </w:tc>
        <w:tc>
          <w:tcPr>
            <w:tcW w:w="108" w:type="dxa"/>
            <w:tcBorders/>
            <w:vAlign w:val="bottom"/>
          </w:tcPr>
          <w:p>
            <w:pPr>
              <w:pStyle w:val="TableContents"/>
              <w:bidi w:val="0"/>
              <w:spacing w:before="0" w:after="283"/>
              <w:jc w:val="left"/>
              <w:rPr/>
            </w:pPr>
            <w:r>
              <w:rPr/>
              <w:t> </w:t>
            </w:r>
          </w:p>
        </w:tc>
        <w:tc>
          <w:tcPr>
            <w:tcW w:w="5462" w:type="dxa"/>
            <w:gridSpan w:val="3"/>
            <w:tcBorders/>
          </w:tcPr>
          <w:p>
            <w:pPr>
              <w:pStyle w:val="TableContents"/>
              <w:bidi w:val="0"/>
              <w:spacing w:before="0" w:after="283"/>
              <w:jc w:val="center"/>
              <w:rPr>
                <w:b/>
              </w:rPr>
            </w:pPr>
            <w:r>
              <w:rPr>
                <w:b/>
              </w:rPr>
              <w:t>Goldman Sachs &amp; Co. LLC</w:t>
            </w:r>
          </w:p>
        </w:tc>
        <w:tc>
          <w:tcPr>
            <w:tcW w:w="108"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right"/>
              <w:rPr>
                <w:b/>
              </w:rPr>
            </w:pPr>
            <w:r>
              <w:rPr>
                <w:b/>
              </w:rPr>
              <w:t>J.P. Morgan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960" w:after="0"/>
        <w:jc w:val="center"/>
        <w:rPr/>
      </w:pPr>
      <w:r>
        <w:rPr/>
        <w:t>    </w:t>
      </w:r>
      <w:r>
        <w:rPr>
          <w:rFonts w:ascii="Times New Roman" w:hAnsi="Times New Roman"/>
          <w:b/>
          <w:sz w:val="20"/>
        </w:rPr>
        <w:t xml:space="preserve">,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08655/000095017024015845/tslx-20231231.htm" TargetMode="External"/><Relationship Id="rId4" Type="http://schemas.openxmlformats.org/officeDocument/2006/relationships/hyperlink" Target="http://www.sec.gov/Archives/edgar/data/../../../ix?doc=/Archives/edgar/data/1508655/000119312524008558/d652899d8k.htm" TargetMode="External"/><Relationship Id="rId5" Type="http://schemas.openxmlformats.org/officeDocument/2006/relationships/hyperlink" Target="http://www.sec.gov/Archives/edgar/data/1508655/000119312523100535/d393322ddef14a.htm" TargetMode="External"/><Relationship Id="rId6" Type="http://schemas.openxmlformats.org/officeDocument/2006/relationships/image" Target="media/image1.jpeg"/><Relationship Id="rId7" Type="http://schemas.openxmlformats.org/officeDocument/2006/relationships/hyperlink" Target="http://www.sec.gov/Archives/edgar/data/../../../ix?doc=/Archives/edgar/data/1508655/000095017023003042/tslx-20221231.htm" TargetMode="External"/><Relationship Id="rId8" Type="http://schemas.openxmlformats.org/officeDocument/2006/relationships/hyperlink" Target="http://www.sec.gov/Archives/edgar/data/1508655/000119312523100535/d393322ddef14a.htm" TargetMode="External"/><Relationship Id="rId9" Type="http://schemas.openxmlformats.org/officeDocument/2006/relationships/hyperlink" Target="http://www.sec.gov/Archives/edgar/data/../../../ix?doc=/Archives/edgar/data/1508655/000095017023018777/tslx-20230331.htm" TargetMode="External"/><Relationship Id="rId10" Type="http://schemas.openxmlformats.org/officeDocument/2006/relationships/hyperlink" Target="http://www.sec.gov/Archives/edgar/data/../../../ix?doc=/Archives/edgar/data/1508655/000095017023038066/tslx-20230630.htm" TargetMode="External"/><Relationship Id="rId11" Type="http://schemas.openxmlformats.org/officeDocument/2006/relationships/hyperlink" Target="http://www.sec.gov/Archives/edgar/data/../../../ix?doc=/Archives/edgar/data/1508655/000095017023058321/tslx-20230930.htm" TargetMode="External"/><Relationship Id="rId12" Type="http://schemas.openxmlformats.org/officeDocument/2006/relationships/hyperlink" Target="http://www.sec.gov/Archives/edgar/data/../../../ix?doc=/Archives/edgar/data/1508655/000119312523144982/d509627d8k.htm" TargetMode="External"/><Relationship Id="rId13" Type="http://schemas.openxmlformats.org/officeDocument/2006/relationships/hyperlink" Target="http://www.sec.gov/Archives/edgar/data/../../../ix?doc=/Archives/edgar/data/1508655/000119312523155431/d495066d8k.htm" TargetMode="External"/><Relationship Id="rId14" Type="http://schemas.openxmlformats.org/officeDocument/2006/relationships/hyperlink" Target="http://www.sec.gov/Archives/edgar/data/../../../ix?doc=/Archives/edgar/data/1508655/000119312523165276/d509708d8k.htm" TargetMode="External"/><Relationship Id="rId15" Type="http://schemas.openxmlformats.org/officeDocument/2006/relationships/hyperlink" Target="http://www.sec.gov/Archives/edgar/data/../../../ix?doc=/Archives/edgar/data/1508655/000119312523165451/d509555d8k.htm" TargetMode="External"/><Relationship Id="rId16" Type="http://schemas.openxmlformats.org/officeDocument/2006/relationships/hyperlink" Target="http://www.sec.gov/Archives/edgar/data/../../../ix?doc=/Archives/edgar/data/1508655/000119312523187256/d513136d8k.htm" TargetMode="External"/><Relationship Id="rId17" Type="http://schemas.openxmlformats.org/officeDocument/2006/relationships/hyperlink" Target="http://www.sec.gov/Archives/edgar/data/../../../ix?doc=/Archives/edgar/data/1508655/000119312523188221/d534568d8ka.htm" TargetMode="External"/><Relationship Id="rId18" Type="http://schemas.openxmlformats.org/officeDocument/2006/relationships/hyperlink" Target="http://www.sec.gov/Archives/edgar/data/../../../ix?doc=/Archives/edgar/data/1508655/000119312523209093/d513738d8k.htm" TargetMode="External"/><Relationship Id="rId19" Type="http://schemas.openxmlformats.org/officeDocument/2006/relationships/hyperlink" Target="http://www.sec.gov/Archives/edgar/data/../../../ix?doc=/Archives/edgar/data/1508655/000119312523212327/d480136d8k.htm" TargetMode="External"/><Relationship Id="rId20" Type="http://schemas.openxmlformats.org/officeDocument/2006/relationships/hyperlink" Target="http://www.sec.gov/Archives/edgar/data/1508655/000119312514106230/d688211d8a12b.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127</Pages>
  <Words>65966</Words>
  <Characters>337292</Characters>
  <CharactersWithSpaces>409006</CharactersWithSpaces>
  <Paragraphs>15312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