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00" w:type="dxa"/>
            <w:vAlign w:val="bottom"/>
          </w:tcPr>
          <w:p>
            <w:pPr>
              <w:jc w:val="center"/>
              <w:ind w:right="233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ind w:left="100"/>
              <w:spacing w:after="0"/>
              <w:rPr>
                <w:sz w:val="20"/>
                <w:szCs w:val="20"/>
                <w:color w:val="auto"/>
              </w:rPr>
            </w:pPr>
            <w:r>
              <w:rPr>
                <w:rFonts w:ascii="Arial" w:cs="Arial" w:eastAsia="Arial" w:hAnsi="Arial"/>
                <w:sz w:val="18"/>
                <w:szCs w:val="18"/>
                <w:b w:val="1"/>
                <w:bCs w:val="1"/>
                <w:color w:val="auto"/>
              </w:rPr>
              <w:t>001-36364</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410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00" w:type="dxa"/>
            <w:vAlign w:val="bottom"/>
          </w:tcPr>
          <w:p>
            <w:pPr>
              <w:jc w:val="center"/>
              <w:ind w:right="231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00" w:type="dxa"/>
            <w:vAlign w:val="bottom"/>
          </w:tcPr>
          <w:p>
            <w:pPr>
              <w:jc w:val="center"/>
              <w:ind w:left="1159"/>
              <w:spacing w:after="0"/>
              <w:rPr>
                <w:sz w:val="20"/>
                <w:szCs w:val="20"/>
                <w:color w:val="auto"/>
              </w:rPr>
            </w:pPr>
            <w:r>
              <w:rPr>
                <w:rFonts w:ascii="Arial" w:cs="Arial" w:eastAsia="Arial" w:hAnsi="Arial"/>
                <w:sz w:val="18"/>
                <w:szCs w:val="18"/>
                <w:b w:val="1"/>
                <w:bCs w:val="1"/>
                <w:color w:val="auto"/>
                <w:w w:val="90"/>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00" w:type="dxa"/>
            <w:vAlign w:val="bottom"/>
          </w:tcPr>
          <w:p>
            <w:pPr>
              <w:jc w:val="center"/>
              <w:ind w:left="1159"/>
              <w:spacing w:after="0"/>
              <w:rPr>
                <w:sz w:val="20"/>
                <w:szCs w:val="20"/>
                <w:color w:val="auto"/>
              </w:rPr>
            </w:pPr>
            <w:r>
              <w:rPr>
                <w:rFonts w:ascii="Arial" w:cs="Arial" w:eastAsia="Arial" w:hAnsi="Arial"/>
                <w:sz w:val="18"/>
                <w:szCs w:val="18"/>
                <w:b w:val="1"/>
                <w:bCs w:val="1"/>
                <w:color w:val="auto"/>
                <w:w w:val="95"/>
              </w:rPr>
              <w:t>Dallas, TX</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100" w:type="dxa"/>
            <w:vAlign w:val="bottom"/>
          </w:tcPr>
          <w:p>
            <w:pPr>
              <w:jc w:val="center"/>
              <w:ind w:left="1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 –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of Stockholders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May 26, 2021, Sixth Street Specialty Lending, Inc. (the “Company”) held its annual meeting of stockholders. Stockholders considered two proposals as described in the Company’s proxy statement filed on April 13, 2021. The final results of the voting on each matter submitted to stockholders at the annual meeting are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 Election of Class I Directors. </w:t>
      </w:r>
      <w:r>
        <w:rPr>
          <w:rFonts w:ascii="Arial" w:cs="Arial" w:eastAsia="Arial" w:hAnsi="Arial"/>
          <w:sz w:val="18"/>
          <w:szCs w:val="18"/>
          <w:color w:val="auto"/>
        </w:rPr>
        <w:t>The stockholders elected the nominees for Class I director by the vote shown below.</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Nominee</w:t>
            </w:r>
          </w:p>
        </w:tc>
        <w:tc>
          <w:tcPr>
            <w:tcW w:w="480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w w:val="99"/>
              </w:rPr>
              <w:t>Votes “For”</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“Withheld”</w:t>
            </w:r>
          </w:p>
        </w:tc>
        <w:tc>
          <w:tcPr>
            <w:tcW w:w="1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Broker Non-Votes</w:t>
            </w: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Richard Higginbotham</w:t>
            </w: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25,544,942</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9,155,725</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19,640,642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860" w:type="dxa"/>
            <w:vAlign w:val="bottom"/>
          </w:tcPr>
          <w:p>
            <w:pPr>
              <w:ind w:left="40"/>
              <w:spacing w:after="0"/>
              <w:rPr>
                <w:sz w:val="20"/>
                <w:szCs w:val="20"/>
                <w:color w:val="auto"/>
              </w:rPr>
            </w:pPr>
            <w:r>
              <w:rPr>
                <w:rFonts w:ascii="Arial" w:cs="Arial" w:eastAsia="Arial" w:hAnsi="Arial"/>
                <w:sz w:val="18"/>
                <w:szCs w:val="18"/>
                <w:color w:val="auto"/>
                <w:w w:val="88"/>
              </w:rPr>
              <w:t>27,397,466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7,303,201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19,640,642</w:t>
            </w:r>
          </w:p>
        </w:tc>
        <w:tc>
          <w:tcPr>
            <w:tcW w:w="6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27,361,787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7,338,880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19,640,642</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Proposal 2 – Ratification of Appointment of Independent Registered Public Accounting Firm. </w:t>
      </w:r>
      <w:r>
        <w:rPr>
          <w:rFonts w:ascii="Arial" w:cs="Arial" w:eastAsia="Arial" w:hAnsi="Arial"/>
          <w:sz w:val="18"/>
          <w:szCs w:val="18"/>
          <w:color w:val="auto"/>
        </w:rPr>
        <w:t>The stockholders ratified the retention of KPMG</w:t>
      </w:r>
      <w:r>
        <w:rPr>
          <w:rFonts w:ascii="Arial" w:cs="Arial" w:eastAsia="Arial" w:hAnsi="Arial"/>
          <w:sz w:val="18"/>
          <w:szCs w:val="18"/>
          <w:b w:val="1"/>
          <w:bCs w:val="1"/>
          <w:color w:val="auto"/>
        </w:rPr>
        <w:t xml:space="preserve"> </w:t>
      </w:r>
      <w:r>
        <w:rPr>
          <w:rFonts w:ascii="Arial" w:cs="Arial" w:eastAsia="Arial" w:hAnsi="Arial"/>
          <w:sz w:val="18"/>
          <w:szCs w:val="18"/>
          <w:color w:val="auto"/>
        </w:rPr>
        <w:t>LLP as our independent registered public accounting firm for the fiscal year ending December 31, 2021.</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Votes “For”</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Votes “Against”</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2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53,857,674</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rPr>
              <w:t>324,523</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159,112</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color w:val="auto"/>
              </w:rPr>
              <w:t>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May 26, 2021, the Company also held a special meeting of stockholders. Stockholders considered one proposal as described in the Company’s proxy statement filed on April 13, 2021. The final results of the voting on the matter submitted to stockholders at the special meeting are set forth below.</w:t>
      </w:r>
    </w:p>
    <w:p>
      <w:pPr>
        <w:spacing w:after="0" w:line="120" w:lineRule="exact"/>
        <w:rPr>
          <w:sz w:val="20"/>
          <w:szCs w:val="20"/>
          <w:color w:val="auto"/>
        </w:rPr>
      </w:pPr>
    </w:p>
    <w:p>
      <w:pPr>
        <w:jc w:val="both"/>
        <w:ind w:right="80"/>
        <w:spacing w:after="0" w:line="281" w:lineRule="auto"/>
        <w:rPr>
          <w:sz w:val="20"/>
          <w:szCs w:val="20"/>
          <w:color w:val="auto"/>
        </w:rPr>
      </w:pPr>
      <w:r>
        <w:rPr>
          <w:rFonts w:ascii="Arial" w:cs="Arial" w:eastAsia="Arial" w:hAnsi="Arial"/>
          <w:sz w:val="17"/>
          <w:szCs w:val="17"/>
          <w:b w:val="1"/>
          <w:bCs w:val="1"/>
          <w:color w:val="auto"/>
        </w:rPr>
        <w:t xml:space="preserve">Proposal 1 – Sales of Common Stock Below NAV. </w:t>
      </w:r>
      <w:r>
        <w:rPr>
          <w:rFonts w:ascii="Arial" w:cs="Arial" w:eastAsia="Arial" w:hAnsi="Arial"/>
          <w:sz w:val="17"/>
          <w:szCs w:val="17"/>
          <w:color w:val="auto"/>
        </w:rPr>
        <w:t>The stockholders approved the proposal to authorize the Company to sell or otherwise issue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its common stock at a price below its then-current net asset value per share in one or more offerings, in each case subject to the approval of its board of directors and subject to certain conditions as set forth in the proxy statement (including that the number of shares issued does not exceed 25% of the Company’s then-outstanding common stock immediately prior to each such offering), by the vote shown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including affiliated and unaffiliated shares, was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Votes “For”</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Votes “Against”</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2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38,497,273</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rPr>
              <w:t>3,632,702</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668,207</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adjusted for 11,171,550 affiliated shares, was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Votes “For”</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Votes “Against”</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2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27,459,444</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rPr>
              <w:t>3,632,702</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534,486</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jc w:val="center"/>
        <w:ind w:left="354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500" w:val="left"/>
          <w:tab w:leader="none" w:pos="5920" w:val="left"/>
        </w:tabs>
        <w:rPr>
          <w:sz w:val="20"/>
          <w:szCs w:val="20"/>
          <w:color w:val="auto"/>
        </w:rPr>
      </w:pPr>
      <w:r>
        <w:rPr>
          <w:rFonts w:ascii="Arial" w:cs="Arial" w:eastAsia="Arial" w:hAnsi="Arial"/>
          <w:sz w:val="18"/>
          <w:szCs w:val="18"/>
          <w:color w:val="auto"/>
        </w:rPr>
        <w:t>Date: May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2021-05-27T20:35:27Z</dcterms:created>
  <dcterms:modified xsi:type="dcterms:W3CDTF">2021-05-27T20:35:27Z</dcterms:modified>
</cp:coreProperties>
</file>