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164465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207010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18"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227965</wp:posOffset>
            </wp:positionV>
            <wp:extent cx="1524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238760</wp:posOffset>
            </wp:positionV>
            <wp:extent cx="152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CURRENT REPORT</w:t>
      </w:r>
    </w:p>
    <w:p>
      <w:pPr>
        <w:spacing w:after="0" w:line="18"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Pursuant to Section 13 or 15(d)</w:t>
      </w:r>
    </w:p>
    <w:p>
      <w:pPr>
        <w:jc w:val="center"/>
        <w:ind w:right="-31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5" w:lineRule="exact"/>
        <w:rPr>
          <w:sz w:val="24"/>
          <w:szCs w:val="24"/>
          <w:color w:val="auto"/>
        </w:rPr>
      </w:pPr>
    </w:p>
    <w:p>
      <w:pPr>
        <w:ind w:left="2960"/>
        <w:spacing w:after="0"/>
        <w:rPr>
          <w:sz w:val="20"/>
          <w:szCs w:val="20"/>
          <w:color w:val="auto"/>
        </w:rPr>
      </w:pPr>
      <w:r>
        <w:rPr>
          <w:rFonts w:ascii="Arial" w:cs="Arial" w:eastAsia="Arial" w:hAnsi="Arial"/>
          <w:sz w:val="21"/>
          <w:szCs w:val="21"/>
          <w:b w:val="1"/>
          <w:bCs w:val="1"/>
          <w:color w:val="auto"/>
        </w:rPr>
        <w:t>Date of Report (Date of earliest event reported): June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234315</wp:posOffset>
            </wp:positionV>
            <wp:extent cx="1524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319"/>
        <w:spacing w:after="0"/>
        <w:rPr>
          <w:sz w:val="20"/>
          <w:szCs w:val="20"/>
          <w:color w:val="auto"/>
        </w:rPr>
      </w:pPr>
      <w:r>
        <w:rPr>
          <w:rFonts w:ascii="Arial" w:cs="Arial" w:eastAsia="Arial" w:hAnsi="Arial"/>
          <w:sz w:val="42"/>
          <w:szCs w:val="42"/>
          <w:b w:val="1"/>
          <w:bCs w:val="1"/>
          <w:color w:val="auto"/>
        </w:rPr>
        <w:t>TPG Specialty Lending, Inc.</w:t>
      </w:r>
    </w:p>
    <w:p>
      <w:pPr>
        <w:spacing w:after="0" w:line="5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229870</wp:posOffset>
            </wp:positionV>
            <wp:extent cx="1524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ectPr>
          <w:pgSz w:w="11900" w:h="16838" w:orient="portrait"/>
          <w:cols w:equalWidth="0" w:num="1">
            <w:col w:w="11100"/>
          </w:cols>
          <w:pgMar w:left="240" w:top="36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27-3380000</w:t>
      </w:r>
    </w:p>
    <w:p>
      <w:pPr>
        <w:spacing w:after="0" w:line="36" w:lineRule="exact"/>
        <w:rPr>
          <w:sz w:val="24"/>
          <w:szCs w:val="24"/>
          <w:color w:val="auto"/>
        </w:rPr>
      </w:pPr>
    </w:p>
    <w:p>
      <w:pPr>
        <w:sectPr>
          <w:pgSz w:w="11900" w:h="16838" w:orient="portrait"/>
          <w:cols w:equalWidth="0" w:num="3">
            <w:col w:w="4740" w:space="720"/>
            <w:col w:w="3000" w:space="720"/>
            <w:col w:w="1920"/>
          </w:cols>
          <w:pgMar w:left="240" w:top="364" w:right="559" w:bottom="1440" w:gutter="0" w:footer="0" w:header="0"/>
          <w:type w:val="continuous"/>
        </w:sectPr>
      </w:pP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2"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(Commission</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880" w:space="720"/>
            <w:col w:w="2060"/>
          </w:cols>
          <w:pgMar w:left="240" w:top="364" w:right="559" w:bottom="1440" w:gutter="0" w:footer="0" w:header="0"/>
          <w:type w:val="continuous"/>
        </w:sectPr>
      </w:pPr>
    </w:p>
    <w:p>
      <w:pPr>
        <w:spacing w:after="0" w:line="25" w:lineRule="exact"/>
        <w:rPr>
          <w:sz w:val="24"/>
          <w:szCs w:val="24"/>
          <w:color w:val="auto"/>
        </w:rPr>
      </w:pPr>
    </w:p>
    <w:p>
      <w:pPr>
        <w:jc w:val="center"/>
        <w:ind w:right="1940"/>
        <w:spacing w:after="0"/>
        <w:rPr>
          <w:sz w:val="20"/>
          <w:szCs w:val="20"/>
          <w:color w:val="auto"/>
        </w:rPr>
      </w:pPr>
      <w:r>
        <w:rPr>
          <w:rFonts w:ascii="Arial" w:cs="Arial" w:eastAsia="Arial" w:hAnsi="Arial"/>
          <w:sz w:val="15"/>
          <w:szCs w:val="15"/>
          <w:b w:val="1"/>
          <w:bCs w:val="1"/>
          <w:color w:val="auto"/>
        </w:rPr>
        <w:t>301 Commerce Street, Suite 3300</w:t>
      </w:r>
    </w:p>
    <w:p>
      <w:pPr>
        <w:spacing w:after="0" w:line="5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56" w:lineRule="exact"/>
        <w:rPr>
          <w:sz w:val="24"/>
          <w:szCs w:val="24"/>
          <w:color w:val="auto"/>
        </w:rPr>
      </w:pPr>
    </w:p>
    <w:p>
      <w:pPr>
        <w:sectPr>
          <w:pgSz w:w="11900" w:h="16838" w:orient="portrait"/>
          <w:cols w:equalWidth="0" w:num="2">
            <w:col w:w="7720" w:space="720"/>
            <w:col w:w="2660"/>
          </w:cols>
          <w:pgMar w:left="240" w:top="364" w:right="55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1" w:lineRule="exact"/>
        <w:rPr>
          <w:sz w:val="24"/>
          <w:szCs w:val="24"/>
          <w:color w:val="auto"/>
        </w:rPr>
      </w:pPr>
    </w:p>
    <w:p>
      <w:pPr>
        <w:sectPr>
          <w:pgSz w:w="11900" w:h="16838" w:orient="portrait"/>
          <w:cols w:equalWidth="0" w:num="2">
            <w:col w:w="7600" w:space="720"/>
            <w:col w:w="2780"/>
          </w:cols>
          <w:pgMar w:left="240" w:top="364" w:right="559" w:bottom="1440" w:gutter="0" w:footer="0" w:header="0"/>
          <w:type w:val="continuous"/>
        </w:sect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242570</wp:posOffset>
            </wp:positionV>
            <wp:extent cx="152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7" w:lineRule="exact"/>
        <w:rPr>
          <w:sz w:val="24"/>
          <w:szCs w:val="24"/>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4" w:lineRule="exact"/>
        <w:rPr>
          <w:rFonts w:ascii="MS PGothic" w:cs="MS PGothic" w:eastAsia="MS PGothic" w:hAnsi="MS PGothic"/>
          <w:sz w:val="18"/>
          <w:szCs w:val="18"/>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4" w:lineRule="exact"/>
        <w:rPr>
          <w:rFonts w:ascii="MS PGothic" w:cs="MS PGothic" w:eastAsia="MS PGothic" w:hAnsi="MS PGothic"/>
          <w:sz w:val="18"/>
          <w:szCs w:val="18"/>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4" w:lineRule="exact"/>
        <w:rPr>
          <w:rFonts w:ascii="MS PGothic" w:cs="MS PGothic" w:eastAsia="MS PGothic" w:hAnsi="MS PGothic"/>
          <w:sz w:val="18"/>
          <w:szCs w:val="18"/>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196215</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100"/>
          </w:cols>
          <w:pgMar w:left="240" w:top="364"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Item 1.01 – Entry into a Material Definitive Agreement</w:t>
      </w:r>
    </w:p>
    <w:p>
      <w:pPr>
        <w:spacing w:after="0" w:line="117" w:lineRule="exact"/>
        <w:rPr>
          <w:sz w:val="20"/>
          <w:szCs w:val="20"/>
          <w:color w:val="auto"/>
        </w:rPr>
      </w:pPr>
    </w:p>
    <w:p>
      <w:pPr>
        <w:ind w:right="20" w:firstLine="457"/>
        <w:spacing w:after="0" w:line="309" w:lineRule="auto"/>
        <w:rPr>
          <w:sz w:val="20"/>
          <w:szCs w:val="20"/>
          <w:color w:val="auto"/>
        </w:rPr>
      </w:pPr>
      <w:r>
        <w:rPr>
          <w:rFonts w:ascii="Arial" w:cs="Arial" w:eastAsia="Arial" w:hAnsi="Arial"/>
          <w:sz w:val="15"/>
          <w:szCs w:val="15"/>
          <w:color w:val="auto"/>
        </w:rPr>
        <w:t>On June 10, 2014, in connection with a previously announced private offering, TPG Specialty Lending (“the Company”), issued $115 million aggregate principal amount of 4.50% Convertible Senior Notes due 2019 (the “Convertible Senior Notes”), which amount includes $15 million aggregate principal amount of Convertible Senior Notes issued pursuant to the initial purchasers’ exercise in full of their over-allotment option. The Convertible Senior Notes were issued pursuant to an Indenture, dated June 10, 2014 (the “Indenture”), between the Company and Wells Fargo Bank, National Association, as trustee (the “Trustee”). The sale of the Convertible Senior Notes generated net proceeds of approximately $110.1 million. Aggregate estimated offering expenses in connection with the transaction, including the initial purchasers’ discount of approximately $3.5 million, were approximately $4.9 million.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today used the net proceeds of this offering to pay down debt under its revolving credit facility.</w:t>
      </w:r>
    </w:p>
    <w:p>
      <w:pPr>
        <w:spacing w:after="0" w:line="217" w:lineRule="exact"/>
        <w:rPr>
          <w:sz w:val="20"/>
          <w:szCs w:val="20"/>
          <w:color w:val="auto"/>
        </w:rPr>
      </w:pPr>
    </w:p>
    <w:p>
      <w:pPr>
        <w:ind w:right="100" w:firstLine="457"/>
        <w:spacing w:after="0" w:line="307" w:lineRule="auto"/>
        <w:rPr>
          <w:sz w:val="20"/>
          <w:szCs w:val="20"/>
          <w:color w:val="auto"/>
        </w:rPr>
      </w:pPr>
      <w:r>
        <w:rPr>
          <w:rFonts w:ascii="Arial" w:cs="Arial" w:eastAsia="Arial" w:hAnsi="Arial"/>
          <w:sz w:val="15"/>
          <w:szCs w:val="15"/>
          <w:color w:val="auto"/>
        </w:rPr>
        <w:t>The Convertible Senior Notes mature on December 15, 2019 (the “Maturity Date”), unless previously converted or repurchased in accordance with their terms. The Convertible Senior Notes bear interest at a rate of 4.50% per year payable semiannually in arrears on June 15 and December 15 of each year, commencing on December 15, 2014. 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existing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53" w:lineRule="exact"/>
        <w:rPr>
          <w:sz w:val="20"/>
          <w:szCs w:val="20"/>
          <w:color w:val="auto"/>
        </w:rPr>
      </w:pPr>
    </w:p>
    <w:p>
      <w:pPr>
        <w:ind w:right="160" w:firstLine="457"/>
        <w:spacing w:after="0" w:line="307" w:lineRule="auto"/>
        <w:rPr>
          <w:sz w:val="20"/>
          <w:szCs w:val="20"/>
          <w:color w:val="auto"/>
        </w:rPr>
      </w:pPr>
      <w:r>
        <w:rPr>
          <w:rFonts w:ascii="Arial" w:cs="Arial" w:eastAsia="Arial" w:hAnsi="Arial"/>
          <w:sz w:val="15"/>
          <w:szCs w:val="15"/>
          <w:color w:val="auto"/>
        </w:rPr>
        <w:t>Prior to the close of business on the business day immediately preceding June 15, 2019, holders may convert their Convertible Senior Notes only under certain circumstances set forth in the Indenture. On or after June 15, 2019 until the close of business on the scheduled trading day immediately preceding the Maturity Date, holders may convert their Convertible Senior Notes at any time. Upon conversion, the Company will pay or deliver, as the case may be, at its election, cash, shares of its common stock or a combination of cash and shares of its common stock. The conversion rate is initially 38.7162 shares of common stock per $1,000 principal amount of Convertible Senior Notes (equivalent to an initial conversion price of approximately $25.83 per share of common stock). The conversion rate will be subject to adjustment in some events but will not be adjusted for any accrued and unpaid interest. In addition, if certain corporate events occur prior to the Maturity Date, the conversion rate will be increased for converting holders.</w:t>
      </w:r>
    </w:p>
    <w:p>
      <w:pPr>
        <w:spacing w:after="0" w:line="153"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It is the Company’s current intent and policy to settle conversions through a combination of cash and shares of its common stock with a specified dollar amount of $1,000, and the Company expects to account for the Convertible Senior Notes using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w:t>
      </w:r>
    </w:p>
    <w:p>
      <w:pPr>
        <w:spacing w:after="0" w:line="191"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The Company may not redeem the Convertible Senior Notes at its option prior to maturity. No sinking fund is provided for the Convertible Senior Notes. In addition, if certain corporate events occur in respect of the Company, holders of the Convertible Senior Notes may require the Company to repurchase for cash all or part of their Convertible Senior Notes at a repurchase price equal to 100% of the principal amount of the Convertible Senior Notes to be repurchased, plus accrued and unpaid interest through, but excluding, the required repurchase date.</w:t>
      </w:r>
    </w:p>
    <w:p>
      <w:pPr>
        <w:spacing w:after="0" w:line="178"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The Indenture contains certain covenants, including covenants requiring the Company to comply with Section 18(a)(1)(A) as modified by Section 61(a)(1) of the Investment Company Act of 1940, as amended, and to provide financial information to the holders of the Convertible Senior Notes and the Trustee if the Company ceases to be subject to the reporting requirements of the Securities Exchange Act of 1934, as amended. These covenants are subject to important limitations and exceptions that are described in the Indenture.</w:t>
      </w:r>
    </w:p>
    <w:p>
      <w:pPr>
        <w:sectPr>
          <w:pgSz w:w="11900" w:h="16838" w:orient="portrait"/>
          <w:cols w:equalWidth="0" w:num="1">
            <w:col w:w="11400"/>
          </w:cols>
          <w:pgMar w:left="240" w:top="267" w:right="259" w:bottom="1440" w:gutter="0" w:footer="0" w:header="0"/>
        </w:sectPr>
      </w:pPr>
    </w:p>
    <w:bookmarkStart w:id="2" w:name="page3"/>
    <w:bookmarkEnd w:id="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Company offered and sold the Convertible Senior Notes to the initial purchasers in reliance on the exemption from registration provided by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4(a)(2) of the Securities Act of 1933, as amended (the “Securities Act”), for resale by the initial purchasers to qualified institutional buyers (as defined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Securities Act) pursuant to the exemption from registration provided by Rule 144A under the Securities Act. The Company relied on these exemptions from</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registration based in part on representations made by the initial purchasers in the purchase agreement executed in connection with the sale of the Convertible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Senior Notes, filed as an exhibit hereto.</w:t>
      </w:r>
    </w:p>
    <w:p>
      <w:pPr>
        <w:spacing w:after="0" w:line="206" w:lineRule="exact"/>
        <w:rPr>
          <w:sz w:val="20"/>
          <w:szCs w:val="20"/>
          <w:color w:val="auto"/>
        </w:rPr>
      </w:pPr>
    </w:p>
    <w:p>
      <w:pPr>
        <w:ind w:right="20" w:firstLine="457"/>
        <w:spacing w:after="0" w:line="255" w:lineRule="auto"/>
        <w:rPr>
          <w:sz w:val="20"/>
          <w:szCs w:val="20"/>
          <w:color w:val="auto"/>
        </w:rPr>
      </w:pPr>
      <w:r>
        <w:rPr>
          <w:rFonts w:ascii="Arial" w:cs="Arial" w:eastAsia="Arial" w:hAnsi="Arial"/>
          <w:sz w:val="18"/>
          <w:szCs w:val="18"/>
          <w:color w:val="auto"/>
        </w:rPr>
        <w:t>The foregoing description of the Indenture and the Convertible Senior Notes does not purport to be complete and is qualified in its entirety by reference to the full text of the Indenture (including the Form of the 4.50% Convertible Senior Notes due 2019), filed as an exhibit hereto and incorporated by reference herein.</w:t>
      </w:r>
    </w:p>
    <w:p>
      <w:pPr>
        <w:sectPr>
          <w:pgSz w:w="11900" w:h="16838" w:orient="portrait"/>
          <w:cols w:equalWidth="0" w:num="1">
            <w:col w:w="11400"/>
          </w:cols>
          <w:pgMar w:left="240" w:top="273" w:right="259" w:bottom="1440" w:gutter="0" w:footer="0" w:header="0"/>
        </w:sectPr>
      </w:pPr>
    </w:p>
    <w:bookmarkStart w:id="3" w:name="page4"/>
    <w:bookmarkEnd w:id="3"/>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Neither the Convertible Senior Notes nor the common stock that may be issued upon conversion thereof will be registered under the Securities Act. Neither the Convertible Senior Notes nor the common stock that may be issued upon conversion thereof may be offered or sold in the United States absent registration or an applicable exemption from the registration requirements of the Securities Act. This Current Report on Form 8-K does not constitute an offer to sell, or a solicitation of an offer to buy, any security and shall not constitute an offer, solicitation or sale in any jurisdiction in which such offer, solicitation or sale would be unlawful.</w:t>
      </w:r>
    </w:p>
    <w:p>
      <w:pPr>
        <w:spacing w:after="0" w:line="295" w:lineRule="exact"/>
        <w:rPr>
          <w:sz w:val="20"/>
          <w:szCs w:val="20"/>
          <w:color w:val="auto"/>
        </w:rPr>
      </w:pPr>
    </w:p>
    <w:p>
      <w:pPr>
        <w:ind w:right="1680"/>
        <w:spacing w:after="0" w:line="395" w:lineRule="auto"/>
        <w:rPr>
          <w:sz w:val="20"/>
          <w:szCs w:val="20"/>
          <w:color w:val="auto"/>
        </w:rPr>
      </w:pPr>
      <w:r>
        <w:rPr>
          <w:rFonts w:ascii="Arial" w:cs="Arial" w:eastAsia="Arial" w:hAnsi="Arial"/>
          <w:sz w:val="18"/>
          <w:szCs w:val="18"/>
          <w:b w:val="1"/>
          <w:bCs w:val="1"/>
          <w:color w:val="auto"/>
        </w:rPr>
        <w:t xml:space="preserve">Item 2.03 – Creation of a Direct Financial Obligation or an Obligation Under an Off-Balance Sheet Arrangement of a Registrant </w:t>
      </w:r>
      <w:r>
        <w:rPr>
          <w:rFonts w:ascii="Arial" w:cs="Arial" w:eastAsia="Arial" w:hAnsi="Arial"/>
          <w:sz w:val="18"/>
          <w:szCs w:val="18"/>
          <w:color w:val="auto"/>
        </w:rPr>
        <w:t>The information set forth under Item 1.01 of this Form 8-K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 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Form 8-K is incorporated herein by reference.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0" w:lineRule="exact"/>
        <w:rPr>
          <w:sz w:val="20"/>
          <w:szCs w:val="20"/>
          <w:color w:val="auto"/>
        </w:rPr>
      </w:pPr>
    </w:p>
    <w:p>
      <w:pPr>
        <w:ind w:left="460" w:hanging="45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vMerge w:val="restart"/>
          </w:tcPr>
          <w:p>
            <w:pPr>
              <w:spacing w:after="0"/>
              <w:rPr>
                <w:sz w:val="14"/>
                <w:szCs w:val="1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vMerge w:val="continue"/>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740" w:type="dxa"/>
            <w:vAlign w:val="bottom"/>
            <w:gridSpan w:val="3"/>
          </w:tcPr>
          <w:p>
            <w:pPr>
              <w:ind w:left="660"/>
              <w:spacing w:after="0"/>
              <w:rPr>
                <w:sz w:val="20"/>
                <w:szCs w:val="20"/>
                <w:color w:val="auto"/>
              </w:rPr>
            </w:pPr>
            <w:r>
              <w:rPr>
                <w:rFonts w:ascii="Arial" w:cs="Arial" w:eastAsia="Arial" w:hAnsi="Arial"/>
                <w:sz w:val="18"/>
                <w:szCs w:val="18"/>
                <w:color w:val="auto"/>
                <w:w w:val="99"/>
              </w:rPr>
              <w:t>Indenture, dated June 10, 2014, between TPG Specialty Lending, Inc. and Wells Fargo Bank, National Association, as Trustee</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740" w:type="dxa"/>
            <w:vAlign w:val="bottom"/>
            <w:gridSpan w:val="3"/>
          </w:tcPr>
          <w:p>
            <w:pPr>
              <w:ind w:left="660"/>
              <w:spacing w:after="0"/>
              <w:rPr>
                <w:sz w:val="20"/>
                <w:szCs w:val="20"/>
                <w:color w:val="auto"/>
              </w:rPr>
            </w:pPr>
            <w:r>
              <w:rPr>
                <w:rFonts w:ascii="Arial" w:cs="Arial" w:eastAsia="Arial" w:hAnsi="Arial"/>
                <w:sz w:val="18"/>
                <w:szCs w:val="18"/>
                <w:color w:val="auto"/>
              </w:rPr>
              <w:t>Form of 4.50% Convertible Senior Note Due 2019 (included as part of Exhibit 4.1)</w:t>
            </w:r>
          </w:p>
        </w:tc>
        <w:tc>
          <w:tcPr>
            <w:tcW w:w="0" w:type="dxa"/>
            <w:vAlign w:val="bottom"/>
          </w:tcPr>
          <w:p>
            <w:pPr>
              <w:spacing w:after="0"/>
              <w:rPr>
                <w:sz w:val="1"/>
                <w:szCs w:val="1"/>
                <w:color w:val="auto"/>
              </w:rPr>
            </w:pPr>
          </w:p>
        </w:tc>
      </w:tr>
      <w:tr>
        <w:trPr>
          <w:trHeight w:val="307"/>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740" w:type="dxa"/>
            <w:vAlign w:val="bottom"/>
            <w:gridSpan w:val="3"/>
          </w:tcPr>
          <w:p>
            <w:pPr>
              <w:ind w:left="660"/>
              <w:spacing w:after="0"/>
              <w:rPr>
                <w:sz w:val="20"/>
                <w:szCs w:val="20"/>
                <w:color w:val="auto"/>
              </w:rPr>
            </w:pPr>
            <w:r>
              <w:rPr>
                <w:rFonts w:ascii="Arial" w:cs="Arial" w:eastAsia="Arial" w:hAnsi="Arial"/>
                <w:sz w:val="18"/>
                <w:szCs w:val="18"/>
                <w:color w:val="auto"/>
                <w:w w:val="88"/>
              </w:rPr>
              <w:t>Purchase Agreement, dated June 4, 2014, among TPG Specialty Lending, Inc., TSL Advisers, LLC and the several initial purchasers named in</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740" w:type="dxa"/>
            <w:vAlign w:val="bottom"/>
            <w:gridSpan w:val="3"/>
          </w:tcPr>
          <w:p>
            <w:pPr>
              <w:ind w:left="660"/>
              <w:spacing w:after="0"/>
              <w:rPr>
                <w:sz w:val="20"/>
                <w:szCs w:val="20"/>
                <w:color w:val="auto"/>
              </w:rPr>
            </w:pPr>
            <w:r>
              <w:rPr>
                <w:rFonts w:ascii="Arial" w:cs="Arial" w:eastAsia="Arial" w:hAnsi="Arial"/>
                <w:sz w:val="18"/>
                <w:szCs w:val="18"/>
                <w:color w:val="auto"/>
              </w:rPr>
              <w:t>Schedule 1 thereto</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3" w:right="29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SIGNATURES</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TPG SPECIALTY LENDING, INC.</w:t>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June 10, 2014</w:t>
      </w:r>
      <w:r>
        <w:rPr>
          <w:sz w:val="20"/>
          <w:szCs w:val="20"/>
          <w:color w:val="auto"/>
        </w:rPr>
        <w:tab/>
      </w:r>
      <w:r>
        <w:rPr>
          <w:rFonts w:ascii="Arial" w:cs="Arial" w:eastAsia="Arial" w:hAnsi="Arial"/>
          <w:sz w:val="15"/>
          <w:szCs w:val="15"/>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11430</wp:posOffset>
            </wp:positionV>
            <wp:extent cx="3258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Alan Kirshenbaum</w:t>
      </w:r>
    </w:p>
    <w:p>
      <w:pPr>
        <w:spacing w:after="0" w:line="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60"/>
          </w:cols>
          <w:pgMar w:left="240" w:top="273"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0740" w:type="dxa"/>
            <w:vAlign w:val="bottom"/>
            <w:gridSpan w:val="5"/>
          </w:tcPr>
          <w:p>
            <w:pPr>
              <w:ind w:left="474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20"/>
        </w:trPr>
        <w:tc>
          <w:tcPr>
            <w:tcW w:w="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Exhibit</w:t>
            </w:r>
          </w:p>
        </w:tc>
        <w:tc>
          <w:tcPr>
            <w:tcW w:w="4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00" w:type="dxa"/>
            <w:vAlign w:val="bottom"/>
            <w:vMerge w:val="continue"/>
          </w:tcPr>
          <w:p>
            <w:pPr>
              <w:spacing w:after="0"/>
              <w:rPr>
                <w:sz w:val="24"/>
                <w:szCs w:val="24"/>
                <w:color w:val="auto"/>
              </w:rPr>
            </w:pPr>
          </w:p>
        </w:tc>
        <w:tc>
          <w:tcPr>
            <w:tcW w:w="4740" w:type="dxa"/>
            <w:vAlign w:val="bottom"/>
          </w:tcPr>
          <w:p>
            <w:pPr>
              <w:spacing w:after="0"/>
              <w:rPr>
                <w:sz w:val="24"/>
                <w:szCs w:val="24"/>
                <w:color w:val="auto"/>
              </w:rPr>
            </w:pPr>
          </w:p>
        </w:tc>
        <w:tc>
          <w:tcPr>
            <w:tcW w:w="700" w:type="dxa"/>
            <w:vAlign w:val="bottom"/>
            <w:vMerge w:val="restart"/>
          </w:tcPr>
          <w:p>
            <w:pPr>
              <w:spacing w:after="0"/>
              <w:rPr>
                <w:sz w:val="24"/>
                <w:szCs w:val="24"/>
                <w:color w:val="auto"/>
              </w:rPr>
            </w:pPr>
          </w:p>
        </w:tc>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47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740" w:type="dxa"/>
            <w:vAlign w:val="bottom"/>
            <w:gridSpan w:val="5"/>
          </w:tcPr>
          <w:p>
            <w:pPr>
              <w:ind w:left="660"/>
              <w:spacing w:after="0"/>
              <w:rPr>
                <w:sz w:val="20"/>
                <w:szCs w:val="20"/>
                <w:color w:val="auto"/>
              </w:rPr>
            </w:pPr>
            <w:r>
              <w:rPr>
                <w:rFonts w:ascii="Arial" w:cs="Arial" w:eastAsia="Arial" w:hAnsi="Arial"/>
                <w:sz w:val="18"/>
                <w:szCs w:val="18"/>
                <w:color w:val="auto"/>
                <w:w w:val="99"/>
              </w:rPr>
              <w:t>Indenture, dated June 10, 2014, between TPG Specialty Lending, Inc. and Wells Fargo Bank, National Association, as Trustee</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740" w:type="dxa"/>
            <w:vAlign w:val="bottom"/>
            <w:gridSpan w:val="5"/>
          </w:tcPr>
          <w:p>
            <w:pPr>
              <w:ind w:left="660"/>
              <w:spacing w:after="0"/>
              <w:rPr>
                <w:sz w:val="20"/>
                <w:szCs w:val="20"/>
                <w:color w:val="auto"/>
              </w:rPr>
            </w:pPr>
            <w:r>
              <w:rPr>
                <w:rFonts w:ascii="Arial" w:cs="Arial" w:eastAsia="Arial" w:hAnsi="Arial"/>
                <w:sz w:val="18"/>
                <w:szCs w:val="18"/>
                <w:color w:val="auto"/>
              </w:rPr>
              <w:t>Form of 4.50% Convertible Senior Note Due 2019 (included as part of Exhibit 4.1)</w:t>
            </w:r>
          </w:p>
        </w:tc>
        <w:tc>
          <w:tcPr>
            <w:tcW w:w="0" w:type="dxa"/>
            <w:vAlign w:val="bottom"/>
          </w:tcPr>
          <w:p>
            <w:pPr>
              <w:spacing w:after="0"/>
              <w:rPr>
                <w:sz w:val="1"/>
                <w:szCs w:val="1"/>
                <w:color w:val="auto"/>
              </w:rPr>
            </w:pPr>
          </w:p>
        </w:tc>
      </w:tr>
      <w:tr>
        <w:trPr>
          <w:trHeight w:val="307"/>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740" w:type="dxa"/>
            <w:vAlign w:val="bottom"/>
            <w:gridSpan w:val="5"/>
          </w:tcPr>
          <w:p>
            <w:pPr>
              <w:ind w:left="660"/>
              <w:spacing w:after="0"/>
              <w:rPr>
                <w:sz w:val="20"/>
                <w:szCs w:val="20"/>
                <w:color w:val="auto"/>
              </w:rPr>
            </w:pPr>
            <w:r>
              <w:rPr>
                <w:rFonts w:ascii="Arial" w:cs="Arial" w:eastAsia="Arial" w:hAnsi="Arial"/>
                <w:sz w:val="18"/>
                <w:szCs w:val="18"/>
                <w:color w:val="auto"/>
                <w:w w:val="88"/>
              </w:rPr>
              <w:t>Purchase Agreement, dated June 4, 2014, among TPG Specialty Lending, Inc., TSL Advisers, LLC and the several initial purchasers named in</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740" w:type="dxa"/>
            <w:vAlign w:val="bottom"/>
            <w:gridSpan w:val="5"/>
          </w:tcPr>
          <w:p>
            <w:pPr>
              <w:ind w:left="660"/>
              <w:spacing w:after="0"/>
              <w:rPr>
                <w:sz w:val="20"/>
                <w:szCs w:val="20"/>
                <w:color w:val="auto"/>
              </w:rPr>
            </w:pPr>
            <w:r>
              <w:rPr>
                <w:rFonts w:ascii="Arial" w:cs="Arial" w:eastAsia="Arial" w:hAnsi="Arial"/>
                <w:sz w:val="18"/>
                <w:szCs w:val="18"/>
                <w:color w:val="auto"/>
              </w:rPr>
              <w:t>Schedule 1 thereto</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240" w:top="251" w:right="41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19685</wp:posOffset>
            </wp:positionV>
            <wp:extent cx="7249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61595</wp:posOffset>
            </wp:positionV>
            <wp:extent cx="7249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TPG SPECIALTY LENDING, INC.</w:t>
      </w:r>
    </w:p>
    <w:p>
      <w:pPr>
        <w:spacing w:after="0" w:line="2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1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WELLS FARGO BANK, NATIONAL ASSOCIATION,</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Trustee</w:t>
      </w:r>
    </w:p>
    <w:p>
      <w:pPr>
        <w:spacing w:after="0" w:line="2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2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June 10, 2014</w:t>
      </w:r>
    </w:p>
    <w:p>
      <w:pPr>
        <w:spacing w:after="0" w:line="21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4.50% Convertible Senior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170815</wp:posOffset>
            </wp:positionV>
            <wp:extent cx="724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213360</wp:posOffset>
            </wp:positionV>
            <wp:extent cx="724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c>
          <w:tcPr>
            <w:tcW w:w="0" w:type="dxa"/>
            <w:vAlign w:val="bottom"/>
          </w:tcPr>
          <w:p>
            <w:pPr>
              <w:spacing w:after="0"/>
              <w:rPr>
                <w:sz w:val="1"/>
                <w:szCs w:val="1"/>
                <w:color w:val="auto"/>
              </w:rPr>
            </w:pPr>
          </w:p>
        </w:tc>
      </w:tr>
      <w:tr>
        <w:trPr>
          <w:trHeight w:val="423"/>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80" w:type="dxa"/>
            <w:vAlign w:val="bottom"/>
            <w:gridSpan w:val="2"/>
          </w:tcPr>
          <w:p>
            <w:pPr>
              <w:jc w:val="center"/>
              <w:ind w:right="4180"/>
              <w:spacing w:after="0"/>
              <w:rPr>
                <w:sz w:val="20"/>
                <w:szCs w:val="20"/>
                <w:color w:val="auto"/>
              </w:rPr>
            </w:pPr>
            <w:r>
              <w:rPr>
                <w:rFonts w:ascii="Arial" w:cs="Arial" w:eastAsia="Arial" w:hAnsi="Arial"/>
                <w:sz w:val="18"/>
                <w:szCs w:val="18"/>
                <w:color w:val="auto"/>
                <w:w w:val="94"/>
              </w:rPr>
              <w:t>ARTICLE 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80" w:type="dxa"/>
            <w:vAlign w:val="bottom"/>
            <w:gridSpan w:val="2"/>
          </w:tcPr>
          <w:p>
            <w:pPr>
              <w:jc w:val="center"/>
              <w:ind w:right="41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References to 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80" w:type="dxa"/>
            <w:vAlign w:val="bottom"/>
            <w:gridSpan w:val="2"/>
          </w:tcPr>
          <w:p>
            <w:pPr>
              <w:jc w:val="center"/>
              <w:ind w:right="4180"/>
              <w:spacing w:after="0"/>
              <w:rPr>
                <w:sz w:val="20"/>
                <w:szCs w:val="20"/>
                <w:color w:val="auto"/>
              </w:rPr>
            </w:pPr>
            <w:r>
              <w:rPr>
                <w:rFonts w:ascii="Arial" w:cs="Arial" w:eastAsia="Arial" w:hAnsi="Arial"/>
                <w:sz w:val="18"/>
                <w:szCs w:val="18"/>
                <w:color w:val="auto"/>
                <w:w w:val="94"/>
              </w:rPr>
              <w:t>ARTICLE 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9740" w:type="dxa"/>
            <w:vAlign w:val="bottom"/>
            <w:gridSpan w:val="3"/>
          </w:tcPr>
          <w:p>
            <w:pPr>
              <w:jc w:val="center"/>
              <w:ind w:right="920"/>
              <w:spacing w:after="0"/>
              <w:rPr>
                <w:sz w:val="20"/>
                <w:szCs w:val="20"/>
                <w:color w:val="auto"/>
              </w:rPr>
            </w:pPr>
            <w:r>
              <w:rPr>
                <w:rFonts w:ascii="Arial" w:cs="Arial" w:eastAsia="Arial" w:hAnsi="Arial"/>
                <w:sz w:val="18"/>
                <w:szCs w:val="18"/>
                <w:color w:val="auto"/>
                <w:w w:val="99"/>
              </w:rPr>
              <w:t>I</w:t>
            </w:r>
            <w:r>
              <w:rPr>
                <w:rFonts w:ascii="Arial" w:cs="Arial" w:eastAsia="Arial" w:hAnsi="Arial"/>
                <w:sz w:val="14"/>
                <w:szCs w:val="14"/>
                <w:color w:val="auto"/>
                <w:w w:val="99"/>
              </w:rPr>
              <w:t>SSUE</w:t>
            </w:r>
            <w:r>
              <w:rPr>
                <w:rFonts w:ascii="Arial" w:cs="Arial" w:eastAsia="Arial" w:hAnsi="Arial"/>
                <w:sz w:val="18"/>
                <w:szCs w:val="18"/>
                <w:color w:val="auto"/>
                <w:w w:val="99"/>
              </w:rPr>
              <w:t>, D</w:t>
            </w:r>
            <w:r>
              <w:rPr>
                <w:rFonts w:ascii="Arial" w:cs="Arial" w:eastAsia="Arial" w:hAnsi="Arial"/>
                <w:sz w:val="14"/>
                <w:szCs w:val="14"/>
                <w:color w:val="auto"/>
                <w:w w:val="99"/>
              </w:rPr>
              <w:t>ESCRIPTION</w:t>
            </w:r>
            <w:r>
              <w:rPr>
                <w:rFonts w:ascii="Arial" w:cs="Arial" w:eastAsia="Arial" w:hAnsi="Arial"/>
                <w:sz w:val="18"/>
                <w:szCs w:val="18"/>
                <w:color w:val="auto"/>
                <w:w w:val="99"/>
              </w:rPr>
              <w:t>, E</w:t>
            </w:r>
            <w:r>
              <w:rPr>
                <w:rFonts w:ascii="Arial" w:cs="Arial" w:eastAsia="Arial" w:hAnsi="Arial"/>
                <w:sz w:val="14"/>
                <w:szCs w:val="14"/>
                <w:color w:val="auto"/>
                <w:w w:val="99"/>
              </w:rPr>
              <w:t>XECUTION</w:t>
            </w:r>
            <w:r>
              <w:rPr>
                <w:rFonts w:ascii="Arial" w:cs="Arial" w:eastAsia="Arial" w:hAnsi="Arial"/>
                <w:sz w:val="18"/>
                <w:szCs w:val="18"/>
                <w:color w:val="auto"/>
                <w:w w:val="99"/>
              </w:rPr>
              <w:t>, R</w:t>
            </w:r>
            <w:r>
              <w:rPr>
                <w:rFonts w:ascii="Arial" w:cs="Arial" w:eastAsia="Arial" w:hAnsi="Arial"/>
                <w:sz w:val="14"/>
                <w:szCs w:val="14"/>
                <w:color w:val="auto"/>
                <w:w w:val="99"/>
              </w:rPr>
              <w:t>EGISTRATION AND</w:t>
            </w:r>
            <w:r>
              <w:rPr>
                <w:rFonts w:ascii="Arial" w:cs="Arial" w:eastAsia="Arial" w:hAnsi="Arial"/>
                <w:sz w:val="18"/>
                <w:szCs w:val="18"/>
                <w:color w:val="auto"/>
                <w:w w:val="99"/>
              </w:rPr>
              <w:t xml:space="preserve"> E</w:t>
            </w:r>
            <w:r>
              <w:rPr>
                <w:rFonts w:ascii="Arial" w:cs="Arial" w:eastAsia="Arial" w:hAnsi="Arial"/>
                <w:sz w:val="14"/>
                <w:szCs w:val="14"/>
                <w:color w:val="auto"/>
                <w:w w:val="99"/>
              </w:rPr>
              <w:t>XCHANGE OF</w:t>
            </w:r>
            <w:r>
              <w:rPr>
                <w:rFonts w:ascii="Arial" w:cs="Arial" w:eastAsia="Arial" w:hAnsi="Arial"/>
                <w:sz w:val="18"/>
                <w:szCs w:val="18"/>
                <w:color w:val="auto"/>
                <w:w w:val="99"/>
              </w:rPr>
              <w:t xml:space="preserve"> N</w:t>
            </w:r>
            <w:r>
              <w:rPr>
                <w:rFonts w:ascii="Arial" w:cs="Arial" w:eastAsia="Arial" w:hAnsi="Arial"/>
                <w:sz w:val="14"/>
                <w:szCs w:val="14"/>
                <w:color w:val="auto"/>
                <w:w w:val="99"/>
              </w:rPr>
              <w:t>OTES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Designation and Amount</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2.02.</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Form of Notes</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2.03.</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Date and Denomination of Notes; Payments of Interest and Defaulted Amounts</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Execution, Authentication and Delivery of Notes</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Exchange and Registration of Transfer of Notes; Restrictions on Transfer; Depositary</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2.06.</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Mutilated, Destroyed, Lost or Stolen Notes</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2.07.</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Temporary Notes</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2.08.</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Cancellation of Notes Paid, Converted, Etc.</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2.09.</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CUSIP Numbers</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Section 2.10.</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Additional Notes; Repurchases</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80" w:type="dxa"/>
            <w:vAlign w:val="bottom"/>
            <w:gridSpan w:val="2"/>
          </w:tcPr>
          <w:p>
            <w:pPr>
              <w:jc w:val="center"/>
              <w:ind w:right="4180"/>
              <w:spacing w:after="0"/>
              <w:rPr>
                <w:sz w:val="20"/>
                <w:szCs w:val="20"/>
                <w:color w:val="auto"/>
              </w:rPr>
            </w:pPr>
            <w:r>
              <w:rPr>
                <w:rFonts w:ascii="Arial" w:cs="Arial" w:eastAsia="Arial" w:hAnsi="Arial"/>
                <w:sz w:val="18"/>
                <w:szCs w:val="18"/>
                <w:color w:val="auto"/>
                <w:w w:val="94"/>
              </w:rPr>
              <w:t>ARTICLE 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9740" w:type="dxa"/>
            <w:vAlign w:val="bottom"/>
            <w:gridSpan w:val="3"/>
          </w:tcPr>
          <w:p>
            <w:pPr>
              <w:jc w:val="center"/>
              <w:ind w:right="9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Section 3.01.</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Satisfaction and Discharge</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80" w:type="dxa"/>
            <w:vAlign w:val="bottom"/>
            <w:gridSpan w:val="2"/>
          </w:tcPr>
          <w:p>
            <w:pPr>
              <w:jc w:val="center"/>
              <w:ind w:right="4180"/>
              <w:spacing w:after="0"/>
              <w:rPr>
                <w:sz w:val="20"/>
                <w:szCs w:val="20"/>
                <w:color w:val="auto"/>
              </w:rPr>
            </w:pPr>
            <w:r>
              <w:rPr>
                <w:rFonts w:ascii="Arial" w:cs="Arial" w:eastAsia="Arial" w:hAnsi="Arial"/>
                <w:sz w:val="18"/>
                <w:szCs w:val="18"/>
                <w:color w:val="auto"/>
                <w:w w:val="94"/>
              </w:rPr>
              <w:t>ARTICLE 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9740" w:type="dxa"/>
            <w:vAlign w:val="bottom"/>
            <w:gridSpan w:val="3"/>
          </w:tcPr>
          <w:p>
            <w:pPr>
              <w:jc w:val="center"/>
              <w:ind w:right="9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ARTICULAR</w:t>
            </w:r>
            <w:r>
              <w:rPr>
                <w:rFonts w:ascii="Arial" w:cs="Arial" w:eastAsia="Arial" w:hAnsi="Arial"/>
                <w:sz w:val="18"/>
                <w:szCs w:val="18"/>
                <w:color w:val="auto"/>
              </w:rPr>
              <w:t xml:space="preserve"> C</w:t>
            </w:r>
            <w:r>
              <w:rPr>
                <w:rFonts w:ascii="Arial" w:cs="Arial" w:eastAsia="Arial" w:hAnsi="Arial"/>
                <w:sz w:val="14"/>
                <w:szCs w:val="14"/>
                <w:color w:val="auto"/>
              </w:rPr>
              <w:t>OVENANTS OF THE</w:t>
            </w:r>
            <w:r>
              <w:rPr>
                <w:rFonts w:ascii="Arial" w:cs="Arial" w:eastAsia="Arial" w:hAnsi="Arial"/>
                <w:sz w:val="18"/>
                <w:szCs w:val="18"/>
                <w:color w:val="auto"/>
              </w:rPr>
              <w:t xml:space="preserve"> C</w:t>
            </w:r>
            <w:r>
              <w:rPr>
                <w:rFonts w:ascii="Arial" w:cs="Arial" w:eastAsia="Arial" w:hAnsi="Arial"/>
                <w:sz w:val="14"/>
                <w:szCs w:val="14"/>
                <w:color w:val="auto"/>
              </w:rPr>
              <w:t>OMPANY</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260" w:type="dxa"/>
            <w:vAlign w:val="bottom"/>
          </w:tcPr>
          <w:p>
            <w:pPr>
              <w:spacing w:after="0"/>
              <w:rPr>
                <w:sz w:val="20"/>
                <w:szCs w:val="20"/>
                <w:color w:val="auto"/>
              </w:rPr>
            </w:pPr>
            <w:r>
              <w:rPr>
                <w:rFonts w:ascii="Arial" w:cs="Arial" w:eastAsia="Arial" w:hAnsi="Arial"/>
                <w:sz w:val="18"/>
                <w:szCs w:val="18"/>
                <w:color w:val="auto"/>
              </w:rPr>
              <w:t>Section 4.01.</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Payment of Principal and 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4.02.</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Maintenance of Office or Agency</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4.03.</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Appointments to Fill Vacancies in Trustee’s Office</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4.04.</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Provisions as to Paying Agent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4.05.</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Existence</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4.06.</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Rule 144A Information Requirement and Annual Reports</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4.07.</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Investment Company Act</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4.08.</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Stay, Extension and Usury Laws</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8"/>
                <w:szCs w:val="18"/>
                <w:color w:val="auto"/>
              </w:rPr>
              <w:t>Section 4.09.</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Statement as to Compliance</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Section 4.10.</w:t>
            </w:r>
          </w:p>
        </w:tc>
        <w:tc>
          <w:tcPr>
            <w:tcW w:w="9740" w:type="dxa"/>
            <w:vAlign w:val="bottom"/>
            <w:gridSpan w:val="3"/>
          </w:tcPr>
          <w:p>
            <w:pPr>
              <w:ind w:left="320"/>
              <w:spacing w:after="0"/>
              <w:rPr>
                <w:sz w:val="20"/>
                <w:szCs w:val="20"/>
                <w:color w:val="auto"/>
              </w:rPr>
            </w:pPr>
            <w:r>
              <w:rPr>
                <w:rFonts w:ascii="Arial" w:cs="Arial" w:eastAsia="Arial" w:hAnsi="Arial"/>
                <w:sz w:val="18"/>
                <w:szCs w:val="18"/>
                <w:i w:val="1"/>
                <w:iCs w:val="1"/>
                <w:color w:val="auto"/>
              </w:rPr>
              <w:t>Further Instruments and Acts</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6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5</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ISTS OF</w:t>
      </w:r>
      <w:r>
        <w:rPr>
          <w:rFonts w:ascii="Arial" w:cs="Arial" w:eastAsia="Arial" w:hAnsi="Arial"/>
          <w:sz w:val="18"/>
          <w:szCs w:val="18"/>
          <w:color w:val="auto"/>
        </w:rPr>
        <w:t xml:space="preserve"> H</w:t>
      </w:r>
      <w:r>
        <w:rPr>
          <w:rFonts w:ascii="Arial" w:cs="Arial" w:eastAsia="Arial" w:hAnsi="Arial"/>
          <w:sz w:val="14"/>
          <w:szCs w:val="14"/>
          <w:color w:val="auto"/>
        </w:rPr>
        <w:t>OLDERS AND</w:t>
      </w:r>
      <w:r>
        <w:rPr>
          <w:rFonts w:ascii="Arial" w:cs="Arial" w:eastAsia="Arial" w:hAnsi="Arial"/>
          <w:sz w:val="18"/>
          <w:szCs w:val="18"/>
          <w:color w:val="auto"/>
        </w:rPr>
        <w:t xml:space="preserve"> R</w:t>
      </w:r>
      <w:r>
        <w:rPr>
          <w:rFonts w:ascii="Arial" w:cs="Arial" w:eastAsia="Arial" w:hAnsi="Arial"/>
          <w:sz w:val="14"/>
          <w:szCs w:val="14"/>
          <w:color w:val="auto"/>
        </w:rPr>
        <w:t>EPORTS BY THE</w:t>
      </w:r>
      <w:r>
        <w:rPr>
          <w:rFonts w:ascii="Arial" w:cs="Arial" w:eastAsia="Arial" w:hAnsi="Arial"/>
          <w:sz w:val="18"/>
          <w:szCs w:val="18"/>
          <w:color w:val="auto"/>
        </w:rPr>
        <w:t xml:space="preserve"> C</w:t>
      </w:r>
      <w:r>
        <w:rPr>
          <w:rFonts w:ascii="Arial" w:cs="Arial" w:eastAsia="Arial" w:hAnsi="Arial"/>
          <w:sz w:val="14"/>
          <w:szCs w:val="14"/>
          <w:color w:val="auto"/>
        </w:rPr>
        <w:t>OMPANY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5.01.</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Lists of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Section 5.02.</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Preservation and Disclosure of Lists</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7"/>
        </w:trPr>
        <w:tc>
          <w:tcPr>
            <w:tcW w:w="1200" w:type="dxa"/>
            <w:vAlign w:val="bottom"/>
          </w:tcPr>
          <w:p>
            <w:pPr>
              <w:spacing w:after="0"/>
              <w:rPr>
                <w:sz w:val="24"/>
                <w:szCs w:val="24"/>
                <w:color w:val="auto"/>
              </w:rPr>
            </w:pPr>
          </w:p>
        </w:tc>
        <w:tc>
          <w:tcPr>
            <w:tcW w:w="8700" w:type="dxa"/>
            <w:vAlign w:val="bottom"/>
          </w:tcPr>
          <w:p>
            <w:pPr>
              <w:jc w:val="center"/>
              <w:ind w:left="152"/>
              <w:spacing w:after="0"/>
              <w:rPr>
                <w:sz w:val="20"/>
                <w:szCs w:val="20"/>
                <w:color w:val="auto"/>
              </w:rPr>
            </w:pPr>
            <w:r>
              <w:rPr>
                <w:rFonts w:ascii="Arial" w:cs="Arial" w:eastAsia="Arial" w:hAnsi="Arial"/>
                <w:sz w:val="18"/>
                <w:szCs w:val="18"/>
                <w:color w:val="auto"/>
                <w:w w:val="94"/>
              </w:rPr>
              <w:t>ARTICLE 6</w:t>
            </w:r>
          </w:p>
        </w:tc>
        <w:tc>
          <w:tcPr>
            <w:tcW w:w="1420" w:type="dxa"/>
            <w:vAlign w:val="bottom"/>
          </w:tcPr>
          <w:p>
            <w:pPr>
              <w:spacing w:after="0"/>
              <w:rPr>
                <w:sz w:val="24"/>
                <w:szCs w:val="24"/>
                <w:color w:val="auto"/>
              </w:rPr>
            </w:pPr>
          </w:p>
        </w:tc>
      </w:tr>
      <w:tr>
        <w:trPr>
          <w:trHeight w:val="223"/>
        </w:trPr>
        <w:tc>
          <w:tcPr>
            <w:tcW w:w="1200" w:type="dxa"/>
            <w:vAlign w:val="bottom"/>
          </w:tcPr>
          <w:p>
            <w:pPr>
              <w:spacing w:after="0"/>
              <w:rPr>
                <w:sz w:val="19"/>
                <w:szCs w:val="19"/>
                <w:color w:val="auto"/>
              </w:rPr>
            </w:pPr>
          </w:p>
        </w:tc>
        <w:tc>
          <w:tcPr>
            <w:tcW w:w="8700" w:type="dxa"/>
            <w:vAlign w:val="bottom"/>
          </w:tcPr>
          <w:p>
            <w:pPr>
              <w:jc w:val="center"/>
              <w:ind w:left="152"/>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EFAULTS AND</w:t>
            </w:r>
            <w:r>
              <w:rPr>
                <w:rFonts w:ascii="Arial" w:cs="Arial" w:eastAsia="Arial" w:hAnsi="Arial"/>
                <w:sz w:val="18"/>
                <w:szCs w:val="18"/>
                <w:color w:val="auto"/>
                <w:w w:val="99"/>
              </w:rPr>
              <w:t xml:space="preserve"> R</w:t>
            </w:r>
            <w:r>
              <w:rPr>
                <w:rFonts w:ascii="Arial" w:cs="Arial" w:eastAsia="Arial" w:hAnsi="Arial"/>
                <w:sz w:val="14"/>
                <w:szCs w:val="14"/>
                <w:color w:val="auto"/>
                <w:w w:val="99"/>
              </w:rPr>
              <w:t>EMEDIES</w:t>
            </w:r>
          </w:p>
        </w:tc>
        <w:tc>
          <w:tcPr>
            <w:tcW w:w="1420" w:type="dxa"/>
            <w:vAlign w:val="bottom"/>
          </w:tcPr>
          <w:p>
            <w:pPr>
              <w:spacing w:after="0"/>
              <w:rPr>
                <w:sz w:val="19"/>
                <w:szCs w:val="19"/>
                <w:color w:val="auto"/>
              </w:rPr>
            </w:pPr>
          </w:p>
        </w:tc>
      </w:tr>
      <w:tr>
        <w:trPr>
          <w:trHeight w:val="320"/>
        </w:trPr>
        <w:tc>
          <w:tcPr>
            <w:tcW w:w="1200" w:type="dxa"/>
            <w:vAlign w:val="bottom"/>
          </w:tcPr>
          <w:p>
            <w:pPr>
              <w:spacing w:after="0"/>
              <w:rPr>
                <w:sz w:val="20"/>
                <w:szCs w:val="20"/>
                <w:color w:val="auto"/>
              </w:rPr>
            </w:pPr>
            <w:r>
              <w:rPr>
                <w:rFonts w:ascii="Arial" w:cs="Arial" w:eastAsia="Arial" w:hAnsi="Arial"/>
                <w:sz w:val="18"/>
                <w:szCs w:val="18"/>
                <w:color w:val="auto"/>
              </w:rPr>
              <w:t>Section 6.01.</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Events of Default</w:t>
            </w: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Acceleration; Rescission and Annulment</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6.03.</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Additional Interest</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6.04.</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Payments of Notes on Default; Suit Therefor</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6.05.</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Application of Monies Collected by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6.06.</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Proceedings by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6.07.</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Proceedings by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6.08.</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Remedies Cumulative and Continuing</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6.09.</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Direction of Proceedings and Waiver of Defaults by Majority of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6.10.</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Notice of Defaults</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Section 6.11.</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Undertaking to Pay Costs</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7"/>
        </w:trPr>
        <w:tc>
          <w:tcPr>
            <w:tcW w:w="1200" w:type="dxa"/>
            <w:vAlign w:val="bottom"/>
          </w:tcPr>
          <w:p>
            <w:pPr>
              <w:spacing w:after="0"/>
              <w:rPr>
                <w:sz w:val="24"/>
                <w:szCs w:val="24"/>
                <w:color w:val="auto"/>
              </w:rPr>
            </w:pPr>
          </w:p>
        </w:tc>
        <w:tc>
          <w:tcPr>
            <w:tcW w:w="8700" w:type="dxa"/>
            <w:vAlign w:val="bottom"/>
          </w:tcPr>
          <w:p>
            <w:pPr>
              <w:jc w:val="center"/>
              <w:ind w:left="152"/>
              <w:spacing w:after="0"/>
              <w:rPr>
                <w:sz w:val="20"/>
                <w:szCs w:val="20"/>
                <w:color w:val="auto"/>
              </w:rPr>
            </w:pPr>
            <w:r>
              <w:rPr>
                <w:rFonts w:ascii="Arial" w:cs="Arial" w:eastAsia="Arial" w:hAnsi="Arial"/>
                <w:sz w:val="18"/>
                <w:szCs w:val="18"/>
                <w:color w:val="auto"/>
                <w:w w:val="94"/>
              </w:rPr>
              <w:t>ARTICLE 7</w:t>
            </w:r>
          </w:p>
        </w:tc>
        <w:tc>
          <w:tcPr>
            <w:tcW w:w="1420" w:type="dxa"/>
            <w:vAlign w:val="bottom"/>
          </w:tcPr>
          <w:p>
            <w:pPr>
              <w:spacing w:after="0"/>
              <w:rPr>
                <w:sz w:val="24"/>
                <w:szCs w:val="24"/>
                <w:color w:val="auto"/>
              </w:rPr>
            </w:pPr>
          </w:p>
        </w:tc>
      </w:tr>
      <w:tr>
        <w:trPr>
          <w:trHeight w:val="223"/>
        </w:trPr>
        <w:tc>
          <w:tcPr>
            <w:tcW w:w="1200" w:type="dxa"/>
            <w:vAlign w:val="bottom"/>
          </w:tcPr>
          <w:p>
            <w:pPr>
              <w:spacing w:after="0"/>
              <w:rPr>
                <w:sz w:val="19"/>
                <w:szCs w:val="19"/>
                <w:color w:val="auto"/>
              </w:rPr>
            </w:pPr>
          </w:p>
        </w:tc>
        <w:tc>
          <w:tcPr>
            <w:tcW w:w="8700" w:type="dxa"/>
            <w:vAlign w:val="bottom"/>
          </w:tcPr>
          <w:p>
            <w:pPr>
              <w:jc w:val="center"/>
              <w:ind w:left="15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1420" w:type="dxa"/>
            <w:vAlign w:val="bottom"/>
          </w:tcPr>
          <w:p>
            <w:pPr>
              <w:spacing w:after="0"/>
              <w:rPr>
                <w:sz w:val="19"/>
                <w:szCs w:val="19"/>
                <w:color w:val="auto"/>
              </w:rPr>
            </w:pPr>
          </w:p>
        </w:tc>
      </w:tr>
      <w:tr>
        <w:trPr>
          <w:trHeight w:val="320"/>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Duties and Responsibilities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Reliance on Documents, Opinions, Etc.</w:t>
            </w: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No Responsibility for Recitals, Etc.</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Trustee, Paying Agents, Conversion Agents, Bid Solicitation Agent or Note Registrar May Own Notes</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Monies and Shares of Common Stock to Be Held in Trust</w:t>
            </w: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Compensation and Expenses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Officers’ Certificate as Evidence</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Eligibility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Resignation or Removal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7.10.</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Acceptance by Successor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Succession by Merger, Etc.</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Section 7.12.</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Trustee’s Application for Instructions from the Company</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7"/>
        </w:trPr>
        <w:tc>
          <w:tcPr>
            <w:tcW w:w="1200" w:type="dxa"/>
            <w:vAlign w:val="bottom"/>
          </w:tcPr>
          <w:p>
            <w:pPr>
              <w:spacing w:after="0"/>
              <w:rPr>
                <w:sz w:val="24"/>
                <w:szCs w:val="24"/>
                <w:color w:val="auto"/>
              </w:rPr>
            </w:pPr>
          </w:p>
        </w:tc>
        <w:tc>
          <w:tcPr>
            <w:tcW w:w="8700" w:type="dxa"/>
            <w:vAlign w:val="bottom"/>
          </w:tcPr>
          <w:p>
            <w:pPr>
              <w:jc w:val="center"/>
              <w:ind w:left="152"/>
              <w:spacing w:after="0"/>
              <w:rPr>
                <w:sz w:val="20"/>
                <w:szCs w:val="20"/>
                <w:color w:val="auto"/>
              </w:rPr>
            </w:pPr>
            <w:r>
              <w:rPr>
                <w:rFonts w:ascii="Arial" w:cs="Arial" w:eastAsia="Arial" w:hAnsi="Arial"/>
                <w:sz w:val="18"/>
                <w:szCs w:val="18"/>
                <w:color w:val="auto"/>
                <w:w w:val="94"/>
              </w:rPr>
              <w:t>ARTICLE 8</w:t>
            </w:r>
          </w:p>
        </w:tc>
        <w:tc>
          <w:tcPr>
            <w:tcW w:w="1420" w:type="dxa"/>
            <w:vAlign w:val="bottom"/>
          </w:tcPr>
          <w:p>
            <w:pPr>
              <w:spacing w:after="0"/>
              <w:rPr>
                <w:sz w:val="24"/>
                <w:szCs w:val="24"/>
                <w:color w:val="auto"/>
              </w:rPr>
            </w:pPr>
          </w:p>
        </w:tc>
      </w:tr>
      <w:tr>
        <w:trPr>
          <w:trHeight w:val="223"/>
        </w:trPr>
        <w:tc>
          <w:tcPr>
            <w:tcW w:w="1200" w:type="dxa"/>
            <w:vAlign w:val="bottom"/>
          </w:tcPr>
          <w:p>
            <w:pPr>
              <w:spacing w:after="0"/>
              <w:rPr>
                <w:sz w:val="19"/>
                <w:szCs w:val="19"/>
                <w:color w:val="auto"/>
              </w:rPr>
            </w:pPr>
          </w:p>
        </w:tc>
        <w:tc>
          <w:tcPr>
            <w:tcW w:w="8700" w:type="dxa"/>
            <w:vAlign w:val="bottom"/>
          </w:tcPr>
          <w:p>
            <w:pPr>
              <w:jc w:val="center"/>
              <w:ind w:left="15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H</w:t>
            </w:r>
            <w:r>
              <w:rPr>
                <w:rFonts w:ascii="Arial" w:cs="Arial" w:eastAsia="Arial" w:hAnsi="Arial"/>
                <w:sz w:val="14"/>
                <w:szCs w:val="14"/>
                <w:color w:val="auto"/>
                <w:w w:val="99"/>
              </w:rPr>
              <w:t>OLDERS</w:t>
            </w:r>
          </w:p>
        </w:tc>
        <w:tc>
          <w:tcPr>
            <w:tcW w:w="1420" w:type="dxa"/>
            <w:vAlign w:val="bottom"/>
          </w:tcPr>
          <w:p>
            <w:pPr>
              <w:spacing w:after="0"/>
              <w:rPr>
                <w:sz w:val="19"/>
                <w:szCs w:val="19"/>
                <w:color w:val="auto"/>
              </w:rPr>
            </w:pPr>
          </w:p>
        </w:tc>
      </w:tr>
      <w:tr>
        <w:trPr>
          <w:trHeight w:val="320"/>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Action by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Proof of Execution by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Who Are Deemed Absolute Owners</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2"/>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Company-Owned Notes Disregarded</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Section 8.05.</w:t>
            </w:r>
          </w:p>
        </w:tc>
        <w:tc>
          <w:tcPr>
            <w:tcW w:w="8700" w:type="dxa"/>
            <w:vAlign w:val="bottom"/>
          </w:tcPr>
          <w:p>
            <w:pPr>
              <w:ind w:left="260"/>
              <w:spacing w:after="0"/>
              <w:rPr>
                <w:sz w:val="20"/>
                <w:szCs w:val="20"/>
                <w:color w:val="auto"/>
              </w:rPr>
            </w:pPr>
            <w:r>
              <w:rPr>
                <w:rFonts w:ascii="Arial" w:cs="Arial" w:eastAsia="Arial" w:hAnsi="Arial"/>
                <w:sz w:val="18"/>
                <w:szCs w:val="18"/>
                <w:i w:val="1"/>
                <w:iCs w:val="1"/>
                <w:color w:val="auto"/>
              </w:rPr>
              <w:t>Revocation of Consents; Future Holders Bound</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7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2"/>
        </w:trPr>
        <w:tc>
          <w:tcPr>
            <w:tcW w:w="1240" w:type="dxa"/>
            <w:vAlign w:val="bottom"/>
          </w:tcPr>
          <w:p>
            <w:pPr>
              <w:spacing w:after="0"/>
              <w:rPr>
                <w:sz w:val="18"/>
                <w:szCs w:val="18"/>
                <w:color w:val="auto"/>
              </w:rPr>
            </w:pPr>
          </w:p>
        </w:tc>
        <w:tc>
          <w:tcPr>
            <w:tcW w:w="9480" w:type="dxa"/>
            <w:vAlign w:val="bottom"/>
          </w:tcPr>
          <w:p>
            <w:pPr>
              <w:jc w:val="center"/>
              <w:ind w:right="532"/>
              <w:spacing w:after="0"/>
              <w:rPr>
                <w:sz w:val="20"/>
                <w:szCs w:val="20"/>
                <w:color w:val="auto"/>
              </w:rPr>
            </w:pPr>
            <w:r>
              <w:rPr>
                <w:rFonts w:ascii="Arial" w:cs="Arial" w:eastAsia="Arial" w:hAnsi="Arial"/>
                <w:sz w:val="18"/>
                <w:szCs w:val="18"/>
                <w:color w:val="auto"/>
                <w:w w:val="94"/>
              </w:rPr>
              <w:t>ARTICLE 9</w:t>
            </w:r>
          </w:p>
        </w:tc>
        <w:tc>
          <w:tcPr>
            <w:tcW w:w="600" w:type="dxa"/>
            <w:vAlign w:val="bottom"/>
          </w:tcPr>
          <w:p>
            <w:pPr>
              <w:spacing w:after="0"/>
              <w:rPr>
                <w:sz w:val="18"/>
                <w:szCs w:val="18"/>
                <w:color w:val="auto"/>
              </w:rPr>
            </w:pPr>
          </w:p>
        </w:tc>
      </w:tr>
      <w:tr>
        <w:trPr>
          <w:trHeight w:val="223"/>
        </w:trPr>
        <w:tc>
          <w:tcPr>
            <w:tcW w:w="1240" w:type="dxa"/>
            <w:vAlign w:val="bottom"/>
          </w:tcPr>
          <w:p>
            <w:pPr>
              <w:spacing w:after="0"/>
              <w:rPr>
                <w:sz w:val="19"/>
                <w:szCs w:val="19"/>
                <w:color w:val="auto"/>
              </w:rPr>
            </w:pPr>
          </w:p>
        </w:tc>
        <w:tc>
          <w:tcPr>
            <w:tcW w:w="9480" w:type="dxa"/>
            <w:vAlign w:val="bottom"/>
          </w:tcPr>
          <w:p>
            <w:pPr>
              <w:jc w:val="center"/>
              <w:ind w:right="532"/>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OLDERS</w:t>
            </w:r>
            <w:r>
              <w:rPr>
                <w:rFonts w:ascii="Arial" w:cs="Arial" w:eastAsia="Arial" w:hAnsi="Arial"/>
                <w:sz w:val="18"/>
                <w:szCs w:val="18"/>
                <w:color w:val="auto"/>
              </w:rPr>
              <w:t>’ M</w:t>
            </w:r>
            <w:r>
              <w:rPr>
                <w:rFonts w:ascii="Arial" w:cs="Arial" w:eastAsia="Arial" w:hAnsi="Arial"/>
                <w:sz w:val="14"/>
                <w:szCs w:val="14"/>
                <w:color w:val="auto"/>
              </w:rPr>
              <w:t>EETINGS</w:t>
            </w:r>
          </w:p>
        </w:tc>
        <w:tc>
          <w:tcPr>
            <w:tcW w:w="600" w:type="dxa"/>
            <w:vAlign w:val="bottom"/>
          </w:tcPr>
          <w:p>
            <w:pPr>
              <w:spacing w:after="0"/>
              <w:rPr>
                <w:sz w:val="19"/>
                <w:szCs w:val="19"/>
                <w:color w:val="auto"/>
              </w:rPr>
            </w:pPr>
          </w:p>
        </w:tc>
      </w:tr>
      <w:tr>
        <w:trPr>
          <w:trHeight w:val="320"/>
        </w:trPr>
        <w:tc>
          <w:tcPr>
            <w:tcW w:w="1240" w:type="dxa"/>
            <w:vAlign w:val="bottom"/>
          </w:tcPr>
          <w:p>
            <w:pPr>
              <w:spacing w:after="0"/>
              <w:rPr>
                <w:sz w:val="20"/>
                <w:szCs w:val="20"/>
                <w:color w:val="auto"/>
              </w:rPr>
            </w:pPr>
            <w:r>
              <w:rPr>
                <w:rFonts w:ascii="Arial" w:cs="Arial" w:eastAsia="Arial" w:hAnsi="Arial"/>
                <w:sz w:val="18"/>
                <w:szCs w:val="18"/>
                <w:color w:val="auto"/>
              </w:rPr>
              <w:t>Section 9.01.</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Purpose of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9.02.</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Call of Meetings by Trustee</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9.03.</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Call of Meetings by Company or 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9.04.</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Qualifications for Voting</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9.05.</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Regulations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9.06.</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Voting</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Section 9.07.</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No Delay of Rights by Meeting</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7"/>
        </w:trPr>
        <w:tc>
          <w:tcPr>
            <w:tcW w:w="1240" w:type="dxa"/>
            <w:vAlign w:val="bottom"/>
          </w:tcPr>
          <w:p>
            <w:pPr>
              <w:spacing w:after="0"/>
              <w:rPr>
                <w:sz w:val="24"/>
                <w:szCs w:val="24"/>
                <w:color w:val="auto"/>
              </w:rPr>
            </w:pPr>
          </w:p>
        </w:tc>
        <w:tc>
          <w:tcPr>
            <w:tcW w:w="9480" w:type="dxa"/>
            <w:vAlign w:val="bottom"/>
          </w:tcPr>
          <w:p>
            <w:pPr>
              <w:jc w:val="center"/>
              <w:ind w:right="552"/>
              <w:spacing w:after="0"/>
              <w:rPr>
                <w:sz w:val="20"/>
                <w:szCs w:val="20"/>
                <w:color w:val="auto"/>
              </w:rPr>
            </w:pPr>
            <w:r>
              <w:rPr>
                <w:rFonts w:ascii="Arial" w:cs="Arial" w:eastAsia="Arial" w:hAnsi="Arial"/>
                <w:sz w:val="18"/>
                <w:szCs w:val="18"/>
                <w:color w:val="auto"/>
                <w:w w:val="94"/>
              </w:rPr>
              <w:t>ARTICLE 10</w:t>
            </w:r>
          </w:p>
        </w:tc>
        <w:tc>
          <w:tcPr>
            <w:tcW w:w="600" w:type="dxa"/>
            <w:vAlign w:val="bottom"/>
          </w:tcPr>
          <w:p>
            <w:pPr>
              <w:spacing w:after="0"/>
              <w:rPr>
                <w:sz w:val="24"/>
                <w:szCs w:val="24"/>
                <w:color w:val="auto"/>
              </w:rPr>
            </w:pPr>
          </w:p>
        </w:tc>
      </w:tr>
      <w:tr>
        <w:trPr>
          <w:trHeight w:val="223"/>
        </w:trPr>
        <w:tc>
          <w:tcPr>
            <w:tcW w:w="1240" w:type="dxa"/>
            <w:vAlign w:val="bottom"/>
          </w:tcPr>
          <w:p>
            <w:pPr>
              <w:spacing w:after="0"/>
              <w:rPr>
                <w:sz w:val="19"/>
                <w:szCs w:val="19"/>
                <w:color w:val="auto"/>
              </w:rPr>
            </w:pPr>
          </w:p>
        </w:tc>
        <w:tc>
          <w:tcPr>
            <w:tcW w:w="9480" w:type="dxa"/>
            <w:vAlign w:val="bottom"/>
          </w:tcPr>
          <w:p>
            <w:pPr>
              <w:jc w:val="center"/>
              <w:ind w:right="53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tc>
        <w:tc>
          <w:tcPr>
            <w:tcW w:w="600" w:type="dxa"/>
            <w:vAlign w:val="bottom"/>
          </w:tcPr>
          <w:p>
            <w:pPr>
              <w:spacing w:after="0"/>
              <w:rPr>
                <w:sz w:val="19"/>
                <w:szCs w:val="19"/>
                <w:color w:val="auto"/>
              </w:rPr>
            </w:pPr>
          </w:p>
        </w:tc>
      </w:tr>
      <w:tr>
        <w:trPr>
          <w:trHeight w:val="320"/>
        </w:trPr>
        <w:tc>
          <w:tcPr>
            <w:tcW w:w="1240" w:type="dxa"/>
            <w:vAlign w:val="bottom"/>
          </w:tcPr>
          <w:p>
            <w:pPr>
              <w:spacing w:after="0"/>
              <w:rPr>
                <w:sz w:val="20"/>
                <w:szCs w:val="20"/>
                <w:color w:val="auto"/>
              </w:rPr>
            </w:pPr>
            <w:r>
              <w:rPr>
                <w:rFonts w:ascii="Arial" w:cs="Arial" w:eastAsia="Arial" w:hAnsi="Arial"/>
                <w:sz w:val="18"/>
                <w:szCs w:val="18"/>
                <w:color w:val="auto"/>
              </w:rPr>
              <w:t>Section 10.01.</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10.02.</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10.03.</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Effect of Supplemental Indentures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10.04.</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Notation on Notes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Section 10.05.</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Evidence of Compliance of Supplemental Indenture to Be Furnished Trustee</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7"/>
        </w:trPr>
        <w:tc>
          <w:tcPr>
            <w:tcW w:w="1240" w:type="dxa"/>
            <w:vAlign w:val="bottom"/>
          </w:tcPr>
          <w:p>
            <w:pPr>
              <w:spacing w:after="0"/>
              <w:rPr>
                <w:sz w:val="24"/>
                <w:szCs w:val="24"/>
                <w:color w:val="auto"/>
              </w:rPr>
            </w:pPr>
          </w:p>
        </w:tc>
        <w:tc>
          <w:tcPr>
            <w:tcW w:w="9480" w:type="dxa"/>
            <w:vAlign w:val="bottom"/>
          </w:tcPr>
          <w:p>
            <w:pPr>
              <w:jc w:val="center"/>
              <w:ind w:right="532"/>
              <w:spacing w:after="0"/>
              <w:rPr>
                <w:sz w:val="20"/>
                <w:szCs w:val="20"/>
                <w:color w:val="auto"/>
              </w:rPr>
            </w:pPr>
            <w:r>
              <w:rPr>
                <w:rFonts w:ascii="Arial" w:cs="Arial" w:eastAsia="Arial" w:hAnsi="Arial"/>
                <w:sz w:val="18"/>
                <w:szCs w:val="18"/>
                <w:color w:val="auto"/>
                <w:w w:val="92"/>
              </w:rPr>
              <w:t>ARTICLE 11</w:t>
            </w:r>
          </w:p>
        </w:tc>
        <w:tc>
          <w:tcPr>
            <w:tcW w:w="600" w:type="dxa"/>
            <w:vAlign w:val="bottom"/>
          </w:tcPr>
          <w:p>
            <w:pPr>
              <w:spacing w:after="0"/>
              <w:rPr>
                <w:sz w:val="24"/>
                <w:szCs w:val="24"/>
                <w:color w:val="auto"/>
              </w:rPr>
            </w:pPr>
          </w:p>
        </w:tc>
      </w:tr>
      <w:tr>
        <w:trPr>
          <w:trHeight w:val="223"/>
        </w:trPr>
        <w:tc>
          <w:tcPr>
            <w:tcW w:w="1240" w:type="dxa"/>
            <w:vAlign w:val="bottom"/>
          </w:tcPr>
          <w:p>
            <w:pPr>
              <w:spacing w:after="0"/>
              <w:rPr>
                <w:sz w:val="19"/>
                <w:szCs w:val="19"/>
                <w:color w:val="auto"/>
              </w:rPr>
            </w:pPr>
          </w:p>
        </w:tc>
        <w:tc>
          <w:tcPr>
            <w:tcW w:w="9480" w:type="dxa"/>
            <w:vAlign w:val="bottom"/>
          </w:tcPr>
          <w:p>
            <w:pPr>
              <w:jc w:val="center"/>
              <w:ind w:right="552"/>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w:t>
            </w:r>
            <w:r>
              <w:rPr>
                <w:rFonts w:ascii="Arial" w:cs="Arial" w:eastAsia="Arial" w:hAnsi="Arial"/>
                <w:sz w:val="18"/>
                <w:szCs w:val="18"/>
                <w:color w:val="auto"/>
              </w:rPr>
              <w:t>, C</w:t>
            </w:r>
            <w:r>
              <w:rPr>
                <w:rFonts w:ascii="Arial" w:cs="Arial" w:eastAsia="Arial" w:hAnsi="Arial"/>
                <w:sz w:val="14"/>
                <w:szCs w:val="14"/>
                <w:color w:val="auto"/>
              </w:rPr>
              <w:t>ONVEYANCE AND</w:t>
            </w:r>
            <w:r>
              <w:rPr>
                <w:rFonts w:ascii="Arial" w:cs="Arial" w:eastAsia="Arial" w:hAnsi="Arial"/>
                <w:sz w:val="18"/>
                <w:szCs w:val="18"/>
                <w:color w:val="auto"/>
              </w:rPr>
              <w:t xml:space="preserve"> L</w:t>
            </w:r>
            <w:r>
              <w:rPr>
                <w:rFonts w:ascii="Arial" w:cs="Arial" w:eastAsia="Arial" w:hAnsi="Arial"/>
                <w:sz w:val="14"/>
                <w:szCs w:val="14"/>
                <w:color w:val="auto"/>
              </w:rPr>
              <w:t>EASE</w:t>
            </w:r>
          </w:p>
        </w:tc>
        <w:tc>
          <w:tcPr>
            <w:tcW w:w="600" w:type="dxa"/>
            <w:vAlign w:val="bottom"/>
          </w:tcPr>
          <w:p>
            <w:pPr>
              <w:spacing w:after="0"/>
              <w:rPr>
                <w:sz w:val="19"/>
                <w:szCs w:val="19"/>
                <w:color w:val="auto"/>
              </w:rPr>
            </w:pPr>
          </w:p>
        </w:tc>
      </w:tr>
      <w:tr>
        <w:trPr>
          <w:trHeight w:val="320"/>
        </w:trPr>
        <w:tc>
          <w:tcPr>
            <w:tcW w:w="1240" w:type="dxa"/>
            <w:vAlign w:val="bottom"/>
          </w:tcPr>
          <w:p>
            <w:pPr>
              <w:spacing w:after="0"/>
              <w:rPr>
                <w:sz w:val="20"/>
                <w:szCs w:val="20"/>
                <w:color w:val="auto"/>
              </w:rPr>
            </w:pPr>
            <w:r>
              <w:rPr>
                <w:rFonts w:ascii="Arial" w:cs="Arial" w:eastAsia="Arial" w:hAnsi="Arial"/>
                <w:sz w:val="18"/>
                <w:szCs w:val="18"/>
                <w:color w:val="auto"/>
              </w:rPr>
              <w:t>Section 11.01.</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Company May Consolidate, Etc. on Certain Terms</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11.02.</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Successor Corporation to Be Substituted</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Section 11.03.</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Opinion of Counsel to Be Given to Trustee</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7"/>
        </w:trPr>
        <w:tc>
          <w:tcPr>
            <w:tcW w:w="1240" w:type="dxa"/>
            <w:vAlign w:val="bottom"/>
          </w:tcPr>
          <w:p>
            <w:pPr>
              <w:spacing w:after="0"/>
              <w:rPr>
                <w:sz w:val="24"/>
                <w:szCs w:val="24"/>
                <w:color w:val="auto"/>
              </w:rPr>
            </w:pPr>
          </w:p>
        </w:tc>
        <w:tc>
          <w:tcPr>
            <w:tcW w:w="9480" w:type="dxa"/>
            <w:vAlign w:val="bottom"/>
          </w:tcPr>
          <w:p>
            <w:pPr>
              <w:jc w:val="center"/>
              <w:ind w:right="552"/>
              <w:spacing w:after="0"/>
              <w:rPr>
                <w:sz w:val="20"/>
                <w:szCs w:val="20"/>
                <w:color w:val="auto"/>
              </w:rPr>
            </w:pPr>
            <w:r>
              <w:rPr>
                <w:rFonts w:ascii="Arial" w:cs="Arial" w:eastAsia="Arial" w:hAnsi="Arial"/>
                <w:sz w:val="18"/>
                <w:szCs w:val="18"/>
                <w:color w:val="auto"/>
                <w:w w:val="94"/>
              </w:rPr>
              <w:t>ARTICLE 12</w:t>
            </w:r>
          </w:p>
        </w:tc>
        <w:tc>
          <w:tcPr>
            <w:tcW w:w="600" w:type="dxa"/>
            <w:vAlign w:val="bottom"/>
          </w:tcPr>
          <w:p>
            <w:pPr>
              <w:spacing w:after="0"/>
              <w:rPr>
                <w:sz w:val="24"/>
                <w:szCs w:val="24"/>
                <w:color w:val="auto"/>
              </w:rPr>
            </w:pPr>
          </w:p>
        </w:tc>
      </w:tr>
      <w:tr>
        <w:trPr>
          <w:trHeight w:val="223"/>
        </w:trPr>
        <w:tc>
          <w:tcPr>
            <w:tcW w:w="1240" w:type="dxa"/>
            <w:vAlign w:val="bottom"/>
          </w:tcPr>
          <w:p>
            <w:pPr>
              <w:spacing w:after="0"/>
              <w:rPr>
                <w:sz w:val="19"/>
                <w:szCs w:val="19"/>
                <w:color w:val="auto"/>
              </w:rPr>
            </w:pPr>
          </w:p>
        </w:tc>
        <w:tc>
          <w:tcPr>
            <w:tcW w:w="9480" w:type="dxa"/>
            <w:vAlign w:val="bottom"/>
          </w:tcPr>
          <w:p>
            <w:pPr>
              <w:jc w:val="center"/>
              <w:ind w:right="532"/>
              <w:spacing w:after="0"/>
              <w:rPr>
                <w:sz w:val="20"/>
                <w:szCs w:val="20"/>
                <w:color w:val="auto"/>
              </w:rPr>
            </w:pPr>
            <w:r>
              <w:rPr>
                <w:rFonts w:ascii="Arial" w:cs="Arial" w:eastAsia="Arial" w:hAnsi="Arial"/>
                <w:sz w:val="18"/>
                <w:szCs w:val="18"/>
                <w:color w:val="auto"/>
                <w:w w:val="99"/>
              </w:rPr>
              <w:t>I</w:t>
            </w:r>
            <w:r>
              <w:rPr>
                <w:rFonts w:ascii="Arial" w:cs="Arial" w:eastAsia="Arial" w:hAnsi="Arial"/>
                <w:sz w:val="14"/>
                <w:szCs w:val="14"/>
                <w:color w:val="auto"/>
                <w:w w:val="99"/>
              </w:rPr>
              <w:t>MMUNITY OF</w:t>
            </w:r>
            <w:r>
              <w:rPr>
                <w:rFonts w:ascii="Arial" w:cs="Arial" w:eastAsia="Arial" w:hAnsi="Arial"/>
                <w:sz w:val="18"/>
                <w:szCs w:val="18"/>
                <w:color w:val="auto"/>
                <w:w w:val="99"/>
              </w:rPr>
              <w:t xml:space="preserve"> I</w:t>
            </w:r>
            <w:r>
              <w:rPr>
                <w:rFonts w:ascii="Arial" w:cs="Arial" w:eastAsia="Arial" w:hAnsi="Arial"/>
                <w:sz w:val="14"/>
                <w:szCs w:val="14"/>
                <w:color w:val="auto"/>
                <w:w w:val="99"/>
              </w:rPr>
              <w:t>NCORPORATORS</w:t>
            </w:r>
            <w:r>
              <w:rPr>
                <w:rFonts w:ascii="Arial" w:cs="Arial" w:eastAsia="Arial" w:hAnsi="Arial"/>
                <w:sz w:val="18"/>
                <w:szCs w:val="18"/>
                <w:color w:val="auto"/>
                <w:w w:val="99"/>
              </w:rPr>
              <w:t>, S</w:t>
            </w:r>
            <w:r>
              <w:rPr>
                <w:rFonts w:ascii="Arial" w:cs="Arial" w:eastAsia="Arial" w:hAnsi="Arial"/>
                <w:sz w:val="14"/>
                <w:szCs w:val="14"/>
                <w:color w:val="auto"/>
                <w:w w:val="99"/>
              </w:rPr>
              <w:t>TOCKHOLDERS</w:t>
            </w:r>
            <w:r>
              <w:rPr>
                <w:rFonts w:ascii="Arial" w:cs="Arial" w:eastAsia="Arial" w:hAnsi="Arial"/>
                <w:sz w:val="18"/>
                <w:szCs w:val="18"/>
                <w:color w:val="auto"/>
                <w:w w:val="99"/>
              </w:rPr>
              <w:t>, O</w:t>
            </w:r>
            <w:r>
              <w:rPr>
                <w:rFonts w:ascii="Arial" w:cs="Arial" w:eastAsia="Arial" w:hAnsi="Arial"/>
                <w:sz w:val="14"/>
                <w:szCs w:val="14"/>
                <w:color w:val="auto"/>
                <w:w w:val="99"/>
              </w:rPr>
              <w:t>FFICERS AND</w:t>
            </w:r>
            <w:r>
              <w:rPr>
                <w:rFonts w:ascii="Arial" w:cs="Arial" w:eastAsia="Arial" w:hAnsi="Arial"/>
                <w:sz w:val="18"/>
                <w:szCs w:val="18"/>
                <w:color w:val="auto"/>
                <w:w w:val="99"/>
              </w:rPr>
              <w:t xml:space="preserve"> D</w:t>
            </w:r>
            <w:r>
              <w:rPr>
                <w:rFonts w:ascii="Arial" w:cs="Arial" w:eastAsia="Arial" w:hAnsi="Arial"/>
                <w:sz w:val="14"/>
                <w:szCs w:val="14"/>
                <w:color w:val="auto"/>
                <w:w w:val="99"/>
              </w:rPr>
              <w:t>IRECTORS</w:t>
            </w:r>
          </w:p>
        </w:tc>
        <w:tc>
          <w:tcPr>
            <w:tcW w:w="600" w:type="dxa"/>
            <w:vAlign w:val="bottom"/>
          </w:tcPr>
          <w:p>
            <w:pPr>
              <w:spacing w:after="0"/>
              <w:rPr>
                <w:sz w:val="19"/>
                <w:szCs w:val="19"/>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Section 12.01.</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Indenture and Notes Solely Corporate Obligations</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7"/>
        </w:trPr>
        <w:tc>
          <w:tcPr>
            <w:tcW w:w="1240" w:type="dxa"/>
            <w:vAlign w:val="bottom"/>
          </w:tcPr>
          <w:p>
            <w:pPr>
              <w:spacing w:after="0"/>
              <w:rPr>
                <w:sz w:val="24"/>
                <w:szCs w:val="24"/>
                <w:color w:val="auto"/>
              </w:rPr>
            </w:pPr>
          </w:p>
        </w:tc>
        <w:tc>
          <w:tcPr>
            <w:tcW w:w="9480" w:type="dxa"/>
            <w:vAlign w:val="bottom"/>
          </w:tcPr>
          <w:p>
            <w:pPr>
              <w:jc w:val="center"/>
              <w:ind w:right="552"/>
              <w:spacing w:after="0"/>
              <w:rPr>
                <w:sz w:val="20"/>
                <w:szCs w:val="20"/>
                <w:color w:val="auto"/>
              </w:rPr>
            </w:pPr>
            <w:r>
              <w:rPr>
                <w:rFonts w:ascii="Arial" w:cs="Arial" w:eastAsia="Arial" w:hAnsi="Arial"/>
                <w:sz w:val="18"/>
                <w:szCs w:val="18"/>
                <w:color w:val="auto"/>
                <w:w w:val="94"/>
              </w:rPr>
              <w:t>ARTICLE 13</w:t>
            </w:r>
          </w:p>
        </w:tc>
        <w:tc>
          <w:tcPr>
            <w:tcW w:w="600" w:type="dxa"/>
            <w:vAlign w:val="bottom"/>
          </w:tcPr>
          <w:p>
            <w:pPr>
              <w:spacing w:after="0"/>
              <w:rPr>
                <w:sz w:val="24"/>
                <w:szCs w:val="24"/>
                <w:color w:val="auto"/>
              </w:rPr>
            </w:pPr>
          </w:p>
        </w:tc>
      </w:tr>
      <w:tr>
        <w:trPr>
          <w:trHeight w:val="223"/>
        </w:trPr>
        <w:tc>
          <w:tcPr>
            <w:tcW w:w="1240" w:type="dxa"/>
            <w:vAlign w:val="bottom"/>
          </w:tcPr>
          <w:p>
            <w:pPr>
              <w:spacing w:after="0"/>
              <w:rPr>
                <w:sz w:val="19"/>
                <w:szCs w:val="19"/>
                <w:color w:val="auto"/>
              </w:rPr>
            </w:pPr>
          </w:p>
        </w:tc>
        <w:tc>
          <w:tcPr>
            <w:tcW w:w="9480" w:type="dxa"/>
            <w:vAlign w:val="bottom"/>
          </w:tcPr>
          <w:p>
            <w:pPr>
              <w:jc w:val="center"/>
              <w:ind w:right="53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ONVERSION OF</w:t>
            </w:r>
            <w:r>
              <w:rPr>
                <w:rFonts w:ascii="Arial" w:cs="Arial" w:eastAsia="Arial" w:hAnsi="Arial"/>
                <w:sz w:val="18"/>
                <w:szCs w:val="18"/>
                <w:color w:val="auto"/>
                <w:w w:val="98"/>
              </w:rPr>
              <w:t xml:space="preserve"> N</w:t>
            </w:r>
            <w:r>
              <w:rPr>
                <w:rFonts w:ascii="Arial" w:cs="Arial" w:eastAsia="Arial" w:hAnsi="Arial"/>
                <w:sz w:val="14"/>
                <w:szCs w:val="14"/>
                <w:color w:val="auto"/>
                <w:w w:val="98"/>
              </w:rPr>
              <w:t>OTES</w:t>
            </w:r>
          </w:p>
        </w:tc>
        <w:tc>
          <w:tcPr>
            <w:tcW w:w="600" w:type="dxa"/>
            <w:vAlign w:val="bottom"/>
          </w:tcPr>
          <w:p>
            <w:pPr>
              <w:spacing w:after="0"/>
              <w:rPr>
                <w:sz w:val="19"/>
                <w:szCs w:val="19"/>
                <w:color w:val="auto"/>
              </w:rPr>
            </w:pPr>
          </w:p>
        </w:tc>
      </w:tr>
      <w:tr>
        <w:trPr>
          <w:trHeight w:val="320"/>
        </w:trPr>
        <w:tc>
          <w:tcPr>
            <w:tcW w:w="1240" w:type="dxa"/>
            <w:vAlign w:val="bottom"/>
          </w:tcPr>
          <w:p>
            <w:pPr>
              <w:spacing w:after="0"/>
              <w:rPr>
                <w:sz w:val="20"/>
                <w:szCs w:val="20"/>
                <w:color w:val="auto"/>
              </w:rPr>
            </w:pPr>
            <w:r>
              <w:rPr>
                <w:rFonts w:ascii="Arial" w:cs="Arial" w:eastAsia="Arial" w:hAnsi="Arial"/>
                <w:sz w:val="18"/>
                <w:szCs w:val="18"/>
                <w:color w:val="auto"/>
              </w:rPr>
              <w:t>Section 13.01.</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Conversion Privilege</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13.02.</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Conversion Procedure; Settlement Upon Conversion</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13.03.</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w w:val="93"/>
              </w:rPr>
              <w:t>Increased Conversion Rate Applicable to Certain Notes Surrendered in Connection with Make-Whole Fundamental Changes</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13.04.</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Adjustment of Conversion Rate</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13.05.</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Adjustments of Prices</w:t>
            </w: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13.06.</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Shares to Be Fully Paid</w:t>
            </w: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13.07.</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Effect of Recapitalizations, Reclassifications and Changes of the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13.08.</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Certain Covenants</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13.09.</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Responsibility of Trustee</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13.10.</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Notice to Holders Prior to Certain Actions</w:t>
            </w: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13.11.</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Stockholder Rights Plans</w:t>
            </w: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Section 13.12.</w:t>
            </w:r>
          </w:p>
        </w:tc>
        <w:tc>
          <w:tcPr>
            <w:tcW w:w="9480" w:type="dxa"/>
            <w:vAlign w:val="bottom"/>
          </w:tcPr>
          <w:p>
            <w:pPr>
              <w:ind w:left="220"/>
              <w:spacing w:after="0"/>
              <w:rPr>
                <w:sz w:val="20"/>
                <w:szCs w:val="20"/>
                <w:color w:val="auto"/>
              </w:rPr>
            </w:pPr>
            <w:r>
              <w:rPr>
                <w:rFonts w:ascii="Arial" w:cs="Arial" w:eastAsia="Arial" w:hAnsi="Arial"/>
                <w:sz w:val="18"/>
                <w:szCs w:val="18"/>
                <w:i w:val="1"/>
                <w:iCs w:val="1"/>
                <w:color w:val="auto"/>
              </w:rPr>
              <w:t>Limit on Issuance of Shares of Common Stock Upon Conversion</w:t>
            </w: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79"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14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EPURCHASE OF</w:t>
      </w:r>
      <w:r>
        <w:rPr>
          <w:rFonts w:ascii="Arial" w:cs="Arial" w:eastAsia="Arial" w:hAnsi="Arial"/>
          <w:sz w:val="18"/>
          <w:szCs w:val="18"/>
          <w:color w:val="auto"/>
        </w:rPr>
        <w:t xml:space="preserve"> N</w:t>
      </w:r>
      <w:r>
        <w:rPr>
          <w:rFonts w:ascii="Arial" w:cs="Arial" w:eastAsia="Arial" w:hAnsi="Arial"/>
          <w:sz w:val="14"/>
          <w:szCs w:val="14"/>
          <w:color w:val="auto"/>
        </w:rPr>
        <w:t>OTES AT</w:t>
      </w:r>
      <w:r>
        <w:rPr>
          <w:rFonts w:ascii="Arial" w:cs="Arial" w:eastAsia="Arial" w:hAnsi="Arial"/>
          <w:sz w:val="18"/>
          <w:szCs w:val="18"/>
          <w:color w:val="auto"/>
        </w:rPr>
        <w:t xml:space="preserve"> 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14.01.</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Repurchase at Option of Holders Upon a Fundamental Change</w:t>
            </w: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14.02.</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Withdrawal of Fundamental Change Repurchase Notice</w:t>
            </w:r>
          </w:p>
        </w:tc>
        <w:tc>
          <w:tcPr>
            <w:tcW w:w="1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14.03.</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Deposit of Fundamental Change Repurchase Price</w:t>
            </w:r>
          </w:p>
        </w:tc>
        <w:tc>
          <w:tcPr>
            <w:tcW w:w="1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Section 14.04.</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Covenant to Comply with Applicable Laws Upon Repurchase of Notes</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7"/>
        </w:trPr>
        <w:tc>
          <w:tcPr>
            <w:tcW w:w="1240" w:type="dxa"/>
            <w:vAlign w:val="bottom"/>
          </w:tcPr>
          <w:p>
            <w:pPr>
              <w:spacing w:after="0"/>
              <w:rPr>
                <w:sz w:val="24"/>
                <w:szCs w:val="24"/>
                <w:color w:val="auto"/>
              </w:rPr>
            </w:pPr>
          </w:p>
        </w:tc>
        <w:tc>
          <w:tcPr>
            <w:tcW w:w="8580" w:type="dxa"/>
            <w:vAlign w:val="bottom"/>
          </w:tcPr>
          <w:p>
            <w:pPr>
              <w:jc w:val="center"/>
              <w:ind w:left="172"/>
              <w:spacing w:after="0"/>
              <w:rPr>
                <w:sz w:val="20"/>
                <w:szCs w:val="20"/>
                <w:color w:val="auto"/>
              </w:rPr>
            </w:pPr>
            <w:r>
              <w:rPr>
                <w:rFonts w:ascii="Arial" w:cs="Arial" w:eastAsia="Arial" w:hAnsi="Arial"/>
                <w:sz w:val="18"/>
                <w:szCs w:val="18"/>
                <w:color w:val="auto"/>
                <w:w w:val="94"/>
              </w:rPr>
              <w:t>ARTICLE 15</w:t>
            </w:r>
          </w:p>
        </w:tc>
        <w:tc>
          <w:tcPr>
            <w:tcW w:w="1500" w:type="dxa"/>
            <w:vAlign w:val="bottom"/>
          </w:tcPr>
          <w:p>
            <w:pPr>
              <w:spacing w:after="0"/>
              <w:rPr>
                <w:sz w:val="24"/>
                <w:szCs w:val="24"/>
                <w:color w:val="auto"/>
              </w:rPr>
            </w:pPr>
          </w:p>
        </w:tc>
      </w:tr>
      <w:tr>
        <w:trPr>
          <w:trHeight w:val="223"/>
        </w:trPr>
        <w:tc>
          <w:tcPr>
            <w:tcW w:w="1240" w:type="dxa"/>
            <w:vAlign w:val="bottom"/>
          </w:tcPr>
          <w:p>
            <w:pPr>
              <w:spacing w:after="0"/>
              <w:rPr>
                <w:sz w:val="19"/>
                <w:szCs w:val="19"/>
                <w:color w:val="auto"/>
              </w:rPr>
            </w:pPr>
          </w:p>
        </w:tc>
        <w:tc>
          <w:tcPr>
            <w:tcW w:w="8580" w:type="dxa"/>
            <w:vAlign w:val="bottom"/>
          </w:tcPr>
          <w:p>
            <w:pPr>
              <w:jc w:val="center"/>
              <w:ind w:left="192"/>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w:t>
            </w:r>
            <w:r>
              <w:rPr>
                <w:rFonts w:ascii="Arial" w:cs="Arial" w:eastAsia="Arial" w:hAnsi="Arial"/>
                <w:sz w:val="18"/>
                <w:szCs w:val="18"/>
                <w:color w:val="auto"/>
              </w:rPr>
              <w:t xml:space="preserve"> R</w:t>
            </w:r>
            <w:r>
              <w:rPr>
                <w:rFonts w:ascii="Arial" w:cs="Arial" w:eastAsia="Arial" w:hAnsi="Arial"/>
                <w:sz w:val="14"/>
                <w:szCs w:val="14"/>
                <w:color w:val="auto"/>
              </w:rPr>
              <w:t>EDEMPTION</w:t>
            </w:r>
          </w:p>
        </w:tc>
        <w:tc>
          <w:tcPr>
            <w:tcW w:w="1500" w:type="dxa"/>
            <w:vAlign w:val="bottom"/>
          </w:tcPr>
          <w:p>
            <w:pPr>
              <w:spacing w:after="0"/>
              <w:rPr>
                <w:sz w:val="19"/>
                <w:szCs w:val="19"/>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Section 15.01.</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No Redemption</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7"/>
        </w:trPr>
        <w:tc>
          <w:tcPr>
            <w:tcW w:w="1240" w:type="dxa"/>
            <w:vAlign w:val="bottom"/>
          </w:tcPr>
          <w:p>
            <w:pPr>
              <w:spacing w:after="0"/>
              <w:rPr>
                <w:sz w:val="24"/>
                <w:szCs w:val="24"/>
                <w:color w:val="auto"/>
              </w:rPr>
            </w:pPr>
          </w:p>
        </w:tc>
        <w:tc>
          <w:tcPr>
            <w:tcW w:w="8580" w:type="dxa"/>
            <w:vAlign w:val="bottom"/>
          </w:tcPr>
          <w:p>
            <w:pPr>
              <w:jc w:val="center"/>
              <w:ind w:left="172"/>
              <w:spacing w:after="0"/>
              <w:rPr>
                <w:sz w:val="20"/>
                <w:szCs w:val="20"/>
                <w:color w:val="auto"/>
              </w:rPr>
            </w:pPr>
            <w:r>
              <w:rPr>
                <w:rFonts w:ascii="Arial" w:cs="Arial" w:eastAsia="Arial" w:hAnsi="Arial"/>
                <w:sz w:val="18"/>
                <w:szCs w:val="18"/>
                <w:color w:val="auto"/>
                <w:w w:val="94"/>
              </w:rPr>
              <w:t>ARTICLE 16</w:t>
            </w:r>
          </w:p>
        </w:tc>
        <w:tc>
          <w:tcPr>
            <w:tcW w:w="1500" w:type="dxa"/>
            <w:vAlign w:val="bottom"/>
          </w:tcPr>
          <w:p>
            <w:pPr>
              <w:spacing w:after="0"/>
              <w:rPr>
                <w:sz w:val="24"/>
                <w:szCs w:val="24"/>
                <w:color w:val="auto"/>
              </w:rPr>
            </w:pPr>
          </w:p>
        </w:tc>
      </w:tr>
      <w:tr>
        <w:trPr>
          <w:trHeight w:val="223"/>
        </w:trPr>
        <w:tc>
          <w:tcPr>
            <w:tcW w:w="1240" w:type="dxa"/>
            <w:vAlign w:val="bottom"/>
          </w:tcPr>
          <w:p>
            <w:pPr>
              <w:spacing w:after="0"/>
              <w:rPr>
                <w:sz w:val="19"/>
                <w:szCs w:val="19"/>
                <w:color w:val="auto"/>
              </w:rPr>
            </w:pPr>
          </w:p>
        </w:tc>
        <w:tc>
          <w:tcPr>
            <w:tcW w:w="8580" w:type="dxa"/>
            <w:vAlign w:val="bottom"/>
          </w:tcPr>
          <w:p>
            <w:pPr>
              <w:jc w:val="center"/>
              <w:ind w:left="19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tc>
        <w:tc>
          <w:tcPr>
            <w:tcW w:w="1500" w:type="dxa"/>
            <w:vAlign w:val="bottom"/>
          </w:tcPr>
          <w:p>
            <w:pPr>
              <w:spacing w:after="0"/>
              <w:rPr>
                <w:sz w:val="19"/>
                <w:szCs w:val="19"/>
                <w:color w:val="auto"/>
              </w:rPr>
            </w:pPr>
          </w:p>
        </w:tc>
      </w:tr>
      <w:tr>
        <w:trPr>
          <w:trHeight w:val="320"/>
        </w:trPr>
        <w:tc>
          <w:tcPr>
            <w:tcW w:w="1240" w:type="dxa"/>
            <w:vAlign w:val="bottom"/>
          </w:tcPr>
          <w:p>
            <w:pPr>
              <w:spacing w:after="0"/>
              <w:rPr>
                <w:sz w:val="20"/>
                <w:szCs w:val="20"/>
                <w:color w:val="auto"/>
              </w:rPr>
            </w:pPr>
            <w:r>
              <w:rPr>
                <w:rFonts w:ascii="Arial" w:cs="Arial" w:eastAsia="Arial" w:hAnsi="Arial"/>
                <w:sz w:val="18"/>
                <w:szCs w:val="18"/>
                <w:color w:val="auto"/>
              </w:rPr>
              <w:t>Section 16.01.</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Provisions Binding on Company’s Successors</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16.02.</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Official Acts by Successor Corporation</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16.03.</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Addresses for Notices, Etc.</w:t>
            </w: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16.04.</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Governing Law</w:t>
            </w: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16.05.</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Evidence of Compliance with Conditions Precedent; Certificates and Opinions of Counsel to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16.06.</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Legal Holidays</w:t>
            </w:r>
          </w:p>
        </w:tc>
        <w:tc>
          <w:tcPr>
            <w:tcW w:w="1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16.07.</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No Security Interest Created</w:t>
            </w:r>
          </w:p>
        </w:tc>
        <w:tc>
          <w:tcPr>
            <w:tcW w:w="1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16.08.</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Benefits of Indenture</w:t>
            </w:r>
          </w:p>
        </w:tc>
        <w:tc>
          <w:tcPr>
            <w:tcW w:w="1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16.09.</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Table of Contents, Headings, Etc.</w:t>
            </w:r>
          </w:p>
        </w:tc>
        <w:tc>
          <w:tcPr>
            <w:tcW w:w="1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16.10.</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Authenticating Agent</w:t>
            </w:r>
          </w:p>
        </w:tc>
        <w:tc>
          <w:tcPr>
            <w:tcW w:w="1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16.11.</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Execution in Counterparts</w:t>
            </w: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16.12.</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Severability</w:t>
            </w: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16.13.</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Waiver of Jury Trial</w:t>
            </w: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16.14.</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Force Majeure</w:t>
            </w: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2"/>
        </w:trPr>
        <w:tc>
          <w:tcPr>
            <w:tcW w:w="1240" w:type="dxa"/>
            <w:vAlign w:val="bottom"/>
          </w:tcPr>
          <w:p>
            <w:pPr>
              <w:spacing w:after="0"/>
              <w:rPr>
                <w:sz w:val="20"/>
                <w:szCs w:val="20"/>
                <w:color w:val="auto"/>
              </w:rPr>
            </w:pPr>
            <w:r>
              <w:rPr>
                <w:rFonts w:ascii="Arial" w:cs="Arial" w:eastAsia="Arial" w:hAnsi="Arial"/>
                <w:sz w:val="18"/>
                <w:szCs w:val="18"/>
                <w:color w:val="auto"/>
              </w:rPr>
              <w:t>Section 16.15.</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Calculations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Section 16.16.</w:t>
            </w: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No Adverse Interpretation of Other Agreements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8"/>
        </w:trPr>
        <w:tc>
          <w:tcPr>
            <w:tcW w:w="1240" w:type="dxa"/>
            <w:vAlign w:val="bottom"/>
          </w:tcPr>
          <w:p>
            <w:pPr>
              <w:spacing w:after="0"/>
              <w:rPr>
                <w:sz w:val="24"/>
                <w:szCs w:val="24"/>
                <w:color w:val="auto"/>
              </w:rPr>
            </w:pPr>
          </w:p>
        </w:tc>
        <w:tc>
          <w:tcPr>
            <w:tcW w:w="8580" w:type="dxa"/>
            <w:vAlign w:val="bottom"/>
          </w:tcPr>
          <w:p>
            <w:pPr>
              <w:jc w:val="center"/>
              <w:ind w:left="172"/>
              <w:spacing w:after="0"/>
              <w:rPr>
                <w:sz w:val="20"/>
                <w:szCs w:val="20"/>
                <w:color w:val="auto"/>
              </w:rPr>
            </w:pPr>
            <w:r>
              <w:rPr>
                <w:rFonts w:ascii="Arial" w:cs="Arial" w:eastAsia="Arial" w:hAnsi="Arial"/>
                <w:sz w:val="18"/>
                <w:szCs w:val="18"/>
                <w:b w:val="1"/>
                <w:bCs w:val="1"/>
                <w:color w:val="auto"/>
              </w:rPr>
              <w:t>EXHIBIT</w:t>
            </w:r>
          </w:p>
        </w:tc>
        <w:tc>
          <w:tcPr>
            <w:tcW w:w="1500" w:type="dxa"/>
            <w:vAlign w:val="bottom"/>
          </w:tcPr>
          <w:p>
            <w:pPr>
              <w:spacing w:after="0"/>
              <w:rPr>
                <w:sz w:val="24"/>
                <w:szCs w:val="24"/>
                <w:color w:val="auto"/>
              </w:rPr>
            </w:pPr>
          </w:p>
        </w:tc>
      </w:tr>
      <w:tr>
        <w:trPr>
          <w:trHeight w:val="307"/>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8580" w:type="dxa"/>
            <w:vAlign w:val="bottom"/>
          </w:tcPr>
          <w:p>
            <w:pPr>
              <w:ind w:left="220"/>
              <w:spacing w:after="0"/>
              <w:rPr>
                <w:sz w:val="20"/>
                <w:szCs w:val="20"/>
                <w:color w:val="auto"/>
              </w:rPr>
            </w:pPr>
            <w:r>
              <w:rPr>
                <w:rFonts w:ascii="Arial" w:cs="Arial" w:eastAsia="Arial" w:hAnsi="Arial"/>
                <w:sz w:val="18"/>
                <w:szCs w:val="18"/>
                <w:color w:val="auto"/>
              </w:rPr>
              <w:t>Form of Note</w:t>
            </w:r>
          </w:p>
        </w:tc>
        <w:tc>
          <w:tcPr>
            <w:tcW w:w="15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8580" w:type="dxa"/>
            <w:vAlign w:val="bottom"/>
          </w:tcPr>
          <w:p>
            <w:pPr>
              <w:ind w:left="220"/>
              <w:spacing w:after="0"/>
              <w:rPr>
                <w:sz w:val="20"/>
                <w:szCs w:val="20"/>
                <w:color w:val="auto"/>
              </w:rPr>
            </w:pPr>
            <w:r>
              <w:rPr>
                <w:rFonts w:ascii="Arial" w:cs="Arial" w:eastAsia="Arial" w:hAnsi="Arial"/>
                <w:sz w:val="18"/>
                <w:szCs w:val="18"/>
                <w:color w:val="auto"/>
              </w:rPr>
              <w:t>Form of Transferability Certificate</w:t>
            </w:r>
          </w:p>
        </w:tc>
        <w:tc>
          <w:tcPr>
            <w:tcW w:w="1500" w:type="dxa"/>
            <w:vAlign w:val="bottom"/>
          </w:tcPr>
          <w:p>
            <w:pPr>
              <w:jc w:val="right"/>
              <w:spacing w:after="0"/>
              <w:rPr>
                <w:sz w:val="20"/>
                <w:szCs w:val="20"/>
                <w:color w:val="auto"/>
              </w:rPr>
            </w:pPr>
            <w:r>
              <w:rPr>
                <w:rFonts w:ascii="Arial" w:cs="Arial" w:eastAsia="Arial" w:hAnsi="Arial"/>
                <w:sz w:val="18"/>
                <w:szCs w:val="18"/>
                <w:color w:val="auto"/>
              </w:rPr>
              <w:t>B-1</w:t>
            </w:r>
          </w:p>
        </w:tc>
      </w:tr>
    </w:tbl>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379" w:right="339" w:bottom="1440" w:gutter="0" w:footer="0" w:header="0"/>
        </w:sectPr>
      </w:pPr>
    </w:p>
    <w:bookmarkStart w:id="11" w:name="page12"/>
    <w:bookmarkEnd w:id="11"/>
    <w:p>
      <w:pPr>
        <w:jc w:val="both"/>
        <w:ind w:right="20" w:firstLine="45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INDENTURE dated as of June 10, 2014 between TPG SPECIALTY LENDING,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 Section 1.01) and WELLS FARGO BANK,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for its lawful corporate purposes, the Company has duly authorized the issuance of its 4.50% Convertible Senior Notes due 2019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Notes</w:t>
      </w:r>
      <w:r>
        <w:rPr>
          <w:rFonts w:ascii="Arial" w:cs="Arial" w:eastAsia="Arial" w:hAnsi="Arial"/>
          <w:sz w:val="15"/>
          <w:szCs w:val="15"/>
          <w:color w:val="auto"/>
        </w:rPr>
        <w:t>”), initially in an aggregate principal amount not to exceed $115,000,000, and in order to provide the terms and conditions upon which the Notes are to be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authenticated, issued and delivered, the Company has duly authorized the execution and delivery of this Indenture; and</w:t>
      </w:r>
    </w:p>
    <w:p>
      <w:pPr>
        <w:spacing w:after="0" w:line="206" w:lineRule="exact"/>
        <w:rPr>
          <w:sz w:val="20"/>
          <w:szCs w:val="20"/>
          <w:color w:val="auto"/>
        </w:rPr>
      </w:pPr>
    </w:p>
    <w:p>
      <w:pPr>
        <w:jc w:val="both"/>
        <w:ind w:right="280" w:firstLine="457"/>
        <w:spacing w:after="0" w:line="366" w:lineRule="auto"/>
        <w:rPr>
          <w:sz w:val="20"/>
          <w:szCs w:val="20"/>
          <w:color w:val="auto"/>
        </w:rPr>
      </w:pPr>
      <w:r>
        <w:rPr>
          <w:rFonts w:ascii="Arial" w:cs="Arial" w:eastAsia="Arial" w:hAnsi="Arial"/>
          <w:sz w:val="15"/>
          <w:szCs w:val="15"/>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10" w:lineRule="exact"/>
        <w:rPr>
          <w:sz w:val="20"/>
          <w:szCs w:val="20"/>
          <w:color w:val="auto"/>
        </w:rPr>
      </w:pPr>
    </w:p>
    <w:p>
      <w:pPr>
        <w:jc w:val="both"/>
        <w:ind w:right="300" w:firstLine="457"/>
        <w:spacing w:after="0" w:line="252" w:lineRule="auto"/>
        <w:rPr>
          <w:sz w:val="20"/>
          <w:szCs w:val="20"/>
          <w:color w:val="auto"/>
        </w:rPr>
      </w:pPr>
      <w:r>
        <w:rPr>
          <w:rFonts w:ascii="Arial" w:cs="Arial" w:eastAsia="Arial" w:hAnsi="Arial"/>
          <w:sz w:val="18"/>
          <w:szCs w:val="18"/>
          <w:color w:val="auto"/>
        </w:rPr>
        <w:t>WHEREAS, all acts and things necessary to make the Notes, when executed by the Company and authenticated and delivered by the Trustee or a duly authorized authenticating agent, as provided in this Indenture, the valid, binding and legal obligations of the Company, and this Indenture a valid agreement according to its terms, have been done and performed, and the execution of this Indenture and the issue hereunder of the Notes have in all respects been duly authorized.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217" w:lineRule="exact"/>
        <w:rPr>
          <w:sz w:val="20"/>
          <w:szCs w:val="20"/>
          <w:color w:val="auto"/>
        </w:rPr>
      </w:pPr>
    </w:p>
    <w:p>
      <w:pPr>
        <w:ind w:right="120" w:firstLine="457"/>
        <w:spacing w:after="0" w:line="330" w:lineRule="auto"/>
        <w:rPr>
          <w:sz w:val="20"/>
          <w:szCs w:val="20"/>
          <w:color w:val="auto"/>
        </w:rPr>
      </w:pPr>
      <w:r>
        <w:rPr>
          <w:rFonts w:ascii="Arial" w:cs="Arial" w:eastAsia="Arial" w:hAnsi="Arial"/>
          <w:sz w:val="15"/>
          <w:szCs w:val="15"/>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206"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ectPr>
          <w:pgSz w:w="11900" w:h="16838" w:orient="portrait"/>
          <w:cols w:equalWidth="0" w:num="1">
            <w:col w:w="11400"/>
          </w:cols>
          <w:pgMar w:left="240" w:top="267"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8"/>
          <w:szCs w:val="18"/>
          <w:b w:val="1"/>
          <w:bCs w:val="1"/>
          <w:color w:val="auto"/>
        </w:rPr>
        <w:t>Additional Interest</w:t>
      </w:r>
      <w:r>
        <w:rPr>
          <w:rFonts w:ascii="Arial" w:cs="Arial" w:eastAsia="Arial" w:hAnsi="Arial"/>
          <w:sz w:val="18"/>
          <w:szCs w:val="18"/>
          <w:color w:val="auto"/>
        </w:rPr>
        <w:t>” means all amounts, if any, payable pursuant to Section 4.06(d) and Section 6.03, as applicable.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have the meaning specified in Section 13.03(a).</w:t>
      </w:r>
    </w:p>
    <w:p>
      <w:pPr>
        <w:spacing w:after="0" w:line="217"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when used with respect to any specified Person means the power to direct or cause the direction of the management and policies of such Person, directly or indirectly, whether through the ownership of voting securities, by contract or otherwise;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68" w:lineRule="exact"/>
        <w:rPr>
          <w:sz w:val="20"/>
          <w:szCs w:val="20"/>
          <w:color w:val="auto"/>
        </w:rPr>
      </w:pPr>
    </w:p>
    <w:p>
      <w:pPr>
        <w:ind w:right="480" w:firstLine="45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Bid Solicitation Agent</w:t>
      </w:r>
      <w:r>
        <w:rPr>
          <w:rFonts w:ascii="Arial" w:cs="Arial" w:eastAsia="Arial" w:hAnsi="Arial"/>
          <w:sz w:val="17"/>
          <w:szCs w:val="17"/>
          <w:color w:val="auto"/>
        </w:rPr>
        <w:t>” means the Person appointed by the Company to solicit bids for the Trading Price of the Notes in accordance with Section 13.01(b)(i) (which may be the Company). The Trustee shall initially act as the Bid Solicitation Agent. If at any time the Company is acting as Bid Solicitation Agent, no separate instruction as contemplated in Section 13.01(b) by the Company shall be necessary.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 committee of such board duly authorized to act for it hereunder.</w:t>
      </w:r>
    </w:p>
    <w:p>
      <w:pPr>
        <w:spacing w:after="0" w:line="217" w:lineRule="exact"/>
        <w:rPr>
          <w:sz w:val="20"/>
          <w:szCs w:val="20"/>
          <w:color w:val="auto"/>
        </w:rPr>
      </w:pPr>
    </w:p>
    <w:p>
      <w:pPr>
        <w:ind w:right="18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7" w:lineRule="exact"/>
        <w:rPr>
          <w:sz w:val="20"/>
          <w:szCs w:val="20"/>
          <w:color w:val="auto"/>
        </w:rPr>
      </w:pPr>
    </w:p>
    <w:p>
      <w:pPr>
        <w:ind w:right="24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67" w:lineRule="exact"/>
        <w:rPr>
          <w:sz w:val="20"/>
          <w:szCs w:val="20"/>
          <w:color w:val="auto"/>
        </w:rPr>
      </w:pPr>
    </w:p>
    <w:p>
      <w:pPr>
        <w:ind w:right="2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 shall have the meaning specified in Section 13.02(a).</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shall have the meaning specified in Section 13.04(c).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shall have the meaning specified in Section 13.04(c).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shall have the meaning specified in Section 13.04(c).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 shall have the meaning specified in Section 13.02(a).</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67" w:right="279" w:bottom="1440" w:gutter="0" w:footer="0" w:header="0"/>
        </w:sectPr>
      </w:pPr>
    </w:p>
    <w:bookmarkStart w:id="13" w:name="page14"/>
    <w:bookmarkEnd w:id="13"/>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5"/>
          <w:szCs w:val="15"/>
          <w:b w:val="1"/>
          <w:bCs w:val="1"/>
          <w:color w:val="auto"/>
        </w:rPr>
        <w:t>Common Equity</w:t>
      </w:r>
      <w:r>
        <w:rPr>
          <w:rFonts w:ascii="Arial" w:cs="Arial" w:eastAsia="Arial" w:hAnsi="Arial"/>
          <w:sz w:val="15"/>
          <w:szCs w:val="15"/>
          <w:color w:val="auto"/>
        </w:rPr>
        <w:t>” of any Person means Capital Stock of such Person that is generally entitled (a) to vote in the election of directors of such Person or</w:t>
      </w:r>
    </w:p>
    <w:p>
      <w:pPr>
        <w:spacing w:after="0" w:line="57" w:lineRule="exact"/>
        <w:rPr>
          <w:sz w:val="20"/>
          <w:szCs w:val="20"/>
          <w:color w:val="auto"/>
        </w:rPr>
      </w:pPr>
    </w:p>
    <w:p>
      <w:pPr>
        <w:ind w:right="200" w:firstLine="6"/>
        <w:spacing w:after="0" w:line="251" w:lineRule="auto"/>
        <w:tabs>
          <w:tab w:leader="none" w:pos="25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such Person is not a corporation, to vote or otherwise participate in the selection of the governing body, partners, managers or others that will control the management or policies of such Person.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common stock of the Company, par value $0.01 per share, at the date of this Indenture, subject to Section 13.07.</w:t>
      </w:r>
    </w:p>
    <w:p>
      <w:pPr>
        <w:spacing w:after="0" w:line="229" w:lineRule="exact"/>
        <w:rPr>
          <w:sz w:val="20"/>
          <w:szCs w:val="20"/>
          <w:color w:val="auto"/>
        </w:rPr>
      </w:pPr>
    </w:p>
    <w:p>
      <w:pPr>
        <w:ind w:right="72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specified in the first paragraph of this Indenture, and subject to the provisions of Article 11, shall include its successors and assigns.</w:t>
      </w:r>
    </w:p>
    <w:p>
      <w:pPr>
        <w:spacing w:after="0" w:line="167"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Order</w:t>
      </w:r>
      <w:r>
        <w:rPr>
          <w:rFonts w:ascii="Arial" w:cs="Arial" w:eastAsia="Arial" w:hAnsi="Arial"/>
          <w:sz w:val="15"/>
          <w:szCs w:val="15"/>
          <w:color w:val="auto"/>
        </w:rPr>
        <w:t>” means a written order of the Company, signed by (a) the Company’s Chief Executive Officer (or, if applicable, either of the Company’s Co-Chief Executive Officers), President, Chief Financial Officer, Chief Operating Officer, Chief Compliance Officer or any Vice President (whether or not designated by a number or numbers or word or words added before or after the title “Vice President”) and (b) any such other Officer designated in clause</w:t>
      </w:r>
    </w:p>
    <w:p>
      <w:pPr>
        <w:ind w:left="460" w:right="1480" w:hanging="454"/>
        <w:spacing w:after="0" w:line="481" w:lineRule="auto"/>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this definition or the Company’s Treasurer or Assistant Treasurer or Secretary or any Assistant Secretary, and delivered to the Trustee. “</w:t>
      </w:r>
      <w:r>
        <w:rPr>
          <w:rFonts w:ascii="Arial" w:cs="Arial" w:eastAsia="Arial" w:hAnsi="Arial"/>
          <w:sz w:val="18"/>
          <w:szCs w:val="18"/>
          <w:b w:val="1"/>
          <w:bCs w:val="1"/>
          <w:color w:val="auto"/>
        </w:rPr>
        <w:t>Conversion Agent</w:t>
      </w:r>
      <w:r>
        <w:rPr>
          <w:rFonts w:ascii="Arial" w:cs="Arial" w:eastAsia="Arial" w:hAnsi="Arial"/>
          <w:sz w:val="18"/>
          <w:szCs w:val="18"/>
          <w:color w:val="auto"/>
        </w:rPr>
        <w:t>” shall have the meaning specified in Section 4.02.</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13.02(c).</w:t>
      </w:r>
    </w:p>
    <w:p>
      <w:pPr>
        <w:spacing w:after="0" w:line="2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 shall have the meaning specified in Section 13.01(a).</w:t>
      </w:r>
    </w:p>
    <w:p>
      <w:pPr>
        <w:spacing w:after="0" w:line="2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date,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date.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have the meaning specified in Section 13.01(a).</w:t>
      </w:r>
    </w:p>
    <w:p>
      <w:pPr>
        <w:spacing w:after="0" w:line="217"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principal office of the Trustee at which at any time its corporate trust business shall be administered, which office at the date hereof for purposes of Section 4.02 only is located at 150 East 42nd Street, 40th Floor, Attention: TPG Specialty Lending, Inc. 4.50% Convertible Notes Due 2019,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With respect to presentation of notes for registration of transfer or exchange or maturity, such address shall be 608 2nd Avenue South, 12th Floor, Minneapolis, MN 55402, MAC: N9303-121, Attention: Bondholder Communications.</w:t>
      </w:r>
    </w:p>
    <w:p>
      <w:pPr>
        <w:spacing w:after="0" w:line="175" w:lineRule="exact"/>
        <w:rPr>
          <w:sz w:val="20"/>
          <w:szCs w:val="20"/>
          <w:color w:val="auto"/>
        </w:rPr>
      </w:pPr>
    </w:p>
    <w:p>
      <w:pPr>
        <w:jc w:val="both"/>
        <w:ind w:firstLine="45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means one or more credit agreements, including the existing credit facilities, loan agreements or similar facilities, secured or unsecured, providing for revolving credit loans, term loans and/or letters of credit, entered into from time to time by the Company and/or any of its Subsidiaries, as the same may be amended, supplemented, modified, restated or replaced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7" w:right="259" w:bottom="1440" w:gutter="0" w:footer="0" w:header="0"/>
        </w:sectPr>
      </w:pPr>
    </w:p>
    <w:bookmarkStart w:id="14" w:name="page15"/>
    <w:bookmarkEnd w:id="14"/>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5"/>
          <w:szCs w:val="15"/>
          <w:b w:val="1"/>
          <w:bCs w:val="1"/>
          <w:color w:val="auto"/>
        </w:rPr>
        <w:t>Custodian</w:t>
      </w:r>
      <w:r>
        <w:rPr>
          <w:rFonts w:ascii="Arial" w:cs="Arial" w:eastAsia="Arial" w:hAnsi="Arial"/>
          <w:sz w:val="15"/>
          <w:szCs w:val="15"/>
          <w:color w:val="auto"/>
        </w:rPr>
        <w:t>” means the Trustee, as custodian for The Depository Trust Company, with respect to the Global Notes, or any successor entity thereto.</w:t>
      </w:r>
    </w:p>
    <w:p>
      <w:pPr>
        <w:spacing w:after="0" w:line="252" w:lineRule="exact"/>
        <w:rPr>
          <w:sz w:val="20"/>
          <w:szCs w:val="20"/>
          <w:color w:val="auto"/>
        </w:rPr>
      </w:pPr>
    </w:p>
    <w:p>
      <w:pPr>
        <w:ind w:right="42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40 consecutive Trading Days during the Observation Period, one-fortieth of the product of (a) the Conversion Rate on such Trading Day and (b) the Daily VWAP on such Trading Day.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the Specified Dollar Amount, if any,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40.</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40 consecutive Trading Days during the Observation Period, shall consist of:</w:t>
      </w:r>
    </w:p>
    <w:p>
      <w:pPr>
        <w:spacing w:after="0" w:line="117" w:lineRule="exact"/>
        <w:rPr>
          <w:sz w:val="20"/>
          <w:szCs w:val="20"/>
          <w:color w:val="auto"/>
        </w:rPr>
      </w:pPr>
    </w:p>
    <w:p>
      <w:pPr>
        <w:ind w:left="1140" w:hanging="23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equal to the lesser of (i) the Daily Measurement Value and (ii) the Daily Conversion Value; and</w:t>
      </w:r>
    </w:p>
    <w:p>
      <w:pPr>
        <w:spacing w:after="0" w:line="111" w:lineRule="exact"/>
        <w:rPr>
          <w:rFonts w:ascii="Arial" w:cs="Arial" w:eastAsia="Arial" w:hAnsi="Arial"/>
          <w:sz w:val="18"/>
          <w:szCs w:val="18"/>
          <w:color w:val="auto"/>
        </w:rPr>
      </w:pPr>
    </w:p>
    <w:p>
      <w:pPr>
        <w:ind w:left="460" w:right="100" w:firstLine="441"/>
        <w:spacing w:after="0" w:line="265" w:lineRule="auto"/>
        <w:tabs>
          <w:tab w:leader="none" w:pos="114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if the Daily Conversion Value exceeds the Daily Measurement Value, a number of shares of Common Stock equal to (i) the difference between the Daily Conversion Value and the Daily Measurement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Daily VWAP for such Trading Day.</w:t>
      </w:r>
    </w:p>
    <w:p>
      <w:pPr>
        <w:spacing w:after="0" w:line="173" w:lineRule="exact"/>
        <w:rPr>
          <w:sz w:val="20"/>
          <w:szCs w:val="20"/>
          <w:color w:val="auto"/>
        </w:rPr>
      </w:pPr>
    </w:p>
    <w:p>
      <w:pPr>
        <w:ind w:right="20" w:firstLine="457"/>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Daily VWAP</w:t>
      </w:r>
      <w:r>
        <w:rPr>
          <w:rFonts w:ascii="Arial" w:cs="Arial" w:eastAsia="Arial" w:hAnsi="Arial"/>
          <w:sz w:val="15"/>
          <w:szCs w:val="15"/>
          <w:color w:val="auto"/>
        </w:rPr>
        <w:t>” means, for the Common Stock, for each of the 40 consecutive Trading days during the applicable Observation Period, the per share volume-weighted average price as displayed under the heading “Bloomberg VWAP” on Bloomberg page “TSLX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Arial" w:cs="Arial" w:eastAsia="Arial" w:hAnsi="Arial"/>
          <w:sz w:val="15"/>
          <w:szCs w:val="15"/>
          <w:b w:val="1"/>
          <w:bCs w:val="1"/>
          <w:color w:val="auto"/>
        </w:rPr>
        <w:t>Daily VWAP</w:t>
      </w:r>
      <w:r>
        <w:rPr>
          <w:rFonts w:ascii="Arial" w:cs="Arial" w:eastAsia="Arial" w:hAnsi="Arial"/>
          <w:sz w:val="15"/>
          <w:szCs w:val="15"/>
          <w:color w:val="auto"/>
        </w:rPr>
        <w:t>” shall be determined without regard to after-hours trading or any other trading outside of the regular trading session trading hours.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17" w:lineRule="exact"/>
        <w:rPr>
          <w:sz w:val="20"/>
          <w:szCs w:val="20"/>
          <w:color w:val="auto"/>
        </w:rPr>
      </w:pPr>
    </w:p>
    <w:p>
      <w:pPr>
        <w:ind w:right="4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Note (including, without limitation, the Fundamental Change Repurchase Price, principal and interest) that are payable but are not punctually paid or duly provided for.</w:t>
      </w:r>
    </w:p>
    <w:p>
      <w:pPr>
        <w:spacing w:after="0" w:line="167" w:lineRule="exact"/>
        <w:rPr>
          <w:sz w:val="20"/>
          <w:szCs w:val="20"/>
          <w:color w:val="auto"/>
        </w:rPr>
      </w:pPr>
    </w:p>
    <w:p>
      <w:pPr>
        <w:ind w:firstLine="45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such successor.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shall have the meaning specified in Section 13.04(c).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13.03(c).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shall have the meaning specified in Section 6.01.</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67" w:right="299" w:bottom="1440" w:gutter="0" w:footer="0" w:header="0"/>
        </w:sectPr>
      </w:pPr>
    </w:p>
    <w:bookmarkStart w:id="15" w:name="page16"/>
    <w:bookmarkEnd w:id="15"/>
    <w:p>
      <w:pPr>
        <w:ind w:right="20" w:firstLine="45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17" w:lineRule="exact"/>
        <w:rPr>
          <w:sz w:val="20"/>
          <w:szCs w:val="20"/>
          <w:color w:val="auto"/>
        </w:rPr>
      </w:pPr>
    </w:p>
    <w:p>
      <w:pPr>
        <w:ind w:right="18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shall mean the “Form of Assignment and Transfer” attached as Attachment 3 to the Form of Note attached hereto as Exhibit A.</w:t>
      </w:r>
    </w:p>
    <w:p>
      <w:pPr>
        <w:spacing w:after="0" w:line="167" w:lineRule="exact"/>
        <w:rPr>
          <w:sz w:val="20"/>
          <w:szCs w:val="20"/>
          <w:color w:val="auto"/>
        </w:rPr>
      </w:pPr>
    </w:p>
    <w:p>
      <w:pPr>
        <w:ind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Repurchase Notice</w:t>
      </w:r>
      <w:r>
        <w:rPr>
          <w:rFonts w:ascii="Arial" w:cs="Arial" w:eastAsia="Arial" w:hAnsi="Arial"/>
          <w:sz w:val="18"/>
          <w:szCs w:val="18"/>
          <w:color w:val="auto"/>
        </w:rPr>
        <w:t>” shall mean the “Form of Fundamental Change Repurchase Notice” attached as Attachment 2 to the Form of Note attached hereto as Exhibit A.</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Form of Notice of Conversion</w:t>
      </w:r>
      <w:r>
        <w:rPr>
          <w:rFonts w:ascii="Arial" w:cs="Arial" w:eastAsia="Arial" w:hAnsi="Arial"/>
          <w:sz w:val="15"/>
          <w:szCs w:val="15"/>
          <w:color w:val="auto"/>
        </w:rPr>
        <w:t>” shall mean the “Form of Notice of Conversion” attached as Attachment 1 to the Form of Note attached hereto as Exhibit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shall be deemed to have occurred at the time after the Notes are originally issued if any of the following occurs:</w:t>
      </w:r>
    </w:p>
    <w:p>
      <w:pPr>
        <w:spacing w:after="0" w:line="117" w:lineRule="exact"/>
        <w:rPr>
          <w:sz w:val="20"/>
          <w:szCs w:val="20"/>
          <w:color w:val="auto"/>
        </w:rPr>
      </w:pPr>
    </w:p>
    <w:p>
      <w:pPr>
        <w:ind w:left="460" w:right="60" w:firstLine="441"/>
        <w:spacing w:after="0" w:line="271" w:lineRule="auto"/>
        <w:tabs>
          <w:tab w:leader="none" w:pos="1139"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“person” or “group” within the meaning of Section 13(d) of the Exchange Act, other than the Company, its Subsidiaries and the employee benefit plans of the Company and its Subsidiaries, has become the direct or indirect “beneficial owner,” as defined in Rule 13d-3 under the Exchange Act, of the Company’s Common Equity representing more than 50% of the voting power of the Company’s Common Equity and files a Schedule 13D or Schedule TO or any other schedule, form or report under the Exchange Act disclosing such beneficial ownership;</w:t>
      </w:r>
    </w:p>
    <w:p>
      <w:pPr>
        <w:spacing w:after="0" w:line="71" w:lineRule="exact"/>
        <w:rPr>
          <w:rFonts w:ascii="Arial" w:cs="Arial" w:eastAsia="Arial" w:hAnsi="Arial"/>
          <w:sz w:val="17"/>
          <w:szCs w:val="17"/>
          <w:color w:val="auto"/>
        </w:rPr>
      </w:pPr>
    </w:p>
    <w:p>
      <w:pPr>
        <w:ind w:left="460" w:right="80" w:firstLine="441"/>
        <w:spacing w:after="0" w:line="264" w:lineRule="auto"/>
        <w:tabs>
          <w:tab w:leader="none" w:pos="1149"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consummation of (A) any recapitalization, reclassification or change of the Common Stock (other than changes resulting from a subdivision or combination or a change solely in par value)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(C) any sale, lease or other transfer in one transaction or a series of transactions of all or substantially all of the consolidated assets of the Company and its Subsidiaries, taken as a whole, to any Person other than one of the Company’s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transaction described in clause (A) or (B) in which the holders of all classes of the Company’s Common Equity immediately prior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80" w:lineRule="exact"/>
        <w:rPr>
          <w:rFonts w:ascii="Arial" w:cs="Arial" w:eastAsia="Arial" w:hAnsi="Arial"/>
          <w:sz w:val="17"/>
          <w:szCs w:val="17"/>
          <w:color w:val="auto"/>
        </w:rPr>
      </w:pPr>
    </w:p>
    <w:p>
      <w:pPr>
        <w:ind w:left="1140" w:hanging="239"/>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111" w:lineRule="exact"/>
        <w:rPr>
          <w:rFonts w:ascii="Arial" w:cs="Arial" w:eastAsia="Arial" w:hAnsi="Arial"/>
          <w:sz w:val="18"/>
          <w:szCs w:val="18"/>
          <w:color w:val="auto"/>
        </w:rPr>
      </w:pPr>
    </w:p>
    <w:p>
      <w:pPr>
        <w:ind w:left="460" w:right="200" w:firstLine="441"/>
        <w:spacing w:after="0" w:line="366" w:lineRule="auto"/>
        <w:tabs>
          <w:tab w:leader="none" w:pos="1149"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Common Stock (or other common stock underlying the Notes) ceases to be listed or quoted on any of The New York Stock Exchange, The NASDAQ Global Select Market or The NASDAQ Global Market (or any of their respective successors) for a period of 20 consecutive Trading Days;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7" w:right="239" w:bottom="1440" w:gutter="0" w:footer="0" w:header="0"/>
        </w:sectPr>
      </w:pPr>
    </w:p>
    <w:bookmarkStart w:id="16" w:name="page17"/>
    <w:bookmarkEnd w:id="16"/>
    <w:p>
      <w:pPr>
        <w:spacing w:after="0" w:line="296"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(i) a transaction or transactions described in clause (b) above shall not constitute a Fundamental Change (even if that transaction is, or</w:t>
      </w:r>
      <w:r>
        <w:rPr>
          <w:rFonts w:ascii="Arial" w:cs="Arial" w:eastAsia="Arial" w:hAnsi="Arial"/>
          <w:sz w:val="15"/>
          <w:szCs w:val="15"/>
          <w:i w:val="1"/>
          <w:iCs w:val="1"/>
          <w:color w:val="auto"/>
        </w:rPr>
        <w:t xml:space="preserve"> </w:t>
      </w:r>
      <w:r>
        <w:rPr>
          <w:rFonts w:ascii="Arial" w:cs="Arial" w:eastAsia="Arial" w:hAnsi="Arial"/>
          <w:sz w:val="15"/>
          <w:szCs w:val="15"/>
          <w:color w:val="auto"/>
        </w:rPr>
        <w:t>those transactions are, also described under another clause above) if at least 90% of the consideration received or to be received by the common stockholders of the Company, excluding cash payments for fractional shares, in connection with such transaction or transactions consists of shares of Publicly Traded Securities, and as a result of this transaction or transactions, the Notes become convertible into such Publicly Traded Securities, excluding cash payments for fractional shares (subject to the provisions of Section 13.02(a)); (ii) after any transaction in which the Common Stock is replaced by the securities of another entity, should one occur, following completion of any related Make-Whole Fundamental Change period and any related Fundamental Change Repurchase Date, the references to the Company or the Common Stock in clauses (a), (b), (c) and (d) above will apply to such other entity and its respective securities instead; and (iii) a filing that would otherwise constitute a Fundamental Change under clause (a) above will not constitute a Fundamental Change if (x) the filing occurs in connection with a transaction in which the Company becomes a wholly-owned Subsidiary of an entity required to report under the Exchange Act, and for purposes of the conversion provisions herein, the Common Stock is replaced by the Publicly Traded Securities of such entity required to report under the Exchange Act, and</w:t>
      </w:r>
    </w:p>
    <w:p>
      <w:pPr>
        <w:spacing w:after="0" w:line="5" w:lineRule="exact"/>
        <w:rPr>
          <w:sz w:val="20"/>
          <w:szCs w:val="20"/>
          <w:color w:val="auto"/>
        </w:rPr>
      </w:pPr>
    </w:p>
    <w:p>
      <w:pPr>
        <w:ind w:left="460" w:right="1340" w:hanging="454"/>
        <w:spacing w:after="0" w:line="481" w:lineRule="auto"/>
        <w:tabs>
          <w:tab w:leader="none" w:pos="25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such filing is made or is in effect with respect to Common Equity representing more than 50% of the voting power of such other entity. “</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14.01(c).</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shall have the meaning specified in Section 14.01(a).</w:t>
      </w:r>
    </w:p>
    <w:p>
      <w:pPr>
        <w:spacing w:after="0" w:line="2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shall have the meaning specified in Section 14.01(b)(i).</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shall have the meaning specified in Section 14.01(a).</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2.05(b).</w:t>
      </w:r>
    </w:p>
    <w:p>
      <w:pPr>
        <w:spacing w:after="0" w:line="217" w:lineRule="exact"/>
        <w:rPr>
          <w:sz w:val="20"/>
          <w:szCs w:val="20"/>
          <w:color w:val="auto"/>
        </w:rPr>
      </w:pPr>
    </w:p>
    <w:p>
      <w:pPr>
        <w:ind w:right="10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shall mean any person in whose name at the time a particular Note is registered on the Note Register.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this instrument as originally executed or, if amended or supplemented as herein provided, as so amended or supplemented.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Dividend Threshold</w:t>
      </w:r>
      <w:r>
        <w:rPr>
          <w:rFonts w:ascii="Arial" w:cs="Arial" w:eastAsia="Arial" w:hAnsi="Arial"/>
          <w:sz w:val="18"/>
          <w:szCs w:val="18"/>
          <w:color w:val="auto"/>
        </w:rPr>
        <w:t>” shall have the meaning specified in Section 13.04(d).</w:t>
      </w:r>
    </w:p>
    <w:p>
      <w:pPr>
        <w:spacing w:after="0" w:line="1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June 15 and December 15 of each year, beginning on December 15, 2014.</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Company Act</w:t>
      </w:r>
      <w:r>
        <w:rPr>
          <w:rFonts w:ascii="Arial" w:cs="Arial" w:eastAsia="Arial" w:hAnsi="Arial"/>
          <w:sz w:val="18"/>
          <w:szCs w:val="18"/>
          <w:color w:val="auto"/>
        </w:rPr>
        <w:t>” shall have the meaning specified in Section 4.07.</w:t>
      </w:r>
    </w:p>
    <w:p>
      <w:pPr>
        <w:spacing w:after="0" w:line="2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will be determined without reference to after-hours trading or extended market trading. If the Common Stock is not listed for trading on a U.S. national or regional securities exchange on the relevant date,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last quoted bid price for the Common Stock in the over-the-counter market on the relevant date as reported by OTC Markets Group Inc. or a similar organization. If the Common Stock is not so quoted,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average of the mid-point of the last bid and ask prices for the Common Stock on the relevant date from each of at least three nationally recognized independent investment banking firms selected by the Company for this purpose.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Limitation</w:t>
      </w:r>
      <w:r>
        <w:rPr>
          <w:rFonts w:ascii="Arial" w:cs="Arial" w:eastAsia="Arial" w:hAnsi="Arial"/>
          <w:sz w:val="18"/>
          <w:szCs w:val="18"/>
          <w:color w:val="auto"/>
        </w:rPr>
        <w:t>” shall have the meaning specified in Section 13.02(k).</w:t>
      </w:r>
    </w:p>
    <w:p>
      <w:pPr>
        <w:spacing w:after="0" w:line="217" w:lineRule="exact"/>
        <w:rPr>
          <w:sz w:val="20"/>
          <w:szCs w:val="20"/>
          <w:color w:val="auto"/>
        </w:rPr>
      </w:pPr>
    </w:p>
    <w:p>
      <w:pPr>
        <w:ind w:firstLine="45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any transaction or event that constitutes a Fundamental Change (as defined in clauses (a), (b) or (d) in the definition thereof and determined after giving effect to any exceptions to or exclusions from such definition, but without regard to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 clause (b) of the definition thereof).</w:t>
      </w:r>
    </w:p>
    <w:p>
      <w:pPr>
        <w:spacing w:after="0" w:line="178"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 contracts relating to the Common Stock.</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December 15, 2019.</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shall have the meaning specified in Section 13.01(b)(i).</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Common Stock</w:t>
      </w:r>
      <w:r>
        <w:rPr>
          <w:rFonts w:ascii="Arial" w:cs="Arial" w:eastAsia="Arial" w:hAnsi="Arial"/>
          <w:sz w:val="18"/>
          <w:szCs w:val="18"/>
          <w:color w:val="auto"/>
        </w:rPr>
        <w:t>” shall have the meaning specified in Section 13.07(e)(i).</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Event</w:t>
      </w:r>
      <w:r>
        <w:rPr>
          <w:rFonts w:ascii="Arial" w:cs="Arial" w:eastAsia="Arial" w:hAnsi="Arial"/>
          <w:sz w:val="18"/>
          <w:szCs w:val="18"/>
          <w:color w:val="auto"/>
        </w:rPr>
        <w:t>” shall have the meaning specified in Section 13.07(a).</w:t>
      </w:r>
    </w:p>
    <w:p>
      <w:pPr>
        <w:spacing w:after="0" w:line="217"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Valuation Percentage</w:t>
      </w:r>
      <w:r>
        <w:rPr>
          <w:rFonts w:ascii="Arial" w:cs="Arial" w:eastAsia="Arial" w:hAnsi="Arial"/>
          <w:sz w:val="18"/>
          <w:szCs w:val="18"/>
          <w:color w:val="auto"/>
        </w:rPr>
        <w:t xml:space="preserve">” for any Merger Event shall be equal to (x) the arithmetic average of the Last Reported Sale Prices of one share of such Merger Common Stock over the relevant Merger Valuation Period (determined as if references to “Common Stock” in the definition of “Last Reported Sale Price” were references to the “Merger Common Stock” for such Merger Event),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arithmetic average of the Last Reported Sale Prices of one share of Common Stock over the relevant Merger Valuation Period.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67" w:right="279" w:bottom="1440" w:gutter="0" w:footer="0" w:header="0"/>
        </w:sectPr>
      </w:pPr>
    </w:p>
    <w:bookmarkStart w:id="18" w:name="page19"/>
    <w:bookmarkEnd w:id="18"/>
    <w:p>
      <w:pPr>
        <w:ind w:right="260" w:firstLine="457"/>
        <w:spacing w:after="0" w:line="27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8"/>
          <w:szCs w:val="18"/>
          <w:b w:val="1"/>
          <w:bCs w:val="1"/>
          <w:color w:val="auto"/>
        </w:rPr>
        <w:t>Merger Valuation Period</w:t>
      </w:r>
      <w:r>
        <w:rPr>
          <w:rFonts w:ascii="Arial" w:cs="Arial" w:eastAsia="Arial" w:hAnsi="Arial"/>
          <w:sz w:val="18"/>
          <w:szCs w:val="18"/>
          <w:color w:val="auto"/>
        </w:rPr>
        <w:t>” for any Merger Event means the five consecutive Trading Day period immediately preceding, but excluding, the effective date for such Merger Event.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paragraph of the recitals of this Indenture.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2.05(a).</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2.05(a).</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specified in Section 13.02(b).</w:t>
      </w:r>
    </w:p>
    <w:p>
      <w:pPr>
        <w:spacing w:after="0" w:line="217" w:lineRule="exact"/>
        <w:rPr>
          <w:sz w:val="20"/>
          <w:szCs w:val="20"/>
          <w:color w:val="auto"/>
        </w:rPr>
      </w:pPr>
    </w:p>
    <w:p>
      <w:pPr>
        <w:ind w:right="160" w:firstLine="45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Observation Period</w:t>
      </w:r>
      <w:r>
        <w:rPr>
          <w:rFonts w:ascii="Arial" w:cs="Arial" w:eastAsia="Arial" w:hAnsi="Arial"/>
          <w:sz w:val="18"/>
          <w:szCs w:val="18"/>
          <w:color w:val="auto"/>
        </w:rPr>
        <w:t>” with respect to any Note surrendered for conversion means: (i) if the relevant Conversion Date occurs prior to June 15, 2019, the 40 consecutive Trading Day period beginning on, and including, the second Trading Day after such Conversion Date; and (ii) if the relevant Conversion Date occurs on or after June 15, 2019, the 40 consecutive Trading Days beginning on, and including, the 42nd Scheduled Trading Day immediately preceding the Maturity Date.</w:t>
      </w:r>
    </w:p>
    <w:p>
      <w:pPr>
        <w:spacing w:after="0" w:line="184" w:lineRule="exact"/>
        <w:rPr>
          <w:sz w:val="20"/>
          <w:szCs w:val="20"/>
          <w:color w:val="auto"/>
        </w:rPr>
      </w:pPr>
    </w:p>
    <w:p>
      <w:pPr>
        <w:ind w:right="34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preliminary offering memorandum dated June 3, 2014, as supplemented by the pricing term sheet dated June 4, 2014, relating to the offering and sale of the Notes.</w:t>
      </w:r>
    </w:p>
    <w:p>
      <w:pPr>
        <w:spacing w:after="0" w:line="167" w:lineRule="exact"/>
        <w:rPr>
          <w:sz w:val="20"/>
          <w:szCs w:val="20"/>
          <w:color w:val="auto"/>
        </w:rPr>
      </w:pPr>
    </w:p>
    <w:p>
      <w:pPr>
        <w:ind w:right="200" w:firstLine="457"/>
        <w:spacing w:after="0" w:line="33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Officer</w:t>
      </w:r>
      <w:r>
        <w:rPr>
          <w:rFonts w:ascii="Arial" w:cs="Arial" w:eastAsia="Arial" w:hAnsi="Arial"/>
          <w:sz w:val="15"/>
          <w:szCs w:val="15"/>
          <w:color w:val="auto"/>
        </w:rPr>
        <w:t>” means, with respect to the Company, the Chief Executive Officer (or, if applicable, the Co-Chief Executive Officers), the President, the Chief Financial Officer, the Chief Operating Officer, the Chief Compliance Officer, the Treasurer (or any Assistant Treasurer), the Secretary (or any Assistant Secretary) or any Vice President (whether or not designated by a number or numbers or word or words added before or after the title “Vice President”).</w:t>
      </w:r>
    </w:p>
    <w:p>
      <w:pPr>
        <w:spacing w:after="0" w:line="128" w:lineRule="exact"/>
        <w:rPr>
          <w:sz w:val="20"/>
          <w:szCs w:val="20"/>
          <w:color w:val="auto"/>
        </w:rPr>
      </w:pPr>
    </w:p>
    <w:p>
      <w:pPr>
        <w:ind w:firstLine="457"/>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Officers’ Certificate</w:t>
      </w:r>
      <w:r>
        <w:rPr>
          <w:rFonts w:ascii="Arial" w:cs="Arial" w:eastAsia="Arial" w:hAnsi="Arial"/>
          <w:sz w:val="15"/>
          <w:szCs w:val="15"/>
          <w:color w:val="auto"/>
        </w:rPr>
        <w:t>,” when used with respect to the Company, means a certificate that is delivered to the Trustee and that is signed by (a) two Officers of the Company or (b) one Officer of the Company and one of the Treasurer, any Assistant Treasurer, the Secretary, any Assistant Secretary or the Controller of the Company. Each such certificate shall include the statements provided for in Section 16.05 if and to the extent required by the provisions of such Section. One of the Officers giving an Officers’ Certificate pursuant to Section 4.09 shall be the principal executive, financial or accounting officer of the Company.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17" w:lineRule="exact"/>
        <w:rPr>
          <w:sz w:val="20"/>
          <w:szCs w:val="20"/>
          <w:color w:val="auto"/>
        </w:rPr>
      </w:pPr>
    </w:p>
    <w:p>
      <w:pPr>
        <w:ind w:right="340" w:firstLine="45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Company, or other counsel acceptable to the Trustee, that is delivered to the Trustee. Each such opinion shall include the statements provided for in Section 16.05 if and to the extent required by the provisions of such Section 16.05.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7" w:right="259" w:bottom="1440" w:gutter="0" w:footer="0" w:header="0"/>
        </w:sectPr>
      </w:pPr>
    </w:p>
    <w:bookmarkStart w:id="19" w:name="page20"/>
    <w:bookmarkEnd w:id="19"/>
    <w:p>
      <w:pPr>
        <w:ind w:right="40" w:firstLine="457"/>
        <w:spacing w:after="0" w:line="27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67" w:lineRule="exact"/>
        <w:rPr>
          <w:sz w:val="20"/>
          <w:szCs w:val="20"/>
          <w:color w:val="auto"/>
        </w:rPr>
      </w:pPr>
    </w:p>
    <w:p>
      <w:pPr>
        <w:ind w:left="1140" w:hanging="23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111" w:lineRule="exact"/>
        <w:rPr>
          <w:rFonts w:ascii="Arial" w:cs="Arial" w:eastAsia="Arial" w:hAnsi="Arial"/>
          <w:sz w:val="18"/>
          <w:szCs w:val="18"/>
          <w:color w:val="auto"/>
        </w:rPr>
      </w:pPr>
    </w:p>
    <w:p>
      <w:pPr>
        <w:ind w:left="460" w:right="80" w:firstLine="441"/>
        <w:spacing w:after="0" w:line="255" w:lineRule="auto"/>
        <w:tabs>
          <w:tab w:leader="none" w:pos="1149"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82" w:lineRule="exact"/>
        <w:rPr>
          <w:rFonts w:ascii="Arial" w:cs="Arial" w:eastAsia="Arial" w:hAnsi="Arial"/>
          <w:sz w:val="18"/>
          <w:szCs w:val="18"/>
          <w:color w:val="auto"/>
        </w:rPr>
      </w:pPr>
    </w:p>
    <w:p>
      <w:pPr>
        <w:ind w:left="460" w:right="440" w:firstLine="441"/>
        <w:spacing w:after="0" w:line="255" w:lineRule="auto"/>
        <w:tabs>
          <w:tab w:leader="none" w:pos="1139"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82" w:lineRule="exact"/>
        <w:rPr>
          <w:rFonts w:ascii="Arial" w:cs="Arial" w:eastAsia="Arial" w:hAnsi="Arial"/>
          <w:sz w:val="18"/>
          <w:szCs w:val="18"/>
          <w:color w:val="auto"/>
        </w:rPr>
      </w:pPr>
    </w:p>
    <w:p>
      <w:pPr>
        <w:ind w:left="1160" w:hanging="259"/>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converted pursuant to Article 13 and required to be cancelled pursuant to Section 2.08; and</w:t>
      </w:r>
    </w:p>
    <w:p>
      <w:pPr>
        <w:spacing w:after="0" w:line="111" w:lineRule="exact"/>
        <w:rPr>
          <w:rFonts w:ascii="Arial" w:cs="Arial" w:eastAsia="Arial" w:hAnsi="Arial"/>
          <w:sz w:val="18"/>
          <w:szCs w:val="18"/>
          <w:color w:val="auto"/>
        </w:rPr>
      </w:pPr>
    </w:p>
    <w:p>
      <w:pPr>
        <w:ind w:left="1140" w:hanging="239"/>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Notes repurchased by the Company and surrendered to the Trustee for cancellation pursuant to the last sentence of Section 2.10.</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specified in Section 4.02.</w:t>
      </w:r>
    </w:p>
    <w:p>
      <w:pPr>
        <w:spacing w:after="0" w:line="217" w:lineRule="exact"/>
        <w:rPr>
          <w:sz w:val="20"/>
          <w:szCs w:val="20"/>
          <w:color w:val="auto"/>
        </w:rPr>
      </w:pPr>
    </w:p>
    <w:p>
      <w:pPr>
        <w:ind w:right="18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Physical Notes</w:t>
      </w:r>
      <w:r>
        <w:rPr>
          <w:rFonts w:ascii="Arial" w:cs="Arial" w:eastAsia="Arial" w:hAnsi="Arial"/>
          <w:sz w:val="15"/>
          <w:szCs w:val="15"/>
          <w:color w:val="auto"/>
        </w:rPr>
        <w:t>” mean permanent certificated Notes in registered form issued in denominations of $1,000 principal amount and multiples thereof.</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 shall have the meaning specified in Section 13.02(a).</w:t>
      </w:r>
    </w:p>
    <w:p>
      <w:pPr>
        <w:spacing w:after="0" w:line="217" w:lineRule="exact"/>
        <w:rPr>
          <w:sz w:val="20"/>
          <w:szCs w:val="20"/>
          <w:color w:val="auto"/>
        </w:rPr>
      </w:pPr>
    </w:p>
    <w:p>
      <w:pPr>
        <w:ind w:right="20" w:firstLine="45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62" w:lineRule="exact"/>
        <w:rPr>
          <w:sz w:val="20"/>
          <w:szCs w:val="20"/>
          <w:color w:val="auto"/>
        </w:rPr>
      </w:pPr>
    </w:p>
    <w:p>
      <w:pPr>
        <w:ind w:firstLine="45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Publicly Traded Securities</w:t>
      </w:r>
      <w:r>
        <w:rPr>
          <w:rFonts w:ascii="Arial" w:cs="Arial" w:eastAsia="Arial" w:hAnsi="Arial"/>
          <w:sz w:val="17"/>
          <w:szCs w:val="17"/>
          <w:color w:val="auto"/>
        </w:rPr>
        <w:t>” means shares of common stock that are listed or quoted on any of The New York Stock Exchange, The NASDAQ Global Select Market or The NASDAQ Global Market (or any of their respective successors) or will be so listed or quoted when issued or exchanged in connection with a Fundamental Change described in clause (b) of the definition thereof and the proviso to the definition thereof.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7" w:right="239" w:bottom="1440" w:gutter="0" w:footer="0" w:header="0"/>
        </w:sectPr>
      </w:pPr>
    </w:p>
    <w:bookmarkStart w:id="20" w:name="page21"/>
    <w:bookmarkEnd w:id="20"/>
    <w:p>
      <w:pPr>
        <w:jc w:val="both"/>
        <w:ind w:right="160" w:firstLine="457"/>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Common Stock (or other security)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by statute, by contract or otherwise).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13.07(a).</w:t>
      </w:r>
    </w:p>
    <w:p>
      <w:pPr>
        <w:spacing w:after="0" w:line="217" w:lineRule="exact"/>
        <w:rPr>
          <w:sz w:val="20"/>
          <w:szCs w:val="20"/>
          <w:color w:val="auto"/>
        </w:rPr>
      </w:pPr>
    </w:p>
    <w:p>
      <w:pPr>
        <w:ind w:right="28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with respect to any Interest Payment Date, shall mean the June 1 or December 1 (whether or not such day is a Business Day) immediately preceding the applicable June 15 or December 15 Interest Payment Date,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2.05(c).</w:t>
      </w:r>
    </w:p>
    <w:p>
      <w:pPr>
        <w:spacing w:after="0" w:line="217" w:lineRule="exact"/>
        <w:rPr>
          <w:sz w:val="20"/>
          <w:szCs w:val="20"/>
          <w:color w:val="auto"/>
        </w:rPr>
      </w:pPr>
    </w:p>
    <w:p>
      <w:pPr>
        <w:ind w:firstLine="457"/>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when used with respect to the Trustee, any officer within the Corporate Trust Office,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Restricted Global Note</w:t>
      </w:r>
      <w:r>
        <w:rPr>
          <w:rFonts w:ascii="Arial" w:cs="Arial" w:eastAsia="Arial" w:hAnsi="Arial"/>
          <w:sz w:val="15"/>
          <w:szCs w:val="15"/>
          <w:color w:val="auto"/>
        </w:rPr>
        <w:t>” means a Global Note that is subject to restrictions set out in Section 2.05(c) (including the legend set forth in Section 2.05(c)).</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2.05(c).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Transfer Default</w:t>
      </w:r>
      <w:r>
        <w:rPr>
          <w:rFonts w:ascii="Arial" w:cs="Arial" w:eastAsia="Arial" w:hAnsi="Arial"/>
          <w:sz w:val="18"/>
          <w:szCs w:val="18"/>
          <w:color w:val="auto"/>
        </w:rPr>
        <w:t>” shall have the meaning specified in Section 4.06(d).</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Transfer Triggering Date</w:t>
      </w:r>
      <w:r>
        <w:rPr>
          <w:rFonts w:ascii="Arial" w:cs="Arial" w:eastAsia="Arial" w:hAnsi="Arial"/>
          <w:sz w:val="18"/>
          <w:szCs w:val="18"/>
          <w:color w:val="auto"/>
        </w:rPr>
        <w:t>” shall have the meaning specified in Section 4.06(d).</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17" w:lineRule="exact"/>
        <w:rPr>
          <w:sz w:val="20"/>
          <w:szCs w:val="20"/>
          <w:color w:val="auto"/>
        </w:rPr>
      </w:pPr>
    </w:p>
    <w:p>
      <w:pPr>
        <w:ind w:right="100" w:firstLine="45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Business Day.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has the meaning specified in Section 13.02(a)(iv).</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67" w:right="259" w:bottom="1440" w:gutter="0" w:footer="0" w:header="0"/>
        </w:sectPr>
      </w:pPr>
    </w:p>
    <w:bookmarkStart w:id="21" w:name="page22"/>
    <w:bookmarkEnd w:id="21"/>
    <w:p>
      <w:pPr>
        <w:ind w:right="260" w:firstLine="457"/>
        <w:spacing w:after="0" w:line="27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any conversion of Notes, Physical Settlement, Cash Settlement or Combination Settlement, as elected (or deemed to have been elected) by the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 has the meaning specified in Section 13.02(a)(iii).</w:t>
      </w:r>
    </w:p>
    <w:p>
      <w:pPr>
        <w:spacing w:after="0" w:line="217" w:lineRule="exact"/>
        <w:rPr>
          <w:sz w:val="20"/>
          <w:szCs w:val="20"/>
          <w:color w:val="auto"/>
        </w:rPr>
      </w:pPr>
    </w:p>
    <w:p>
      <w:pPr>
        <w:ind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 Subsidiary of the Company that meets the definition of “significant subsidiary” in Article 1, Rule 1-02 of Regulation S-X under the Exchange Act.</w:t>
      </w:r>
    </w:p>
    <w:p>
      <w:pPr>
        <w:spacing w:after="0" w:line="167" w:lineRule="exact"/>
        <w:rPr>
          <w:sz w:val="20"/>
          <w:szCs w:val="20"/>
          <w:color w:val="auto"/>
        </w:rPr>
      </w:pPr>
    </w:p>
    <w:p>
      <w:pPr>
        <w:ind w:right="22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the maximum cash amount per $1,000 principal amount of Notes to be received upon conversion as specified in the Settlement Notice related to any converted Notes.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13.04(c).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shall have the meaning specified in Section 13.03(c).</w:t>
      </w:r>
    </w:p>
    <w:p>
      <w:pPr>
        <w:spacing w:after="0" w:line="217" w:lineRule="exact"/>
        <w:rPr>
          <w:sz w:val="20"/>
          <w:szCs w:val="20"/>
          <w:color w:val="auto"/>
        </w:rPr>
      </w:pPr>
    </w:p>
    <w:p>
      <w:pPr>
        <w:ind w:right="40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Company, any corporation, association, limited liability company, partnership or other business entity that is consolidated in the Company’s most recent financial results.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shall have the meaning specified in Section 11.01(a).</w:t>
      </w:r>
    </w:p>
    <w:p>
      <w:pPr>
        <w:spacing w:after="0" w:line="217"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xml:space="preserve">” means a day on which (i)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traded and (ii) a Last Reported Sale Price for the Common Stock is available on such securities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Common Stock is not so listed or traded, “</w:t>
      </w:r>
      <w:r>
        <w:rPr>
          <w:rFonts w:ascii="Arial" w:cs="Arial" w:eastAsia="Arial" w:hAnsi="Arial"/>
          <w:sz w:val="17"/>
          <w:szCs w:val="17"/>
          <w:b w:val="1"/>
          <w:bCs w:val="1"/>
          <w:color w:val="auto"/>
        </w:rPr>
        <w:t>Trading Day</w:t>
      </w:r>
      <w:r>
        <w:rPr>
          <w:rFonts w:ascii="Arial" w:cs="Arial" w:eastAsia="Arial" w:hAnsi="Arial"/>
          <w:sz w:val="17"/>
          <w:szCs w:val="17"/>
          <w:color w:val="auto"/>
        </w:rPr>
        <w:t xml:space="preserve">” means a Business Day;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for purposes of determining amounts due upon conversion only, “</w:t>
      </w:r>
      <w:r>
        <w:rPr>
          <w:rFonts w:ascii="Arial" w:cs="Arial" w:eastAsia="Arial" w:hAnsi="Arial"/>
          <w:sz w:val="17"/>
          <w:szCs w:val="17"/>
          <w:b w:val="1"/>
          <w:bCs w:val="1"/>
          <w:color w:val="auto"/>
        </w:rPr>
        <w:t>Trading</w:t>
      </w:r>
      <w:r>
        <w:rPr>
          <w:rFonts w:ascii="Arial" w:cs="Arial" w:eastAsia="Arial" w:hAnsi="Arial"/>
          <w:sz w:val="17"/>
          <w:szCs w:val="17"/>
          <w:color w:val="auto"/>
        </w:rPr>
        <w:t xml:space="preserve"> </w:t>
      </w:r>
      <w:r>
        <w:rPr>
          <w:rFonts w:ascii="Arial" w:cs="Arial" w:eastAsia="Arial" w:hAnsi="Arial"/>
          <w:sz w:val="17"/>
          <w:szCs w:val="17"/>
          <w:b w:val="1"/>
          <w:bCs w:val="1"/>
          <w:color w:val="auto"/>
        </w:rPr>
        <w:t>Day</w:t>
      </w:r>
      <w:r>
        <w:rPr>
          <w:rFonts w:ascii="Arial" w:cs="Arial" w:eastAsia="Arial" w:hAnsi="Arial"/>
          <w:sz w:val="17"/>
          <w:szCs w:val="17"/>
          <w:color w:val="auto"/>
        </w:rPr>
        <w:t>” means a day on which (x) there is no Market Disruption Event and (y) trading in the Common Stock generally occurs on The New York Stock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7"/>
          <w:szCs w:val="17"/>
          <w:b w:val="1"/>
          <w:bCs w:val="1"/>
          <w:color w:val="auto"/>
        </w:rPr>
        <w:t>Trading Day</w:t>
      </w:r>
      <w:r>
        <w:rPr>
          <w:rFonts w:ascii="Arial" w:cs="Arial" w:eastAsia="Arial" w:hAnsi="Arial"/>
          <w:sz w:val="17"/>
          <w:szCs w:val="17"/>
          <w:color w:val="auto"/>
        </w:rPr>
        <w:t>” means a Business Day.</w:t>
      </w:r>
    </w:p>
    <w:p>
      <w:pPr>
        <w:spacing w:after="0" w:line="175" w:lineRule="exact"/>
        <w:rPr>
          <w:sz w:val="20"/>
          <w:szCs w:val="20"/>
          <w:color w:val="auto"/>
        </w:rPr>
      </w:pPr>
    </w:p>
    <w:p>
      <w:pPr>
        <w:ind w:right="60" w:firstLine="457"/>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Trading Price</w:t>
      </w:r>
      <w:r>
        <w:rPr>
          <w:rFonts w:ascii="Arial" w:cs="Arial" w:eastAsia="Arial" w:hAnsi="Arial"/>
          <w:sz w:val="15"/>
          <w:szCs w:val="15"/>
          <w:color w:val="auto"/>
        </w:rPr>
        <w:t xml:space="preserve">” of the Notes on any date of determination means the average of the secondary market bid quotations obtained by the Bid Solicitation Agent for $5 million principal amount of Notes at approximately 3:30 p.m., New York City time, on such determination date from three independent nationally recognized securities dealers the Company selects and whose names the Company provides to the Bid Solicitation Agent;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7" w:right="239" w:bottom="1440" w:gutter="0" w:footer="0" w:header="0"/>
        </w:sectPr>
      </w:pPr>
    </w:p>
    <w:bookmarkStart w:id="22" w:name="page23"/>
    <w:bookmarkEnd w:id="22"/>
    <w:p>
      <w:pPr>
        <w:ind w:right="4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reasonably obtain at least one bid for $5 million principal amount of Notes from a nationally recognized securities dealer, then the Trading Price per $1,000 principal amount of Notes shall be deemed to be less than 98% of the product of the Last Reported Sale Price of the Common Stock and the applicable Conversion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2.05(c).</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specified in Section 13.04(c).</w:t>
      </w:r>
    </w:p>
    <w:p>
      <w:pPr>
        <w:spacing w:after="0" w:line="217" w:lineRule="exact"/>
        <w:rPr>
          <w:sz w:val="20"/>
          <w:szCs w:val="20"/>
          <w:color w:val="auto"/>
        </w:rPr>
      </w:pPr>
    </w:p>
    <w:p>
      <w:pPr>
        <w:ind w:right="100" w:firstLine="45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execution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the date hereof, the term “Trust Indenture Act” shall mean, to the extent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the Trust Indenture Act of 1939, as so amended.</w:t>
      </w:r>
    </w:p>
    <w:p>
      <w:pPr>
        <w:spacing w:after="0" w:line="178" w:lineRule="exact"/>
        <w:rPr>
          <w:sz w:val="20"/>
          <w:szCs w:val="20"/>
          <w:color w:val="auto"/>
        </w:rPr>
      </w:pPr>
    </w:p>
    <w:p>
      <w:pPr>
        <w:ind w:right="140" w:firstLine="457"/>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Person named as the “</w:t>
      </w:r>
      <w:r>
        <w:rPr>
          <w:rFonts w:ascii="Arial" w:cs="Arial" w:eastAsia="Arial" w:hAnsi="Arial"/>
          <w:sz w:val="17"/>
          <w:szCs w:val="17"/>
          <w:b w:val="1"/>
          <w:bCs w:val="1"/>
          <w:color w:val="auto"/>
        </w:rPr>
        <w:t>Trustee</w:t>
      </w:r>
      <w:r>
        <w:rPr>
          <w:rFonts w:ascii="Arial" w:cs="Arial" w:eastAsia="Arial" w:hAnsi="Arial"/>
          <w:sz w:val="17"/>
          <w:szCs w:val="17"/>
          <w:color w:val="auto"/>
        </w:rPr>
        <w:t>” in the first paragraph of this Indenture until a successor Trustee shall have become such pursuant to the applicable provisions of this Indenture, and thereafter “</w:t>
      </w:r>
      <w:r>
        <w:rPr>
          <w:rFonts w:ascii="Arial" w:cs="Arial" w:eastAsia="Arial" w:hAnsi="Arial"/>
          <w:sz w:val="17"/>
          <w:szCs w:val="17"/>
          <w:b w:val="1"/>
          <w:bCs w:val="1"/>
          <w:color w:val="auto"/>
        </w:rPr>
        <w:t>Trustee</w:t>
      </w:r>
      <w:r>
        <w:rPr>
          <w:rFonts w:ascii="Arial" w:cs="Arial" w:eastAsia="Arial" w:hAnsi="Arial"/>
          <w:sz w:val="17"/>
          <w:szCs w:val="17"/>
          <w:color w:val="auto"/>
        </w:rPr>
        <w:t>” shall mean or include each Person who is then a Trustee hereunder.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shall have the meaning specified in Section 13.07(a).</w:t>
      </w:r>
    </w:p>
    <w:p>
      <w:pPr>
        <w:spacing w:after="0" w:line="217" w:lineRule="exact"/>
        <w:rPr>
          <w:sz w:val="20"/>
          <w:szCs w:val="20"/>
          <w:color w:val="auto"/>
        </w:rPr>
      </w:pPr>
    </w:p>
    <w:p>
      <w:pPr>
        <w:ind w:right="400" w:firstLine="45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means an unrestricted Global Note that is not subject to the restrictions set out in Section 2.05(c) (and does not bear the legend set forth in Section 2.05(c)).</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shall have the meaning specified in Section 13.04(c).</w:t>
      </w:r>
    </w:p>
    <w:p>
      <w:pPr>
        <w:spacing w:after="0" w:line="223"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References to Interest.</w:t>
      </w:r>
      <w:r>
        <w:rPr>
          <w:rFonts w:ascii="Arial" w:cs="Arial" w:eastAsia="Arial" w:hAnsi="Arial"/>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SSUE</w:t>
      </w:r>
      <w:r>
        <w:rPr>
          <w:rFonts w:ascii="Arial" w:cs="Arial" w:eastAsia="Arial" w:hAnsi="Arial"/>
          <w:sz w:val="18"/>
          <w:szCs w:val="18"/>
          <w:color w:val="auto"/>
        </w:rPr>
        <w:t>, D</w:t>
      </w:r>
      <w:r>
        <w:rPr>
          <w:rFonts w:ascii="Arial" w:cs="Arial" w:eastAsia="Arial" w:hAnsi="Arial"/>
          <w:sz w:val="14"/>
          <w:szCs w:val="14"/>
          <w:color w:val="auto"/>
        </w:rPr>
        <w:t>ESCRIPTION</w:t>
      </w:r>
      <w:r>
        <w:rPr>
          <w:rFonts w:ascii="Arial" w:cs="Arial" w:eastAsia="Arial" w:hAnsi="Arial"/>
          <w:sz w:val="18"/>
          <w:szCs w:val="18"/>
          <w:color w:val="auto"/>
        </w:rPr>
        <w:t>, E</w:t>
      </w:r>
      <w:r>
        <w:rPr>
          <w:rFonts w:ascii="Arial" w:cs="Arial" w:eastAsia="Arial" w:hAnsi="Arial"/>
          <w:sz w:val="14"/>
          <w:szCs w:val="14"/>
          <w:color w:val="auto"/>
        </w:rPr>
        <w:t>XECUTION</w:t>
      </w:r>
      <w:r>
        <w:rPr>
          <w:rFonts w:ascii="Arial" w:cs="Arial" w:eastAsia="Arial" w:hAnsi="Arial"/>
          <w:sz w:val="18"/>
          <w:szCs w:val="18"/>
          <w:color w:val="auto"/>
        </w:rPr>
        <w:t>, R</w:t>
      </w:r>
      <w:r>
        <w:rPr>
          <w:rFonts w:ascii="Arial" w:cs="Arial" w:eastAsia="Arial" w:hAnsi="Arial"/>
          <w:sz w:val="14"/>
          <w:szCs w:val="14"/>
          <w:color w:val="auto"/>
        </w:rPr>
        <w:t>EGISTRATION AND</w:t>
      </w:r>
      <w:r>
        <w:rPr>
          <w:rFonts w:ascii="Arial" w:cs="Arial" w:eastAsia="Arial" w:hAnsi="Arial"/>
          <w:sz w:val="18"/>
          <w:szCs w:val="18"/>
          <w:color w:val="auto"/>
        </w:rPr>
        <w:t xml:space="preserve"> E</w:t>
      </w:r>
      <w:r>
        <w:rPr>
          <w:rFonts w:ascii="Arial" w:cs="Arial" w:eastAsia="Arial" w:hAnsi="Arial"/>
          <w:sz w:val="14"/>
          <w:szCs w:val="14"/>
          <w:color w:val="auto"/>
        </w:rPr>
        <w:t>XCHANGE OF</w:t>
      </w:r>
      <w:r>
        <w:rPr>
          <w:rFonts w:ascii="Arial" w:cs="Arial" w:eastAsia="Arial" w:hAnsi="Arial"/>
          <w:sz w:val="18"/>
          <w:szCs w:val="18"/>
          <w:color w:val="auto"/>
        </w:rPr>
        <w:t xml:space="preserve"> N</w:t>
      </w:r>
      <w:r>
        <w:rPr>
          <w:rFonts w:ascii="Arial" w:cs="Arial" w:eastAsia="Arial" w:hAnsi="Arial"/>
          <w:sz w:val="14"/>
          <w:szCs w:val="14"/>
          <w:color w:val="auto"/>
        </w:rPr>
        <w:t>OTES</w:t>
      </w:r>
    </w:p>
    <w:p>
      <w:pPr>
        <w:spacing w:after="0" w:line="206"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Designation and Amount.</w:t>
      </w:r>
      <w:r>
        <w:rPr>
          <w:rFonts w:ascii="Arial" w:cs="Arial" w:eastAsia="Arial" w:hAnsi="Arial"/>
          <w:sz w:val="18"/>
          <w:szCs w:val="18"/>
          <w:color w:val="auto"/>
        </w:rPr>
        <w:t xml:space="preserve"> The Notes shall be designated as the “4.50% Convertible Senior Notes due 2019.” The aggregate principal amount of Notes that may be authenticated and delivered under this Indenture is initially limited to $115,000,000, subject to Section 2.10 and except for Notes authenticated and delivered upon registration or transfer of, or in exchange for, or in lieu of other Notes pursuant to Section 2.05, Section 2.06, Section 10.04, Section 13.02 and Section 14.03.</w:t>
      </w:r>
    </w:p>
    <w:p>
      <w:pPr>
        <w:spacing w:after="0" w:line="191" w:lineRule="exact"/>
        <w:rPr>
          <w:sz w:val="20"/>
          <w:szCs w:val="20"/>
          <w:color w:val="auto"/>
        </w:rPr>
      </w:pPr>
    </w:p>
    <w:p>
      <w:pPr>
        <w:ind w:right="220" w:firstLine="457"/>
        <w:spacing w:after="0" w:line="252"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Form of Notes.</w:t>
      </w:r>
      <w:r>
        <w:rPr>
          <w:rFonts w:ascii="Arial" w:cs="Arial" w:eastAsia="Arial" w:hAnsi="Arial"/>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23" w:name="page24"/>
    <w:bookmarkEnd w:id="23"/>
    <w:p>
      <w:pPr>
        <w:ind w:right="40" w:firstLine="457"/>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47"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9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conversions, transfers or exchanges permitted hereby. Any endorsement of the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of, accrued and unpaid interest on, and any other amounts (including the Fundamental Change Repurchase Price, if applicable) due with respect to, the Global Note shall be made to the Holder of such Note on the date of payment, unless a record date or other means of determining Holders eligible to receive payment is provided for herein.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Note shall bear a legend in substantially the following form (unless otherwise agreed by the Company in writing, with notice thereof to the Trustee):</w:t>
      </w:r>
    </w:p>
    <w:p>
      <w:pPr>
        <w:spacing w:after="0" w:line="246" w:lineRule="exact"/>
        <w:rPr>
          <w:sz w:val="20"/>
          <w:szCs w:val="20"/>
          <w:color w:val="auto"/>
        </w:rPr>
      </w:pPr>
    </w:p>
    <w:p>
      <w:pPr>
        <w:ind w:right="280" w:firstLine="457"/>
        <w:spacing w:after="0" w:line="281" w:lineRule="auto"/>
        <w:rPr>
          <w:sz w:val="20"/>
          <w:szCs w:val="20"/>
          <w:color w:val="auto"/>
        </w:rPr>
      </w:pPr>
      <w:r>
        <w:rPr>
          <w:rFonts w:ascii="Arial" w:cs="Arial" w:eastAsia="Arial" w:hAnsi="Arial"/>
          <w:sz w:val="17"/>
          <w:szCs w:val="17"/>
          <w:color w:val="auto"/>
        </w:rPr>
        <w:t>NO AFFILIATE (AS DEFINED IN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OF THE COMPANY OR PERSON THAT HAS BEEN AN AFFILIATE (AS DEFINED IN RULE 144 UNDER THE SECURITIES ACT) OF THE COMPANY DURING THE THREE IMMEDIATELY PRECEDING MONTHS MAY RESELL THIS NOTE OR A BENEFICIAL INTEREST HEREIN.</w:t>
      </w:r>
    </w:p>
    <w:p>
      <w:pPr>
        <w:spacing w:after="0" w:line="168" w:lineRule="exact"/>
        <w:rPr>
          <w:sz w:val="20"/>
          <w:szCs w:val="20"/>
          <w:color w:val="auto"/>
        </w:rPr>
      </w:pPr>
    </w:p>
    <w:p>
      <w:pPr>
        <w:ind w:right="220" w:firstLine="457"/>
        <w:spacing w:after="0" w:line="252"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Date and Denomination of Notes; Payments of Interest and Defaulted Amounts.</w:t>
      </w:r>
      <w:r>
        <w:rPr>
          <w:rFonts w:ascii="Arial" w:cs="Arial" w:eastAsia="Arial" w:hAnsi="Arial"/>
          <w:sz w:val="18"/>
          <w:szCs w:val="18"/>
          <w:color w:val="auto"/>
        </w:rPr>
        <w:t xml:space="preserve"> (a) The Notes shall be issuable in registered form without coupons in denominations of $1,000 principal amount and integral multiples thereof. Each Note shall be dated the date of its authentication and shall bear interest from the date specified on the face of the form of Note attached as Exhibit A hereto. Accrued interest on the Notes shall be computed on the basis of a 360-day year composed of twelve 30-day months.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24" w:name="page25"/>
    <w:bookmarkEnd w:id="24"/>
    <w:p>
      <w:pPr>
        <w:ind w:right="20" w:firstLine="463"/>
        <w:spacing w:after="0" w:line="297" w:lineRule="auto"/>
        <w:tabs>
          <w:tab w:leader="none" w:pos="707" w:val="left"/>
        </w:tabs>
        <w:numPr>
          <w:ilvl w:val="1"/>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Person in whose name any Note (or its Predecessor Note) is registered on the Note Register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which shall initially be the Corporate Trust Office. The Company shall pay interest (i) on any Physical Notes (A) to Holders having an aggregate principal amount of $5,000,000 or less, by check mailed to the Holders of these Notes at their address as it appears in the Note Register and (B) to Holders having an aggregate principal amount of more than $5,000,000, either by check mailed to the Holders of these Notes or, upon application by a Holder to the Note Registrar not later than the relevant Regular Record Date, by wire transfer in immediately available funds to that Holder’s account within the United States, which application shall remain in effect until the Holder notifies, in writing, the Note Registrar to the contrary or</w:t>
      </w:r>
    </w:p>
    <w:p>
      <w:pPr>
        <w:spacing w:after="0" w:line="2" w:lineRule="exact"/>
        <w:rPr>
          <w:rFonts w:ascii="Arial" w:cs="Arial" w:eastAsia="Arial" w:hAnsi="Arial"/>
          <w:sz w:val="15"/>
          <w:szCs w:val="15"/>
          <w:color w:val="auto"/>
        </w:rPr>
      </w:pPr>
    </w:p>
    <w:p>
      <w:pPr>
        <w:ind w:firstLine="6"/>
        <w:spacing w:after="0" w:line="248"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any Global Note by wire transfer of immediately available funds to the account of the Depositary or its nominee. Notwithstanding anything to the contrary herein, the Company may pay interest at its option to any Holder by wire transfer in immediately available funds to that Holder’s account, as specified by such Holder, within the United States.</w:t>
      </w:r>
    </w:p>
    <w:p>
      <w:pPr>
        <w:spacing w:after="0" w:line="195" w:lineRule="exact"/>
        <w:rPr>
          <w:rFonts w:ascii="Arial" w:cs="Arial" w:eastAsia="Arial" w:hAnsi="Arial"/>
          <w:sz w:val="18"/>
          <w:szCs w:val="18"/>
          <w:color w:val="auto"/>
        </w:rPr>
      </w:pPr>
    </w:p>
    <w:p>
      <w:pPr>
        <w:ind w:right="180" w:firstLine="463"/>
        <w:spacing w:after="0" w:line="330" w:lineRule="auto"/>
        <w:tabs>
          <w:tab w:leader="none" w:pos="697" w:val="left"/>
        </w:tabs>
        <w:numPr>
          <w:ilvl w:val="1"/>
          <w:numId w:val="10"/>
        </w:numPr>
        <w:rPr>
          <w:rFonts w:ascii="Arial" w:cs="Arial" w:eastAsia="Arial" w:hAnsi="Arial"/>
          <w:sz w:val="15"/>
          <w:szCs w:val="15"/>
          <w:color w:val="auto"/>
        </w:rPr>
      </w:pPr>
      <w:r>
        <w:rPr>
          <w:rFonts w:ascii="Arial" w:cs="Arial" w:eastAsia="Arial" w:hAnsi="Arial"/>
          <w:sz w:val="15"/>
          <w:szCs w:val="15"/>
          <w:color w:val="auto"/>
        </w:rPr>
        <w:t>Any Defaulted Amounts shall forthwith cease to be payable to the Holder on the relevant payment date but shall accrue interest per annum at the rate or rates, if any, specified in the Notes, subject to the enforceability thereof under applicable law, from, and including, such relevant payment date to, but excluding, the date on which such Defaulted Amounts shall have been paid by the Company, at its election in each case, as provided in clause (i) or (ii) below:</w:t>
      </w:r>
    </w:p>
    <w:p>
      <w:pPr>
        <w:spacing w:after="0" w:line="30" w:lineRule="exact"/>
        <w:rPr>
          <w:rFonts w:ascii="Arial" w:cs="Arial" w:eastAsia="Arial" w:hAnsi="Arial"/>
          <w:sz w:val="15"/>
          <w:szCs w:val="15"/>
          <w:color w:val="auto"/>
        </w:rPr>
      </w:pPr>
    </w:p>
    <w:p>
      <w:pPr>
        <w:ind w:left="460" w:right="80" w:firstLine="441"/>
        <w:spacing w:after="0" w:line="263" w:lineRule="auto"/>
        <w:tabs>
          <w:tab w:leader="none" w:pos="1109" w:val="left"/>
        </w:tabs>
        <w:numPr>
          <w:ilvl w:val="2"/>
          <w:numId w:val="10"/>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mailed, first-class postage prepaid, to each Holder at its address as it appears in the Note Register, not less than 10 days prior to such special record date. Notice of the proposed payment of such Defaulted Amounts and the special record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25" w:name="page26"/>
    <w:bookmarkEnd w:id="25"/>
    <w:p>
      <w:pPr>
        <w:ind w:left="460" w:right="20"/>
        <w:spacing w:after="0" w:line="3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therefor having been so mailed,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4" w:lineRule="exact"/>
        <w:rPr>
          <w:sz w:val="20"/>
          <w:szCs w:val="20"/>
          <w:color w:val="auto"/>
        </w:rPr>
      </w:pPr>
    </w:p>
    <w:p>
      <w:pPr>
        <w:ind w:left="460" w:right="100" w:firstLine="441"/>
        <w:spacing w:after="0" w:line="252" w:lineRule="auto"/>
        <w:tabs>
          <w:tab w:leader="none" w:pos="11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91" w:lineRule="exact"/>
        <w:rPr>
          <w:sz w:val="20"/>
          <w:szCs w:val="20"/>
          <w:color w:val="auto"/>
        </w:rPr>
      </w:pPr>
    </w:p>
    <w:p>
      <w:pPr>
        <w:ind w:right="360" w:firstLine="457"/>
        <w:spacing w:after="0" w:line="265"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Execution, Authentication and Delivery of Notes.</w:t>
      </w:r>
      <w:r>
        <w:rPr>
          <w:rFonts w:ascii="Arial" w:cs="Arial" w:eastAsia="Arial" w:hAnsi="Arial"/>
          <w:sz w:val="18"/>
          <w:szCs w:val="18"/>
          <w:color w:val="auto"/>
        </w:rPr>
        <w:t xml:space="preserve"> The Notes shall be signed in the name and on behalf of the Company by the manual or facsimile signature of its Officers.</w:t>
      </w:r>
    </w:p>
    <w:p>
      <w:pPr>
        <w:spacing w:after="0" w:line="179" w:lineRule="exact"/>
        <w:rPr>
          <w:sz w:val="20"/>
          <w:szCs w:val="20"/>
          <w:color w:val="auto"/>
        </w:rPr>
      </w:pPr>
    </w:p>
    <w:p>
      <w:pPr>
        <w:ind w:right="120" w:firstLine="457"/>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89" w:lineRule="exact"/>
        <w:rPr>
          <w:sz w:val="20"/>
          <w:szCs w:val="20"/>
          <w:color w:val="auto"/>
        </w:rPr>
      </w:pPr>
    </w:p>
    <w:p>
      <w:pPr>
        <w:ind w:right="140" w:firstLine="457"/>
        <w:spacing w:after="0" w:line="250" w:lineRule="auto"/>
        <w:rPr>
          <w:sz w:val="20"/>
          <w:szCs w:val="20"/>
          <w:color w:val="auto"/>
        </w:rPr>
      </w:pPr>
      <w:r>
        <w:rPr>
          <w:rFonts w:ascii="Arial" w:cs="Arial" w:eastAsia="Arial" w:hAnsi="Arial"/>
          <w:sz w:val="18"/>
          <w:szCs w:val="18"/>
          <w:color w:val="auto"/>
        </w:rPr>
        <w:t>Only such Notes as shall bear thereon a certificate of authentication substantially in the form set forth on the form of Note attached as Exhibit A hereto, executed manually by a Responsible Officer (or an authenticating agent appointed by the Trustee as provided by Section 16.10),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95"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95" w:lineRule="exact"/>
        <w:rPr>
          <w:sz w:val="20"/>
          <w:szCs w:val="20"/>
          <w:color w:val="auto"/>
        </w:rPr>
      </w:pPr>
    </w:p>
    <w:p>
      <w:pPr>
        <w:ind w:right="40" w:firstLine="457"/>
        <w:spacing w:after="0" w:line="249" w:lineRule="auto"/>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Exchange and Registration of Transfer of Notes; Restrictions on Transfer; Depositary.</w:t>
      </w:r>
      <w:r>
        <w:rPr>
          <w:rFonts w:ascii="Arial" w:cs="Arial" w:eastAsia="Arial" w:hAnsi="Arial"/>
          <w:sz w:val="18"/>
          <w:szCs w:val="18"/>
          <w:color w:val="auto"/>
        </w:rPr>
        <w:t xml:space="preserve"> (a) 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8"/>
          <w:szCs w:val="18"/>
          <w:b w:val="1"/>
          <w:bCs w:val="1"/>
          <w:color w:val="auto"/>
        </w:rPr>
        <w:t>Note Register</w:t>
      </w:r>
      <w:r>
        <w:rPr>
          <w:rFonts w:ascii="Arial" w:cs="Arial" w:eastAsia="Arial" w:hAnsi="Arial"/>
          <w:sz w:val="18"/>
          <w:szCs w:val="18"/>
          <w:color w:val="auto"/>
        </w:rPr>
        <w:t>”) in which, subject to such reasonable procedures as it may prescribe, the Company shall provide for the registration of Notes and of transfers of Notes. Such register shall be in written form or in any form capable of being converted into written form within a reasonable period of time. The Trustee is hereby appointed the “</w:t>
      </w:r>
      <w:r>
        <w:rPr>
          <w:rFonts w:ascii="Arial" w:cs="Arial" w:eastAsia="Arial" w:hAnsi="Arial"/>
          <w:sz w:val="18"/>
          <w:szCs w:val="18"/>
          <w:b w:val="1"/>
          <w:bCs w:val="1"/>
          <w:color w:val="auto"/>
        </w:rPr>
        <w:t>Note Registrar</w:t>
      </w:r>
      <w:r>
        <w:rPr>
          <w:rFonts w:ascii="Arial" w:cs="Arial" w:eastAsia="Arial" w:hAnsi="Arial"/>
          <w:sz w:val="18"/>
          <w:szCs w:val="18"/>
          <w:color w:val="auto"/>
        </w:rPr>
        <w:t>” for the purpose of registering Notes and transfers of Notes as herein provided. The Company may appoint one or more co-Note Registrars in accordance with Section 4.02.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26" w:name="page27"/>
    <w:bookmarkEnd w:id="26"/>
    <w:p>
      <w:pPr>
        <w:ind w:firstLine="457"/>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 Holder of Notes may transfer or exchange Notes at the office of the Registrar in accordance with this Indenture and the applicable procedures of the Depositary. Upon surrender for registration of transfer of any Note to the Note Registrar or any co-Note Registrar, and satisfaction of the requirements for such transfer set forth in this Section 2.05, the Company shall execute, and the Trustee shall upon receipt of a Company Order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95"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upon receipt of a Company Order authenticate and deliver, the Notes that the Holder making the exchange is entitled to receive, bearing registration numbers not contemporaneously outstanding.</w:t>
      </w:r>
    </w:p>
    <w:p>
      <w:pPr>
        <w:spacing w:after="0" w:line="178" w:lineRule="exact"/>
        <w:rPr>
          <w:sz w:val="20"/>
          <w:szCs w:val="20"/>
          <w:color w:val="auto"/>
        </w:rPr>
      </w:pPr>
    </w:p>
    <w:p>
      <w:pPr>
        <w:ind w:right="20" w:firstLine="457"/>
        <w:spacing w:after="0" w:line="277" w:lineRule="auto"/>
        <w:rPr>
          <w:sz w:val="20"/>
          <w:szCs w:val="20"/>
          <w:color w:val="auto"/>
        </w:rPr>
      </w:pPr>
      <w:r>
        <w:rPr>
          <w:rFonts w:ascii="Arial" w:cs="Arial" w:eastAsia="Arial" w:hAnsi="Arial"/>
          <w:sz w:val="17"/>
          <w:szCs w:val="17"/>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2" w:lineRule="exact"/>
        <w:rPr>
          <w:sz w:val="20"/>
          <w:szCs w:val="20"/>
          <w:color w:val="auto"/>
        </w:rPr>
      </w:pPr>
    </w:p>
    <w:p>
      <w:pPr>
        <w:ind w:right="420" w:firstLine="457"/>
        <w:spacing w:after="0" w:line="366" w:lineRule="auto"/>
        <w:rPr>
          <w:sz w:val="20"/>
          <w:szCs w:val="20"/>
          <w:color w:val="auto"/>
        </w:rPr>
      </w:pPr>
      <w:r>
        <w:rPr>
          <w:rFonts w:ascii="Arial" w:cs="Arial" w:eastAsia="Arial" w:hAnsi="Arial"/>
          <w:sz w:val="15"/>
          <w:szCs w:val="15"/>
          <w:color w:val="auto"/>
        </w:rPr>
        <w:t>No service charge shall be charged to the Holder for any exchange or registration of transfer of Notes, but the Company or the Trustee may require a Holder to pay a sum sufficient to cover any tax or other similar governmental charge required by law or permitted pursuant to Section 13.02(e).</w:t>
      </w:r>
    </w:p>
    <w:p>
      <w:pPr>
        <w:spacing w:after="0" w:line="110" w:lineRule="exact"/>
        <w:rPr>
          <w:sz w:val="20"/>
          <w:szCs w:val="20"/>
          <w:color w:val="auto"/>
        </w:rPr>
      </w:pPr>
    </w:p>
    <w:p>
      <w:pPr>
        <w:ind w:right="400" w:firstLine="457"/>
        <w:spacing w:after="0" w:line="255" w:lineRule="auto"/>
        <w:rPr>
          <w:sz w:val="20"/>
          <w:szCs w:val="20"/>
          <w:color w:val="auto"/>
        </w:rPr>
      </w:pPr>
      <w:r>
        <w:rPr>
          <w:rFonts w:ascii="Arial" w:cs="Arial" w:eastAsia="Arial" w:hAnsi="Arial"/>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or (ii) any Notes, or a portion of any Note, surrendered for repurchase (and not withdrawn) in accordance with Article 14.</w:t>
      </w:r>
    </w:p>
    <w:p>
      <w:pPr>
        <w:spacing w:after="0" w:line="189" w:lineRule="exact"/>
        <w:rPr>
          <w:sz w:val="20"/>
          <w:szCs w:val="20"/>
          <w:color w:val="auto"/>
        </w:rPr>
      </w:pPr>
    </w:p>
    <w:p>
      <w:pPr>
        <w:ind w:right="180" w:firstLine="457"/>
        <w:spacing w:after="0" w:line="366" w:lineRule="auto"/>
        <w:rPr>
          <w:sz w:val="20"/>
          <w:szCs w:val="20"/>
          <w:color w:val="auto"/>
        </w:rPr>
      </w:pPr>
      <w:r>
        <w:rPr>
          <w:rFonts w:ascii="Arial" w:cs="Arial" w:eastAsia="Arial" w:hAnsi="Arial"/>
          <w:sz w:val="15"/>
          <w:szCs w:val="15"/>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10" w:lineRule="exact"/>
        <w:rPr>
          <w:sz w:val="20"/>
          <w:szCs w:val="20"/>
          <w:color w:val="auto"/>
        </w:rPr>
      </w:pPr>
    </w:p>
    <w:p>
      <w:pPr>
        <w:ind w:right="20" w:firstLine="463"/>
        <w:spacing w:after="0" w:line="318" w:lineRule="auto"/>
        <w:tabs>
          <w:tab w:leader="none" w:pos="707" w:val="left"/>
        </w:tabs>
        <w:numPr>
          <w:ilvl w:val="0"/>
          <w:numId w:val="12"/>
        </w:numPr>
        <w:rPr>
          <w:rFonts w:ascii="Arial" w:cs="Arial" w:eastAsia="Arial" w:hAnsi="Arial"/>
          <w:sz w:val="15"/>
          <w:szCs w:val="15"/>
          <w:color w:val="auto"/>
        </w:rPr>
      </w:pPr>
      <w:r>
        <w:rPr>
          <w:rFonts w:ascii="Arial" w:cs="Arial" w:eastAsia="Arial" w:hAnsi="Arial"/>
          <w:sz w:val="15"/>
          <w:szCs w:val="15"/>
          <w:color w:val="auto"/>
        </w:rPr>
        <w:t>So long as the Notes are eligible for book-entry settlement with the Depositary, unless otherwise required by law, all Notes shall be represented by one or more Notes in global form (each, a “</w:t>
      </w:r>
      <w:r>
        <w:rPr>
          <w:rFonts w:ascii="Arial" w:cs="Arial" w:eastAsia="Arial" w:hAnsi="Arial"/>
          <w:sz w:val="15"/>
          <w:szCs w:val="15"/>
          <w:b w:val="1"/>
          <w:bCs w:val="1"/>
          <w:color w:val="auto"/>
        </w:rPr>
        <w:t>Global Note</w:t>
      </w:r>
      <w:r>
        <w:rPr>
          <w:rFonts w:ascii="Arial" w:cs="Arial" w:eastAsia="Arial" w:hAnsi="Arial"/>
          <w:sz w:val="15"/>
          <w:szCs w:val="15"/>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3" w:right="279" w:bottom="1440" w:gutter="0" w:footer="0" w:header="0"/>
        </w:sectPr>
      </w:pPr>
    </w:p>
    <w:bookmarkStart w:id="27" w:name="page28"/>
    <w:bookmarkEnd w:id="27"/>
    <w:p>
      <w:pPr>
        <w:ind w:firstLine="463"/>
        <w:spacing w:after="0" w:line="249" w:lineRule="auto"/>
        <w:tabs>
          <w:tab w:leader="none" w:pos="697"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Every Note that bears or is required under this Section 2.05(c) to bear the legend set forth in this Section 2.05(c) (together with any Common Stock issued upon conversion of the Notes and required to bear the legend set forth in Section 2.05(d), collectively, the “</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8"/>
          <w:szCs w:val="18"/>
          <w:b w:val="1"/>
          <w:bCs w:val="1"/>
          <w:color w:val="auto"/>
        </w:rPr>
        <w:t>transfer</w:t>
      </w:r>
      <w:r>
        <w:rPr>
          <w:rFonts w:ascii="Arial" w:cs="Arial" w:eastAsia="Arial" w:hAnsi="Arial"/>
          <w:sz w:val="18"/>
          <w:szCs w:val="18"/>
          <w:color w:val="auto"/>
        </w:rPr>
        <w:t>” encompasses any sale, pledge, transfer or other disposition whatsoever of any Restricted Security.</w:t>
      </w:r>
    </w:p>
    <w:p>
      <w:pPr>
        <w:spacing w:after="0" w:line="191" w:lineRule="exact"/>
        <w:rPr>
          <w:sz w:val="20"/>
          <w:szCs w:val="20"/>
          <w:color w:val="auto"/>
        </w:rPr>
      </w:pPr>
    </w:p>
    <w:p>
      <w:pPr>
        <w:ind w:right="20" w:firstLine="457"/>
        <w:spacing w:after="0" w:line="308" w:lineRule="auto"/>
        <w:rPr>
          <w:sz w:val="20"/>
          <w:szCs w:val="20"/>
          <w:color w:val="auto"/>
        </w:rPr>
      </w:pPr>
      <w:r>
        <w:rPr>
          <w:rFonts w:ascii="Arial" w:cs="Arial" w:eastAsia="Arial" w:hAnsi="Arial"/>
          <w:sz w:val="15"/>
          <w:szCs w:val="15"/>
          <w:color w:val="auto"/>
        </w:rPr>
        <w:t>Until the date (the “</w:t>
      </w:r>
      <w:r>
        <w:rPr>
          <w:rFonts w:ascii="Arial" w:cs="Arial" w:eastAsia="Arial" w:hAnsi="Arial"/>
          <w:sz w:val="15"/>
          <w:szCs w:val="15"/>
          <w:b w:val="1"/>
          <w:bCs w:val="1"/>
          <w:color w:val="auto"/>
        </w:rPr>
        <w:t>Resale Restriction Termination Date</w:t>
      </w:r>
      <w:r>
        <w:rPr>
          <w:rFonts w:ascii="Arial" w:cs="Arial" w:eastAsia="Arial" w:hAnsi="Arial"/>
          <w:sz w:val="15"/>
          <w:szCs w:val="15"/>
          <w:color w:val="auto"/>
        </w:rPr>
        <w:t>”) that is the later of (1) the date that is one year after the last date of original issuance of the Notes,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54" w:lineRule="exact"/>
        <w:rPr>
          <w:sz w:val="20"/>
          <w:szCs w:val="20"/>
          <w:color w:val="auto"/>
        </w:rPr>
      </w:pPr>
    </w:p>
    <w:p>
      <w:pPr>
        <w:ind w:right="220" w:firstLine="457"/>
        <w:spacing w:after="0" w:line="252"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85" w:lineRule="exact"/>
        <w:rPr>
          <w:sz w:val="20"/>
          <w:szCs w:val="20"/>
          <w:color w:val="auto"/>
        </w:rPr>
      </w:pPr>
    </w:p>
    <w:p>
      <w:pPr>
        <w:ind w:left="460" w:right="240" w:firstLine="441"/>
        <w:spacing w:after="0" w:line="255" w:lineRule="auto"/>
        <w:tabs>
          <w:tab w:leader="none" w:pos="11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82" w:lineRule="exact"/>
        <w:rPr>
          <w:rFonts w:ascii="Arial" w:cs="Arial" w:eastAsia="Arial" w:hAnsi="Arial"/>
          <w:sz w:val="18"/>
          <w:szCs w:val="18"/>
          <w:color w:val="auto"/>
        </w:rPr>
      </w:pPr>
    </w:p>
    <w:p>
      <w:pPr>
        <w:ind w:left="460" w:right="40" w:firstLine="441"/>
        <w:spacing w:after="0" w:line="318" w:lineRule="auto"/>
        <w:tabs>
          <w:tab w:leader="none" w:pos="11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34" w:lineRule="exact"/>
        <w:rPr>
          <w:rFonts w:ascii="Arial" w:cs="Arial" w:eastAsia="Arial" w:hAnsi="Arial"/>
          <w:sz w:val="15"/>
          <w:szCs w:val="15"/>
          <w:color w:val="auto"/>
        </w:rPr>
      </w:pPr>
    </w:p>
    <w:p>
      <w:pPr>
        <w:ind w:left="1620" w:hanging="281"/>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TPG SPECIALTY LENDING, INC. (THE “</w:t>
      </w:r>
      <w:r>
        <w:rPr>
          <w:rFonts w:ascii="Arial" w:cs="Arial" w:eastAsia="Arial" w:hAnsi="Arial"/>
          <w:sz w:val="18"/>
          <w:szCs w:val="18"/>
          <w:b w:val="1"/>
          <w:bCs w:val="1"/>
          <w:color w:val="auto"/>
        </w:rPr>
        <w:t>COMPANY</w:t>
      </w:r>
      <w:r>
        <w:rPr>
          <w:rFonts w:ascii="Arial" w:cs="Arial" w:eastAsia="Arial" w:hAnsi="Arial"/>
          <w:sz w:val="18"/>
          <w:szCs w:val="18"/>
          <w:color w:val="auto"/>
        </w:rPr>
        <w:t>”) OR ANY CONSOLIDATED SUBSIDIARY THEREOF, OR</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3" w:right="279" w:bottom="1440" w:gutter="0" w:footer="0" w:header="0"/>
        </w:sectPr>
      </w:pPr>
    </w:p>
    <w:bookmarkStart w:id="28" w:name="page29"/>
    <w:bookmarkEnd w:id="28"/>
    <w:p>
      <w:pPr>
        <w:ind w:left="1620" w:hanging="281"/>
        <w:spacing w:after="0"/>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PURSUANT TO A REGISTRATION STATEMENT WHICH HAS BECOME EFFECTIVE UNDER THE SECURITIES ACT, OR</w:t>
      </w:r>
    </w:p>
    <w:p>
      <w:pPr>
        <w:spacing w:after="0" w:line="122" w:lineRule="exact"/>
        <w:rPr>
          <w:rFonts w:ascii="Arial" w:cs="Arial" w:eastAsia="Arial" w:hAnsi="Arial"/>
          <w:sz w:val="17"/>
          <w:szCs w:val="17"/>
          <w:color w:val="auto"/>
        </w:rPr>
      </w:pPr>
    </w:p>
    <w:p>
      <w:pPr>
        <w:ind w:left="1620" w:hanging="281"/>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11" w:lineRule="exact"/>
        <w:rPr>
          <w:rFonts w:ascii="Arial" w:cs="Arial" w:eastAsia="Arial" w:hAnsi="Arial"/>
          <w:sz w:val="18"/>
          <w:szCs w:val="18"/>
          <w:color w:val="auto"/>
        </w:rPr>
      </w:pPr>
    </w:p>
    <w:p>
      <w:pPr>
        <w:ind w:left="920" w:right="100" w:firstLine="419"/>
        <w:spacing w:after="0" w:line="265" w:lineRule="auto"/>
        <w:tabs>
          <w:tab w:leader="none" w:pos="16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9" w:lineRule="exact"/>
        <w:rPr>
          <w:sz w:val="20"/>
          <w:szCs w:val="20"/>
          <w:color w:val="auto"/>
        </w:rPr>
      </w:pPr>
    </w:p>
    <w:p>
      <w:pPr>
        <w:ind w:right="360" w:firstLine="457"/>
        <w:spacing w:after="0" w:line="250" w:lineRule="auto"/>
        <w:rPr>
          <w:sz w:val="20"/>
          <w:szCs w:val="20"/>
          <w:color w:val="auto"/>
        </w:rPr>
      </w:pPr>
      <w:r>
        <w:rPr>
          <w:rFonts w:ascii="Arial" w:cs="Arial" w:eastAsia="Arial" w:hAnsi="Arial"/>
          <w:sz w:val="18"/>
          <w:szCs w:val="18"/>
          <w:color w:val="auto"/>
        </w:rPr>
        <w:t>PRIOR TO THE REGISTRATION OF ANY TRANSFER IN ACCORDANCE WITH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95" w:lineRule="exact"/>
        <w:rPr>
          <w:sz w:val="20"/>
          <w:szCs w:val="20"/>
          <w:color w:val="auto"/>
        </w:rPr>
      </w:pPr>
    </w:p>
    <w:p>
      <w:pPr>
        <w:ind w:right="680" w:firstLine="457"/>
        <w:spacing w:after="0" w:line="265"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completed Form of Assignment and Transfer has been checked.</w:t>
      </w:r>
    </w:p>
    <w:p>
      <w:pPr>
        <w:spacing w:after="0" w:line="17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The Company shall promptly notify the Trustee upon the occurrence of the Resale Restriction Termination Date and promptly after a registration statement, if any, with respect to the Notes or any Common Stock issued upon conversion of the Notes has been declared effective under the Securities Act.</w:t>
      </w:r>
    </w:p>
    <w:p>
      <w:pPr>
        <w:spacing w:after="0" w:line="17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If, on the Resale Restriction Termination Date, or the next succeeding Business Day if the Resale Restriction Termination Date is not a Business Day, any Notes are represented by a Global Note that is a Restricted Note (any such Global Note, a “</w:t>
      </w:r>
      <w:r>
        <w:rPr>
          <w:rFonts w:ascii="Arial" w:cs="Arial" w:eastAsia="Arial" w:hAnsi="Arial"/>
          <w:sz w:val="17"/>
          <w:szCs w:val="17"/>
          <w:b w:val="1"/>
          <w:bCs w:val="1"/>
          <w:color w:val="auto"/>
        </w:rPr>
        <w:t>Restricted Global Note</w:t>
      </w:r>
      <w:r>
        <w:rPr>
          <w:rFonts w:ascii="Arial" w:cs="Arial" w:eastAsia="Arial" w:hAnsi="Arial"/>
          <w:sz w:val="17"/>
          <w:szCs w:val="17"/>
          <w:color w:val="auto"/>
        </w:rPr>
        <w:t>”), as promptly as practicable, the Company will automatically exchange every beneficial interest in each Restricted Global Note for beneficial interests in Global Notes that are not subject to the restrictions set forth in the Restricted Notes Legend and in this Section 2.05. To effect such automatic exchange, the Company will (A) deliver to the Depositary an instruction letter for the Depositary’s mandatory exchange process as required by the Depositary prior to the Resale Restriction Termination Date and (B) deliver to each of the Trustee and the Registrar a duly completed free transferability certificate in the form attached hereto as Exhibit B promptly after the Resale Restriction Termination Date. Immediately upon receipt of the free transferability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3" w:right="259" w:bottom="1440" w:gutter="0" w:footer="0" w:header="0"/>
        </w:sectPr>
      </w:pPr>
    </w:p>
    <w:bookmarkStart w:id="29" w:name="page30"/>
    <w:bookmarkEnd w:id="29"/>
    <w:p>
      <w:pPr>
        <w:ind w:right="2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certificate by each of the Trustee and the Registrar: (A) the Restricted Notes Legend will be deemed removed from each of the Global Notes specified in such free transferability certificate and the restricted CUSIP number will be deemed removed from each of such Global Notes and deemed replaced with an unrestricted CUSIP number with no further action required by the Company, the Trustee or, if applicable, the Depositary.</w:t>
      </w:r>
    </w:p>
    <w:p>
      <w:pPr>
        <w:spacing w:after="0" w:line="172" w:lineRule="exact"/>
        <w:rPr>
          <w:sz w:val="20"/>
          <w:szCs w:val="20"/>
          <w:color w:val="auto"/>
        </w:rPr>
      </w:pPr>
    </w:p>
    <w:p>
      <w:pPr>
        <w:jc w:val="both"/>
        <w:ind w:right="60" w:firstLine="457"/>
        <w:spacing w:after="0" w:line="330" w:lineRule="auto"/>
        <w:rPr>
          <w:sz w:val="20"/>
          <w:szCs w:val="20"/>
          <w:color w:val="auto"/>
        </w:rPr>
      </w:pPr>
      <w:r>
        <w:rPr>
          <w:rFonts w:ascii="Arial" w:cs="Arial" w:eastAsia="Arial" w:hAnsi="Arial"/>
          <w:sz w:val="15"/>
          <w:szCs w:val="15"/>
          <w:color w:val="auto"/>
        </w:rPr>
        <w:t>Notwithstanding the foregoing, in lieu of the restrictive legend being deemed removed from the Notes and the unrestricted CUSIP specified therein being substituted for the restricted CUSIP thereon, the Company may provide the Trustee with a new Global Note to serve as the Unrestricted Global Note and to bear such unrestricted CUSIP, and the Trustee shall continue to reflect such portion of the Notes as the Company may direct on the Restricted Global Note.</w:t>
      </w:r>
    </w:p>
    <w:p>
      <w:pPr>
        <w:spacing w:after="0" w:line="137"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Section 2.05(c).</w:t>
      </w:r>
    </w:p>
    <w:p>
      <w:pPr>
        <w:spacing w:after="0" w:line="197" w:lineRule="exact"/>
        <w:rPr>
          <w:sz w:val="20"/>
          <w:szCs w:val="20"/>
          <w:color w:val="auto"/>
        </w:rPr>
      </w:pPr>
    </w:p>
    <w:p>
      <w:pPr>
        <w:ind w:right="100" w:firstLine="457"/>
        <w:spacing w:after="0" w:line="255" w:lineRule="auto"/>
        <w:rPr>
          <w:sz w:val="20"/>
          <w:szCs w:val="20"/>
          <w:color w:val="auto"/>
        </w:rPr>
      </w:pPr>
      <w:r>
        <w:rPr>
          <w:rFonts w:ascii="Arial" w:cs="Arial" w:eastAsia="Arial" w:hAnsi="Arial"/>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89"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the Notes requests that its Notes be issued as Physical Notes, the Company will execute, and the Trustee, upon receipt of an Officers’ Certificate and a Company Order for the authentication and delivery of Notes, will authenticate and deliver Physical Notes to each such beneficial owner of the related Notes (or a portion thereof) in an aggregate principal amount equal to the principal amount of such Global Note, in exchange for such Global Note, and upon delivery of the Global Note to the Trustee such Global Note shall be canceled.</w:t>
      </w:r>
    </w:p>
    <w:p>
      <w:pPr>
        <w:spacing w:after="0" w:line="181" w:lineRule="exact"/>
        <w:rPr>
          <w:sz w:val="20"/>
          <w:szCs w:val="20"/>
          <w:color w:val="auto"/>
        </w:rPr>
      </w:pPr>
    </w:p>
    <w:p>
      <w:pPr>
        <w:jc w:val="both"/>
        <w:ind w:right="560" w:firstLine="457"/>
        <w:spacing w:after="0" w:line="330" w:lineRule="auto"/>
        <w:rPr>
          <w:sz w:val="20"/>
          <w:szCs w:val="20"/>
          <w:color w:val="auto"/>
        </w:rPr>
      </w:pPr>
      <w:r>
        <w:rPr>
          <w:rFonts w:ascii="Arial" w:cs="Arial" w:eastAsia="Arial" w:hAnsi="Arial"/>
          <w:sz w:val="15"/>
          <w:szCs w:val="15"/>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shall instruct the Trustee. Upon execution and authentication, the Trustee shall deliver such Physical Notes to the Persons in whose names such Physical Notes are so registered.</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3" w:right="259" w:bottom="1440" w:gutter="0" w:footer="0" w:header="0"/>
        </w:sectPr>
      </w:pPr>
    </w:p>
    <w:bookmarkStart w:id="30" w:name="page31"/>
    <w:bookmarkEnd w:id="30"/>
    <w:p>
      <w:pPr>
        <w:ind w:right="140" w:firstLine="457"/>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At such time as all interests in a Global Note have been converted, canceled, repurchased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94" w:lineRule="exact"/>
        <w:rPr>
          <w:sz w:val="20"/>
          <w:szCs w:val="20"/>
          <w:color w:val="auto"/>
        </w:rPr>
      </w:pPr>
    </w:p>
    <w:p>
      <w:pPr>
        <w:ind w:right="40" w:firstLine="457"/>
        <w:spacing w:after="0" w:line="255" w:lineRule="auto"/>
        <w:rPr>
          <w:sz w:val="20"/>
          <w:szCs w:val="20"/>
          <w:color w:val="auto"/>
        </w:rPr>
      </w:pPr>
      <w:r>
        <w:rPr>
          <w:rFonts w:ascii="Arial" w:cs="Arial" w:eastAsia="Arial" w:hAnsi="Arial"/>
          <w:sz w:val="18"/>
          <w:szCs w:val="18"/>
          <w:color w:val="auto"/>
        </w:rPr>
        <w:t>Neither the Company, the Trustee nor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89" w:lineRule="exact"/>
        <w:rPr>
          <w:sz w:val="20"/>
          <w:szCs w:val="20"/>
          <w:color w:val="auto"/>
        </w:rPr>
      </w:pPr>
    </w:p>
    <w:p>
      <w:pPr>
        <w:ind w:firstLine="463"/>
        <w:spacing w:after="0" w:line="307" w:lineRule="auto"/>
        <w:tabs>
          <w:tab w:leader="none" w:pos="707"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Until the Resale Restriction Termination Date, any stock certificate representing Common Stock issued upon conversion of such Note shall bear a legend in substantially the following form (unless the Note or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47" w:lineRule="exact"/>
        <w:rPr>
          <w:sz w:val="20"/>
          <w:szCs w:val="20"/>
          <w:color w:val="auto"/>
        </w:rPr>
      </w:pPr>
    </w:p>
    <w:p>
      <w:pPr>
        <w:jc w:val="both"/>
        <w:ind w:right="160" w:firstLine="457"/>
        <w:spacing w:after="0" w:line="259"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78" w:lineRule="exact"/>
        <w:rPr>
          <w:sz w:val="20"/>
          <w:szCs w:val="20"/>
          <w:color w:val="auto"/>
        </w:rPr>
      </w:pPr>
    </w:p>
    <w:p>
      <w:pPr>
        <w:ind w:left="460" w:right="260" w:firstLine="441"/>
        <w:spacing w:after="0" w:line="255" w:lineRule="auto"/>
        <w:tabs>
          <w:tab w:leader="none" w:pos="11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82" w:lineRule="exact"/>
        <w:rPr>
          <w:rFonts w:ascii="Arial" w:cs="Arial" w:eastAsia="Arial" w:hAnsi="Arial"/>
          <w:sz w:val="18"/>
          <w:szCs w:val="18"/>
          <w:color w:val="auto"/>
        </w:rPr>
      </w:pPr>
    </w:p>
    <w:p>
      <w:pPr>
        <w:ind w:left="460" w:right="80" w:firstLine="441"/>
        <w:spacing w:after="0" w:line="318" w:lineRule="auto"/>
        <w:tabs>
          <w:tab w:leader="none" w:pos="1149" w:val="left"/>
        </w:tabs>
        <w:numPr>
          <w:ilvl w:val="0"/>
          <w:numId w:val="17"/>
        </w:numPr>
        <w:rPr>
          <w:rFonts w:ascii="Arial" w:cs="Arial" w:eastAsia="Arial" w:hAnsi="Arial"/>
          <w:sz w:val="15"/>
          <w:szCs w:val="15"/>
          <w:color w:val="auto"/>
        </w:rPr>
      </w:pPr>
      <w:r>
        <w:rPr>
          <w:rFonts w:ascii="Arial" w:cs="Arial" w:eastAsia="Arial" w:hAnsi="Arial"/>
          <w:sz w:val="15"/>
          <w:szCs w:val="15"/>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34" w:lineRule="exact"/>
        <w:rPr>
          <w:rFonts w:ascii="Arial" w:cs="Arial" w:eastAsia="Arial" w:hAnsi="Arial"/>
          <w:sz w:val="15"/>
          <w:szCs w:val="15"/>
          <w:color w:val="auto"/>
        </w:rPr>
      </w:pPr>
    </w:p>
    <w:p>
      <w:pPr>
        <w:ind w:left="1620" w:hanging="281"/>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TPG SPECIALTY LENDING, INC. (THE “</w:t>
      </w:r>
      <w:r>
        <w:rPr>
          <w:rFonts w:ascii="Arial" w:cs="Arial" w:eastAsia="Arial" w:hAnsi="Arial"/>
          <w:sz w:val="18"/>
          <w:szCs w:val="18"/>
          <w:b w:val="1"/>
          <w:bCs w:val="1"/>
          <w:color w:val="auto"/>
        </w:rPr>
        <w:t>COMPANY</w:t>
      </w:r>
      <w:r>
        <w:rPr>
          <w:rFonts w:ascii="Arial" w:cs="Arial" w:eastAsia="Arial" w:hAnsi="Arial"/>
          <w:sz w:val="18"/>
          <w:szCs w:val="18"/>
          <w:color w:val="auto"/>
        </w:rPr>
        <w:t>”) OR ANY CONSOLIDATED SUBSIDIARY THEREOF,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1" w:name="page32"/>
    <w:bookmarkEnd w:id="31"/>
    <w:p>
      <w:pPr>
        <w:ind w:left="1620" w:hanging="281"/>
        <w:spacing w:after="0"/>
        <w:tabs>
          <w:tab w:leader="none" w:pos="1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PURSUANT TO A REGISTRATION STATEMENT WHICH HAS BECOME EFFECTIVE UNDER THE SECURITIES ACT, OR</w:t>
      </w:r>
    </w:p>
    <w:p>
      <w:pPr>
        <w:spacing w:after="0" w:line="122" w:lineRule="exact"/>
        <w:rPr>
          <w:rFonts w:ascii="Arial" w:cs="Arial" w:eastAsia="Arial" w:hAnsi="Arial"/>
          <w:sz w:val="17"/>
          <w:szCs w:val="17"/>
          <w:color w:val="auto"/>
        </w:rPr>
      </w:pPr>
    </w:p>
    <w:p>
      <w:pPr>
        <w:ind w:left="1620" w:hanging="281"/>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11" w:lineRule="exact"/>
        <w:rPr>
          <w:rFonts w:ascii="Arial" w:cs="Arial" w:eastAsia="Arial" w:hAnsi="Arial"/>
          <w:sz w:val="18"/>
          <w:szCs w:val="18"/>
          <w:color w:val="auto"/>
        </w:rPr>
      </w:pPr>
    </w:p>
    <w:p>
      <w:pPr>
        <w:ind w:left="920" w:right="100" w:firstLine="419"/>
        <w:spacing w:after="0" w:line="265" w:lineRule="auto"/>
        <w:tabs>
          <w:tab w:leader="none" w:pos="16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9" w:lineRule="exact"/>
        <w:rPr>
          <w:sz w:val="20"/>
          <w:szCs w:val="20"/>
          <w:color w:val="auto"/>
        </w:rPr>
      </w:pPr>
    </w:p>
    <w:p>
      <w:pPr>
        <w:ind w:right="360" w:firstLine="457"/>
        <w:spacing w:after="0" w:line="250" w:lineRule="auto"/>
        <w:rPr>
          <w:sz w:val="20"/>
          <w:szCs w:val="20"/>
          <w:color w:val="auto"/>
        </w:rPr>
      </w:pPr>
      <w:r>
        <w:rPr>
          <w:rFonts w:ascii="Arial" w:cs="Arial" w:eastAsia="Arial" w:hAnsi="Arial"/>
          <w:sz w:val="18"/>
          <w:szCs w:val="18"/>
          <w:color w:val="auto"/>
        </w:rPr>
        <w:t>PRIOR TO THE REGISTRATION OF ANY TRANSFER IN ACCORDANCE WITH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95" w:lineRule="exact"/>
        <w:rPr>
          <w:sz w:val="20"/>
          <w:szCs w:val="20"/>
          <w:color w:val="auto"/>
        </w:rPr>
      </w:pPr>
    </w:p>
    <w:p>
      <w:pPr>
        <w:jc w:val="both"/>
        <w:ind w:firstLine="457"/>
        <w:spacing w:after="0" w:line="330" w:lineRule="auto"/>
        <w:rPr>
          <w:sz w:val="20"/>
          <w:szCs w:val="20"/>
          <w:color w:val="auto"/>
        </w:rPr>
      </w:pPr>
      <w:r>
        <w:rPr>
          <w:rFonts w:ascii="Arial" w:cs="Arial" w:eastAsia="Arial" w:hAnsi="Arial"/>
          <w:sz w:val="15"/>
          <w:szCs w:val="15"/>
          <w:color w:val="auto"/>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37" w:lineRule="exact"/>
        <w:rPr>
          <w:sz w:val="20"/>
          <w:szCs w:val="20"/>
          <w:color w:val="auto"/>
        </w:rPr>
      </w:pPr>
    </w:p>
    <w:p>
      <w:pPr>
        <w:ind w:firstLine="463"/>
        <w:spacing w:after="0" w:line="255" w:lineRule="auto"/>
        <w:tabs>
          <w:tab w:leader="none" w:pos="6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Note that is repurchased or owned by the Company or any Subsidiary thereof may not be resold by the Company or such Subsidiary unless registered under the Securities Act or resold pursuant to an exemption from the registration requirements of the Securities Act in a transaction that results in such Note no longer being “restricted securities” (as defined under Rule 144 under the Securities Act).</w:t>
      </w:r>
    </w:p>
    <w:p>
      <w:pPr>
        <w:spacing w:after="0" w:line="188" w:lineRule="exact"/>
        <w:rPr>
          <w:rFonts w:ascii="Arial" w:cs="Arial" w:eastAsia="Arial" w:hAnsi="Arial"/>
          <w:sz w:val="18"/>
          <w:szCs w:val="18"/>
          <w:color w:val="auto"/>
        </w:rPr>
      </w:pPr>
    </w:p>
    <w:p>
      <w:pPr>
        <w:ind w:right="100" w:firstLine="463"/>
        <w:spacing w:after="0" w:line="249"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 provision of this Section 2.05 to the contrary, in the event Rule 144 as promulgated under the Securities Act (or any successor rule) is amended to change the one-year holding period thereunder (or the corresponding period under any successor rule), from and after receipt by the Trustee of the Officers’ Certificate and Opinion of Counsel provided for in this Section 2.05(f), (i) each reference in Section 2.05(c) to “one year” and in the restrictive legend set forth in such paragraph to “ONE YEAR” shall be deemed for all purposes hereof to be references to such changed period, (ii) each reference in Section 2.05(d) to “one year” and in the restrictive legend set forth in such paragraph to “ONE YEAR” shall be deemed for all purposes hereof to be references to such changed period and (iii) all corresponding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32" w:name="page33"/>
    <w:bookmarkEnd w:id="3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references in the Notes (including the definition of Resale Restriction Termination Date) and the restrictive legends thereon shall be deemed for all purposes hereof to be references to such changed period, provided that such changes shall not become effective if they are otherwise prohibited by, or would otherwise cause a violation of, the then-applicable federal securities laws, or are not applicable to the Notes or Common Stock. The provisions of this Section 2.05(f) will not be effective until such time as the Opinion of Counsel and Officers’ Certificate have been received by the Trustee hereunder. This Section 2.05(f) shall apply to successive amendments to Rule 144 (or any successor rule) changing the holding period thereunder.</w:t>
      </w:r>
    </w:p>
    <w:p>
      <w:pPr>
        <w:spacing w:after="0" w:line="177"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Section 2.06</w:t>
      </w:r>
      <w:r>
        <w:rPr>
          <w:rFonts w:ascii="Arial" w:cs="Arial" w:eastAsia="Arial" w:hAnsi="Arial"/>
          <w:sz w:val="15"/>
          <w:szCs w:val="15"/>
          <w:i w:val="1"/>
          <w:iCs w:val="1"/>
          <w:color w:val="auto"/>
        </w:rPr>
        <w:t>. Mutilated, Destroyed, Lost or Stolen Notes.</w:t>
      </w:r>
      <w:r>
        <w:rPr>
          <w:rFonts w:ascii="Arial" w:cs="Arial" w:eastAsia="Arial" w:hAnsi="Arial"/>
          <w:sz w:val="15"/>
          <w:szCs w:val="15"/>
          <w:color w:val="auto"/>
        </w:rPr>
        <w:t xml:space="preserve"> In case any Note shall become mutilated or be destroyed, lost or stolen, the Company in its discretion may execute, and upon a Company Order the Trustee or an authenticating agent appointed by the Trustee shall authenticate and deliver, a new Note, bearing a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53"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color w:val="auto"/>
        </w:rPr>
        <w:t>The Trustee or such authenticating agent may authenticate any such substituted Note and deliver the same upon the receipt of such security or indemnity as the Trustee, the Company and, if applicable, such authenticating agent may require. Upon the issuance of any substitute Note, the Company or the Trustee may require the payment by the Holder of a sum sufficient to cover any tax, assessment or other governmental charge that may be imposed in relation thereto and any other expenses connected therewith. In case any Note that has matured or is about to mature or has been surrendered for required repurchase or is about to be converted in accordance with Article 13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56"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33" w:name="page34"/>
    <w:bookmarkEnd w:id="33"/>
    <w:p>
      <w:pPr>
        <w:ind w:righ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or conversion or repurchase of mutilated, destroyed, lost or stolen Notes and shall preclude any and all other rights or remedies notwithstanding any law or statute existing or hereafter enacted to the contrary with respect to the replacement or payment or conversion of negotiable instruments or other securities without their surrender.</w:t>
      </w:r>
    </w:p>
    <w:p>
      <w:pPr>
        <w:spacing w:after="0" w:line="189"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Section 2.07</w:t>
      </w:r>
      <w:r>
        <w:rPr>
          <w:rFonts w:ascii="Arial" w:cs="Arial" w:eastAsia="Arial" w:hAnsi="Arial"/>
          <w:sz w:val="15"/>
          <w:szCs w:val="15"/>
          <w:i w:val="1"/>
          <w:iCs w:val="1"/>
          <w:color w:val="auto"/>
        </w:rPr>
        <w:t>. Temporary Notes.</w:t>
      </w:r>
      <w:r>
        <w:rPr>
          <w:rFonts w:ascii="Arial" w:cs="Arial" w:eastAsia="Arial" w:hAnsi="Arial"/>
          <w:sz w:val="15"/>
          <w:szCs w:val="15"/>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will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375"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Section 2.08</w:t>
      </w:r>
      <w:r>
        <w:rPr>
          <w:rFonts w:ascii="Arial" w:cs="Arial" w:eastAsia="Arial" w:hAnsi="Arial"/>
          <w:sz w:val="17"/>
          <w:szCs w:val="17"/>
          <w:i w:val="1"/>
          <w:iCs w:val="1"/>
          <w:color w:val="auto"/>
        </w:rPr>
        <w:t>. Cancellation of Notes Paid, Converted, Etc.</w:t>
      </w:r>
      <w:r>
        <w:rPr>
          <w:rFonts w:ascii="Arial" w:cs="Arial" w:eastAsia="Arial" w:hAnsi="Arial"/>
          <w:sz w:val="17"/>
          <w:szCs w:val="17"/>
          <w:color w:val="auto"/>
        </w:rPr>
        <w:t xml:space="preserve"> The Company shall cause all Notes surrendered for the purpose of payment, repurchase, registration of transfer or exchange or conversion, if surrendered to any Person other than the Trustee (including any of the Company’s agents, Subsidiaries or controlled Affiliates), to be surrendered to the Trustee for cancellation. All Notes delivered to the Trustee shall be canceled by it in accordance with its customary procedures, and no Notes shall be authenticated in exchange thereof except as expressly permitted by any of the provisions of this Indenture. The Trustee shall dispose of canceled Notes in accordance with its customary procedures and, after such disposition, shall deliver a certificate of such disposition to the Company, at the Company’s written request in a Company Order. If the Company or any of its Subsidiaries shall acquire any of the Notes, such acquisition shall not operate as a redemption, repurchase or satisfaction of the indebtedness represented by such Notes unless and until the same are delivered to the Trustee for cancellation.</w:t>
      </w:r>
    </w:p>
    <w:p>
      <w:pPr>
        <w:spacing w:after="0" w:line="183"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 xml:space="preserve">Section 2.09. </w:t>
      </w:r>
      <w:r>
        <w:rPr>
          <w:rFonts w:ascii="Arial" w:cs="Arial" w:eastAsia="Arial" w:hAnsi="Arial"/>
          <w:sz w:val="15"/>
          <w:szCs w:val="15"/>
          <w:i w:val="1"/>
          <w:iCs w:val="1"/>
          <w:color w:val="auto"/>
        </w:rPr>
        <w:t>CUSIP Numbers</w:t>
      </w:r>
      <w:r>
        <w:rPr>
          <w:rFonts w:ascii="Arial" w:cs="Arial" w:eastAsia="Arial" w:hAnsi="Arial"/>
          <w:sz w:val="15"/>
          <w:szCs w:val="15"/>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will promptly notify the Trustee in writing of any change in the “CUSIP” numbers. Until such time as the Company notifies the Trustee to remove the restrictive legend as set forth in Section 2.05(c) from the Notes or a transfer of Notes from a Restricted Global Note to an Unrestricted Global Note is otherwise made pursuant to the terms hereof, the restricted CUSIP will be the CUSIP number for the Notes. At such time as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3" w:right="259" w:bottom="1440" w:gutter="0" w:footer="0" w:header="0"/>
        </w:sectPr>
      </w:pPr>
    </w:p>
    <w:bookmarkStart w:id="34" w:name="page35"/>
    <w:bookmarkEnd w:id="34"/>
    <w:p>
      <w:pPr>
        <w:ind w:right="360"/>
        <w:spacing w:after="0" w:line="3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Company notifies the Trustee to remove the restrictive legend as set forth in Section 2.05(c) from the Notes, such legend shall be deemed removed from any Global Notes and an unrestricted CUSIP number for the Notes, as provided therein, shall be deemed to be the CUSIP number for the Notes.</w:t>
      </w:r>
    </w:p>
    <w:p>
      <w:pPr>
        <w:spacing w:after="0" w:line="11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Section 2.10</w:t>
      </w:r>
      <w:r>
        <w:rPr>
          <w:rFonts w:ascii="Arial" w:cs="Arial" w:eastAsia="Arial" w:hAnsi="Arial"/>
          <w:sz w:val="17"/>
          <w:szCs w:val="17"/>
          <w:i w:val="1"/>
          <w:iCs w:val="1"/>
          <w:color w:val="auto"/>
        </w:rPr>
        <w:t>. Additional Notes; Repurchases.</w:t>
      </w:r>
      <w:r>
        <w:rPr>
          <w:rFonts w:ascii="Arial" w:cs="Arial" w:eastAsia="Arial" w:hAnsi="Arial"/>
          <w:sz w:val="17"/>
          <w:szCs w:val="17"/>
          <w:color w:val="auto"/>
        </w:rPr>
        <w:t xml:space="preserve"> The Company may, without the consent of the Holders and notwithstanding Section 2.01, reopen this Indenture and issue additional Notes hereunder with the same terms as the Notes initially issued hereunder (except that the first Interest Payment Date and the date from which interest may accrue may be different) in an unlimited aggregate principal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Notes must be part of the same issue as the Notes initially issued hereunder for U.S. federal income tax purposes if represented by the same CUSIP number (including, if relevant, an unrestricted CUSIP number) as the Notes initially issued hereunder. Prior to the issuance of any such additional Notes, the Company shall deliver to the Trustee a Company Order, an Officers’ Certificate and an Opinion of Counsel, such Officers’ Certificate and Opinion of Counsel to cover such matters, in addition to those required by Section 16.05,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derivatives. Any Notes repurchased by the Company may, at the Company’s option, be surrendered to the Trustee for cancellation in accordance with Section 2.08.</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p>
    <w:p>
      <w:pPr>
        <w:spacing w:after="0" w:line="206" w:lineRule="exact"/>
        <w:rPr>
          <w:sz w:val="20"/>
          <w:szCs w:val="20"/>
          <w:color w:val="auto"/>
        </w:rPr>
      </w:pPr>
    </w:p>
    <w:p>
      <w:pPr>
        <w:ind w:right="320" w:firstLine="457"/>
        <w:spacing w:after="0" w:line="303" w:lineRule="auto"/>
        <w:rPr>
          <w:sz w:val="20"/>
          <w:szCs w:val="20"/>
          <w:color w:val="auto"/>
        </w:rPr>
      </w:pPr>
      <w:r>
        <w:rPr>
          <w:rFonts w:ascii="Arial" w:cs="Arial" w:eastAsia="Arial" w:hAnsi="Arial"/>
          <w:sz w:val="15"/>
          <w:szCs w:val="15"/>
          <w:color w:val="auto"/>
        </w:rPr>
        <w:t xml:space="preserve">Section 3.01. </w:t>
      </w:r>
      <w:r>
        <w:rPr>
          <w:rFonts w:ascii="Arial" w:cs="Arial" w:eastAsia="Arial" w:hAnsi="Arial"/>
          <w:sz w:val="15"/>
          <w:szCs w:val="15"/>
          <w:i w:val="1"/>
          <w:iCs w:val="1"/>
          <w:color w:val="auto"/>
        </w:rPr>
        <w:t>Satisfaction and Discharge</w:t>
      </w:r>
      <w:r>
        <w:rPr>
          <w:rFonts w:ascii="Arial" w:cs="Arial" w:eastAsia="Arial" w:hAnsi="Arial"/>
          <w:sz w:val="15"/>
          <w:szCs w:val="15"/>
          <w:color w:val="auto"/>
        </w:rPr>
        <w:t>. This Indenture shall upon request of the Company contained in an Officers’ Certificate cease to be of further effect, and the Trustee, at the expense of the Company, shall execute proper instruments acknowledging satisfaction and discharge of this Indenture, when</w:t>
      </w:r>
    </w:p>
    <w:p>
      <w:pPr>
        <w:ind w:firstLine="6"/>
        <w:spacing w:after="0" w:line="302" w:lineRule="auto"/>
        <w:tabs>
          <w:tab w:leader="none" w:pos="2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 all Notes theretofore authenticated and delivered (other than (x) Notes which have been destroyed, lost or stolen and which have been replaced or paid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all outstanding Notes have become due and payable, whether at the Maturity Date, any Fundamental Change Repurchase Date, upon conversion or otherwise, cash or cash, shares of Common Stock or a combination thereof, as applicable,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ARTICULAR</w:t>
      </w:r>
      <w:r>
        <w:rPr>
          <w:rFonts w:ascii="Arial" w:cs="Arial" w:eastAsia="Arial" w:hAnsi="Arial"/>
          <w:sz w:val="18"/>
          <w:szCs w:val="18"/>
          <w:color w:val="auto"/>
        </w:rPr>
        <w:t xml:space="preserve"> C</w:t>
      </w:r>
      <w:r>
        <w:rPr>
          <w:rFonts w:ascii="Arial" w:cs="Arial" w:eastAsia="Arial" w:hAnsi="Arial"/>
          <w:sz w:val="14"/>
          <w:szCs w:val="14"/>
          <w:color w:val="auto"/>
        </w:rPr>
        <w:t>OVENANTS OF THE</w:t>
      </w:r>
      <w:r>
        <w:rPr>
          <w:rFonts w:ascii="Arial" w:cs="Arial" w:eastAsia="Arial" w:hAnsi="Arial"/>
          <w:sz w:val="18"/>
          <w:szCs w:val="18"/>
          <w:color w:val="auto"/>
        </w:rPr>
        <w:t xml:space="preserve"> C</w:t>
      </w:r>
      <w:r>
        <w:rPr>
          <w:rFonts w:ascii="Arial" w:cs="Arial" w:eastAsia="Arial" w:hAnsi="Arial"/>
          <w:sz w:val="14"/>
          <w:szCs w:val="14"/>
          <w:color w:val="auto"/>
        </w:rPr>
        <w:t>OMPANY</w:t>
      </w:r>
    </w:p>
    <w:p>
      <w:pPr>
        <w:spacing w:after="0" w:line="206"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Principal and Interest</w:t>
      </w:r>
      <w:r>
        <w:rPr>
          <w:rFonts w:ascii="Arial" w:cs="Arial" w:eastAsia="Arial" w:hAnsi="Arial"/>
          <w:sz w:val="18"/>
          <w:szCs w:val="18"/>
          <w:color w:val="auto"/>
        </w:rPr>
        <w:t>. The Company covenants and agrees that it will cause to be paid the principal of, the Fundamental Change Repurchase Price, if applicable, of, and accrued and unpaid interest on, each of the Notes at the places, at the respective times and in the manner provided herein and in the Notes.</w:t>
      </w:r>
    </w:p>
    <w:p>
      <w:pPr>
        <w:spacing w:after="0" w:line="189" w:lineRule="exact"/>
        <w:rPr>
          <w:sz w:val="20"/>
          <w:szCs w:val="20"/>
          <w:color w:val="auto"/>
        </w:rPr>
      </w:pPr>
    </w:p>
    <w:p>
      <w:pPr>
        <w:ind w:right="20" w:firstLine="457"/>
        <w:spacing w:after="0" w:line="309"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i w:val="1"/>
          <w:iCs w:val="1"/>
          <w:color w:val="auto"/>
        </w:rPr>
        <w:t>Maintenance of Office or Agency</w:t>
      </w:r>
      <w:r>
        <w:rPr>
          <w:rFonts w:ascii="Arial" w:cs="Arial" w:eastAsia="Arial" w:hAnsi="Arial"/>
          <w:sz w:val="15"/>
          <w:szCs w:val="15"/>
          <w:color w:val="auto"/>
        </w:rPr>
        <w:t>. The Company will maintain in the Borough of Manhattan, The City of New York, an office or agency where the Notes may be surrendered for registration of transfer or exchange or for presentation for payment or repurchase (“</w:t>
      </w:r>
      <w:r>
        <w:rPr>
          <w:rFonts w:ascii="Arial" w:cs="Arial" w:eastAsia="Arial" w:hAnsi="Arial"/>
          <w:sz w:val="15"/>
          <w:szCs w:val="15"/>
          <w:b w:val="1"/>
          <w:bCs w:val="1"/>
          <w:color w:val="auto"/>
        </w:rPr>
        <w:t>Paying Agent</w:t>
      </w:r>
      <w:r>
        <w:rPr>
          <w:rFonts w:ascii="Arial" w:cs="Arial" w:eastAsia="Arial" w:hAnsi="Arial"/>
          <w:sz w:val="15"/>
          <w:szCs w:val="15"/>
          <w:color w:val="auto"/>
        </w:rPr>
        <w:t>”) or for conversion (“</w:t>
      </w:r>
      <w:r>
        <w:rPr>
          <w:rFonts w:ascii="Arial" w:cs="Arial" w:eastAsia="Arial" w:hAnsi="Arial"/>
          <w:sz w:val="15"/>
          <w:szCs w:val="15"/>
          <w:b w:val="1"/>
          <w:bCs w:val="1"/>
          <w:color w:val="auto"/>
        </w:rPr>
        <w:t>Conversion Agent</w:t>
      </w:r>
      <w:r>
        <w:rPr>
          <w:rFonts w:ascii="Arial" w:cs="Arial" w:eastAsia="Arial" w:hAnsi="Arial"/>
          <w:sz w:val="15"/>
          <w:szCs w:val="15"/>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153" w:lineRule="exact"/>
        <w:rPr>
          <w:sz w:val="20"/>
          <w:szCs w:val="20"/>
          <w:color w:val="auto"/>
        </w:rPr>
      </w:pPr>
    </w:p>
    <w:p>
      <w:pPr>
        <w:ind w:right="360" w:firstLine="457"/>
        <w:spacing w:after="0" w:line="312" w:lineRule="auto"/>
        <w:rPr>
          <w:sz w:val="20"/>
          <w:szCs w:val="20"/>
          <w:color w:val="auto"/>
        </w:rPr>
      </w:pPr>
      <w:r>
        <w:rPr>
          <w:rFonts w:ascii="Arial" w:cs="Arial" w:eastAsia="Arial" w:hAnsi="Arial"/>
          <w:sz w:val="15"/>
          <w:szCs w:val="15"/>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designation or rescission shall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 The terms “</w:t>
      </w:r>
      <w:r>
        <w:rPr>
          <w:rFonts w:ascii="Arial" w:cs="Arial" w:eastAsia="Arial" w:hAnsi="Arial"/>
          <w:sz w:val="15"/>
          <w:szCs w:val="15"/>
          <w:b w:val="1"/>
          <w:bCs w:val="1"/>
          <w:color w:val="auto"/>
        </w:rPr>
        <w:t>Paying Agent</w:t>
      </w:r>
      <w:r>
        <w:rPr>
          <w:rFonts w:ascii="Arial" w:cs="Arial" w:eastAsia="Arial" w:hAnsi="Arial"/>
          <w:sz w:val="15"/>
          <w:szCs w:val="15"/>
          <w:color w:val="auto"/>
        </w:rPr>
        <w:t>” and “</w:t>
      </w:r>
      <w:r>
        <w:rPr>
          <w:rFonts w:ascii="Arial" w:cs="Arial" w:eastAsia="Arial" w:hAnsi="Arial"/>
          <w:sz w:val="15"/>
          <w:szCs w:val="15"/>
          <w:b w:val="1"/>
          <w:bCs w:val="1"/>
          <w:color w:val="auto"/>
        </w:rPr>
        <w:t>Conversion Agent</w:t>
      </w:r>
      <w:r>
        <w:rPr>
          <w:rFonts w:ascii="Arial" w:cs="Arial" w:eastAsia="Arial" w:hAnsi="Arial"/>
          <w:sz w:val="15"/>
          <w:szCs w:val="15"/>
          <w:color w:val="auto"/>
        </w:rPr>
        <w:t>” include any such additional or other offices or agencies, as applicable.</w:t>
      </w:r>
    </w:p>
    <w:p>
      <w:pPr>
        <w:spacing w:after="0" w:line="152" w:lineRule="exact"/>
        <w:rPr>
          <w:sz w:val="20"/>
          <w:szCs w:val="20"/>
          <w:color w:val="auto"/>
        </w:rPr>
      </w:pPr>
    </w:p>
    <w:p>
      <w:pPr>
        <w:ind w:right="100" w:firstLine="457"/>
        <w:spacing w:after="0" w:line="255" w:lineRule="auto"/>
        <w:rPr>
          <w:sz w:val="20"/>
          <w:szCs w:val="20"/>
          <w:color w:val="auto"/>
        </w:rPr>
      </w:pPr>
      <w:r>
        <w:rPr>
          <w:rFonts w:ascii="Arial" w:cs="Arial" w:eastAsia="Arial" w:hAnsi="Arial"/>
          <w:sz w:val="18"/>
          <w:szCs w:val="18"/>
          <w:color w:val="auto"/>
        </w:rPr>
        <w:t>The Company hereby initially designates the Trustee as the Paying Agent, Note Registrar, Custodian and Conversion Agent and the Corporate Trust Office and the office or agency of the Trustee in the Borough of Manhattan, The City of New York, each shall be considered as one such office or agency of the Company for each of the aforesaid purposes.</w:t>
      </w:r>
    </w:p>
    <w:p>
      <w:pPr>
        <w:spacing w:after="0" w:line="189" w:lineRule="exact"/>
        <w:rPr>
          <w:sz w:val="20"/>
          <w:szCs w:val="20"/>
          <w:color w:val="auto"/>
        </w:rPr>
      </w:pPr>
    </w:p>
    <w:p>
      <w:pPr>
        <w:ind w:right="20" w:firstLine="457"/>
        <w:spacing w:after="0" w:line="265"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Appointments to Fill Vacancies in Trustee’s Office.</w:t>
      </w:r>
      <w:r>
        <w:rPr>
          <w:rFonts w:ascii="Arial" w:cs="Arial" w:eastAsia="Arial" w:hAnsi="Arial"/>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79" w:lineRule="exact"/>
        <w:rPr>
          <w:sz w:val="20"/>
          <w:szCs w:val="20"/>
          <w:color w:val="auto"/>
        </w:rPr>
      </w:pPr>
    </w:p>
    <w:p>
      <w:pPr>
        <w:ind w:right="40" w:firstLine="457"/>
        <w:spacing w:after="0" w:line="366" w:lineRule="auto"/>
        <w:rPr>
          <w:sz w:val="20"/>
          <w:szCs w:val="20"/>
          <w:color w:val="auto"/>
        </w:rPr>
      </w:pPr>
      <w:r>
        <w:rPr>
          <w:rFonts w:ascii="Arial" w:cs="Arial" w:eastAsia="Arial" w:hAnsi="Arial"/>
          <w:sz w:val="15"/>
          <w:szCs w:val="15"/>
          <w:color w:val="auto"/>
        </w:rPr>
        <w:t>Section 4.04</w:t>
      </w:r>
      <w:r>
        <w:rPr>
          <w:rFonts w:ascii="Arial" w:cs="Arial" w:eastAsia="Arial" w:hAnsi="Arial"/>
          <w:sz w:val="15"/>
          <w:szCs w:val="15"/>
          <w:i w:val="1"/>
          <w:iCs w:val="1"/>
          <w:color w:val="auto"/>
        </w:rPr>
        <w:t>. Provisions as to Paying Agent.</w:t>
      </w:r>
      <w:r>
        <w:rPr>
          <w:rFonts w:ascii="Arial" w:cs="Arial" w:eastAsia="Arial" w:hAnsi="Arial"/>
          <w:sz w:val="15"/>
          <w:szCs w:val="15"/>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4" w:lineRule="exact"/>
        <w:rPr>
          <w:sz w:val="20"/>
          <w:szCs w:val="20"/>
          <w:color w:val="auto"/>
        </w:rPr>
      </w:pPr>
    </w:p>
    <w:p>
      <w:pPr>
        <w:ind w:left="460" w:right="20" w:firstLine="441"/>
        <w:spacing w:after="0" w:line="265" w:lineRule="auto"/>
        <w:tabs>
          <w:tab w:leader="none" w:pos="11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the Fundamental Change Repurchase Price, if applicable, of, and accrued and unpaid interest on, the Notes in trust for the benefit of the Holders of the Notes;</w:t>
      </w:r>
    </w:p>
    <w:p>
      <w:pPr>
        <w:spacing w:after="0" w:line="73" w:lineRule="exact"/>
        <w:rPr>
          <w:rFonts w:ascii="Arial" w:cs="Arial" w:eastAsia="Arial" w:hAnsi="Arial"/>
          <w:sz w:val="18"/>
          <w:szCs w:val="18"/>
          <w:color w:val="auto"/>
        </w:rPr>
      </w:pPr>
    </w:p>
    <w:p>
      <w:pPr>
        <w:ind w:left="460" w:right="360" w:firstLine="441"/>
        <w:spacing w:after="0" w:line="294" w:lineRule="auto"/>
        <w:tabs>
          <w:tab w:leader="none" w:pos="115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that it will give the Trustee prompt notice of any failure by the Company to make any payment of the principal of, the Fundamental Change Repurchase Price, if applicable, of, and accrued and unpaid interest on, the Notes when the same shall be due and payable; and</w:t>
      </w:r>
    </w:p>
    <w:p>
      <w:pPr>
        <w:spacing w:after="0" w:line="51" w:lineRule="exact"/>
        <w:rPr>
          <w:rFonts w:ascii="Arial" w:cs="Arial" w:eastAsia="Arial" w:hAnsi="Arial"/>
          <w:sz w:val="17"/>
          <w:szCs w:val="17"/>
          <w:color w:val="auto"/>
        </w:rPr>
      </w:pPr>
    </w:p>
    <w:p>
      <w:pPr>
        <w:ind w:left="1220" w:hanging="319"/>
        <w:spacing w:after="0"/>
        <w:tabs>
          <w:tab w:leader="none" w:pos="1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that at any time during the continuance of an Event of Default, upon request of the Trustee, it will forthwith pay to the Trustee all sums so held</w:t>
      </w:r>
    </w:p>
    <w:p>
      <w:pPr>
        <w:spacing w:after="0" w:line="5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in trust.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3" w:right="259" w:bottom="1440" w:gutter="0" w:footer="0" w:header="0"/>
        </w:sectPr>
      </w:pPr>
    </w:p>
    <w:bookmarkStart w:id="36" w:name="page37"/>
    <w:bookmarkEnd w:id="36"/>
    <w:p>
      <w:pPr>
        <w:ind w:right="60" w:firstLine="457"/>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Company shall, on or before each due date of the principal of, the Fundamental Change Repurchase Price, if applicable, of, or accrued and unpaid interest on, the Notes, deposit with the Paying Agent a sum sufficient to pay such principal, the Fundamental Change Repurchase Price, if applicable, or accrued and unpaid interest, and (unless such Paying Agent is the Trustee) the Company will promptly notify the Trustee of any failure to take such action; provided that if such deposit is made on the due date, such deposit must be received by the Paying Agent by 11:00 a.m., New York City time, on such date.</w:t>
      </w:r>
    </w:p>
    <w:p>
      <w:pPr>
        <w:spacing w:after="0" w:line="147" w:lineRule="exact"/>
        <w:rPr>
          <w:sz w:val="20"/>
          <w:szCs w:val="20"/>
          <w:color w:val="auto"/>
        </w:rPr>
      </w:pPr>
    </w:p>
    <w:p>
      <w:pPr>
        <w:ind w:right="100" w:firstLine="463"/>
        <w:spacing w:after="0" w:line="312" w:lineRule="auto"/>
        <w:tabs>
          <w:tab w:leader="none" w:pos="707"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the Company shall act as its own Paying Agent, it will, on or before each due date of the principal of, the Fundamental Change Repurchase Price, if applicable, of, and accrued and unpaid interest on, the Notes, set aside, segregate and hold in trust for the benefit of the Holders of the Notes a sum sufficient to pay such principal, the Fundamental Change Repurchase Price, if applicable, and accrued and unpaid interest so becoming due and will promptly notify the Trustee in writing of any failure to take such action and of any failure by the Company to make any payment of the principal of, the Fundamental Change Repurchase Price, if applicable, of, or accrued and unpaid interest on, the Notes when the same shall become due and payable.</w:t>
      </w:r>
    </w:p>
    <w:p>
      <w:pPr>
        <w:spacing w:after="0" w:line="151" w:lineRule="exact"/>
        <w:rPr>
          <w:rFonts w:ascii="Arial" w:cs="Arial" w:eastAsia="Arial" w:hAnsi="Arial"/>
          <w:sz w:val="15"/>
          <w:szCs w:val="15"/>
          <w:color w:val="auto"/>
        </w:rPr>
      </w:pPr>
    </w:p>
    <w:p>
      <w:pPr>
        <w:ind w:right="80" w:firstLine="463"/>
        <w:spacing w:after="0" w:line="250" w:lineRule="auto"/>
        <w:tabs>
          <w:tab w:leader="none" w:pos="6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94" w:lineRule="exact"/>
        <w:rPr>
          <w:rFonts w:ascii="Arial" w:cs="Arial" w:eastAsia="Arial" w:hAnsi="Arial"/>
          <w:sz w:val="18"/>
          <w:szCs w:val="18"/>
          <w:color w:val="auto"/>
        </w:rPr>
      </w:pPr>
    </w:p>
    <w:p>
      <w:pPr>
        <w:ind w:firstLine="463"/>
        <w:spacing w:after="0" w:line="303" w:lineRule="auto"/>
        <w:tabs>
          <w:tab w:leader="none" w:pos="707"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money and shares of Common Stock deposited with the Trustee or any Paying Agent, or then held by the Company, in trust for the payment of the principal of, the Fundamental Change Repurchase Price, if applicable, of, and accrued and unpaid interest on, any Note and remaining unclaimed for two years after such principal, the Fundamental Change Repurchase Price, if applicable, or interest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and shares of Common Stock remains unclaimed and that, after a date specified therein, which shall not be less than 30 days from the date of such publication, any unclaimed balance of such money and shares of Common Stock then remaining will be repaid or delivered to the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3" w:right="239" w:bottom="1440" w:gutter="0" w:footer="0" w:header="0"/>
        </w:sectPr>
      </w:pPr>
    </w:p>
    <w:bookmarkStart w:id="37" w:name="page38"/>
    <w:bookmarkEnd w:id="37"/>
    <w:p>
      <w:pPr>
        <w:ind w:right="20" w:firstLine="457"/>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4.05. </w:t>
      </w:r>
      <w:r>
        <w:rPr>
          <w:rFonts w:ascii="Arial" w:cs="Arial" w:eastAsia="Arial" w:hAnsi="Arial"/>
          <w:sz w:val="18"/>
          <w:szCs w:val="18"/>
          <w:i w:val="1"/>
          <w:iCs w:val="1"/>
          <w:color w:val="auto"/>
        </w:rPr>
        <w:t>Existence</w:t>
      </w:r>
      <w:r>
        <w:rPr>
          <w:rFonts w:ascii="Arial" w:cs="Arial" w:eastAsia="Arial" w:hAnsi="Arial"/>
          <w:sz w:val="18"/>
          <w:szCs w:val="18"/>
          <w:color w:val="auto"/>
        </w:rPr>
        <w:t>. Subject to Article 11, the Company will do or cause to be done all things necessary to preserve and keep in full force and effect its corporate existence.</w:t>
      </w:r>
    </w:p>
    <w:p>
      <w:pPr>
        <w:spacing w:after="0" w:line="179"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Rule 144A Information Requirement and Annual Reports</w:t>
      </w:r>
      <w:r>
        <w:rPr>
          <w:rFonts w:ascii="Arial" w:cs="Arial" w:eastAsia="Arial" w:hAnsi="Arial"/>
          <w:sz w:val="17"/>
          <w:szCs w:val="17"/>
          <w:color w:val="auto"/>
        </w:rPr>
        <w:t>. (a) At any time the Company is not subject to Sections 13 or 15(d) of the Exchange Act, the Company shall, so long as any of the Notes or any shares of Common Stock issued upon conversion thereof shall, at such time, constitute “restricted securities” within the meaning of Rule 144(a)(3) under the Securities Act, promptly provide to any Holder, beneficial owner or prospective purchaser of such Notes or any such shares, upon written request, the information required to be delivered pursuant to Rule 144A(d)(4) under the Securities Act (or any other provision of Rule 144A, as such rule may be amended from time to time), to facilitate the resale of such Notes or shares of Common Stock pursuant to Rule 144A under the Securities Act, as such rule may be amended from time to time.</w:t>
      </w:r>
    </w:p>
    <w:p>
      <w:pPr>
        <w:spacing w:after="0" w:line="180" w:lineRule="exact"/>
        <w:rPr>
          <w:sz w:val="20"/>
          <w:szCs w:val="20"/>
          <w:color w:val="auto"/>
        </w:rPr>
      </w:pPr>
    </w:p>
    <w:p>
      <w:pPr>
        <w:ind w:right="240" w:firstLine="463"/>
        <w:spacing w:after="0" w:line="318" w:lineRule="auto"/>
        <w:tabs>
          <w:tab w:leader="none" w:pos="707"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Company shall file with the Trustee within 15 days after the same are required to be filed with the Commission, copies of any documents or reports that the Company is required to file with the Commission pursuant to Section 13 or 15(d) of the Exchange Act (giving effect to any grace period provided by Rule 12b-25 under the Exchange Act). Any such document or report that the Company files with the Commission via the Commission’s EDGAR system shall be deemed to be filed with the Trustee for purposes of this Section 4.06(b) at the time such documents are filed via the EDGAR system.</w:t>
      </w:r>
    </w:p>
    <w:p>
      <w:pPr>
        <w:spacing w:after="0" w:line="146" w:lineRule="exact"/>
        <w:rPr>
          <w:rFonts w:ascii="Arial" w:cs="Arial" w:eastAsia="Arial" w:hAnsi="Arial"/>
          <w:sz w:val="15"/>
          <w:szCs w:val="15"/>
          <w:color w:val="auto"/>
        </w:rPr>
      </w:pPr>
    </w:p>
    <w:p>
      <w:pPr>
        <w:ind w:right="140" w:firstLine="463"/>
        <w:spacing w:after="0" w:line="267" w:lineRule="auto"/>
        <w:tabs>
          <w:tab w:leader="none" w:pos="6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Delivery of the reports and documents described in subsection (b)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not be obligated to monitor or confirm, on a continuing basis or otherwise, the Company’s compliance with the covenants or with respect to any reports or other documents filed with the Commission or website under this Indenture, or participate in any conference calls. Delivery of reports to the Trustee shall not constitute knowledge of, or notice to, the Trustee of the information contained therein.</w:t>
      </w:r>
    </w:p>
    <w:p>
      <w:pPr>
        <w:spacing w:after="0" w:line="180" w:lineRule="exact"/>
        <w:rPr>
          <w:rFonts w:ascii="Arial" w:cs="Arial" w:eastAsia="Arial" w:hAnsi="Arial"/>
          <w:sz w:val="17"/>
          <w:szCs w:val="17"/>
          <w:color w:val="auto"/>
        </w:rPr>
      </w:pPr>
    </w:p>
    <w:p>
      <w:pPr>
        <w:ind w:firstLine="463"/>
        <w:spacing w:after="0" w:line="299" w:lineRule="auto"/>
        <w:tabs>
          <w:tab w:leader="none" w:pos="707" w:val="left"/>
        </w:tabs>
        <w:numPr>
          <w:ilvl w:val="1"/>
          <w:numId w:val="23"/>
        </w:numPr>
        <w:rPr>
          <w:rFonts w:ascii="Arial" w:cs="Arial" w:eastAsia="Arial" w:hAnsi="Arial"/>
          <w:sz w:val="15"/>
          <w:szCs w:val="15"/>
          <w:color w:val="auto"/>
        </w:rPr>
      </w:pPr>
      <w:r>
        <w:rPr>
          <w:rFonts w:ascii="Arial" w:cs="Arial" w:eastAsia="Arial" w:hAnsi="Arial"/>
          <w:sz w:val="15"/>
          <w:szCs w:val="15"/>
          <w:color w:val="auto"/>
        </w:rPr>
        <w:t>If (i) at any time during the six-month period beginning on, and including, the date that is six months after the last date of original issuance of the Notes, (x) the Company fails to timely file any document or report that it is required to file with the Commission pursuant to Section 13 or 15(d) of the Exchange Act, as applicable (after giving effect to all applicable grace periods thereunder and other than reports on Form 8-K) or (y) the Notes are not otherwise freely tradable by Holders other than the Company’s Affiliates (as a result of restrictions pursuant to U.S. securities law or the terms of this Indenture or the Notes), or</w:t>
      </w:r>
    </w:p>
    <w:p>
      <w:pPr>
        <w:jc w:val="both"/>
        <w:ind w:right="100" w:firstLine="6"/>
        <w:spacing w:after="0" w:line="248"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the 365th day after the last date of original issuance of the Notes offered hereby, the restrictive legend on the Notes specified in Section 2.05(c) has not been removed, the Notes are assigned a restricted CUSIP or the Notes are not otherwise freely tradable by Holders other than the Company’s Affiliates (without restrictions pursuant to U.S. securities law or the terms of this Indenture or the Notes)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3" w:right="239" w:bottom="1440" w:gutter="0" w:footer="0" w:header="0"/>
        </w:sectPr>
      </w:pPr>
    </w:p>
    <w:bookmarkStart w:id="38" w:name="page39"/>
    <w:bookmarkEnd w:id="38"/>
    <w:p>
      <w:pPr>
        <w:ind w:right="2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such event referred to in clause (i) or clause (ii) above, a “</w:t>
      </w:r>
      <w:r>
        <w:rPr>
          <w:rFonts w:ascii="Arial" w:cs="Arial" w:eastAsia="Arial" w:hAnsi="Arial"/>
          <w:sz w:val="17"/>
          <w:szCs w:val="17"/>
          <w:b w:val="1"/>
          <w:bCs w:val="1"/>
          <w:color w:val="auto"/>
        </w:rPr>
        <w:t>Restricted Transfer Default</w:t>
      </w:r>
      <w:r>
        <w:rPr>
          <w:rFonts w:ascii="Arial" w:cs="Arial" w:eastAsia="Arial" w:hAnsi="Arial"/>
          <w:sz w:val="17"/>
          <w:szCs w:val="17"/>
          <w:color w:val="auto"/>
        </w:rPr>
        <w:t>”), and, in either case, the Company has not cured any such Restricted Transfer Default by the date that is 14 calendar days following the occurrence of such Restricted Transfer Default (the “</w:t>
      </w:r>
      <w:r>
        <w:rPr>
          <w:rFonts w:ascii="Arial" w:cs="Arial" w:eastAsia="Arial" w:hAnsi="Arial"/>
          <w:sz w:val="17"/>
          <w:szCs w:val="17"/>
          <w:b w:val="1"/>
          <w:bCs w:val="1"/>
          <w:color w:val="auto"/>
        </w:rPr>
        <w:t>Restricted 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Triggering Date</w:t>
      </w:r>
      <w:r>
        <w:rPr>
          <w:rFonts w:ascii="Arial" w:cs="Arial" w:eastAsia="Arial" w:hAnsi="Arial"/>
          <w:sz w:val="17"/>
          <w:szCs w:val="17"/>
          <w:color w:val="auto"/>
        </w:rPr>
        <w:t>”), then the Company shall pay Additional Interest in cash on the Notes. Additional Interest shall accrue on the Notes at the rate of 0.25% per</w:t>
      </w:r>
      <w:r>
        <w:rPr>
          <w:rFonts w:ascii="Arial" w:cs="Arial" w:eastAsia="Arial" w:hAnsi="Arial"/>
          <w:sz w:val="17"/>
          <w:szCs w:val="17"/>
          <w:b w:val="1"/>
          <w:bCs w:val="1"/>
          <w:color w:val="auto"/>
        </w:rPr>
        <w:t xml:space="preserve"> </w:t>
      </w:r>
      <w:r>
        <w:rPr>
          <w:rFonts w:ascii="Arial" w:cs="Arial" w:eastAsia="Arial" w:hAnsi="Arial"/>
          <w:sz w:val="17"/>
          <w:szCs w:val="17"/>
          <w:color w:val="auto"/>
        </w:rPr>
        <w:t>annum of the principal amount of Notes outstanding for the first 90 days for which the Restricted Transfer Default has occurred and is continuing after the Restricted Transfer Triggering Date and thereafter will accrue at the rate of 0.50% per annum of the principal amount of Notes outstanding for which the Restricted Transfer Default has occurred and is continuing after the Restricted Transfer Triggering Date.</w:t>
      </w:r>
    </w:p>
    <w:p>
      <w:pPr>
        <w:spacing w:after="0" w:line="181"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Notwithstanding the foregoing, if, as of the 365th day after the last date of original issuance of the Notes offered hereby, the restrictive legend on the Notes specified in Section 2.05(c) has not been removed or the Notes are not otherwise freely tradable by Holders other than the Company’s Affiliates (without restrictions pursuant to U.S. securities law or the terms of this Indenture or the Notes), the Company may elect to designate an effective shelf registration statement for the resale of the Notes or any Common Stock issuable upon conversion of the Notes. Additional Interest shall not accrue for each day following the Restricted Transfer Triggering Date on which such registration statement remains effective and usable by Holders for the resale of the Notes or any Common Stock issuable upon conversion of the Notes. Any such registration shall be effected on terms customary for convertible notes generally offered in reliance upon Rule 144A under the Securities Act.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Additional Interest will be payable in arrears on each Interest Payment Date following accrual in the same manner as regular interest on the Notes.</w:t>
      </w:r>
    </w:p>
    <w:p>
      <w:pPr>
        <w:spacing w:after="0" w:line="252" w:lineRule="exact"/>
        <w:rPr>
          <w:sz w:val="20"/>
          <w:szCs w:val="20"/>
          <w:color w:val="auto"/>
        </w:rPr>
      </w:pPr>
    </w:p>
    <w:p>
      <w:pPr>
        <w:ind w:right="40" w:firstLine="463"/>
        <w:spacing w:after="0" w:line="252" w:lineRule="auto"/>
        <w:tabs>
          <w:tab w:leader="none" w:pos="6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Additional Interest that is payable in accordance with Section 4.06(d) shall be in addition to, and not in lieu of, any Additional Interest that may be payable as a result of the Company’s election pursuant to Section 6.03; provided, however, that in no event will Additional Interest accrue at a rate per year exceeding 0.50% in the aggregate during the period beginning on, and including, the date that is six months after the last date of original issuance of the Notes through the date that is 365 days after the last date of original issuance of the Notes.</w:t>
      </w:r>
    </w:p>
    <w:p>
      <w:pPr>
        <w:spacing w:after="0" w:line="191" w:lineRule="exact"/>
        <w:rPr>
          <w:rFonts w:ascii="Arial" w:cs="Arial" w:eastAsia="Arial" w:hAnsi="Arial"/>
          <w:sz w:val="18"/>
          <w:szCs w:val="18"/>
          <w:color w:val="auto"/>
        </w:rPr>
      </w:pPr>
    </w:p>
    <w:p>
      <w:pPr>
        <w:ind w:right="220" w:firstLine="463"/>
        <w:spacing w:after="0" w:line="269" w:lineRule="auto"/>
        <w:tabs>
          <w:tab w:leader="none" w:pos="67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Additional Interest is payable by the Company pursuant to Section 4.06(d), the Company shall deliver to the Trustee an Officers’ Certificate (upon which the Trustee may rely conclusively)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77"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covenants that for the period of time during which Notes are outstanding, the Company shall not violate, whether or not the Company is subject to, Section 18(a)(1)(A) as modified by Section 61(a)(1)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or any successor provisions thereto of the Investment Company Act, but giving effect to any exemptive relief that may be granted to the Company by the Commission.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7" w:right="239" w:bottom="1440" w:gutter="0" w:footer="0" w:header="0"/>
        </w:sectPr>
      </w:pPr>
    </w:p>
    <w:bookmarkStart w:id="39" w:name="page40"/>
    <w:bookmarkEnd w:id="39"/>
    <w:p>
      <w:pPr>
        <w:ind w:right="40" w:firstLine="457"/>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4.08. </w:t>
      </w:r>
      <w:r>
        <w:rPr>
          <w:rFonts w:ascii="Arial" w:cs="Arial" w:eastAsia="Arial" w:hAnsi="Arial"/>
          <w:sz w:val="15"/>
          <w:szCs w:val="15"/>
          <w:i w:val="1"/>
          <w:iCs w:val="1"/>
          <w:color w:val="auto"/>
        </w:rPr>
        <w:t>Stay, Extension and Usury Laws</w:t>
      </w:r>
      <w:r>
        <w:rPr>
          <w:rFonts w:ascii="Arial" w:cs="Arial" w:eastAsia="Arial" w:hAnsi="Arial"/>
          <w:sz w:val="15"/>
          <w:szCs w:val="15"/>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53"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Statement as to Compliance</w:t>
      </w:r>
      <w:r>
        <w:rPr>
          <w:rFonts w:ascii="Arial" w:cs="Arial" w:eastAsia="Arial" w:hAnsi="Arial"/>
          <w:sz w:val="18"/>
          <w:szCs w:val="18"/>
          <w:color w:val="auto"/>
        </w:rPr>
        <w:t>. The Company will deliver to the Trustee, within 120 days after the end of each fiscal year ending after the date hereof so long as any Note is outstanding hereunder, an Officers’ Certificate stating to the knowledge of the signers thereof whether the Company is in default in the performance of any of the terms, provisions or conditions of this Indenture. For purposes of this Section 4.09, such default shall be determined without regard to any period of grace or requirement of notice under this Indenture.</w:t>
      </w:r>
    </w:p>
    <w:p>
      <w:pPr>
        <w:spacing w:after="0" w:line="191" w:lineRule="exact"/>
        <w:rPr>
          <w:sz w:val="20"/>
          <w:szCs w:val="20"/>
          <w:color w:val="auto"/>
        </w:rPr>
      </w:pPr>
    </w:p>
    <w:p>
      <w:pPr>
        <w:ind w:right="400" w:firstLine="457"/>
        <w:spacing w:after="0" w:line="294"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i w:val="1"/>
          <w:iCs w:val="1"/>
          <w:color w:val="auto"/>
        </w:rPr>
        <w:t>Further Instruments and Acts</w:t>
      </w:r>
      <w:r>
        <w:rPr>
          <w:rFonts w:ascii="Arial" w:cs="Arial" w:eastAsia="Arial" w:hAnsi="Arial"/>
          <w:sz w:val="17"/>
          <w:szCs w:val="17"/>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ISTS OF</w:t>
      </w:r>
      <w:r>
        <w:rPr>
          <w:rFonts w:ascii="Arial" w:cs="Arial" w:eastAsia="Arial" w:hAnsi="Arial"/>
          <w:sz w:val="18"/>
          <w:szCs w:val="18"/>
          <w:color w:val="auto"/>
        </w:rPr>
        <w:t xml:space="preserve"> H</w:t>
      </w:r>
      <w:r>
        <w:rPr>
          <w:rFonts w:ascii="Arial" w:cs="Arial" w:eastAsia="Arial" w:hAnsi="Arial"/>
          <w:sz w:val="14"/>
          <w:szCs w:val="14"/>
          <w:color w:val="auto"/>
        </w:rPr>
        <w:t>OLDERS AND</w:t>
      </w:r>
      <w:r>
        <w:rPr>
          <w:rFonts w:ascii="Arial" w:cs="Arial" w:eastAsia="Arial" w:hAnsi="Arial"/>
          <w:sz w:val="18"/>
          <w:szCs w:val="18"/>
          <w:color w:val="auto"/>
        </w:rPr>
        <w:t xml:space="preserve"> R</w:t>
      </w:r>
      <w:r>
        <w:rPr>
          <w:rFonts w:ascii="Arial" w:cs="Arial" w:eastAsia="Arial" w:hAnsi="Arial"/>
          <w:sz w:val="14"/>
          <w:szCs w:val="14"/>
          <w:color w:val="auto"/>
        </w:rPr>
        <w:t>EPORTS BY THE</w:t>
      </w:r>
      <w:r>
        <w:rPr>
          <w:rFonts w:ascii="Arial" w:cs="Arial" w:eastAsia="Arial" w:hAnsi="Arial"/>
          <w:sz w:val="18"/>
          <w:szCs w:val="18"/>
          <w:color w:val="auto"/>
        </w:rPr>
        <w:t xml:space="preserve"> C</w:t>
      </w:r>
      <w:r>
        <w:rPr>
          <w:rFonts w:ascii="Arial" w:cs="Arial" w:eastAsia="Arial" w:hAnsi="Arial"/>
          <w:sz w:val="14"/>
          <w:szCs w:val="14"/>
          <w:color w:val="auto"/>
        </w:rPr>
        <w:t>OMPANY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206" w:lineRule="exact"/>
        <w:rPr>
          <w:sz w:val="20"/>
          <w:szCs w:val="20"/>
          <w:color w:val="auto"/>
        </w:rPr>
      </w:pPr>
    </w:p>
    <w:p>
      <w:pPr>
        <w:ind w:firstLine="457"/>
        <w:spacing w:after="0" w:line="309" w:lineRule="auto"/>
        <w:rPr>
          <w:sz w:val="20"/>
          <w:szCs w:val="20"/>
          <w:color w:val="auto"/>
        </w:rPr>
      </w:pPr>
      <w:r>
        <w:rPr>
          <w:rFonts w:ascii="Arial" w:cs="Arial" w:eastAsia="Arial" w:hAnsi="Arial"/>
          <w:sz w:val="15"/>
          <w:szCs w:val="15"/>
          <w:color w:val="auto"/>
        </w:rPr>
        <w:t xml:space="preserve">Section 5.01. </w:t>
      </w:r>
      <w:r>
        <w:rPr>
          <w:rFonts w:ascii="Arial" w:cs="Arial" w:eastAsia="Arial" w:hAnsi="Arial"/>
          <w:sz w:val="15"/>
          <w:szCs w:val="15"/>
          <w:i w:val="1"/>
          <w:iCs w:val="1"/>
          <w:color w:val="auto"/>
        </w:rPr>
        <w:t>Lists of Holders</w:t>
      </w:r>
      <w:r>
        <w:rPr>
          <w:rFonts w:ascii="Arial" w:cs="Arial" w:eastAsia="Arial" w:hAnsi="Arial"/>
          <w:sz w:val="15"/>
          <w:szCs w:val="15"/>
          <w:color w:val="auto"/>
        </w:rPr>
        <w:t>. The Company covenants and agrees that it will furnish or cause to be furnished to the Trustee, semi-annually, not more than 13 days after each June 1 and December 1 in each year beginning with December 1, 2014,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53" w:lineRule="exact"/>
        <w:rPr>
          <w:sz w:val="20"/>
          <w:szCs w:val="20"/>
          <w:color w:val="auto"/>
        </w:rPr>
      </w:pPr>
    </w:p>
    <w:p>
      <w:pPr>
        <w:jc w:val="both"/>
        <w:ind w:right="200" w:firstLine="457"/>
        <w:spacing w:after="0" w:line="330"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i w:val="1"/>
          <w:iCs w:val="1"/>
          <w:color w:val="auto"/>
        </w:rPr>
        <w:t>Preservation and Disclosure of Lists</w:t>
      </w:r>
      <w:r>
        <w:rPr>
          <w:rFonts w:ascii="Arial" w:cs="Arial" w:eastAsia="Arial" w:hAnsi="Arial"/>
          <w:sz w:val="15"/>
          <w:szCs w:val="15"/>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3"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The following events shall be “</w:t>
      </w:r>
      <w:r>
        <w:rPr>
          <w:rFonts w:ascii="Arial" w:cs="Arial" w:eastAsia="Arial" w:hAnsi="Arial"/>
          <w:sz w:val="18"/>
          <w:szCs w:val="18"/>
          <w:b w:val="1"/>
          <w:bCs w:val="1"/>
          <w:color w:val="auto"/>
        </w:rPr>
        <w:t>Events of Default</w:t>
      </w:r>
      <w:r>
        <w:rPr>
          <w:rFonts w:ascii="Arial" w:cs="Arial" w:eastAsia="Arial" w:hAnsi="Arial"/>
          <w:sz w:val="18"/>
          <w:szCs w:val="18"/>
          <w:color w:val="auto"/>
        </w:rPr>
        <w:t>” with respect to the Notes:</w:t>
      </w:r>
    </w:p>
    <w:p>
      <w:pPr>
        <w:spacing w:after="0" w:line="223" w:lineRule="exact"/>
        <w:rPr>
          <w:sz w:val="20"/>
          <w:szCs w:val="20"/>
          <w:color w:val="auto"/>
        </w:rPr>
      </w:pPr>
    </w:p>
    <w:p>
      <w:pPr>
        <w:ind w:left="640" w:hanging="23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any payment of interest on any Note when due and payable, and the default continues for a period of 30 days;</w:t>
      </w:r>
    </w:p>
    <w:p>
      <w:pPr>
        <w:spacing w:after="0" w:line="217" w:lineRule="exact"/>
        <w:rPr>
          <w:rFonts w:ascii="Arial" w:cs="Arial" w:eastAsia="Arial" w:hAnsi="Arial"/>
          <w:sz w:val="18"/>
          <w:szCs w:val="18"/>
          <w:color w:val="auto"/>
        </w:rPr>
      </w:pPr>
    </w:p>
    <w:p>
      <w:pPr>
        <w:ind w:left="-60" w:right="560" w:firstLine="463"/>
        <w:spacing w:after="0" w:line="265" w:lineRule="auto"/>
        <w:tabs>
          <w:tab w:leader="none" w:pos="6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on the Maturity Date, upon any required repurchase, upon declaration of acceleration or otherwise;</w:t>
      </w:r>
    </w:p>
    <w:p>
      <w:pPr>
        <w:spacing w:after="0" w:line="179" w:lineRule="exact"/>
        <w:rPr>
          <w:rFonts w:ascii="Arial" w:cs="Arial" w:eastAsia="Arial" w:hAnsi="Arial"/>
          <w:sz w:val="18"/>
          <w:szCs w:val="18"/>
          <w:color w:val="auto"/>
        </w:rPr>
      </w:pPr>
    </w:p>
    <w:p>
      <w:pPr>
        <w:ind w:left="-60" w:right="240" w:firstLine="463"/>
        <w:spacing w:after="0" w:line="265"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in accordance with this Indenture upon exercise of a Holder’s conversion right, and such default is not cured within 5 Business Days;</w:t>
      </w:r>
    </w:p>
    <w:p>
      <w:pPr>
        <w:spacing w:after="0" w:line="179" w:lineRule="exact"/>
        <w:rPr>
          <w:rFonts w:ascii="Arial" w:cs="Arial" w:eastAsia="Arial" w:hAnsi="Arial"/>
          <w:sz w:val="18"/>
          <w:szCs w:val="18"/>
          <w:color w:val="auto"/>
        </w:rPr>
      </w:pPr>
    </w:p>
    <w:p>
      <w:pPr>
        <w:ind w:left="-60" w:right="140" w:firstLine="463"/>
        <w:spacing w:after="0" w:line="265" w:lineRule="auto"/>
        <w:tabs>
          <w:tab w:leader="none" w:pos="6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the Company to issue a Fundamental Change Company Notice in accordance with Section 14.01(c) and such failure is not cured within 10 days after the due date for such notice;</w:t>
      </w:r>
    </w:p>
    <w:p>
      <w:pPr>
        <w:spacing w:after="0" w:line="179" w:lineRule="exact"/>
        <w:rPr>
          <w:rFonts w:ascii="Arial" w:cs="Arial" w:eastAsia="Arial" w:hAnsi="Arial"/>
          <w:sz w:val="18"/>
          <w:szCs w:val="18"/>
          <w:color w:val="auto"/>
        </w:rPr>
      </w:pPr>
    </w:p>
    <w:p>
      <w:pPr>
        <w:ind w:left="-60" w:right="280" w:firstLine="463"/>
        <w:spacing w:after="0" w:line="265"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the Company to issue notice of a specified corporate event in accordance with Section 13.01(b)(ii) or 13.01(b)(iii) and such failure is not cured within 10 days after the due date for such notice;</w:t>
      </w:r>
    </w:p>
    <w:p>
      <w:pPr>
        <w:spacing w:after="0" w:line="179" w:lineRule="exact"/>
        <w:rPr>
          <w:rFonts w:ascii="Arial" w:cs="Arial" w:eastAsia="Arial" w:hAnsi="Arial"/>
          <w:sz w:val="18"/>
          <w:szCs w:val="18"/>
          <w:color w:val="auto"/>
        </w:rPr>
      </w:pPr>
    </w:p>
    <w:p>
      <w:pPr>
        <w:ind w:left="-60" w:right="220" w:firstLine="463"/>
        <w:spacing w:after="0" w:line="294" w:lineRule="auto"/>
        <w:tabs>
          <w:tab w:leader="none" w:pos="617"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by the Company for 60 consecutive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57" w:lineRule="exact"/>
        <w:rPr>
          <w:rFonts w:ascii="Arial" w:cs="Arial" w:eastAsia="Arial" w:hAnsi="Arial"/>
          <w:sz w:val="17"/>
          <w:szCs w:val="17"/>
          <w:color w:val="auto"/>
        </w:rPr>
      </w:pPr>
    </w:p>
    <w:p>
      <w:pPr>
        <w:ind w:left="660" w:hanging="25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the Company to comply with the obligation set forth under Section 4.07;</w:t>
      </w:r>
    </w:p>
    <w:p>
      <w:pPr>
        <w:spacing w:after="0" w:line="217" w:lineRule="exact"/>
        <w:rPr>
          <w:rFonts w:ascii="Arial" w:cs="Arial" w:eastAsia="Arial" w:hAnsi="Arial"/>
          <w:sz w:val="18"/>
          <w:szCs w:val="18"/>
          <w:color w:val="auto"/>
        </w:rPr>
      </w:pPr>
    </w:p>
    <w:p>
      <w:pPr>
        <w:ind w:left="-60" w:firstLine="463"/>
        <w:spacing w:after="0" w:line="250" w:lineRule="auto"/>
        <w:tabs>
          <w:tab w:leader="none" w:pos="6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w:t>
      </w:r>
    </w:p>
    <w:p>
      <w:pPr>
        <w:spacing w:after="0" w:line="194" w:lineRule="exact"/>
        <w:rPr>
          <w:rFonts w:ascii="Arial" w:cs="Arial" w:eastAsia="Arial" w:hAnsi="Arial"/>
          <w:sz w:val="18"/>
          <w:szCs w:val="18"/>
          <w:color w:val="auto"/>
        </w:rPr>
      </w:pPr>
    </w:p>
    <w:p>
      <w:pPr>
        <w:ind w:left="-60" w:right="360" w:firstLine="463"/>
        <w:spacing w:after="0" w:line="277" w:lineRule="auto"/>
        <w:tabs>
          <w:tab w:leader="none" w:pos="6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final judgment for the payment of $50 million or more (excluding any amounts covered by insurance) rendered against the Company or any Significant Subsidiary of the Company, which judgment is not discharged or stayed within 60 days after (i) the date on which the right to appeal thereof has expired if no such appeal has commenced, or (ii) the date on which all rights to appeal have been extinguished;</w:t>
      </w:r>
    </w:p>
    <w:p>
      <w:pPr>
        <w:spacing w:after="0" w:line="171" w:lineRule="exact"/>
        <w:rPr>
          <w:rFonts w:ascii="Arial" w:cs="Arial" w:eastAsia="Arial" w:hAnsi="Arial"/>
          <w:sz w:val="17"/>
          <w:szCs w:val="17"/>
          <w:color w:val="auto"/>
        </w:rPr>
      </w:pPr>
    </w:p>
    <w:p>
      <w:pPr>
        <w:ind w:left="-60" w:right="240" w:firstLine="463"/>
        <w:spacing w:after="0" w:line="265" w:lineRule="auto"/>
        <w:tabs>
          <w:tab w:leader="none" w:pos="6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the Company or any Significant Subsidiary (A) shall commence a voluntary case or other proceeding seeking liquidation, reorganization or other relief with respect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300" w:top="273" w:right="279" w:bottom="1440" w:gutter="0" w:footer="0" w:header="0"/>
        </w:sectPr>
      </w:pPr>
    </w:p>
    <w:bookmarkStart w:id="41" w:name="page42"/>
    <w:bookmarkEnd w:id="41"/>
    <w:p>
      <w:pPr>
        <w:ind w:right="16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(B) shall consent to any such relief or to the appointment of or taking possession by any such official in an involuntary case or other proceeding commenced against it; or (C) shall make a general assignment for the benefit of creditors; or (ii) the Company shall admit in writing of its inability to pay its debts generally as they become due; or</w:t>
      </w:r>
    </w:p>
    <w:p>
      <w:pPr>
        <w:spacing w:after="0" w:line="195" w:lineRule="exact"/>
        <w:rPr>
          <w:sz w:val="20"/>
          <w:szCs w:val="20"/>
          <w:color w:val="auto"/>
        </w:rPr>
      </w:pPr>
    </w:p>
    <w:p>
      <w:pPr>
        <w:ind w:right="80" w:firstLine="463"/>
        <w:spacing w:after="0" w:line="318" w:lineRule="auto"/>
        <w:tabs>
          <w:tab w:leader="none" w:pos="707"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47" w:lineRule="exact"/>
        <w:rPr>
          <w:sz w:val="20"/>
          <w:szCs w:val="20"/>
          <w:color w:val="auto"/>
        </w:rPr>
      </w:pPr>
    </w:p>
    <w:p>
      <w:pPr>
        <w:ind w:right="60" w:firstLine="457"/>
        <w:spacing w:after="0" w:line="303" w:lineRule="auto"/>
        <w:rPr>
          <w:sz w:val="20"/>
          <w:szCs w:val="20"/>
          <w:color w:val="auto"/>
        </w:rPr>
      </w:pPr>
      <w:r>
        <w:rPr>
          <w:rFonts w:ascii="Arial" w:cs="Arial" w:eastAsia="Arial" w:hAnsi="Arial"/>
          <w:sz w:val="15"/>
          <w:szCs w:val="15"/>
          <w:color w:val="auto"/>
        </w:rPr>
        <w:t xml:space="preserve">Section 6.02. </w:t>
      </w:r>
      <w:r>
        <w:rPr>
          <w:rFonts w:ascii="Arial" w:cs="Arial" w:eastAsia="Arial" w:hAnsi="Arial"/>
          <w:sz w:val="15"/>
          <w:szCs w:val="15"/>
          <w:i w:val="1"/>
          <w:iCs w:val="1"/>
          <w:color w:val="auto"/>
        </w:rPr>
        <w:t>Acceleration; Rescission and Annulment</w:t>
      </w:r>
      <w:r>
        <w:rPr>
          <w:rFonts w:ascii="Arial" w:cs="Arial" w:eastAsia="Arial" w:hAnsi="Arial"/>
          <w:sz w:val="15"/>
          <w:szCs w:val="15"/>
          <w:color w:val="auto"/>
        </w:rPr>
        <w:t>. In case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6.01(j) or Section 6.01(k) with respect to the Company, but not any of its Significant Subsidiaries),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if any, on, all the Notes to be due and payable immediately, and upon any such declaration the same shall become and shall automatically be immediately due and payable, anything in this Indenture or in the Notes contained to the contrary notwithstanding. If an Event of Default specified in Section 6.01(j) or Section 6.01(k) with respect to the Company, but not any of its Significant Subsidiaries occurs and is continuing, the principal of, and accrued and unpaid interest, if any, on, all Notes shall be automatically and immediately due and payable.</w:t>
      </w:r>
    </w:p>
    <w:p>
      <w:pPr>
        <w:spacing w:after="0" w:line="156"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This provision, however, is subject to the condition that if, at any time after the principal of the Notes shall have been so declared due and payable, and before any judgment or decree for the payment of the moneys due shall have been obtained or entered as hereinafter provided, the Company shall pay or deliver, as the case may be, or shall deposit with the Trustee an amount of cash and/or shares of Common Stock sufficient to pay all matured installments of interest upon all the Notes, all amounts of consideration due upon the conversion of any and all converted Notes, and the principal of any and all Notes which shall have become due otherwise than by acceleration (with interest upon such principal and, to the extent that payment of such interest is enforceable under applicable law, on overdue installments of interest, at the rate or rates, if any, specified in the Notes to the date of such payment or deposit) and such amounts due to the Trustee pursuant to Section 7.06, and if any and all Events of Default under this Indenture, other than the nonpayment of the principal of Notes which shall have become due by acceleration,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3" w:right="239" w:bottom="1440" w:gutter="0" w:footer="0" w:header="0"/>
        </w:sectPr>
      </w:pPr>
    </w:p>
    <w:bookmarkStart w:id="42" w:name="page43"/>
    <w:bookmarkEnd w:id="42"/>
    <w:p>
      <w:pPr>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shall have been cured, waived, or otherwise remedied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accrued and unpaid interest on, any Notes, (ii) a failure to repurchase any Notes when required, (iii) a failure to pay or deliver, as the case may be, the consideration due upon conversion of the Notes or (iv) a breach of a covenant that cannot be modified or amended without the consent of each Holder pursuant to Section 10.02.</w:t>
      </w:r>
    </w:p>
    <w:p>
      <w:pPr>
        <w:spacing w:after="0" w:line="186"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i w:val="1"/>
          <w:iCs w:val="1"/>
          <w:color w:val="auto"/>
        </w:rPr>
        <w:t>Additional Interest</w:t>
      </w:r>
      <w:r>
        <w:rPr>
          <w:rFonts w:ascii="Arial" w:cs="Arial" w:eastAsia="Arial" w:hAnsi="Arial"/>
          <w:sz w:val="15"/>
          <w:szCs w:val="15"/>
          <w:color w:val="auto"/>
        </w:rPr>
        <w:t>. Notwithstanding anything in this Indenture or in the Notes to the contrary, to the extent the Company elects, the sole remedy for an Event of Default relating to the Company’s failure to comply with its obligations as set forth in Section 4.06(b) shall, after the occurrence of such an Event of Default, consist exclusively of the right to receive Additional Interest on the Notes at a rate equal to (a) 0.25% per annum of the principal amount of the Notes outstanding for each day during the 90-day period beginning on, and including, the date on which such an Event of Default first occurs and</w:t>
      </w:r>
    </w:p>
    <w:p>
      <w:pPr>
        <w:ind w:firstLine="6"/>
        <w:spacing w:after="0" w:line="263" w:lineRule="auto"/>
        <w:tabs>
          <w:tab w:leader="none" w:pos="250" w:val="left"/>
        </w:tabs>
        <w:numPr>
          <w:ilvl w:val="0"/>
          <w:numId w:val="28"/>
        </w:numPr>
        <w:rPr>
          <w:rFonts w:ascii="Arial" w:cs="Arial" w:eastAsia="Arial" w:hAnsi="Arial"/>
          <w:sz w:val="17"/>
          <w:szCs w:val="17"/>
          <w:color w:val="auto"/>
        </w:rPr>
      </w:pPr>
      <w:r>
        <w:rPr>
          <w:rFonts w:ascii="Arial" w:cs="Arial" w:eastAsia="Arial" w:hAnsi="Arial"/>
          <w:sz w:val="17"/>
          <w:szCs w:val="17"/>
          <w:color w:val="auto"/>
        </w:rPr>
        <w:t>0.50% per annum of the principal amount of the Notes outstanding for each day during the 90-day period beginning on, and including, the 91st day following, and including, the occurrence of such an Event of Default during which such Event of Default is continuing. Additional Interest payable pursuant to this Section 6.03 shall be in addition to, not in lieu of, any Additional Interest payable pursuant to Section 4.06(d); provided, however, that in no event will Additional Interest accrue at a rate per year exceeding 0.50% in the aggregate during the period beginning on, and including, the date that is six months after the last date of original issuance of the Notes through the date that is 365 days after the last date of original issuance of the Notes. If the Company so elects, such Additional Interest shall be payable in the same manner and on the same dates as regular interest on the Notes. On the 181st day after such Event of Default (if the Event of Default relating to the Company’s failure to file is not cured or waived prior to such 181st day), the Notes will be subject to acceleration as provided in Section 6.02. In the event the Company does not elect to pay Additional Interest following an Event of Default in accordance with this Section 6.03, the Notes shall be subject to acceleration as provided in Section 6.02.</w:t>
      </w:r>
    </w:p>
    <w:p>
      <w:pPr>
        <w:spacing w:after="0" w:line="182" w:lineRule="exact"/>
        <w:rPr>
          <w:sz w:val="20"/>
          <w:szCs w:val="20"/>
          <w:color w:val="auto"/>
        </w:rPr>
      </w:pPr>
    </w:p>
    <w:p>
      <w:pPr>
        <w:ind w:right="220" w:firstLine="457"/>
        <w:spacing w:after="0" w:line="252" w:lineRule="auto"/>
        <w:rPr>
          <w:sz w:val="20"/>
          <w:szCs w:val="20"/>
          <w:color w:val="auto"/>
        </w:rPr>
      </w:pPr>
      <w:r>
        <w:rPr>
          <w:rFonts w:ascii="Arial" w:cs="Arial" w:eastAsia="Arial" w:hAnsi="Arial"/>
          <w:sz w:val="18"/>
          <w:szCs w:val="18"/>
          <w:color w:val="auto"/>
        </w:rPr>
        <w:t>In order to elect to pay Additional Interest as the sole remedy during the first 180 days after the occurrence of any Event of Default described in the immediately preceding paragraph, the Company must notify in writing all Holders of the Notes, the Trustee and the Paying Agent of such election prior to the fifth Business Day of such 180-day period. Upon the failure to timely give such notice, the Notes shall be immediately subject to acceleration as provided in Section 6.02.</w:t>
      </w:r>
    </w:p>
    <w:p>
      <w:pPr>
        <w:spacing w:after="0" w:line="191" w:lineRule="exact"/>
        <w:rPr>
          <w:sz w:val="20"/>
          <w:szCs w:val="20"/>
          <w:color w:val="auto"/>
        </w:rPr>
      </w:pPr>
    </w:p>
    <w:p>
      <w:pPr>
        <w:ind w:right="280" w:firstLine="457"/>
        <w:spacing w:after="0" w:line="26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Payments of Notes on Default; Suit Therefor</w:t>
      </w:r>
      <w:r>
        <w:rPr>
          <w:rFonts w:ascii="Arial" w:cs="Arial" w:eastAsia="Arial" w:hAnsi="Arial"/>
          <w:sz w:val="18"/>
          <w:szCs w:val="18"/>
          <w:color w:val="auto"/>
        </w:rPr>
        <w:t>. If an Event of Default described in clause (a) or (b) of Section 6.01 shall have occurred, the Company shall, upon demand of the Trustee, pay or deliver, as the case may be, to it, for the benefit of the Holders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3" w:right="259" w:bottom="1440" w:gutter="0" w:footer="0" w:header="0"/>
        </w:sectPr>
      </w:pPr>
    </w:p>
    <w:bookmarkStart w:id="43" w:name="page44"/>
    <w:bookmarkEnd w:id="43"/>
    <w:p>
      <w:pPr>
        <w:ind w:right="1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Notes, the whole amount then due and payable or deliverable on the Notes (i.e., principal and interest, if any, with interest on any overdue principal and interest, if any, at the rate or rates, if any, specified in the Notes at such time) and, in addition thereto, such further amount as shall be sufficient to cover any amounts due to the Trustee under Section 7.06. If the Company shall fail to pay or deliver, as the case may be, such amounts forthwith upon such demand, the Trustee, in its own name and as trustee of an express trust, may institute a judicial proceeding for the collection of the sums and amounts so due but unpaid or not delivered, may prosecute such proceeding to judgment or final decree and may enforce the same against the Company or any other obligor upon the Notes and collect the moneys or amounts adjudged or decreed to be payable or deliverable in the manner provided by law out of the property of the Company or any other obligor upon the Notes, wherever situated. In such event, the Trustee shall be entitled to be reimbursed or indemnified for any and all amounts reasonably expended in connection therewith (including fees and expenses of counsel) in accordance with the terms of Section 7.06 hereof.</w:t>
      </w:r>
    </w:p>
    <w:p>
      <w:pPr>
        <w:spacing w:after="0" w:line="156"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reasonably documented compensation, expenses, advances and disbursements, including agents and counsel fees, and including any other amounts due to the Trustee under Section 7.06, incurred by it up to the date of such distribution. To the extent that such payment of reasonably documented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 prior to that of the Notes.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3" w:right="239" w:bottom="1440" w:gutter="0" w:footer="0" w:header="0"/>
        </w:sectPr>
      </w:pPr>
    </w:p>
    <w:bookmarkStart w:id="44" w:name="page45"/>
    <w:bookmarkEnd w:id="44"/>
    <w:p>
      <w:pPr>
        <w:ind w:right="120" w:firstLine="457"/>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the Holder or the rights of any Holder thereof, or to authorize the Trustee to vote in respect of the claim of any Holder in any such proceeding.</w:t>
      </w:r>
    </w:p>
    <w:p>
      <w:pPr>
        <w:spacing w:after="0" w:line="189" w:lineRule="exact"/>
        <w:rPr>
          <w:sz w:val="20"/>
          <w:szCs w:val="20"/>
          <w:color w:val="auto"/>
        </w:rPr>
      </w:pPr>
    </w:p>
    <w:p>
      <w:pPr>
        <w:jc w:val="both"/>
        <w:ind w:right="100" w:firstLine="457"/>
        <w:spacing w:after="0" w:line="318" w:lineRule="auto"/>
        <w:rPr>
          <w:sz w:val="20"/>
          <w:szCs w:val="20"/>
          <w:color w:val="auto"/>
        </w:rPr>
      </w:pPr>
      <w:r>
        <w:rPr>
          <w:rFonts w:ascii="Arial" w:cs="Arial" w:eastAsia="Arial" w:hAnsi="Arial"/>
          <w:sz w:val="15"/>
          <w:szCs w:val="15"/>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reasonably documented compensation, expenses, disbursements and advances of the Trustee, its agents and counsel, be for the ratable benefit of the Holders of the Notes.</w:t>
      </w:r>
    </w:p>
    <w:p>
      <w:pPr>
        <w:spacing w:after="0" w:line="147" w:lineRule="exact"/>
        <w:rPr>
          <w:sz w:val="20"/>
          <w:szCs w:val="20"/>
          <w:color w:val="auto"/>
        </w:rPr>
      </w:pPr>
    </w:p>
    <w:p>
      <w:pPr>
        <w:ind w:right="160" w:firstLine="457"/>
        <w:spacing w:after="0" w:line="255"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89" w:lineRule="exact"/>
        <w:rPr>
          <w:sz w:val="20"/>
          <w:szCs w:val="20"/>
          <w:color w:val="auto"/>
        </w:rPr>
      </w:pPr>
    </w:p>
    <w:p>
      <w:pPr>
        <w:ind w:right="160" w:firstLine="457"/>
        <w:spacing w:after="0" w:line="318" w:lineRule="auto"/>
        <w:rPr>
          <w:sz w:val="20"/>
          <w:szCs w:val="20"/>
          <w:color w:val="auto"/>
        </w:rPr>
      </w:pPr>
      <w:r>
        <w:rPr>
          <w:rFonts w:ascii="Arial" w:cs="Arial" w:eastAsia="Arial" w:hAnsi="Arial"/>
          <w:sz w:val="15"/>
          <w:szCs w:val="15"/>
          <w:color w:val="auto"/>
        </w:rPr>
        <w:t>In case the Trustee shall have proceeded to enforce any right under this Indenture and such proceedings shall have been discontinued or abandoned because of a waiver or rescission and annulment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47" w:lineRule="exact"/>
        <w:rPr>
          <w:sz w:val="20"/>
          <w:szCs w:val="20"/>
          <w:color w:val="auto"/>
        </w:rPr>
      </w:pPr>
    </w:p>
    <w:p>
      <w:pPr>
        <w:ind w:right="40" w:firstLine="457"/>
        <w:spacing w:after="0" w:line="277" w:lineRule="auto"/>
        <w:rPr>
          <w:sz w:val="20"/>
          <w:szCs w:val="20"/>
          <w:color w:val="auto"/>
        </w:rPr>
      </w:pPr>
      <w:r>
        <w:rPr>
          <w:rFonts w:ascii="Arial" w:cs="Arial" w:eastAsia="Arial" w:hAnsi="Arial"/>
          <w:sz w:val="17"/>
          <w:szCs w:val="17"/>
          <w:color w:val="auto"/>
        </w:rPr>
        <w:t>Section 6.05</w:t>
      </w:r>
      <w:r>
        <w:rPr>
          <w:rFonts w:ascii="Arial" w:cs="Arial" w:eastAsia="Arial" w:hAnsi="Arial"/>
          <w:sz w:val="17"/>
          <w:szCs w:val="17"/>
          <w:i w:val="1"/>
          <w:iCs w:val="1"/>
          <w:color w:val="auto"/>
        </w:rPr>
        <w:t>. Application of Monies Collected by Trustee.</w:t>
      </w:r>
      <w:r>
        <w:rPr>
          <w:rFonts w:ascii="Arial" w:cs="Arial" w:eastAsia="Arial" w:hAnsi="Arial"/>
          <w:sz w:val="17"/>
          <w:szCs w:val="17"/>
          <w:color w:val="auto"/>
        </w:rPr>
        <w:t xml:space="preserve"> Any monies collected by the Trustee pursuant to this Article 6 with respect to the Notes shall be applied, subject to applicable law, in the following order, at the date or dates fixed by the Trustee for the distribution of such monies, upon presentation of the several Notes, and stamping thereon the payment, if only partially paid, and upon surrender thereof, if fully paid: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under Section 7.06;</w:t>
      </w:r>
    </w:p>
    <w:p>
      <w:pPr>
        <w:spacing w:after="0" w:line="217"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Notes shall not have become due and be unpaid, to the payment of interest on, and any cash due upon</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Notes in default in the order of the due date of the payments of such interest and cash due upon conversion, as the case may be, with interest (to the extent that such interest has been collected by the Trustee) upon such overdue payments at the rate or rates, if any, specified in the Notes at such time, such payments to be made ratably to the Persons entitled thereto;</w:t>
      </w:r>
    </w:p>
    <w:p>
      <w:pPr>
        <w:spacing w:after="0" w:line="184"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in case the principal of the outstanding Notes shall have become due or, if applicable, the payment of the Fundamental Change Repurchase Price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cash due upon conversion shall have become due, by declaration or otherwise, and be unpaid to the payment of the whole amount then owing and unpaid upon the Notes for principal, interest, the Fundamental Change Repurchase Price or cash due upon conversion, if any, with interest on the overdue principal and, to the extent that such interest has been collected by the Trustee, upon overdue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3" w:right="239" w:bottom="1440" w:gutter="0" w:footer="0" w:header="0"/>
        </w:sectPr>
      </w:pPr>
    </w:p>
    <w:bookmarkStart w:id="45" w:name="page46"/>
    <w:bookmarkEnd w:id="45"/>
    <w:p>
      <w:pPr>
        <w:ind w:right="4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installments of interest at the rate or rates, if any, specified in the Notes at such time, and in case such monies shall be insufficient to pay in full the whole amounts so due and unpaid upon the Notes, then to the payment of such principal, interest, the Fundamental Change Repurchase Price or cash due upon conversion without preference or priority of any such amount over each other (including principal over interest, or of interest over principal or of any installment of interest over any other installment of interest, or of any Note over any other Note), ratably to the aggregate of such principal, accrued and unpaid interest, the Fundamental Change Repurchase Price or cash due upon conversion; and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to the payment of the remainder, if any, to the Company.</w:t>
      </w:r>
    </w:p>
    <w:p>
      <w:pPr>
        <w:spacing w:after="0" w:line="223" w:lineRule="exact"/>
        <w:rPr>
          <w:sz w:val="20"/>
          <w:szCs w:val="20"/>
          <w:color w:val="auto"/>
        </w:rPr>
      </w:pPr>
    </w:p>
    <w:p>
      <w:pPr>
        <w:ind w:firstLine="457"/>
        <w:spacing w:after="0" w:line="318" w:lineRule="auto"/>
        <w:rPr>
          <w:sz w:val="20"/>
          <w:szCs w:val="20"/>
          <w:color w:val="auto"/>
        </w:rPr>
      </w:pPr>
      <w:r>
        <w:rPr>
          <w:rFonts w:ascii="Arial" w:cs="Arial" w:eastAsia="Arial" w:hAnsi="Arial"/>
          <w:sz w:val="15"/>
          <w:szCs w:val="15"/>
          <w:color w:val="auto"/>
        </w:rPr>
        <w:t>Section 6.06</w:t>
      </w:r>
      <w:r>
        <w:rPr>
          <w:rFonts w:ascii="Arial" w:cs="Arial" w:eastAsia="Arial" w:hAnsi="Arial"/>
          <w:sz w:val="15"/>
          <w:szCs w:val="15"/>
          <w:i w:val="1"/>
          <w:iCs w:val="1"/>
          <w:color w:val="auto"/>
        </w:rPr>
        <w:t>. Proceedings by Holders.</w:t>
      </w:r>
      <w:r>
        <w:rPr>
          <w:rFonts w:ascii="Arial" w:cs="Arial" w:eastAsia="Arial" w:hAnsi="Arial"/>
          <w:sz w:val="15"/>
          <w:szCs w:val="15"/>
          <w:color w:val="auto"/>
        </w:rPr>
        <w:t xml:space="preserve"> Except to enforce the right to receive payment of principal, the Fundamental Change Repurchase Price, if applicable,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47" w:lineRule="exact"/>
        <w:rPr>
          <w:sz w:val="20"/>
          <w:szCs w:val="20"/>
          <w:color w:val="auto"/>
        </w:rPr>
      </w:pPr>
    </w:p>
    <w:p>
      <w:pPr>
        <w:ind w:left="700" w:hanging="237"/>
        <w:spacing w:after="0"/>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such Holder previously shall have given to the Trustee written notice of an Event of Default and of the continuance thereof, as hereinbefore provided;</w:t>
      </w:r>
    </w:p>
    <w:p>
      <w:pPr>
        <w:spacing w:after="0" w:line="251" w:lineRule="exact"/>
        <w:rPr>
          <w:rFonts w:ascii="Arial" w:cs="Arial" w:eastAsia="Arial" w:hAnsi="Arial"/>
          <w:sz w:val="15"/>
          <w:szCs w:val="15"/>
          <w:color w:val="auto"/>
        </w:rPr>
      </w:pPr>
    </w:p>
    <w:p>
      <w:pPr>
        <w:ind w:right="100" w:firstLine="463"/>
        <w:spacing w:after="0" w:line="265" w:lineRule="auto"/>
        <w:tabs>
          <w:tab w:leader="none" w:pos="7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79" w:lineRule="exact"/>
        <w:rPr>
          <w:rFonts w:ascii="Arial" w:cs="Arial" w:eastAsia="Arial" w:hAnsi="Arial"/>
          <w:sz w:val="18"/>
          <w:szCs w:val="18"/>
          <w:color w:val="auto"/>
        </w:rPr>
      </w:pPr>
    </w:p>
    <w:p>
      <w:pPr>
        <w:ind w:right="220" w:firstLine="463"/>
        <w:spacing w:after="0" w:line="265" w:lineRule="auto"/>
        <w:tabs>
          <w:tab w:leader="none" w:pos="6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Holders shall have offered to the Trustee such security or indemnity satisfactory to it against any costs, loss, liability or expense (including fees and expenses of its counsel) to be incurred therein or thereby;</w:t>
      </w:r>
    </w:p>
    <w:p>
      <w:pPr>
        <w:spacing w:after="0" w:line="179" w:lineRule="exact"/>
        <w:rPr>
          <w:rFonts w:ascii="Arial" w:cs="Arial" w:eastAsia="Arial" w:hAnsi="Arial"/>
          <w:sz w:val="18"/>
          <w:szCs w:val="18"/>
          <w:color w:val="auto"/>
        </w:rPr>
      </w:pPr>
    </w:p>
    <w:p>
      <w:pPr>
        <w:ind w:right="160" w:firstLine="463"/>
        <w:spacing w:after="0" w:line="265" w:lineRule="auto"/>
        <w:tabs>
          <w:tab w:leader="none" w:pos="7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shall have neglected or refused to institute any such action, suit or proceeding; and</w:t>
      </w:r>
    </w:p>
    <w:p>
      <w:pPr>
        <w:spacing w:after="0" w:line="179" w:lineRule="exact"/>
        <w:rPr>
          <w:rFonts w:ascii="Arial" w:cs="Arial" w:eastAsia="Arial" w:hAnsi="Arial"/>
          <w:sz w:val="18"/>
          <w:szCs w:val="18"/>
          <w:color w:val="auto"/>
        </w:rPr>
      </w:pPr>
    </w:p>
    <w:p>
      <w:pPr>
        <w:ind w:right="580" w:firstLine="463"/>
        <w:spacing w:after="0" w:line="265" w:lineRule="auto"/>
        <w:tabs>
          <w:tab w:leader="none" w:pos="6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direction that, in the opinion of the Trustee, is inconsistent with such written request shall have been given to the Trustee by the Holders of a majority in principal amount of the Notes outstanding within such 60-day period pursuant to Section 6.09,</w:t>
      </w:r>
    </w:p>
    <w:p>
      <w:pPr>
        <w:spacing w:after="0" w:line="179"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3" w:right="239" w:bottom="1440" w:gutter="0" w:footer="0" w:header="0"/>
        </w:sectPr>
      </w:pPr>
    </w:p>
    <w:bookmarkStart w:id="46" w:name="page47"/>
    <w:bookmarkEnd w:id="46"/>
    <w:p>
      <w:pPr>
        <w:ind w:right="20" w:firstLine="457"/>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Notwithstanding any other provision of this Indenture and any provision of any Note, the right of any Holder to receive payment or delivery, as the case may be, of (w) the principal of, (x) the Fundamental Change Repurchase Price, if applicable, of, (y) accrued and unpaid interest on, and (z) the consideration due upon conversion of, such Note, on or after the respective due dates expressed or provided for in such Note or in this Indenture, or to institute suit for the enforcement of any such payment or deliver, as the case may be, on or after such respective dates against the Company shall not be impaired or affected without the consent of such Holder.</w:t>
      </w:r>
    </w:p>
    <w:p>
      <w:pPr>
        <w:spacing w:after="0" w:line="195"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Proceedings by Trustee.</w:t>
      </w:r>
      <w:r>
        <w:rPr>
          <w:rFonts w:ascii="Arial" w:cs="Arial" w:eastAsia="Arial" w:hAnsi="Arial"/>
          <w:sz w:val="18"/>
          <w:szCs w:val="18"/>
          <w:color w:val="auto"/>
        </w:rPr>
        <w:t xml:space="preserve"> In case of an Event of Default the Trustee may in its discretion (and subject to the provisions of Section 7.01 and Section 7.06)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95"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color w:val="auto"/>
        </w:rPr>
        <w:t>Section 6.08</w:t>
      </w:r>
      <w:r>
        <w:rPr>
          <w:rFonts w:ascii="Arial" w:cs="Arial" w:eastAsia="Arial" w:hAnsi="Arial"/>
          <w:sz w:val="15"/>
          <w:szCs w:val="15"/>
          <w:i w:val="1"/>
          <w:iCs w:val="1"/>
          <w:color w:val="auto"/>
        </w:rPr>
        <w:t>. Remedies Cumulative and Continuing.</w:t>
      </w:r>
      <w:r>
        <w:rPr>
          <w:rFonts w:ascii="Arial" w:cs="Arial" w:eastAsia="Arial" w:hAnsi="Arial"/>
          <w:sz w:val="15"/>
          <w:szCs w:val="15"/>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5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Direction of Proceedings and Waiver of Defaults by Majority of Holders</w:t>
      </w:r>
      <w:r>
        <w:rPr>
          <w:rFonts w:ascii="Arial" w:cs="Arial" w:eastAsia="Arial" w:hAnsi="Arial"/>
          <w:sz w:val="17"/>
          <w:szCs w:val="17"/>
          <w:color w:val="auto"/>
        </w:rPr>
        <w:t xml:space="preserve">. The Holders of a majority in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such direction shall not be in conflict with any rule of law or with this Indenture, (b) the Trustee may take any other action deemed proper by the Trustee that is not inconsistent with such direction and (c) the Trustee may demand security or indemnity satisfactory to it in accordance with Section 7.01. The Trustee may refuse to follow any direction that it determines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of, the Notes when due that has not been cured pursuant to the provisions of Section 6.01, (ii) a failure by the Company to pay or deliver, as the case may be, the consideration due upon conversion of the Notes, (iii) a default in the payment of the Fundamental Change Repurchase Price or (iv) a default in respect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3" w:right="239" w:bottom="1440" w:gutter="0" w:footer="0" w:header="0"/>
        </w:sectPr>
      </w:pPr>
    </w:p>
    <w:bookmarkStart w:id="47" w:name="page48"/>
    <w:bookmarkEnd w:id="47"/>
    <w:p>
      <w:pPr>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97"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Section 6.10</w:t>
      </w:r>
      <w:r>
        <w:rPr>
          <w:rFonts w:ascii="Arial" w:cs="Arial" w:eastAsia="Arial" w:hAnsi="Arial"/>
          <w:sz w:val="15"/>
          <w:szCs w:val="15"/>
          <w:i w:val="1"/>
          <w:iCs w:val="1"/>
          <w:color w:val="auto"/>
        </w:rPr>
        <w:t>. Notice of Defaults.</w:t>
      </w:r>
      <w:r>
        <w:rPr>
          <w:rFonts w:ascii="Arial" w:cs="Arial" w:eastAsia="Arial" w:hAnsi="Arial"/>
          <w:sz w:val="15"/>
          <w:szCs w:val="15"/>
          <w:color w:val="auto"/>
        </w:rPr>
        <w:t xml:space="preserve"> The Trustee shall, within 90 days after the occurrence and continuance of a Default of which a Responsible Officer has actual knowledge, deliver to all Holders as the names and addresses of such Holders appear upon the Note Register, notice of all Defaults known to a Responsible Officer, unless such Defaults shall have been cured or waived before the giving of such notice;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except in the case of a Default in the payment of the principal of, or accrued and unpaid interest on, any of the Notes or a Default in the payment of the Fundamental Change Repurchase Price, if applicable, or a Default in the payment or delivery of the consideration due upon conversion, the Trustee shall be protected in withholding such notice if and so long as the Trustee in good faith determine that the withholding of such notice is in the interests of the Holders. The Trustee shall not be charged with knowledge of any fact, notice of a Default or Event of Default with respect to the Notes unless either (i) a Responsible Officer of the Trustee shall have actual knowledge of such Default or Event of Default or (ii) written notice of such fact, Default or Event or Default shall have been given by the Company or by the Holders of at least 25% of the aggregate principal amount of the Notes and received by a Responsible Officer of the Trustee and references this Indenture and the Notes.</w:t>
      </w:r>
    </w:p>
    <w:p>
      <w:pPr>
        <w:spacing w:after="0" w:line="15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Section 6.11</w:t>
      </w:r>
      <w:r>
        <w:rPr>
          <w:rFonts w:ascii="Arial" w:cs="Arial" w:eastAsia="Arial" w:hAnsi="Arial"/>
          <w:sz w:val="17"/>
          <w:szCs w:val="17"/>
          <w:i w:val="1"/>
          <w:iCs w:val="1"/>
          <w:color w:val="auto"/>
        </w:rPr>
        <w:t>. Undertaking to Pay Costs.</w:t>
      </w:r>
      <w:r>
        <w:rPr>
          <w:rFonts w:ascii="Arial" w:cs="Arial" w:eastAsia="Arial" w:hAnsi="Arial"/>
          <w:sz w:val="17"/>
          <w:szCs w:val="17"/>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this Section 6.11 (to the extent permitted by law) shall not apply to any suit instituted by the Trustee or to any suit instituted by any Holder for the enforcement of the payment of the principal of or accrued and unpaid interest, if any, on any Note (including, but not limited to, the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13.</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206" w:lineRule="exact"/>
        <w:rPr>
          <w:sz w:val="20"/>
          <w:szCs w:val="20"/>
          <w:color w:val="auto"/>
        </w:rPr>
      </w:pPr>
    </w:p>
    <w:p>
      <w:pPr>
        <w:ind w:right="480" w:firstLine="457"/>
        <w:spacing w:after="0" w:line="265"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and Responsibilities of Trustee</w:t>
      </w:r>
      <w:r>
        <w:rPr>
          <w:rFonts w:ascii="Arial" w:cs="Arial" w:eastAsia="Arial" w:hAnsi="Arial"/>
          <w:sz w:val="18"/>
          <w:szCs w:val="18"/>
          <w:color w:val="auto"/>
        </w:rPr>
        <w:t>. The Trustee, prior to the occurrence of an Event of Default and after the curing or waiver of all Events of Default that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3" w:right="259" w:bottom="1440" w:gutter="0" w:footer="0" w:header="0"/>
        </w:sectPr>
      </w:pPr>
    </w:p>
    <w:bookmarkStart w:id="48" w:name="page49"/>
    <w:bookmarkEnd w:id="48"/>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may have occurred, undertakes to perform such duties and only such duties as are specifically set forth in this Indenture, and no additional duties shall be implied or inferred. In case an Event of Default has occurred that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 under the circumstances;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 Event of Default occurs and is continuing, the Trustee will be under no obligation to exercise any of the rights or powers under this Indenture at the request or direction of any of the Holders unless such Holders have offered to the Trustee indemnity or security satisfactory to it against the costs, expenses and liabilities (including fees and expenses of its counsel) that might be incurred by it in compliance with such request or direction.</w:t>
      </w:r>
    </w:p>
    <w:p>
      <w:pPr>
        <w:spacing w:after="0" w:line="181" w:lineRule="exact"/>
        <w:rPr>
          <w:sz w:val="20"/>
          <w:szCs w:val="20"/>
          <w:color w:val="auto"/>
        </w:rPr>
      </w:pPr>
    </w:p>
    <w:p>
      <w:pPr>
        <w:ind w:right="80" w:firstLine="457"/>
        <w:spacing w:after="0" w:line="265"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79" w:lineRule="exact"/>
        <w:rPr>
          <w:sz w:val="20"/>
          <w:szCs w:val="20"/>
          <w:color w:val="auto"/>
        </w:rPr>
      </w:pPr>
    </w:p>
    <w:p>
      <w:pPr>
        <w:ind w:left="700" w:hanging="237"/>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that may have occurred:</w:t>
      </w:r>
    </w:p>
    <w:p>
      <w:pPr>
        <w:spacing w:after="0" w:line="111" w:lineRule="exact"/>
        <w:rPr>
          <w:rFonts w:ascii="Arial" w:cs="Arial" w:eastAsia="Arial" w:hAnsi="Arial"/>
          <w:sz w:val="18"/>
          <w:szCs w:val="18"/>
          <w:color w:val="auto"/>
        </w:rPr>
      </w:pPr>
    </w:p>
    <w:p>
      <w:pPr>
        <w:ind w:left="460" w:right="80" w:firstLine="441"/>
        <w:spacing w:after="0" w:line="255" w:lineRule="auto"/>
        <w:tabs>
          <w:tab w:leader="none" w:pos="11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82" w:lineRule="exact"/>
        <w:rPr>
          <w:rFonts w:ascii="Arial" w:cs="Arial" w:eastAsia="Arial" w:hAnsi="Arial"/>
          <w:sz w:val="18"/>
          <w:szCs w:val="18"/>
          <w:color w:val="auto"/>
        </w:rPr>
      </w:pPr>
    </w:p>
    <w:p>
      <w:pPr>
        <w:ind w:left="460" w:right="20" w:firstLine="441"/>
        <w:spacing w:after="0" w:line="269" w:lineRule="auto"/>
        <w:tabs>
          <w:tab w:leader="none" w:pos="1159"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77" w:lineRule="exact"/>
        <w:rPr>
          <w:rFonts w:ascii="Arial" w:cs="Arial" w:eastAsia="Arial" w:hAnsi="Arial"/>
          <w:sz w:val="17"/>
          <w:szCs w:val="17"/>
          <w:color w:val="auto"/>
        </w:rPr>
      </w:pPr>
    </w:p>
    <w:p>
      <w:pPr>
        <w:ind w:right="520" w:firstLine="463"/>
        <w:spacing w:after="0" w:line="265" w:lineRule="auto"/>
        <w:tabs>
          <w:tab w:leader="none" w:pos="7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79" w:lineRule="exact"/>
        <w:rPr>
          <w:rFonts w:ascii="Arial" w:cs="Arial" w:eastAsia="Arial" w:hAnsi="Arial"/>
          <w:sz w:val="18"/>
          <w:szCs w:val="18"/>
          <w:color w:val="auto"/>
        </w:rPr>
      </w:pPr>
    </w:p>
    <w:p>
      <w:pPr>
        <w:jc w:val="both"/>
        <w:ind w:right="40" w:firstLine="463"/>
        <w:spacing w:after="0" w:line="271" w:lineRule="auto"/>
        <w:tabs>
          <w:tab w:leader="none" w:pos="69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not less than a majority in principal amount of the Notes at the time outstanding determined as provided in Section 8.04 relating to the time, method and place of conducting any proceeding for any remedy available to the Trustee, or exercising any trust or power conferred upon the Trustee or refraining from taking any action believed in good faith to be beyond the scope of its powers, under this Indenture;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3" w:right="239" w:bottom="1440" w:gutter="0" w:footer="0" w:header="0"/>
        </w:sectPr>
      </w:pPr>
    </w:p>
    <w:bookmarkStart w:id="49" w:name="page50"/>
    <w:bookmarkEnd w:id="49"/>
    <w:p>
      <w:pPr>
        <w:ind w:right="320" w:firstLine="463"/>
        <w:spacing w:after="0" w:line="265" w:lineRule="auto"/>
        <w:tabs>
          <w:tab w:leader="none" w:pos="707"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whether or not therein provided, every provision of this Indenture relating to the conduct or affecting the liability of, or affording protection to, the Trustee shall be subject to the provisions of this Section;</w:t>
      </w:r>
    </w:p>
    <w:p>
      <w:pPr>
        <w:spacing w:after="0" w:line="179" w:lineRule="exact"/>
        <w:rPr>
          <w:rFonts w:ascii="Arial" w:cs="Arial" w:eastAsia="Arial" w:hAnsi="Arial"/>
          <w:sz w:val="18"/>
          <w:szCs w:val="18"/>
          <w:color w:val="auto"/>
        </w:rPr>
      </w:pPr>
    </w:p>
    <w:p>
      <w:pPr>
        <w:ind w:right="600" w:firstLine="463"/>
        <w:spacing w:after="0" w:line="366" w:lineRule="auto"/>
        <w:tabs>
          <w:tab w:leader="none" w:pos="69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10" w:lineRule="exact"/>
        <w:rPr>
          <w:rFonts w:ascii="Arial" w:cs="Arial" w:eastAsia="Arial" w:hAnsi="Arial"/>
          <w:sz w:val="15"/>
          <w:szCs w:val="15"/>
          <w:color w:val="auto"/>
        </w:rPr>
      </w:pPr>
    </w:p>
    <w:p>
      <w:pPr>
        <w:ind w:right="220" w:firstLine="463"/>
        <w:spacing w:after="0" w:line="255" w:lineRule="auto"/>
        <w:tabs>
          <w:tab w:leader="none" w:pos="6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such Responsible Officer of the Trustee had actual knowledge of such event;</w:t>
      </w:r>
    </w:p>
    <w:p>
      <w:pPr>
        <w:spacing w:after="0" w:line="188" w:lineRule="exact"/>
        <w:rPr>
          <w:rFonts w:ascii="Arial" w:cs="Arial" w:eastAsia="Arial" w:hAnsi="Arial"/>
          <w:sz w:val="18"/>
          <w:szCs w:val="18"/>
          <w:color w:val="auto"/>
        </w:rPr>
      </w:pPr>
    </w:p>
    <w:p>
      <w:pPr>
        <w:ind w:right="20" w:firstLine="463"/>
        <w:spacing w:after="0" w:line="269" w:lineRule="auto"/>
        <w:tabs>
          <w:tab w:leader="none" w:pos="70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77" w:lineRule="exact"/>
        <w:rPr>
          <w:rFonts w:ascii="Arial" w:cs="Arial" w:eastAsia="Arial" w:hAnsi="Arial"/>
          <w:sz w:val="17"/>
          <w:szCs w:val="17"/>
          <w:color w:val="auto"/>
        </w:rPr>
      </w:pPr>
    </w:p>
    <w:p>
      <w:pPr>
        <w:ind w:right="280" w:firstLine="463"/>
        <w:spacing w:after="0" w:line="255" w:lineRule="auto"/>
        <w:tabs>
          <w:tab w:leader="none" w:pos="7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88" w:lineRule="exact"/>
        <w:rPr>
          <w:rFonts w:ascii="Arial" w:cs="Arial" w:eastAsia="Arial" w:hAnsi="Arial"/>
          <w:sz w:val="18"/>
          <w:szCs w:val="18"/>
          <w:color w:val="auto"/>
        </w:rPr>
      </w:pPr>
    </w:p>
    <w:p>
      <w:pPr>
        <w:ind w:right="160" w:firstLine="463"/>
        <w:spacing w:after="0" w:line="255" w:lineRule="auto"/>
        <w:tabs>
          <w:tab w:leader="none" w:pos="6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shall have no responsibility with respect to any information, statement or recital in any offering memorandum or other disclosure material prepared or distributed with respect to the Notes or for compliance with any securities laws in connection with the issuance, sale, or coversion of the Notes, which shall be the sole responsibility of the Company; and</w:t>
      </w:r>
    </w:p>
    <w:p>
      <w:pPr>
        <w:spacing w:after="0" w:line="188" w:lineRule="exact"/>
        <w:rPr>
          <w:rFonts w:ascii="Arial" w:cs="Arial" w:eastAsia="Arial" w:hAnsi="Arial"/>
          <w:sz w:val="18"/>
          <w:szCs w:val="18"/>
          <w:color w:val="auto"/>
        </w:rPr>
      </w:pPr>
    </w:p>
    <w:p>
      <w:pPr>
        <w:ind w:left="680" w:hanging="217"/>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or duties hereunder.</w:t>
      </w:r>
    </w:p>
    <w:p>
      <w:pPr>
        <w:spacing w:after="0" w:line="217"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Reliance on Documents, Opinions, Etc</w:t>
      </w:r>
      <w:r>
        <w:rPr>
          <w:rFonts w:ascii="Arial" w:cs="Arial" w:eastAsia="Arial" w:hAnsi="Arial"/>
          <w:sz w:val="18"/>
          <w:szCs w:val="18"/>
          <w:color w:val="auto"/>
        </w:rPr>
        <w:t>. Except as otherwise provided in Section 7.01:</w:t>
      </w:r>
    </w:p>
    <w:p>
      <w:pPr>
        <w:spacing w:after="0" w:line="217" w:lineRule="exact"/>
        <w:rPr>
          <w:sz w:val="20"/>
          <w:szCs w:val="20"/>
          <w:color w:val="auto"/>
        </w:rPr>
      </w:pPr>
    </w:p>
    <w:p>
      <w:pPr>
        <w:ind w:right="120" w:firstLine="463"/>
        <w:spacing w:after="0" w:line="255" w:lineRule="auto"/>
        <w:tabs>
          <w:tab w:leader="none" w:pos="69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3" w:right="259" w:bottom="1440" w:gutter="0" w:footer="0" w:header="0"/>
        </w:sectPr>
      </w:pPr>
    </w:p>
    <w:bookmarkStart w:id="50" w:name="page51"/>
    <w:bookmarkEnd w:id="50"/>
    <w:p>
      <w:pPr>
        <w:jc w:val="both"/>
        <w:ind w:right="400" w:firstLine="463"/>
        <w:spacing w:after="0" w:line="255" w:lineRule="auto"/>
        <w:tabs>
          <w:tab w:leader="none" w:pos="707"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8" w:lineRule="exact"/>
        <w:rPr>
          <w:rFonts w:ascii="Arial" w:cs="Arial" w:eastAsia="Arial" w:hAnsi="Arial"/>
          <w:sz w:val="18"/>
          <w:szCs w:val="18"/>
          <w:color w:val="auto"/>
        </w:rPr>
      </w:pPr>
    </w:p>
    <w:p>
      <w:pPr>
        <w:ind w:right="200" w:firstLine="463"/>
        <w:spacing w:after="0" w:line="255" w:lineRule="auto"/>
        <w:tabs>
          <w:tab w:leader="none" w:pos="6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88" w:lineRule="exact"/>
        <w:rPr>
          <w:rFonts w:ascii="Arial" w:cs="Arial" w:eastAsia="Arial" w:hAnsi="Arial"/>
          <w:sz w:val="18"/>
          <w:szCs w:val="18"/>
          <w:color w:val="auto"/>
        </w:rPr>
      </w:pPr>
    </w:p>
    <w:p>
      <w:pPr>
        <w:ind w:right="80" w:firstLine="463"/>
        <w:spacing w:after="0" w:line="269" w:lineRule="auto"/>
        <w:tabs>
          <w:tab w:leader="none" w:pos="70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at a reasonable time on any Business Day, to examine the books, records and premises of the Company, personally or by agent or attorney at the expense of the Company and shall incur no liability of any kind by reason of such inquiry or investigation;</w:t>
      </w:r>
    </w:p>
    <w:p>
      <w:pPr>
        <w:spacing w:after="0" w:line="177" w:lineRule="exact"/>
        <w:rPr>
          <w:rFonts w:ascii="Arial" w:cs="Arial" w:eastAsia="Arial" w:hAnsi="Arial"/>
          <w:sz w:val="17"/>
          <w:szCs w:val="17"/>
          <w:color w:val="auto"/>
        </w:rPr>
      </w:pPr>
    </w:p>
    <w:p>
      <w:pPr>
        <w:ind w:right="380" w:firstLine="463"/>
        <w:spacing w:after="0" w:line="255" w:lineRule="auto"/>
        <w:tabs>
          <w:tab w:leader="none" w:pos="6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and</w:t>
      </w:r>
    </w:p>
    <w:p>
      <w:pPr>
        <w:spacing w:after="0" w:line="188" w:lineRule="exact"/>
        <w:rPr>
          <w:rFonts w:ascii="Arial" w:cs="Arial" w:eastAsia="Arial" w:hAnsi="Arial"/>
          <w:sz w:val="18"/>
          <w:szCs w:val="18"/>
          <w:color w:val="auto"/>
        </w:rPr>
      </w:pPr>
    </w:p>
    <w:p>
      <w:pPr>
        <w:ind w:left="680" w:hanging="217"/>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17" w:lineRule="exact"/>
        <w:rPr>
          <w:sz w:val="20"/>
          <w:szCs w:val="20"/>
          <w:color w:val="auto"/>
        </w:rPr>
      </w:pPr>
    </w:p>
    <w:p>
      <w:pPr>
        <w:ind w:firstLine="457"/>
        <w:spacing w:after="0" w:line="312" w:lineRule="auto"/>
        <w:rPr>
          <w:sz w:val="20"/>
          <w:szCs w:val="20"/>
          <w:color w:val="auto"/>
        </w:rPr>
      </w:pPr>
      <w:r>
        <w:rPr>
          <w:rFonts w:ascii="Arial" w:cs="Arial" w:eastAsia="Arial" w:hAnsi="Arial"/>
          <w:sz w:val="15"/>
          <w:szCs w:val="15"/>
          <w:color w:val="auto"/>
        </w:rPr>
        <w:t>In no event shall the Trustee be responsible or liable for any special, indirect, punitive or consequential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a Responsible Officer by the Company or by any Holder of the Notes.</w:t>
      </w:r>
    </w:p>
    <w:p>
      <w:pPr>
        <w:spacing w:after="0" w:line="152" w:lineRule="exact"/>
        <w:rPr>
          <w:sz w:val="20"/>
          <w:szCs w:val="20"/>
          <w:color w:val="auto"/>
        </w:rPr>
      </w:pPr>
    </w:p>
    <w:p>
      <w:pPr>
        <w:ind w:right="20" w:firstLine="457"/>
        <w:spacing w:after="0" w:line="318" w:lineRule="auto"/>
        <w:rPr>
          <w:sz w:val="20"/>
          <w:szCs w:val="20"/>
          <w:color w:val="auto"/>
        </w:rPr>
      </w:pPr>
      <w:r>
        <w:rPr>
          <w:rFonts w:ascii="Arial" w:cs="Arial" w:eastAsia="Arial" w:hAnsi="Arial"/>
          <w:sz w:val="15"/>
          <w:szCs w:val="15"/>
          <w:color w:val="auto"/>
        </w:rPr>
        <w:t>Section 7.03</w:t>
      </w:r>
      <w:r>
        <w:rPr>
          <w:rFonts w:ascii="Arial" w:cs="Arial" w:eastAsia="Arial" w:hAnsi="Arial"/>
          <w:sz w:val="15"/>
          <w:szCs w:val="15"/>
          <w:i w:val="1"/>
          <w:iCs w:val="1"/>
          <w:color w:val="auto"/>
        </w:rPr>
        <w:t>. No Responsibility for Recitals, Etc.</w:t>
      </w:r>
      <w:r>
        <w:rPr>
          <w:rFonts w:ascii="Arial" w:cs="Arial" w:eastAsia="Arial" w:hAnsi="Arial"/>
          <w:sz w:val="15"/>
          <w:szCs w:val="15"/>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47" w:lineRule="exact"/>
        <w:rPr>
          <w:sz w:val="20"/>
          <w:szCs w:val="20"/>
          <w:color w:val="auto"/>
        </w:rPr>
      </w:pPr>
    </w:p>
    <w:p>
      <w:pPr>
        <w:ind w:right="160" w:firstLine="457"/>
        <w:spacing w:after="0" w:line="26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 Paying Agents, Conversion Agents, Bid Solicitation Agent or Note Registrar May Own Notes</w:t>
      </w:r>
      <w:r>
        <w:rPr>
          <w:rFonts w:ascii="Arial" w:cs="Arial" w:eastAsia="Arial" w:hAnsi="Arial"/>
          <w:sz w:val="18"/>
          <w:szCs w:val="18"/>
          <w:color w:val="auto"/>
        </w:rPr>
        <w:t>. The Trustee, any Paying Agent, any Conversion Agent, Bid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3" w:right="259" w:bottom="1440" w:gutter="0" w:footer="0" w:header="0"/>
        </w:sectPr>
      </w:pPr>
    </w:p>
    <w:bookmarkStart w:id="51" w:name="page52"/>
    <w:bookmarkEnd w:id="51"/>
    <w:p>
      <w:pPr>
        <w:ind w:right="20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Solicitation Agent or Note Registrar, in its individual or any other capacity, may become the owner or pledgee of Notes with the same rights it would have if it were not the Trustee, Paying Agent, Conversion Agent, Bid Solicitation Agent or Note Registrar.</w:t>
      </w:r>
    </w:p>
    <w:p>
      <w:pPr>
        <w:spacing w:after="0" w:line="179" w:lineRule="exact"/>
        <w:rPr>
          <w:sz w:val="20"/>
          <w:szCs w:val="20"/>
          <w:color w:val="auto"/>
        </w:rPr>
      </w:pPr>
    </w:p>
    <w:p>
      <w:pPr>
        <w:ind w:right="120" w:firstLine="457"/>
        <w:spacing w:after="0" w:line="318" w:lineRule="auto"/>
        <w:rPr>
          <w:sz w:val="20"/>
          <w:szCs w:val="20"/>
          <w:color w:val="auto"/>
        </w:rPr>
      </w:pPr>
      <w:r>
        <w:rPr>
          <w:rFonts w:ascii="Arial" w:cs="Arial" w:eastAsia="Arial" w:hAnsi="Arial"/>
          <w:sz w:val="15"/>
          <w:szCs w:val="15"/>
          <w:color w:val="auto"/>
        </w:rPr>
        <w:t>Section 7.05</w:t>
      </w:r>
      <w:r>
        <w:rPr>
          <w:rFonts w:ascii="Arial" w:cs="Arial" w:eastAsia="Arial" w:hAnsi="Arial"/>
          <w:sz w:val="15"/>
          <w:szCs w:val="15"/>
          <w:i w:val="1"/>
          <w:iCs w:val="1"/>
          <w:color w:val="auto"/>
        </w:rPr>
        <w:t>. Monies and Shares of Common Stock to Be Held in Trust.</w:t>
      </w:r>
      <w:r>
        <w:rPr>
          <w:rFonts w:ascii="Arial" w:cs="Arial" w:eastAsia="Arial" w:hAnsi="Arial"/>
          <w:sz w:val="15"/>
          <w:szCs w:val="15"/>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spacing w:after="0" w:line="14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Section 7.06</w:t>
      </w:r>
      <w:r>
        <w:rPr>
          <w:rFonts w:ascii="Arial" w:cs="Arial" w:eastAsia="Arial" w:hAnsi="Arial"/>
          <w:sz w:val="15"/>
          <w:szCs w:val="15"/>
          <w:i w:val="1"/>
          <w:iCs w:val="1"/>
          <w:color w:val="auto"/>
        </w:rPr>
        <w:t>. Compensation and Expenses of Trustee.</w:t>
      </w:r>
      <w:r>
        <w:rPr>
          <w:rFonts w:ascii="Arial" w:cs="Arial" w:eastAsia="Arial" w:hAnsi="Arial"/>
          <w:sz w:val="15"/>
          <w:szCs w:val="15"/>
          <w:color w:val="auto"/>
        </w:rPr>
        <w:t xml:space="preserve">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trust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or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380" w:lineRule="exact"/>
        <w:rPr>
          <w:sz w:val="20"/>
          <w:szCs w:val="20"/>
          <w:color w:val="auto"/>
        </w:rPr>
      </w:pPr>
    </w:p>
    <w:p>
      <w:pPr>
        <w:ind w:right="200" w:firstLine="457"/>
        <w:spacing w:after="0" w:line="277" w:lineRule="auto"/>
        <w:rPr>
          <w:sz w:val="20"/>
          <w:szCs w:val="20"/>
          <w:color w:val="auto"/>
        </w:rPr>
      </w:pPr>
      <w:r>
        <w:rPr>
          <w:rFonts w:ascii="Arial" w:cs="Arial" w:eastAsia="Arial" w:hAnsi="Arial"/>
          <w:sz w:val="17"/>
          <w:szCs w:val="17"/>
          <w:color w:val="auto"/>
        </w:rPr>
        <w:t>Without prejudice to any other rights available to the Trustee under applicable law, when the Trustee and its agents and any authenticating agent incur expenses or render services after an Event of Default specified in Section 6.01(j) or Section 6.01(k) occurs, the expenses and the compensation for the services are intended to constitute expenses of administration under any bankruptcy, insolvency or similar laws.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3" w:right="239" w:bottom="1440" w:gutter="0" w:footer="0" w:header="0"/>
        </w:sectPr>
      </w:pPr>
    </w:p>
    <w:bookmarkStart w:id="52" w:name="page53"/>
    <w:bookmarkEnd w:id="52"/>
    <w:p>
      <w:pPr>
        <w:ind w:right="180" w:firstLine="457"/>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Section 7.07</w:t>
      </w:r>
      <w:r>
        <w:rPr>
          <w:rFonts w:ascii="Arial" w:cs="Arial" w:eastAsia="Arial" w:hAnsi="Arial"/>
          <w:sz w:val="18"/>
          <w:szCs w:val="18"/>
          <w:i w:val="1"/>
          <w:iCs w:val="1"/>
          <w:color w:val="auto"/>
        </w:rPr>
        <w:t>. Officers’ Certificate as Evidence.</w:t>
      </w:r>
      <w:r>
        <w:rPr>
          <w:rFonts w:ascii="Arial" w:cs="Arial" w:eastAsia="Arial" w:hAnsi="Arial"/>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97" w:lineRule="exact"/>
        <w:rPr>
          <w:sz w:val="20"/>
          <w:szCs w:val="20"/>
          <w:color w:val="auto"/>
        </w:rPr>
      </w:pPr>
    </w:p>
    <w:p>
      <w:pPr>
        <w:ind w:right="80" w:firstLine="457"/>
        <w:spacing w:after="0" w:line="312" w:lineRule="auto"/>
        <w:rPr>
          <w:sz w:val="20"/>
          <w:szCs w:val="20"/>
          <w:color w:val="auto"/>
        </w:rPr>
      </w:pPr>
      <w:r>
        <w:rPr>
          <w:rFonts w:ascii="Arial" w:cs="Arial" w:eastAsia="Arial" w:hAnsi="Arial"/>
          <w:sz w:val="15"/>
          <w:szCs w:val="15"/>
          <w:color w:val="auto"/>
        </w:rPr>
        <w:t>Section 7.08</w:t>
      </w:r>
      <w:r>
        <w:rPr>
          <w:rFonts w:ascii="Arial" w:cs="Arial" w:eastAsia="Arial" w:hAnsi="Arial"/>
          <w:sz w:val="15"/>
          <w:szCs w:val="15"/>
          <w:i w:val="1"/>
          <w:iCs w:val="1"/>
          <w:color w:val="auto"/>
        </w:rPr>
        <w:t>. Eligibility of Trustee.</w:t>
      </w:r>
      <w:r>
        <w:rPr>
          <w:rFonts w:ascii="Arial" w:cs="Arial" w:eastAsia="Arial" w:hAnsi="Arial"/>
          <w:sz w:val="15"/>
          <w:szCs w:val="15"/>
          <w:color w:val="auto"/>
        </w:rPr>
        <w:t xml:space="preserve">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52"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Section 7.09</w:t>
      </w:r>
      <w:r>
        <w:rPr>
          <w:rFonts w:ascii="Arial" w:cs="Arial" w:eastAsia="Arial" w:hAnsi="Arial"/>
          <w:sz w:val="15"/>
          <w:szCs w:val="15"/>
          <w:i w:val="1"/>
          <w:iCs w:val="1"/>
          <w:color w:val="auto"/>
        </w:rPr>
        <w:t>. Resignation or Removal of Trustee.</w:t>
      </w:r>
      <w:r>
        <w:rPr>
          <w:rFonts w:ascii="Arial" w:cs="Arial" w:eastAsia="Arial" w:hAnsi="Arial"/>
          <w:sz w:val="15"/>
          <w:szCs w:val="15"/>
          <w:color w:val="auto"/>
        </w:rPr>
        <w:t xml:space="preserve"> (a) The Trustee may at any time resign by giving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may, subject to the provisions of Section 6.11, on behalf of himself and all others similarly situated, petition any such court for the appointment of a successor trustee. Such court may thereupon, after such notice, if any, as it may deem proper and prescribe, appoint a successor trustee.</w:t>
      </w:r>
    </w:p>
    <w:p>
      <w:pPr>
        <w:spacing w:after="0" w:line="156" w:lineRule="exact"/>
        <w:rPr>
          <w:sz w:val="20"/>
          <w:szCs w:val="20"/>
          <w:color w:val="auto"/>
        </w:rPr>
      </w:pPr>
    </w:p>
    <w:p>
      <w:pPr>
        <w:ind w:left="720" w:hanging="25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1" w:lineRule="exact"/>
        <w:rPr>
          <w:rFonts w:ascii="Arial" w:cs="Arial" w:eastAsia="Arial" w:hAnsi="Arial"/>
          <w:sz w:val="18"/>
          <w:szCs w:val="18"/>
          <w:color w:val="auto"/>
        </w:rPr>
      </w:pPr>
    </w:p>
    <w:p>
      <w:pPr>
        <w:ind w:left="460" w:right="40" w:firstLine="441"/>
        <w:spacing w:after="0" w:line="265" w:lineRule="auto"/>
        <w:tabs>
          <w:tab w:leader="none" w:pos="11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7.08 and shall fail to resign after written request therefor by the Company or by any such Holder, or</w:t>
      </w:r>
    </w:p>
    <w:p>
      <w:pPr>
        <w:spacing w:after="0" w:line="73" w:lineRule="exact"/>
        <w:rPr>
          <w:rFonts w:ascii="Arial" w:cs="Arial" w:eastAsia="Arial" w:hAnsi="Arial"/>
          <w:sz w:val="18"/>
          <w:szCs w:val="18"/>
          <w:color w:val="auto"/>
        </w:rPr>
      </w:pPr>
    </w:p>
    <w:p>
      <w:pPr>
        <w:ind w:left="460" w:right="220" w:firstLine="441"/>
        <w:spacing w:after="0" w:line="255" w:lineRule="auto"/>
        <w:tabs>
          <w:tab w:leader="none" w:pos="11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3" w:right="239" w:bottom="1440" w:gutter="0" w:footer="0" w:header="0"/>
        </w:sectPr>
      </w:pPr>
    </w:p>
    <w:bookmarkStart w:id="53" w:name="page54"/>
    <w:bookmarkEnd w:id="53"/>
    <w:p>
      <w:pPr>
        <w:ind w:right="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2" w:lineRule="exact"/>
        <w:rPr>
          <w:sz w:val="20"/>
          <w:szCs w:val="20"/>
          <w:color w:val="auto"/>
        </w:rPr>
      </w:pPr>
    </w:p>
    <w:p>
      <w:pPr>
        <w:ind w:right="40" w:firstLine="463"/>
        <w:spacing w:after="0" w:line="271" w:lineRule="auto"/>
        <w:tabs>
          <w:tab w:leader="none" w:pos="69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77" w:lineRule="exact"/>
        <w:rPr>
          <w:rFonts w:ascii="Arial" w:cs="Arial" w:eastAsia="Arial" w:hAnsi="Arial"/>
          <w:sz w:val="17"/>
          <w:szCs w:val="17"/>
          <w:color w:val="auto"/>
        </w:rPr>
      </w:pPr>
    </w:p>
    <w:p>
      <w:pPr>
        <w:ind w:right="200" w:firstLine="463"/>
        <w:spacing w:after="0" w:line="265" w:lineRule="auto"/>
        <w:tabs>
          <w:tab w:leader="none" w:pos="7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7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Section 7.10</w:t>
      </w:r>
      <w:r>
        <w:rPr>
          <w:rFonts w:ascii="Arial" w:cs="Arial" w:eastAsia="Arial" w:hAnsi="Arial"/>
          <w:sz w:val="17"/>
          <w:szCs w:val="17"/>
          <w:i w:val="1"/>
          <w:iCs w:val="1"/>
          <w:color w:val="auto"/>
        </w:rPr>
        <w:t>. Acceptance by Successor Trustee.</w:t>
      </w:r>
      <w:r>
        <w:rPr>
          <w:rFonts w:ascii="Arial" w:cs="Arial" w:eastAsia="Arial" w:hAnsi="Arial"/>
          <w:sz w:val="17"/>
          <w:szCs w:val="17"/>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3"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79"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3" w:right="239" w:bottom="1440" w:gutter="0" w:footer="0" w:header="0"/>
        </w:sectPr>
      </w:pPr>
    </w:p>
    <w:bookmarkStart w:id="54" w:name="page55"/>
    <w:bookmarkEnd w:id="54"/>
    <w:p>
      <w:pPr>
        <w:ind w:right="40" w:firstLine="457"/>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Section 7.11</w:t>
      </w:r>
      <w:r>
        <w:rPr>
          <w:rFonts w:ascii="Arial" w:cs="Arial" w:eastAsia="Arial" w:hAnsi="Arial"/>
          <w:sz w:val="18"/>
          <w:szCs w:val="18"/>
          <w:i w:val="1"/>
          <w:iCs w:val="1"/>
          <w:color w:val="auto"/>
        </w:rPr>
        <w:t>. Succession by Merger, Etc.</w:t>
      </w:r>
      <w:r>
        <w:rPr>
          <w:rFonts w:ascii="Arial" w:cs="Arial" w:eastAsia="Arial" w:hAnsi="Arial"/>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97" w:lineRule="exact"/>
        <w:rPr>
          <w:sz w:val="20"/>
          <w:szCs w:val="20"/>
          <w:color w:val="auto"/>
        </w:rPr>
      </w:pPr>
    </w:p>
    <w:p>
      <w:pPr>
        <w:ind w:right="20" w:firstLine="457"/>
        <w:spacing w:after="0" w:line="307" w:lineRule="auto"/>
        <w:rPr>
          <w:sz w:val="20"/>
          <w:szCs w:val="20"/>
          <w:color w:val="auto"/>
        </w:rPr>
      </w:pPr>
      <w:r>
        <w:rPr>
          <w:rFonts w:ascii="Arial" w:cs="Arial" w:eastAsia="Arial" w:hAnsi="Arial"/>
          <w:sz w:val="15"/>
          <w:szCs w:val="15"/>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53"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Section 7.12</w:t>
      </w:r>
      <w:r>
        <w:rPr>
          <w:rFonts w:ascii="Arial" w:cs="Arial" w:eastAsia="Arial" w:hAnsi="Arial"/>
          <w:sz w:val="15"/>
          <w:szCs w:val="15"/>
          <w:i w:val="1"/>
          <w:iCs w:val="1"/>
          <w:color w:val="auto"/>
        </w:rPr>
        <w:t>. Trustee’s Application for Instructions from the Company.</w:t>
      </w:r>
      <w:r>
        <w:rPr>
          <w:rFonts w:ascii="Arial" w:cs="Arial" w:eastAsia="Arial" w:hAnsi="Arial"/>
          <w:sz w:val="15"/>
          <w:szCs w:val="15"/>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H</w:t>
      </w:r>
      <w:r>
        <w:rPr>
          <w:rFonts w:ascii="Arial" w:cs="Arial" w:eastAsia="Arial" w:hAnsi="Arial"/>
          <w:sz w:val="14"/>
          <w:szCs w:val="14"/>
          <w:color w:val="auto"/>
        </w:rPr>
        <w:t>OLDERS</w:t>
      </w:r>
    </w:p>
    <w:p>
      <w:pPr>
        <w:spacing w:after="0" w:line="206" w:lineRule="exact"/>
        <w:rPr>
          <w:sz w:val="20"/>
          <w:szCs w:val="20"/>
          <w:color w:val="auto"/>
        </w:rPr>
      </w:pPr>
    </w:p>
    <w:p>
      <w:pPr>
        <w:ind w:right="120" w:firstLine="457"/>
        <w:spacing w:after="0" w:line="265"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Action by Holders</w:t>
      </w:r>
      <w:r>
        <w:rPr>
          <w:rFonts w:ascii="Arial" w:cs="Arial" w:eastAsia="Arial" w:hAnsi="Arial"/>
          <w:sz w:val="18"/>
          <w:szCs w:val="18"/>
          <w:color w:val="auto"/>
        </w:rPr>
        <w:t>. Whenever in this Indenture it is provided that the Holders of a specified percentage in aggregate principal amount of the Notes may take 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3" w:right="239" w:bottom="1440" w:gutter="0" w:footer="0" w:header="0"/>
        </w:sectPr>
      </w:pPr>
    </w:p>
    <w:bookmarkStart w:id="55" w:name="page56"/>
    <w:bookmarkEnd w:id="55"/>
    <w:p>
      <w:pPr>
        <w:ind w:right="6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53" w:lineRule="exact"/>
        <w:rPr>
          <w:sz w:val="20"/>
          <w:szCs w:val="20"/>
          <w:color w:val="auto"/>
        </w:rPr>
      </w:pPr>
    </w:p>
    <w:p>
      <w:pPr>
        <w:ind w:right="340" w:firstLine="457"/>
        <w:spacing w:after="0" w:line="271" w:lineRule="auto"/>
        <w:rPr>
          <w:sz w:val="20"/>
          <w:szCs w:val="20"/>
          <w:color w:val="auto"/>
        </w:rPr>
      </w:pPr>
      <w:r>
        <w:rPr>
          <w:rFonts w:ascii="Arial" w:cs="Arial" w:eastAsia="Arial" w:hAnsi="Arial"/>
          <w:sz w:val="17"/>
          <w:szCs w:val="17"/>
          <w:color w:val="auto"/>
        </w:rPr>
        <w:t>Section 8.02</w:t>
      </w:r>
      <w:r>
        <w:rPr>
          <w:rFonts w:ascii="Arial" w:cs="Arial" w:eastAsia="Arial" w:hAnsi="Arial"/>
          <w:sz w:val="17"/>
          <w:szCs w:val="17"/>
          <w:i w:val="1"/>
          <w:iCs w:val="1"/>
          <w:color w:val="auto"/>
        </w:rPr>
        <w:t>. Proof of Execution by Holders.</w:t>
      </w:r>
      <w:r>
        <w:rPr>
          <w:rFonts w:ascii="Arial" w:cs="Arial" w:eastAsia="Arial" w:hAnsi="Arial"/>
          <w:sz w:val="17"/>
          <w:szCs w:val="17"/>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78"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Section 8.03</w:t>
      </w:r>
      <w:r>
        <w:rPr>
          <w:rFonts w:ascii="Arial" w:cs="Arial" w:eastAsia="Arial" w:hAnsi="Arial"/>
          <w:sz w:val="15"/>
          <w:szCs w:val="15"/>
          <w:i w:val="1"/>
          <w:iCs w:val="1"/>
          <w:color w:val="auto"/>
        </w:rPr>
        <w:t>. Who Are Deemed Absolute Owners.</w:t>
      </w:r>
      <w:r>
        <w:rPr>
          <w:rFonts w:ascii="Arial" w:cs="Arial" w:eastAsia="Arial" w:hAnsi="Arial"/>
          <w:sz w:val="15"/>
          <w:szCs w:val="15"/>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All such payments so made to any Holder for the time being, or upon its order, shall be valid, and, to the extent of the sum or sums so paid, effectual to satisfy and discharge the liability for monies payable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56"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Company-Owned Notes Disregarded</w:t>
      </w:r>
      <w:r>
        <w:rPr>
          <w:rFonts w:ascii="Arial" w:cs="Arial" w:eastAsia="Arial" w:hAnsi="Arial"/>
          <w:sz w:val="17"/>
          <w:szCs w:val="17"/>
          <w:color w:val="auto"/>
        </w:rPr>
        <w:t xml:space="preserve">. In determining whether the Holders of the requisite aggregate principal amount of Notes have concurred in any direction, consent, waiver or other action under this Indenture, Notes that are owned by the Company or by any Affiliate of the Company shall be disregarded and deemed not to be outstanding for the purpose of any such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3" w:right="259" w:bottom="1440" w:gutter="0" w:footer="0" w:header="0"/>
        </w:sectPr>
      </w:pPr>
    </w:p>
    <w:bookmarkStart w:id="56" w:name="page57"/>
    <w:bookmarkEnd w:id="56"/>
    <w:p>
      <w:pPr>
        <w:jc w:val="both"/>
        <w:ind w:right="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with respect to such Notes and that the pledgee is not the Company or an Affiliate of the Company.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8.05</w:t>
      </w:r>
      <w:r>
        <w:rPr>
          <w:rFonts w:ascii="Arial" w:cs="Arial" w:eastAsia="Arial" w:hAnsi="Arial"/>
          <w:sz w:val="17"/>
          <w:szCs w:val="17"/>
          <w:i w:val="1"/>
          <w:iCs w:val="1"/>
          <w:color w:val="auto"/>
        </w:rPr>
        <w:t>. Revocation of Consents; Future Holders Bound.</w:t>
      </w:r>
      <w:r>
        <w:rPr>
          <w:rFonts w:ascii="Arial" w:cs="Arial" w:eastAsia="Arial" w:hAnsi="Arial"/>
          <w:sz w:val="17"/>
          <w:szCs w:val="17"/>
          <w:color w:val="auto"/>
        </w:rPr>
        <w:t xml:space="preserve"> At any time prior to (but not after) the evidencing to the Trustee, as provided in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8.01, of the taking of any action by the Holders of the percentage in aggregate principal amount of the Notes specified in this Indenture in connection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with such action, any Holder of a Note that is shown by the evidence to be included in the Notes the Holders of which have consented to such action may, by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filing written notice with the Trustee at its Corporate Trust Office and upon proof of holding as provided in Section 8.02, revoke such action so far as concerns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such Note. Except as aforesaid, any such action taken by the Holder of any Note shall be conclusive and binding upon such Holder and upon all future Holders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and owners of such Note and of any Notes issued in exchange or substitution therefor or upon registration of transfer thereof, irrespective of whether any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9</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OLDERS</w:t>
      </w:r>
      <w:r>
        <w:rPr>
          <w:rFonts w:ascii="Arial" w:cs="Arial" w:eastAsia="Arial" w:hAnsi="Arial"/>
          <w:sz w:val="18"/>
          <w:szCs w:val="18"/>
          <w:color w:val="auto"/>
        </w:rPr>
        <w:t>’ M</w:t>
      </w:r>
      <w:r>
        <w:rPr>
          <w:rFonts w:ascii="Arial" w:cs="Arial" w:eastAsia="Arial" w:hAnsi="Arial"/>
          <w:sz w:val="14"/>
          <w:szCs w:val="14"/>
          <w:color w:val="auto"/>
        </w:rPr>
        <w:t>EETINGS</w:t>
      </w:r>
    </w:p>
    <w:p>
      <w:pPr>
        <w:spacing w:after="0" w:line="206" w:lineRule="exact"/>
        <w:rPr>
          <w:sz w:val="20"/>
          <w:szCs w:val="20"/>
          <w:color w:val="auto"/>
        </w:rPr>
      </w:pPr>
    </w:p>
    <w:p>
      <w:pPr>
        <w:ind w:right="140" w:firstLine="457"/>
        <w:spacing w:after="0" w:line="265"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Purpose of Meetings.</w:t>
      </w:r>
      <w:r>
        <w:rPr>
          <w:rFonts w:ascii="Arial" w:cs="Arial" w:eastAsia="Arial" w:hAnsi="Arial"/>
          <w:sz w:val="18"/>
          <w:szCs w:val="18"/>
          <w:color w:val="auto"/>
        </w:rPr>
        <w:t xml:space="preserve"> A meeting of Holders may be called at any time and from time to time pursuant to the provisions of this Article 9 for any of the following purposes:</w:t>
      </w:r>
    </w:p>
    <w:p>
      <w:pPr>
        <w:spacing w:after="0" w:line="179" w:lineRule="exact"/>
        <w:rPr>
          <w:sz w:val="20"/>
          <w:szCs w:val="20"/>
          <w:color w:val="auto"/>
        </w:rPr>
      </w:pPr>
    </w:p>
    <w:p>
      <w:pPr>
        <w:ind w:right="20" w:firstLine="463"/>
        <w:spacing w:after="0" w:line="255" w:lineRule="auto"/>
        <w:tabs>
          <w:tab w:leader="none" w:pos="6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and its consequences, or to take any other action authorized to be taken by Holders pursuant to any of the provisions of Article 6;</w:t>
      </w:r>
    </w:p>
    <w:p>
      <w:pPr>
        <w:spacing w:after="0" w:line="188" w:lineRule="exact"/>
        <w:rPr>
          <w:rFonts w:ascii="Arial" w:cs="Arial" w:eastAsia="Arial" w:hAnsi="Arial"/>
          <w:sz w:val="18"/>
          <w:szCs w:val="18"/>
          <w:color w:val="auto"/>
        </w:rPr>
      </w:pPr>
    </w:p>
    <w:p>
      <w:pPr>
        <w:ind w:left="720" w:hanging="257"/>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7;</w:t>
      </w:r>
    </w:p>
    <w:p>
      <w:pPr>
        <w:spacing w:after="0" w:line="217" w:lineRule="exact"/>
        <w:rPr>
          <w:rFonts w:ascii="Arial" w:cs="Arial" w:eastAsia="Arial" w:hAnsi="Arial"/>
          <w:sz w:val="18"/>
          <w:szCs w:val="18"/>
          <w:color w:val="auto"/>
        </w:rPr>
      </w:pPr>
    </w:p>
    <w:p>
      <w:pPr>
        <w:ind w:left="700" w:hanging="237"/>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10.02; or</w:t>
      </w:r>
    </w:p>
    <w:p>
      <w:pPr>
        <w:spacing w:after="0" w:line="217" w:lineRule="exact"/>
        <w:rPr>
          <w:rFonts w:ascii="Arial" w:cs="Arial" w:eastAsia="Arial" w:hAnsi="Arial"/>
          <w:sz w:val="18"/>
          <w:szCs w:val="18"/>
          <w:color w:val="auto"/>
        </w:rPr>
      </w:pPr>
    </w:p>
    <w:p>
      <w:pPr>
        <w:ind w:right="20" w:firstLine="463"/>
        <w:spacing w:after="0" w:line="265" w:lineRule="auto"/>
        <w:tabs>
          <w:tab w:leader="none" w:pos="7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79" w:lineRule="exact"/>
        <w:rPr>
          <w:sz w:val="20"/>
          <w:szCs w:val="20"/>
          <w:color w:val="auto"/>
        </w:rPr>
      </w:pPr>
    </w:p>
    <w:p>
      <w:pPr>
        <w:ind w:firstLine="457"/>
        <w:spacing w:after="0" w:line="294"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Call of Meetings by Trustee</w:t>
      </w:r>
      <w:r>
        <w:rPr>
          <w:rFonts w:ascii="Arial" w:cs="Arial" w:eastAsia="Arial" w:hAnsi="Arial"/>
          <w:sz w:val="17"/>
          <w:szCs w:val="17"/>
          <w:color w:val="auto"/>
        </w:rPr>
        <w:t>. The Trustee may at any time call a meeting of Holders to take any action specified in Section 9.01, to be held at such time and at such place as the Trustee shall determine. Notice of every meeting of the Holders, setting forth the time and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3" w:right="27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place of such meeting and in general terms the action proposed to be taken at such meeting and the establishment of any record date pursuant to Section 8.01, shall be mailed to Holders of such Notes at their addresses as they shall appear on the Note Register. Such notice shall also be mailed to the Company. Such notices shall be mailed not less than 20 nor more than 90 days prior to the date fixed for the meeting.</w:t>
      </w:r>
    </w:p>
    <w:p>
      <w:pPr>
        <w:spacing w:after="0" w:line="172" w:lineRule="exact"/>
        <w:rPr>
          <w:sz w:val="20"/>
          <w:szCs w:val="20"/>
          <w:color w:val="auto"/>
        </w:rPr>
      </w:pPr>
    </w:p>
    <w:p>
      <w:pPr>
        <w:jc w:val="both"/>
        <w:ind w:right="160" w:firstLine="457"/>
        <w:spacing w:after="0" w:line="255" w:lineRule="auto"/>
        <w:rPr>
          <w:sz w:val="20"/>
          <w:szCs w:val="20"/>
          <w:color w:val="auto"/>
        </w:rPr>
      </w:pPr>
      <w:r>
        <w:rPr>
          <w:rFonts w:ascii="Arial" w:cs="Arial" w:eastAsia="Arial" w:hAnsi="Arial"/>
          <w:sz w:val="18"/>
          <w:szCs w:val="18"/>
          <w:color w:val="auto"/>
        </w:rPr>
        <w:t>Any meeting of Holders shall be valid without notice if the Holders of all Notes then outstanding are present in person or by proxy or if notice is waived before or after the meeting by the Holders of all Notes outstanding, and if the Company and the Trustee are either present by duly authorized representatives or have, before or after the meeting, waived notice.</w:t>
      </w:r>
    </w:p>
    <w:p>
      <w:pPr>
        <w:spacing w:after="0" w:line="18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Section 9.03</w:t>
      </w:r>
      <w:r>
        <w:rPr>
          <w:rFonts w:ascii="Arial" w:cs="Arial" w:eastAsia="Arial" w:hAnsi="Arial"/>
          <w:sz w:val="17"/>
          <w:szCs w:val="17"/>
          <w:i w:val="1"/>
          <w:iCs w:val="1"/>
          <w:color w:val="auto"/>
        </w:rPr>
        <w:t>. Call of Meetings by Company or Holders.</w:t>
      </w:r>
      <w:r>
        <w:rPr>
          <w:rFonts w:ascii="Arial" w:cs="Arial" w:eastAsia="Arial" w:hAnsi="Arial"/>
          <w:sz w:val="17"/>
          <w:szCs w:val="17"/>
          <w:color w:val="auto"/>
        </w:rPr>
        <w:t xml:space="preserve"> In case at any time the Company, pursuant to a Board Resolution, or the Holders of at least 10% in aggregate principal amount of the Notes then outstanding, shall have requested the Trustee to call a meeting of Holders, by written request setting forth in reasonable detail the action proposed to be taken at the meeting, and the Trustee shall not have mailed the notice of such meeting within 20 days after receipt of such request, then the Company or such Holders may determine the time and the place for such meeting and may call such meeting to take any action authorized in Section 9.01, by mailing notice thereof as provided in Section 9.02.</w:t>
      </w:r>
    </w:p>
    <w:p>
      <w:pPr>
        <w:spacing w:after="0" w:line="177" w:lineRule="exact"/>
        <w:rPr>
          <w:sz w:val="20"/>
          <w:szCs w:val="20"/>
          <w:color w:val="auto"/>
        </w:rPr>
      </w:pPr>
    </w:p>
    <w:p>
      <w:pPr>
        <w:jc w:val="both"/>
        <w:ind w:right="40" w:firstLine="457"/>
        <w:spacing w:after="0" w:line="318" w:lineRule="auto"/>
        <w:rPr>
          <w:sz w:val="20"/>
          <w:szCs w:val="20"/>
          <w:color w:val="auto"/>
        </w:rPr>
      </w:pPr>
      <w:r>
        <w:rPr>
          <w:rFonts w:ascii="Arial" w:cs="Arial" w:eastAsia="Arial" w:hAnsi="Arial"/>
          <w:sz w:val="15"/>
          <w:szCs w:val="15"/>
          <w:color w:val="auto"/>
        </w:rPr>
        <w:t>Section 9.04</w:t>
      </w:r>
      <w:r>
        <w:rPr>
          <w:rFonts w:ascii="Arial" w:cs="Arial" w:eastAsia="Arial" w:hAnsi="Arial"/>
          <w:sz w:val="15"/>
          <w:szCs w:val="15"/>
          <w:i w:val="1"/>
          <w:iCs w:val="1"/>
          <w:color w:val="auto"/>
        </w:rPr>
        <w:t>. Qualifications for Voting.</w:t>
      </w:r>
      <w:r>
        <w:rPr>
          <w:rFonts w:ascii="Arial" w:cs="Arial" w:eastAsia="Arial" w:hAnsi="Arial"/>
          <w:sz w:val="15"/>
          <w:szCs w:val="15"/>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47" w:lineRule="exact"/>
        <w:rPr>
          <w:sz w:val="20"/>
          <w:szCs w:val="20"/>
          <w:color w:val="auto"/>
        </w:rPr>
      </w:pPr>
    </w:p>
    <w:p>
      <w:pPr>
        <w:ind w:right="180" w:firstLine="457"/>
        <w:spacing w:after="0" w:line="252" w:lineRule="auto"/>
        <w:rPr>
          <w:sz w:val="20"/>
          <w:szCs w:val="20"/>
          <w:color w:val="auto"/>
        </w:rPr>
      </w:pPr>
      <w:r>
        <w:rPr>
          <w:rFonts w:ascii="Arial" w:cs="Arial" w:eastAsia="Arial" w:hAnsi="Arial"/>
          <w:sz w:val="18"/>
          <w:szCs w:val="18"/>
          <w:color w:val="auto"/>
        </w:rPr>
        <w:t>Section 9.05</w:t>
      </w:r>
      <w:r>
        <w:rPr>
          <w:rFonts w:ascii="Arial" w:cs="Arial" w:eastAsia="Arial" w:hAnsi="Arial"/>
          <w:sz w:val="18"/>
          <w:szCs w:val="18"/>
          <w:i w:val="1"/>
          <w:iCs w:val="1"/>
          <w:color w:val="auto"/>
        </w:rPr>
        <w:t>. Regulations.</w:t>
      </w:r>
      <w:r>
        <w:rPr>
          <w:rFonts w:ascii="Arial" w:cs="Arial" w:eastAsia="Arial" w:hAnsi="Arial"/>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91"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pacing w:after="0" w:line="191" w:lineRule="exact"/>
        <w:rPr>
          <w:sz w:val="20"/>
          <w:szCs w:val="20"/>
          <w:color w:val="auto"/>
        </w:rPr>
      </w:pPr>
    </w:p>
    <w:p>
      <w:pPr>
        <w:jc w:val="both"/>
        <w:ind w:right="320" w:firstLine="457"/>
        <w:spacing w:after="0" w:line="330" w:lineRule="auto"/>
        <w:rPr>
          <w:sz w:val="20"/>
          <w:szCs w:val="20"/>
          <w:color w:val="auto"/>
        </w:rPr>
      </w:pPr>
      <w:r>
        <w:rPr>
          <w:rFonts w:ascii="Arial" w:cs="Arial" w:eastAsia="Arial" w:hAnsi="Arial"/>
          <w:sz w:val="15"/>
          <w:szCs w:val="15"/>
          <w:color w:val="auto"/>
        </w:rPr>
        <w:t xml:space="preserve">Subject to the provisions of Section 8.04, at any meeting of Holders each Holder or proxyholder shall be entitled to one vote for each $1,000 principal amount of Notes held or represented by him;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vote shall be cast or counted at any meeting in respect of any Note challenged as not outstanding and ruled by the chairman of the meeting to be not outstanding. The chairman of the meeting shall have no right to vote other than by virtue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3" w:right="239" w:bottom="1440" w:gutter="0" w:footer="0" w:header="0"/>
        </w:sectPr>
      </w:pPr>
    </w:p>
    <w:bookmarkStart w:id="58" w:name="page59"/>
    <w:bookmarkEnd w:id="58"/>
    <w:p>
      <w:pPr>
        <w:ind w:right="80"/>
        <w:spacing w:after="0" w:line="33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37" w:lineRule="exact"/>
        <w:rPr>
          <w:sz w:val="20"/>
          <w:szCs w:val="20"/>
          <w:color w:val="auto"/>
        </w:rPr>
      </w:pPr>
    </w:p>
    <w:p>
      <w:pPr>
        <w:ind w:right="100" w:firstLine="457"/>
        <w:spacing w:after="0" w:line="304" w:lineRule="auto"/>
        <w:rPr>
          <w:sz w:val="20"/>
          <w:szCs w:val="20"/>
          <w:color w:val="auto"/>
        </w:rPr>
      </w:pPr>
      <w:r>
        <w:rPr>
          <w:rFonts w:ascii="Arial" w:cs="Arial" w:eastAsia="Arial" w:hAnsi="Arial"/>
          <w:sz w:val="15"/>
          <w:szCs w:val="15"/>
          <w:color w:val="auto"/>
        </w:rPr>
        <w:t>Section 9.06</w:t>
      </w:r>
      <w:r>
        <w:rPr>
          <w:rFonts w:ascii="Arial" w:cs="Arial" w:eastAsia="Arial" w:hAnsi="Arial"/>
          <w:sz w:val="15"/>
          <w:szCs w:val="15"/>
          <w:i w:val="1"/>
          <w:iCs w:val="1"/>
          <w:color w:val="auto"/>
        </w:rPr>
        <w:t>. Voting.</w:t>
      </w:r>
      <w:r>
        <w:rPr>
          <w:rFonts w:ascii="Arial" w:cs="Arial" w:eastAsia="Arial" w:hAnsi="Arial"/>
          <w:sz w:val="15"/>
          <w:szCs w:val="15"/>
          <w:color w:val="auto"/>
        </w:rPr>
        <w:t xml:space="preserve"> The vote upon any resolution submitted to any meeting of Holders shall be by written ballot on which shall be subscribed the signatures of the Holders or of their representatives by proxy and the outstanding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17" w:lineRule="exact"/>
        <w:rPr>
          <w:sz w:val="20"/>
          <w:szCs w:val="20"/>
          <w:color w:val="auto"/>
        </w:rPr>
      </w:pPr>
    </w:p>
    <w:p>
      <w:pPr>
        <w:ind w:firstLine="457"/>
        <w:spacing w:after="0" w:line="277" w:lineRule="auto"/>
        <w:rPr>
          <w:sz w:val="20"/>
          <w:szCs w:val="20"/>
          <w:color w:val="auto"/>
        </w:rPr>
      </w:pPr>
      <w:r>
        <w:rPr>
          <w:rFonts w:ascii="Arial" w:cs="Arial" w:eastAsia="Arial" w:hAnsi="Arial"/>
          <w:sz w:val="17"/>
          <w:szCs w:val="17"/>
          <w:color w:val="auto"/>
        </w:rPr>
        <w:t>Section 9.07</w:t>
      </w:r>
      <w:r>
        <w:rPr>
          <w:rFonts w:ascii="Arial" w:cs="Arial" w:eastAsia="Arial" w:hAnsi="Arial"/>
          <w:sz w:val="17"/>
          <w:szCs w:val="17"/>
          <w:i w:val="1"/>
          <w:iCs w:val="1"/>
          <w:color w:val="auto"/>
        </w:rPr>
        <w:t>. No Delay of Rights by Meeting.</w:t>
      </w:r>
      <w:r>
        <w:rPr>
          <w:rFonts w:ascii="Arial" w:cs="Arial" w:eastAsia="Arial" w:hAnsi="Arial"/>
          <w:sz w:val="17"/>
          <w:szCs w:val="17"/>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206" w:lineRule="exact"/>
        <w:rPr>
          <w:sz w:val="20"/>
          <w:szCs w:val="20"/>
          <w:color w:val="auto"/>
        </w:rPr>
      </w:pPr>
    </w:p>
    <w:p>
      <w:pPr>
        <w:jc w:val="both"/>
        <w:ind w:right="100" w:firstLine="457"/>
        <w:spacing w:after="0" w:line="255" w:lineRule="auto"/>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Supplemental Indentures Without Consent of Holders.</w:t>
      </w:r>
      <w:r>
        <w:rPr>
          <w:rFonts w:ascii="Arial" w:cs="Arial" w:eastAsia="Arial" w:hAnsi="Arial"/>
          <w:sz w:val="18"/>
          <w:szCs w:val="18"/>
          <w:color w:val="auto"/>
        </w:rPr>
        <w:t xml:space="preserve"> The Company, when authorized by the resolutions of the Board of Directors and the Trustee, at the Company’s expense and without notice, may from time to time and at any time enter into an indenture or indentures supplemental hereto for one or more of the following purposes:</w:t>
      </w:r>
    </w:p>
    <w:p>
      <w:pPr>
        <w:spacing w:after="0" w:line="189" w:lineRule="exact"/>
        <w:rPr>
          <w:sz w:val="20"/>
          <w:szCs w:val="20"/>
          <w:color w:val="auto"/>
        </w:rPr>
      </w:pPr>
    </w:p>
    <w:p>
      <w:pPr>
        <w:ind w:right="440" w:firstLine="463"/>
        <w:spacing w:after="0" w:line="265" w:lineRule="auto"/>
        <w:tabs>
          <w:tab w:leader="none" w:pos="6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or supplement any ambiguity, omission, defect or inconsistency as determined in good faith by the Company, as evidenced in an Officers’ Certificate;</w:t>
      </w:r>
    </w:p>
    <w:p>
      <w:pPr>
        <w:spacing w:after="0" w:line="179" w:lineRule="exact"/>
        <w:rPr>
          <w:rFonts w:ascii="Arial" w:cs="Arial" w:eastAsia="Arial" w:hAnsi="Arial"/>
          <w:sz w:val="18"/>
          <w:szCs w:val="18"/>
          <w:color w:val="auto"/>
        </w:rPr>
      </w:pPr>
    </w:p>
    <w:p>
      <w:pPr>
        <w:ind w:left="720" w:hanging="257"/>
        <w:spacing w:after="0"/>
        <w:tabs>
          <w:tab w:leader="none" w:pos="7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provide for the assumption by a Successor Company of the obligations of the Company under this Indenture pursuant to Article 11 or Section 13.07;</w:t>
      </w:r>
    </w:p>
    <w:p>
      <w:pPr>
        <w:spacing w:after="0" w:line="251" w:lineRule="exact"/>
        <w:rPr>
          <w:rFonts w:ascii="Arial" w:cs="Arial" w:eastAsia="Arial" w:hAnsi="Arial"/>
          <w:sz w:val="15"/>
          <w:szCs w:val="15"/>
          <w:color w:val="auto"/>
        </w:rPr>
      </w:pPr>
    </w:p>
    <w:p>
      <w:pPr>
        <w:ind w:left="700" w:hanging="237"/>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guarantees with respect to the Notes;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3" w:right="239" w:bottom="1440" w:gutter="0" w:footer="0" w:header="0"/>
        </w:sectPr>
      </w:pPr>
    </w:p>
    <w:bookmarkStart w:id="59" w:name="page60"/>
    <w:bookmarkEnd w:id="59"/>
    <w:p>
      <w:pPr>
        <w:ind w:left="720" w:hanging="257"/>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to secure the Notes;</w:t>
      </w:r>
    </w:p>
    <w:p>
      <w:pPr>
        <w:spacing w:after="0" w:line="217" w:lineRule="exact"/>
        <w:rPr>
          <w:rFonts w:ascii="Arial" w:cs="Arial" w:eastAsia="Arial" w:hAnsi="Arial"/>
          <w:sz w:val="18"/>
          <w:szCs w:val="18"/>
          <w:color w:val="auto"/>
        </w:rPr>
      </w:pPr>
    </w:p>
    <w:p>
      <w:pPr>
        <w:ind w:right="680" w:firstLine="463"/>
        <w:spacing w:after="0" w:line="265" w:lineRule="auto"/>
        <w:tabs>
          <w:tab w:leader="none" w:pos="6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to the covenants of the Company or Events of Default for the benefit of the Holders or surrender any right or power conferred upon the Company;</w:t>
      </w:r>
    </w:p>
    <w:p>
      <w:pPr>
        <w:spacing w:after="0" w:line="179" w:lineRule="exact"/>
        <w:rPr>
          <w:rFonts w:ascii="Arial" w:cs="Arial" w:eastAsia="Arial" w:hAnsi="Arial"/>
          <w:sz w:val="18"/>
          <w:szCs w:val="18"/>
          <w:color w:val="auto"/>
        </w:rPr>
      </w:pPr>
    </w:p>
    <w:p>
      <w:pPr>
        <w:ind w:right="240" w:firstLine="463"/>
        <w:spacing w:after="0" w:line="265" w:lineRule="auto"/>
        <w:tabs>
          <w:tab w:leader="none" w:pos="6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as determined in good faith by the Company, as evidenced in an Officers’ Certificate;</w:t>
      </w:r>
    </w:p>
    <w:p>
      <w:pPr>
        <w:spacing w:after="0" w:line="179" w:lineRule="exact"/>
        <w:rPr>
          <w:rFonts w:ascii="Arial" w:cs="Arial" w:eastAsia="Arial" w:hAnsi="Arial"/>
          <w:sz w:val="18"/>
          <w:szCs w:val="18"/>
          <w:color w:val="auto"/>
        </w:rPr>
      </w:pPr>
    </w:p>
    <w:p>
      <w:pPr>
        <w:ind w:right="360" w:firstLine="463"/>
        <w:spacing w:after="0" w:line="265" w:lineRule="auto"/>
        <w:tabs>
          <w:tab w:leader="none" w:pos="7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conform the provisions of this Indenture or the Notes to the “Description of Notes” section of the Offering Memorandum as determined in good faith by the Company, as evidenced in an Officers’ Certificate;</w:t>
      </w:r>
    </w:p>
    <w:p>
      <w:pPr>
        <w:spacing w:after="0" w:line="179" w:lineRule="exact"/>
        <w:rPr>
          <w:rFonts w:ascii="Arial" w:cs="Arial" w:eastAsia="Arial" w:hAnsi="Arial"/>
          <w:sz w:val="18"/>
          <w:szCs w:val="18"/>
          <w:color w:val="auto"/>
        </w:rPr>
      </w:pPr>
    </w:p>
    <w:p>
      <w:pPr>
        <w:ind w:left="720" w:hanging="257"/>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and provide for the appointment under this Indenture of a successor Trustee; or</w:t>
      </w:r>
    </w:p>
    <w:p>
      <w:pPr>
        <w:spacing w:after="0" w:line="217" w:lineRule="exact"/>
        <w:rPr>
          <w:rFonts w:ascii="Arial" w:cs="Arial" w:eastAsia="Arial" w:hAnsi="Arial"/>
          <w:sz w:val="18"/>
          <w:szCs w:val="18"/>
          <w:color w:val="auto"/>
        </w:rPr>
      </w:pPr>
    </w:p>
    <w:p>
      <w:pPr>
        <w:ind w:firstLine="463"/>
        <w:spacing w:after="0" w:line="265" w:lineRule="auto"/>
        <w:tabs>
          <w:tab w:leader="none" w:pos="6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interests of the Holders in any material respect as determined in good faith by the Company, as evidenced in an Officers’ Certificate.</w:t>
      </w:r>
    </w:p>
    <w:p>
      <w:pPr>
        <w:spacing w:after="0" w:line="179" w:lineRule="exact"/>
        <w:rPr>
          <w:sz w:val="20"/>
          <w:szCs w:val="20"/>
          <w:color w:val="auto"/>
        </w:rPr>
      </w:pPr>
    </w:p>
    <w:p>
      <w:pPr>
        <w:ind w:right="60" w:firstLine="457"/>
        <w:spacing w:after="0" w:line="277" w:lineRule="auto"/>
        <w:rPr>
          <w:sz w:val="20"/>
          <w:szCs w:val="20"/>
          <w:color w:val="auto"/>
        </w:rPr>
      </w:pPr>
      <w:r>
        <w:rPr>
          <w:rFonts w:ascii="Arial" w:cs="Arial" w:eastAsia="Arial" w:hAnsi="Arial"/>
          <w:sz w:val="17"/>
          <w:szCs w:val="17"/>
          <w:color w:val="auto"/>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72" w:lineRule="exact"/>
        <w:rPr>
          <w:sz w:val="20"/>
          <w:szCs w:val="20"/>
          <w:color w:val="auto"/>
        </w:rPr>
      </w:pPr>
    </w:p>
    <w:p>
      <w:pPr>
        <w:ind w:right="200" w:firstLine="457"/>
        <w:spacing w:after="0" w:line="265" w:lineRule="auto"/>
        <w:rPr>
          <w:sz w:val="20"/>
          <w:szCs w:val="20"/>
          <w:color w:val="auto"/>
        </w:rPr>
      </w:pPr>
      <w:r>
        <w:rPr>
          <w:rFonts w:ascii="Arial" w:cs="Arial" w:eastAsia="Arial" w:hAnsi="Arial"/>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79" w:lineRule="exact"/>
        <w:rPr>
          <w:sz w:val="20"/>
          <w:szCs w:val="20"/>
          <w:color w:val="auto"/>
        </w:rPr>
      </w:pPr>
    </w:p>
    <w:p>
      <w:pPr>
        <w:ind w:right="100" w:firstLine="457"/>
        <w:spacing w:after="0" w:line="249" w:lineRule="auto"/>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Supplemental Indentures with Consent of Holders.</w:t>
      </w:r>
      <w:r>
        <w:rPr>
          <w:rFonts w:ascii="Arial" w:cs="Arial" w:eastAsia="Arial" w:hAnsi="Arial"/>
          <w:sz w:val="18"/>
          <w:szCs w:val="18"/>
          <w:color w:val="auto"/>
        </w:rPr>
        <w:t xml:space="preserve"> With the consent (evidenced as provided in Article 8) of the Holders of at least a majority in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without the consent of each Holder of an outstanding Note affected, no such supplemental indenture shall:</w:t>
      </w:r>
    </w:p>
    <w:p>
      <w:pPr>
        <w:spacing w:after="0" w:line="194" w:lineRule="exact"/>
        <w:rPr>
          <w:sz w:val="20"/>
          <w:szCs w:val="20"/>
          <w:color w:val="auto"/>
        </w:rPr>
      </w:pPr>
    </w:p>
    <w:p>
      <w:pPr>
        <w:ind w:left="700" w:hanging="237"/>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w:t>
      </w:r>
    </w:p>
    <w:p>
      <w:pPr>
        <w:spacing w:after="0" w:line="217" w:lineRule="exact"/>
        <w:rPr>
          <w:rFonts w:ascii="Arial" w:cs="Arial" w:eastAsia="Arial" w:hAnsi="Arial"/>
          <w:sz w:val="18"/>
          <w:szCs w:val="18"/>
          <w:color w:val="auto"/>
        </w:rPr>
      </w:pPr>
    </w:p>
    <w:p>
      <w:pPr>
        <w:ind w:left="720" w:hanging="257"/>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rate of or extend the stated time for payment of interest on any Note;</w:t>
      </w:r>
    </w:p>
    <w:p>
      <w:pPr>
        <w:spacing w:after="0" w:line="217" w:lineRule="exact"/>
        <w:rPr>
          <w:rFonts w:ascii="Arial" w:cs="Arial" w:eastAsia="Arial" w:hAnsi="Arial"/>
          <w:sz w:val="18"/>
          <w:szCs w:val="18"/>
          <w:color w:val="auto"/>
        </w:rPr>
      </w:pPr>
    </w:p>
    <w:p>
      <w:pPr>
        <w:ind w:left="700" w:hanging="237"/>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of or extend the Maturity Date of any Note;</w:t>
      </w:r>
    </w:p>
    <w:p>
      <w:pPr>
        <w:spacing w:after="0" w:line="217" w:lineRule="exact"/>
        <w:rPr>
          <w:rFonts w:ascii="Arial" w:cs="Arial" w:eastAsia="Arial" w:hAnsi="Arial"/>
          <w:sz w:val="18"/>
          <w:szCs w:val="18"/>
          <w:color w:val="auto"/>
        </w:rPr>
      </w:pPr>
    </w:p>
    <w:p>
      <w:pPr>
        <w:ind w:left="720" w:hanging="257"/>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3" w:right="239" w:bottom="1440" w:gutter="0" w:footer="0" w:header="0"/>
        </w:sectPr>
      </w:pPr>
    </w:p>
    <w:bookmarkStart w:id="60" w:name="page61"/>
    <w:bookmarkEnd w:id="60"/>
    <w:p>
      <w:pPr>
        <w:ind w:right="20" w:firstLine="463"/>
        <w:spacing w:after="0" w:line="294" w:lineRule="auto"/>
        <w:tabs>
          <w:tab w:leader="none" w:pos="697"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reduce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57" w:lineRule="exact"/>
        <w:rPr>
          <w:rFonts w:ascii="Arial" w:cs="Arial" w:eastAsia="Arial" w:hAnsi="Arial"/>
          <w:sz w:val="17"/>
          <w:szCs w:val="17"/>
          <w:color w:val="auto"/>
        </w:rPr>
      </w:pPr>
    </w:p>
    <w:p>
      <w:pPr>
        <w:ind w:left="680" w:hanging="217"/>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w:t>
      </w:r>
    </w:p>
    <w:p>
      <w:pPr>
        <w:spacing w:after="0" w:line="217" w:lineRule="exact"/>
        <w:rPr>
          <w:rFonts w:ascii="Arial" w:cs="Arial" w:eastAsia="Arial" w:hAnsi="Arial"/>
          <w:sz w:val="18"/>
          <w:szCs w:val="18"/>
          <w:color w:val="auto"/>
        </w:rPr>
      </w:pPr>
    </w:p>
    <w:p>
      <w:pPr>
        <w:ind w:right="160" w:firstLine="463"/>
        <w:spacing w:after="0" w:line="265" w:lineRule="auto"/>
        <w:tabs>
          <w:tab w:leader="none" w:pos="7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and interest on such Holder’s Notes on or after the due dates therefor or to institute suit for the enforcement of any payment on or with respect to such Holder’s Note;</w:t>
      </w:r>
    </w:p>
    <w:p>
      <w:pPr>
        <w:spacing w:after="0" w:line="179" w:lineRule="exact"/>
        <w:rPr>
          <w:rFonts w:ascii="Arial" w:cs="Arial" w:eastAsia="Arial" w:hAnsi="Arial"/>
          <w:sz w:val="18"/>
          <w:szCs w:val="18"/>
          <w:color w:val="auto"/>
        </w:rPr>
      </w:pPr>
    </w:p>
    <w:p>
      <w:pPr>
        <w:ind w:left="720" w:hanging="257"/>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 the replacement of Common Stock by Reference Property as described in Section 13.07; or</w:t>
      </w:r>
    </w:p>
    <w:p>
      <w:pPr>
        <w:spacing w:after="0" w:line="217" w:lineRule="exact"/>
        <w:rPr>
          <w:rFonts w:ascii="Arial" w:cs="Arial" w:eastAsia="Arial" w:hAnsi="Arial"/>
          <w:sz w:val="18"/>
          <w:szCs w:val="18"/>
          <w:color w:val="auto"/>
        </w:rPr>
      </w:pPr>
    </w:p>
    <w:p>
      <w:pPr>
        <w:ind w:right="140" w:firstLine="463"/>
        <w:spacing w:after="0" w:line="255" w:lineRule="auto"/>
        <w:tabs>
          <w:tab w:leader="none" w:pos="6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in this Article 10 that requires each Holder’s consent or in the waiver provisions in Section 6.01 or Section 6.09, except to increase any such percentage or to provide that other provisions of the Indenture cannot be modified or waived without the consent of the Holder of each outstanding Note affected thereby.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written request of the Company, and upon the filing with the Trustee of evidence of the consent of Holders as aforesaid and subject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10.05, the Trustee shall join with the Company in the execution of such supplemental indenture unless such supplemental indenture affects the Trustee’s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own rights, duties or immunities under this Indenture or otherwise, in which case the Trustee may in its discretion, but shall not be obligated to, enter into such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indenture.</w:t>
      </w:r>
    </w:p>
    <w:p>
      <w:pPr>
        <w:spacing w:after="0" w:line="206"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mail to the Holders a notice briefly describing such supplemental indenture. However, the failure to give such notice to all the Holders, or any defect in the notice, will not impair or affect the validity of the supplemental indenture.</w:t>
      </w:r>
    </w:p>
    <w:p>
      <w:pPr>
        <w:spacing w:after="0" w:line="191"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Section 10.03</w:t>
      </w:r>
      <w:r>
        <w:rPr>
          <w:rFonts w:ascii="Arial" w:cs="Arial" w:eastAsia="Arial" w:hAnsi="Arial"/>
          <w:sz w:val="17"/>
          <w:szCs w:val="17"/>
          <w:i w:val="1"/>
          <w:iCs w:val="1"/>
          <w:color w:val="auto"/>
        </w:rPr>
        <w:t>. Effect of Supplemental Indentures.</w:t>
      </w:r>
      <w:r>
        <w:rPr>
          <w:rFonts w:ascii="Arial" w:cs="Arial" w:eastAsia="Arial" w:hAnsi="Arial"/>
          <w:sz w:val="17"/>
          <w:szCs w:val="17"/>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7"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Section 10.04</w:t>
      </w:r>
      <w:r>
        <w:rPr>
          <w:rFonts w:ascii="Arial" w:cs="Arial" w:eastAsia="Arial" w:hAnsi="Arial"/>
          <w:sz w:val="18"/>
          <w:szCs w:val="18"/>
          <w:i w:val="1"/>
          <w:iCs w:val="1"/>
          <w:color w:val="auto"/>
        </w:rPr>
        <w:t>. Notation on Notes.</w:t>
      </w:r>
      <w:r>
        <w:rPr>
          <w:rFonts w:ascii="Arial" w:cs="Arial" w:eastAsia="Arial" w:hAnsi="Arial"/>
          <w:sz w:val="18"/>
          <w:szCs w:val="18"/>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16.10) and delivered in exchange for the Notes then outstanding, upon surrender of such Notes then outstanding.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273" w:right="319" w:bottom="1440" w:gutter="0" w:footer="0" w:header="0"/>
        </w:sectPr>
      </w:pPr>
    </w:p>
    <w:bookmarkStart w:id="61" w:name="page62"/>
    <w:bookmarkEnd w:id="61"/>
    <w:p>
      <w:pPr>
        <w:ind w:firstLine="457"/>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Section 10.05</w:t>
      </w:r>
      <w:r>
        <w:rPr>
          <w:rFonts w:ascii="Arial" w:cs="Arial" w:eastAsia="Arial" w:hAnsi="Arial"/>
          <w:sz w:val="18"/>
          <w:szCs w:val="18"/>
          <w:i w:val="1"/>
          <w:iCs w:val="1"/>
          <w:color w:val="auto"/>
        </w:rPr>
        <w:t>. Evidence of Compliance of Supplemental Indenture to Be Furnished Trustee.</w:t>
      </w:r>
      <w:r>
        <w:rPr>
          <w:rFonts w:ascii="Arial" w:cs="Arial" w:eastAsia="Arial" w:hAnsi="Arial"/>
          <w:sz w:val="18"/>
          <w:szCs w:val="18"/>
          <w:color w:val="auto"/>
        </w:rPr>
        <w:t xml:space="preserve"> In addition to the documents required by Section 16.05, the Trustee shall receive an Officers’ Certificate and an Opinion of Counsel as conclusive evidence that any supplemental indenture executed pursuant hereto complies with the requirements of this Article 10 and is permitted or authorized by the Indenture. Such Opinion of Counsel shall state that the executions of such supplemental indenture is authorized or permitted by this Indenture and constitutes the legal, valid and binding obligation of the Company, enforceable against it in accordance with its terms.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w:t>
      </w:r>
      <w:r>
        <w:rPr>
          <w:rFonts w:ascii="Arial" w:cs="Arial" w:eastAsia="Arial" w:hAnsi="Arial"/>
          <w:sz w:val="18"/>
          <w:szCs w:val="18"/>
          <w:color w:val="auto"/>
        </w:rPr>
        <w:t>, C</w:t>
      </w:r>
      <w:r>
        <w:rPr>
          <w:rFonts w:ascii="Arial" w:cs="Arial" w:eastAsia="Arial" w:hAnsi="Arial"/>
          <w:sz w:val="14"/>
          <w:szCs w:val="14"/>
          <w:color w:val="auto"/>
        </w:rPr>
        <w:t>ONVEYANCE AND</w:t>
      </w:r>
      <w:r>
        <w:rPr>
          <w:rFonts w:ascii="Arial" w:cs="Arial" w:eastAsia="Arial" w:hAnsi="Arial"/>
          <w:sz w:val="18"/>
          <w:szCs w:val="18"/>
          <w:color w:val="auto"/>
        </w:rPr>
        <w:t xml:space="preserve"> L</w:t>
      </w:r>
      <w:r>
        <w:rPr>
          <w:rFonts w:ascii="Arial" w:cs="Arial" w:eastAsia="Arial" w:hAnsi="Arial"/>
          <w:sz w:val="14"/>
          <w:szCs w:val="14"/>
          <w:color w:val="auto"/>
        </w:rPr>
        <w:t>EASE</w:t>
      </w:r>
    </w:p>
    <w:p>
      <w:pPr>
        <w:spacing w:after="0" w:line="206" w:lineRule="exact"/>
        <w:rPr>
          <w:sz w:val="20"/>
          <w:szCs w:val="20"/>
          <w:color w:val="auto"/>
        </w:rPr>
      </w:pPr>
    </w:p>
    <w:p>
      <w:pPr>
        <w:ind w:right="180" w:firstLine="457"/>
        <w:spacing w:after="0" w:line="255"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Company May Consolidate, Etc. on Certain Terms.</w:t>
      </w:r>
      <w:r>
        <w:rPr>
          <w:rFonts w:ascii="Arial" w:cs="Arial" w:eastAsia="Arial" w:hAnsi="Arial"/>
          <w:sz w:val="18"/>
          <w:szCs w:val="18"/>
          <w:color w:val="auto"/>
        </w:rPr>
        <w:t xml:space="preserve"> Subject to the provisions of Section 11.02, the Company shall not consolidate with or merge with or into, or sell, convey, transfer or lease all or substantially all of its properties and assets to another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pledge of its assets pursuant to any Credit Facility shall be deemed not to be a sale, conveyance, transfer or lease), unless:</w:t>
      </w:r>
    </w:p>
    <w:p>
      <w:pPr>
        <w:spacing w:after="0" w:line="183" w:lineRule="exact"/>
        <w:rPr>
          <w:sz w:val="20"/>
          <w:szCs w:val="20"/>
          <w:color w:val="auto"/>
        </w:rPr>
      </w:pPr>
    </w:p>
    <w:p>
      <w:pPr>
        <w:ind w:firstLine="463"/>
        <w:spacing w:after="0" w:line="259" w:lineRule="auto"/>
        <w:tabs>
          <w:tab w:leader="none" w:pos="6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resulting, surviving or transferee Person (the “</w:t>
      </w:r>
      <w:r>
        <w:rPr>
          <w:rFonts w:ascii="Arial" w:cs="Arial" w:eastAsia="Arial" w:hAnsi="Arial"/>
          <w:sz w:val="18"/>
          <w:szCs w:val="18"/>
          <w:b w:val="1"/>
          <w:bCs w:val="1"/>
          <w:color w:val="auto"/>
        </w:rPr>
        <w:t>Successor Company</w:t>
      </w:r>
      <w:r>
        <w:rPr>
          <w:rFonts w:ascii="Arial" w:cs="Arial" w:eastAsia="Arial" w:hAnsi="Arial"/>
          <w:sz w:val="18"/>
          <w:szCs w:val="18"/>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spacing w:after="0" w:line="184" w:lineRule="exact"/>
        <w:rPr>
          <w:rFonts w:ascii="Arial" w:cs="Arial" w:eastAsia="Arial" w:hAnsi="Arial"/>
          <w:sz w:val="18"/>
          <w:szCs w:val="18"/>
          <w:color w:val="auto"/>
        </w:rPr>
      </w:pPr>
    </w:p>
    <w:p>
      <w:pPr>
        <w:ind w:left="720" w:hanging="257"/>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under this Indenture.</w:t>
      </w:r>
    </w:p>
    <w:p>
      <w:pPr>
        <w:spacing w:after="0" w:line="229" w:lineRule="exact"/>
        <w:rPr>
          <w:sz w:val="20"/>
          <w:szCs w:val="20"/>
          <w:color w:val="auto"/>
        </w:rPr>
      </w:pPr>
    </w:p>
    <w:p>
      <w:pPr>
        <w:ind w:right="60" w:firstLine="457"/>
        <w:spacing w:after="0" w:line="303" w:lineRule="auto"/>
        <w:rPr>
          <w:sz w:val="20"/>
          <w:szCs w:val="20"/>
          <w:color w:val="auto"/>
        </w:rPr>
      </w:pPr>
      <w:r>
        <w:rPr>
          <w:rFonts w:ascii="Arial" w:cs="Arial" w:eastAsia="Arial" w:hAnsi="Arial"/>
          <w:sz w:val="15"/>
          <w:szCs w:val="15"/>
          <w:color w:val="auto"/>
        </w:rPr>
        <w:t xml:space="preserve">Section 11.02. </w:t>
      </w:r>
      <w:r>
        <w:rPr>
          <w:rFonts w:ascii="Arial" w:cs="Arial" w:eastAsia="Arial" w:hAnsi="Arial"/>
          <w:sz w:val="15"/>
          <w:szCs w:val="15"/>
          <w:i w:val="1"/>
          <w:iCs w:val="1"/>
          <w:color w:val="auto"/>
        </w:rPr>
        <w:t>Successor Corporation to Be Substituted</w:t>
      </w:r>
      <w:r>
        <w:rPr>
          <w:rFonts w:ascii="Arial" w:cs="Arial" w:eastAsia="Arial" w:hAnsi="Arial"/>
          <w:sz w:val="15"/>
          <w:szCs w:val="15"/>
          <w:color w:val="auto"/>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shall succeed to and be substituted for the Company, with the same effect as if it had been named herein as the party of the first part, except in the case of a lease of all or substantially all of the Company’s properties and assets.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3" w:right="259" w:bottom="1440" w:gutter="0" w:footer="0" w:header="0"/>
        </w:sectPr>
      </w:pPr>
    </w:p>
    <w:bookmarkStart w:id="62" w:name="page63"/>
    <w:bookmarkEnd w:id="62"/>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w:t>
      </w:r>
    </w:p>
    <w:p>
      <w:pPr>
        <w:spacing w:after="0" w:line="181" w:lineRule="exact"/>
        <w:rPr>
          <w:sz w:val="20"/>
          <w:szCs w:val="20"/>
          <w:color w:val="auto"/>
        </w:rPr>
      </w:pPr>
    </w:p>
    <w:p>
      <w:pPr>
        <w:ind w:right="140" w:firstLine="457"/>
        <w:spacing w:after="0" w:line="265" w:lineRule="auto"/>
        <w:rPr>
          <w:sz w:val="20"/>
          <w:szCs w:val="20"/>
          <w:color w:val="auto"/>
        </w:rPr>
      </w:pPr>
      <w:r>
        <w:rPr>
          <w:rFonts w:ascii="Arial" w:cs="Arial" w:eastAsia="Arial" w:hAnsi="Arial"/>
          <w:sz w:val="18"/>
          <w:szCs w:val="18"/>
          <w:color w:val="auto"/>
        </w:rPr>
        <w:t>In case of any such consolidation, merger, sale, conveyance, transfer or lease, such changes in phraseology and form (but not in substance) may be made in the Notes thereafter to be issued as may be appropriate.</w:t>
      </w:r>
    </w:p>
    <w:p>
      <w:pPr>
        <w:spacing w:after="0" w:line="179"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Section 11.03</w:t>
      </w:r>
      <w:r>
        <w:rPr>
          <w:rFonts w:ascii="Arial" w:cs="Arial" w:eastAsia="Arial" w:hAnsi="Arial"/>
          <w:sz w:val="18"/>
          <w:szCs w:val="18"/>
          <w:i w:val="1"/>
          <w:iCs w:val="1"/>
          <w:color w:val="auto"/>
        </w:rPr>
        <w:t>. Opinion of Counsel to Be Given to Trustee.</w:t>
      </w:r>
      <w:r>
        <w:rPr>
          <w:rFonts w:ascii="Arial" w:cs="Arial" w:eastAsia="Arial" w:hAnsi="Arial"/>
          <w:sz w:val="18"/>
          <w:szCs w:val="18"/>
          <w:color w:val="auto"/>
        </w:rPr>
        <w:t xml:space="preserve"> No consolidation, merger, sale, conveyance, transfer or lease shall be effective unless the Trustee shall receive as conclusive evidence an Officers’ Certificate and an Opinion of Counsel that any such consolidation, merger, sale, conveyance, transfer or lease and any such assumption and, if a supplemental indenture is required in connection with such transaction, such supplemental indenture, complies with the provisions of this Article 11.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MMUNITY OF</w:t>
      </w:r>
      <w:r>
        <w:rPr>
          <w:rFonts w:ascii="Arial" w:cs="Arial" w:eastAsia="Arial" w:hAnsi="Arial"/>
          <w:sz w:val="18"/>
          <w:szCs w:val="18"/>
          <w:color w:val="auto"/>
        </w:rPr>
        <w:t xml:space="preserve"> I</w:t>
      </w:r>
      <w:r>
        <w:rPr>
          <w:rFonts w:ascii="Arial" w:cs="Arial" w:eastAsia="Arial" w:hAnsi="Arial"/>
          <w:sz w:val="14"/>
          <w:szCs w:val="14"/>
          <w:color w:val="auto"/>
        </w:rPr>
        <w:t>NCORPORATORS</w:t>
      </w:r>
      <w:r>
        <w:rPr>
          <w:rFonts w:ascii="Arial" w:cs="Arial" w:eastAsia="Arial" w:hAnsi="Arial"/>
          <w:sz w:val="18"/>
          <w:szCs w:val="18"/>
          <w:color w:val="auto"/>
        </w:rPr>
        <w:t>, S</w:t>
      </w:r>
      <w:r>
        <w:rPr>
          <w:rFonts w:ascii="Arial" w:cs="Arial" w:eastAsia="Arial" w:hAnsi="Arial"/>
          <w:sz w:val="14"/>
          <w:szCs w:val="14"/>
          <w:color w:val="auto"/>
        </w:rPr>
        <w:t>TOCKHOLDERS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206" w:lineRule="exact"/>
        <w:rPr>
          <w:sz w:val="20"/>
          <w:szCs w:val="20"/>
          <w:color w:val="auto"/>
        </w:rPr>
      </w:pPr>
    </w:p>
    <w:p>
      <w:pPr>
        <w:ind w:right="180" w:firstLine="457"/>
        <w:spacing w:after="0" w:line="307" w:lineRule="auto"/>
        <w:rPr>
          <w:sz w:val="20"/>
          <w:szCs w:val="20"/>
          <w:color w:val="auto"/>
        </w:rPr>
      </w:pPr>
      <w:r>
        <w:rPr>
          <w:rFonts w:ascii="Arial" w:cs="Arial" w:eastAsia="Arial" w:hAnsi="Arial"/>
          <w:sz w:val="15"/>
          <w:szCs w:val="15"/>
          <w:color w:val="auto"/>
        </w:rPr>
        <w:t>Section 12.01</w:t>
      </w:r>
      <w:r>
        <w:rPr>
          <w:rFonts w:ascii="Arial" w:cs="Arial" w:eastAsia="Arial" w:hAnsi="Arial"/>
          <w:sz w:val="15"/>
          <w:szCs w:val="15"/>
          <w:i w:val="1"/>
          <w:iCs w:val="1"/>
          <w:color w:val="auto"/>
        </w:rPr>
        <w:t>. Indenture and Notes Solely Corporate Obligations.</w:t>
      </w:r>
      <w:r>
        <w:rPr>
          <w:rFonts w:ascii="Arial" w:cs="Arial" w:eastAsia="Arial" w:hAnsi="Arial"/>
          <w:sz w:val="15"/>
          <w:szCs w:val="15"/>
          <w:color w:val="auto"/>
        </w:rPr>
        <w:t xml:space="preserve"> No recourse for the payment of the principal of or accrued and unpaid interest on any Note, or for any claim based thereon or otherwise in respect thereof, and no recourse under or upon any obligation, covenant or agreement of the Company in this Indenture or in any supplemental indenture or in any Note, or because of the creation of any indebtedness represented thereby, shall be had against any incorporator, stockholder, investment adviser, employee, agent, Officer,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ONVERSION OF</w:t>
      </w:r>
      <w:r>
        <w:rPr>
          <w:rFonts w:ascii="Arial" w:cs="Arial" w:eastAsia="Arial" w:hAnsi="Arial"/>
          <w:sz w:val="18"/>
          <w:szCs w:val="18"/>
          <w:color w:val="auto"/>
        </w:rPr>
        <w:t xml:space="preserve"> N</w:t>
      </w:r>
      <w:r>
        <w:rPr>
          <w:rFonts w:ascii="Arial" w:cs="Arial" w:eastAsia="Arial" w:hAnsi="Arial"/>
          <w:sz w:val="14"/>
          <w:szCs w:val="14"/>
          <w:color w:val="auto"/>
        </w:rPr>
        <w:t>OTES</w:t>
      </w:r>
    </w:p>
    <w:p>
      <w:pPr>
        <w:spacing w:after="0" w:line="206" w:lineRule="exact"/>
        <w:rPr>
          <w:sz w:val="20"/>
          <w:szCs w:val="20"/>
          <w:color w:val="auto"/>
        </w:rPr>
      </w:pPr>
    </w:p>
    <w:p>
      <w:pPr>
        <w:ind w:right="40" w:firstLine="457"/>
        <w:spacing w:after="0" w:line="255"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Conversion Privilege</w:t>
      </w:r>
      <w:r>
        <w:rPr>
          <w:rFonts w:ascii="Arial" w:cs="Arial" w:eastAsia="Arial" w:hAnsi="Arial"/>
          <w:sz w:val="18"/>
          <w:szCs w:val="18"/>
          <w:color w:val="auto"/>
        </w:rPr>
        <w:t>. (a) Subject to and upon compliance with the provisions of this Article 13, each Holder of a Note shall have the right, at such Holder’s option, to convert all or any portion (if the portion to be converted is $1,000 principal amount or an integral multiple thereof) of such Note (i) subject to satisfaction of the conditions described 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3" w:right="259" w:bottom="1440" w:gutter="0" w:footer="0" w:header="0"/>
        </w:sectPr>
      </w:pPr>
    </w:p>
    <w:bookmarkStart w:id="63" w:name="page64"/>
    <w:bookmarkEnd w:id="63"/>
    <w:p>
      <w:pPr>
        <w:ind w:right="20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Section 13.01(b), at any time prior to June 15, 2019 under the circumstances and during the periods set forth in Section 13.01(b), and (ii) irrespective of the conditions described in Section 13.01(b), on or after June 15, 2019 and prior to the close of business on the Scheduled Trading Day immediately preceding the Maturity Date, in each case, at an initial conversion rate of 38.7162 shares of Common Stock (subject to adjustment as provided in Section 13.04, the “</w:t>
      </w:r>
      <w:r>
        <w:rPr>
          <w:rFonts w:ascii="Arial" w:cs="Arial" w:eastAsia="Arial" w:hAnsi="Arial"/>
          <w:sz w:val="15"/>
          <w:szCs w:val="15"/>
          <w:b w:val="1"/>
          <w:bCs w:val="1"/>
          <w:color w:val="auto"/>
        </w:rPr>
        <w:t>Conversion Rate</w:t>
      </w:r>
      <w:r>
        <w:rPr>
          <w:rFonts w:ascii="Arial" w:cs="Arial" w:eastAsia="Arial" w:hAnsi="Arial"/>
          <w:sz w:val="15"/>
          <w:szCs w:val="15"/>
          <w:color w:val="auto"/>
        </w:rPr>
        <w:t>”) per $1,000 principal amount of Notes (subject to the settlement provisions of Section 13.02, the “</w:t>
      </w:r>
      <w:r>
        <w:rPr>
          <w:rFonts w:ascii="Arial" w:cs="Arial" w:eastAsia="Arial" w:hAnsi="Arial"/>
          <w:sz w:val="15"/>
          <w:szCs w:val="15"/>
          <w:b w:val="1"/>
          <w:bCs w:val="1"/>
          <w:color w:val="auto"/>
        </w:rPr>
        <w:t>Conversion Obligation</w:t>
      </w:r>
      <w:r>
        <w:rPr>
          <w:rFonts w:ascii="Arial" w:cs="Arial" w:eastAsia="Arial" w:hAnsi="Arial"/>
          <w:sz w:val="15"/>
          <w:szCs w:val="15"/>
          <w:color w:val="auto"/>
        </w:rPr>
        <w:t>”).</w:t>
      </w:r>
    </w:p>
    <w:p>
      <w:pPr>
        <w:spacing w:after="0" w:line="147" w:lineRule="exact"/>
        <w:rPr>
          <w:sz w:val="20"/>
          <w:szCs w:val="20"/>
          <w:color w:val="auto"/>
        </w:rPr>
      </w:pPr>
    </w:p>
    <w:p>
      <w:pPr>
        <w:ind w:firstLine="463"/>
        <w:spacing w:after="0" w:line="299" w:lineRule="auto"/>
        <w:tabs>
          <w:tab w:leader="none" w:pos="70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 Prior to the close of business on the Business Day immediately preceding June 15, 2019, the Notes may be surrendered for conversion during the five Business Day period immediately after any five consecutive Trading Day period (the “</w:t>
      </w:r>
      <w:r>
        <w:rPr>
          <w:rFonts w:ascii="Arial" w:cs="Arial" w:eastAsia="Arial" w:hAnsi="Arial"/>
          <w:sz w:val="15"/>
          <w:szCs w:val="15"/>
          <w:b w:val="1"/>
          <w:bCs w:val="1"/>
          <w:color w:val="auto"/>
        </w:rPr>
        <w:t>Measurement Period</w:t>
      </w:r>
      <w:r>
        <w:rPr>
          <w:rFonts w:ascii="Arial" w:cs="Arial" w:eastAsia="Arial" w:hAnsi="Arial"/>
          <w:sz w:val="15"/>
          <w:szCs w:val="15"/>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and the Conversion Rate on each such Trading Day. The Trading Prices shall be determined by the Bid Solicitation Agent pursuant to this subsection (b)(i) and the definition of Trading Price set forth in this Indenture. The Company shall provide written notice to the Bid Solicitation Agent of the three independent nationally recognized securities dealers selected by the Company pursuant to the definition of Trading Price, along with appropriate contact information for each. The Bid Solicitation Agent shall have no obligation to determine the Trading Price per $1,000 principal amount of Notes unless the Company has requested such determination; and the Company shall have no obligation to make such request unless Holders of at least $2,000,000 aggregate principal amount of Notes provide the Company with reasonable evidence that the Trading Price per $1,000 principal amount of Notes would be less than 98% of the product of the Last Reported Sale Price of the Common Stock and the Conversion Rate, at which time the Company shall instruct the Bid Solicitation Agent to determine in the manner provided herein the Trading Price per $1,000 principal amount of Notes beginning on the next Trading Day and on each successive Trading Day until the Trading Price per Note is greater than or equal to 98% of the product of the Last Reported Sale Price of the Common Stock and the Conversion Rate. If the Company does not instruct the Bid Solicitation Agent to determine the Trading Price per $1,000 principal amount of Notes when obligated as provided in the preceding sentence, or if the Company instructs the Bid Solicitation Agent to obtain bids and the Bid Solicitation Agent fails to make such determination,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If, at any time after the Trading Price condition set forth above has been met, the Trading Price per $1,000 principal amount of Notes is greater than or equal to 98% of the product of the Last Reported Sale Price of the Common Stock and the applicable Conversion Rate, the Company shall so notify the Holders of the Notes, the Trustee and the Conversion Agent (if other than the Trustee).</w:t>
      </w:r>
    </w:p>
    <w:p>
      <w:pPr>
        <w:spacing w:after="0" w:line="372" w:lineRule="exact"/>
        <w:rPr>
          <w:rFonts w:ascii="Arial" w:cs="Arial" w:eastAsia="Arial" w:hAnsi="Arial"/>
          <w:sz w:val="15"/>
          <w:szCs w:val="15"/>
          <w:color w:val="auto"/>
        </w:rPr>
      </w:pPr>
    </w:p>
    <w:p>
      <w:pPr>
        <w:ind w:left="1180" w:hanging="261"/>
        <w:spacing w:after="0"/>
        <w:tabs>
          <w:tab w:leader="none" w:pos="11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prior to the close of business on the Business Day immediately preceding June 15, 2019, the Company elects to:</w:t>
      </w:r>
    </w:p>
    <w:p>
      <w:pPr>
        <w:spacing w:after="0" w:line="111" w:lineRule="exact"/>
        <w:rPr>
          <w:rFonts w:ascii="Arial" w:cs="Arial" w:eastAsia="Arial" w:hAnsi="Arial"/>
          <w:sz w:val="18"/>
          <w:szCs w:val="18"/>
          <w:color w:val="auto"/>
        </w:rPr>
      </w:pPr>
    </w:p>
    <w:p>
      <w:pPr>
        <w:ind w:left="920" w:right="220" w:firstLine="419"/>
        <w:spacing w:after="0" w:line="265" w:lineRule="auto"/>
        <w:tabs>
          <w:tab w:leader="none" w:pos="1629" w:val="left"/>
        </w:tabs>
        <w:numPr>
          <w:ilvl w:val="2"/>
          <w:numId w:val="42"/>
        </w:numPr>
        <w:rPr>
          <w:rFonts w:ascii="Arial" w:cs="Arial" w:eastAsia="Arial" w:hAnsi="Arial"/>
          <w:sz w:val="18"/>
          <w:szCs w:val="18"/>
          <w:color w:val="auto"/>
        </w:rPr>
      </w:pPr>
      <w:r>
        <w:rPr>
          <w:rFonts w:ascii="Arial" w:cs="Arial" w:eastAsia="Arial" w:hAnsi="Arial"/>
          <w:sz w:val="18"/>
          <w:szCs w:val="18"/>
          <w:color w:val="auto"/>
        </w:rPr>
        <w:t>issue to all or substantially all holders of its Common Stock any rights, options or warrants entitling them, for a period of not more than 45 calendar days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3" w:right="239" w:bottom="1440" w:gutter="0" w:footer="0" w:header="0"/>
        </w:sectPr>
      </w:pPr>
    </w:p>
    <w:bookmarkStart w:id="64" w:name="page65"/>
    <w:bookmarkEnd w:id="64"/>
    <w:p>
      <w:pPr>
        <w:ind w:left="920" w:right="3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after the announcement date of such issuance, to subscribe for or purchase shares of its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83" w:lineRule="exact"/>
        <w:rPr>
          <w:sz w:val="20"/>
          <w:szCs w:val="20"/>
          <w:color w:val="auto"/>
        </w:rPr>
      </w:pPr>
    </w:p>
    <w:p>
      <w:pPr>
        <w:ind w:left="920" w:right="200" w:firstLine="419"/>
        <w:spacing w:after="0" w:line="277" w:lineRule="auto"/>
        <w:tabs>
          <w:tab w:leader="none" w:pos="1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distribute to all or substantially all holders of its Common Stock the Company’s assets, debt securities or rights to purchase securities of the Company, which distribution has a per share value, as reasonably determined by the Board of Directors, exceeding 10% of the Last Reported Sale Price of the Common Stock on the Trading Day preceding the date of announcement for such distribution,</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 xml:space="preserve">then, in either case, the Company shall notify all Holders of the Notes, the Trustee and the Conversion Agent (if other than the Trustee) at least 25 Scheduled Trading Days prior to the Ex-Dividend Date for such issuance or distribution. Once the Company has given such notice, the Notes may be surrendered for conversion at any time until the earlier of (1) the close of business on the Business Day immediately preceding the Ex-Dividend Date for such issuance or distribution and (2) the Company’s announcement that such issuance or distribution will not take place, even if the Notes are not otherwise convertible at such time. Notwithstanding the foregoing, no Notes may be surrendered for conversion if Holders participate, at the same time and upon the same terms as holders of the Common Stock and solely as a result of holding the Notes, in any of the transactions described in clauses (A) or (B) of this subsection (ii) without having to convert their Notes as if they held a number of shares of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Holder. For purposes of Section 13.01(b)(ii)(A),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85" w:lineRule="exact"/>
        <w:rPr>
          <w:sz w:val="20"/>
          <w:szCs w:val="20"/>
          <w:color w:val="auto"/>
        </w:rPr>
      </w:pPr>
    </w:p>
    <w:p>
      <w:pPr>
        <w:ind w:firstLine="919"/>
        <w:spacing w:after="0" w:line="305" w:lineRule="auto"/>
        <w:tabs>
          <w:tab w:leader="none" w:pos="1222" w:val="left"/>
        </w:tabs>
        <w:numPr>
          <w:ilvl w:val="0"/>
          <w:numId w:val="44"/>
        </w:numPr>
        <w:rPr>
          <w:rFonts w:ascii="Arial" w:cs="Arial" w:eastAsia="Arial" w:hAnsi="Arial"/>
          <w:sz w:val="15"/>
          <w:szCs w:val="15"/>
          <w:color w:val="auto"/>
        </w:rPr>
      </w:pPr>
      <w:r>
        <w:rPr>
          <w:rFonts w:ascii="Arial" w:cs="Arial" w:eastAsia="Arial" w:hAnsi="Arial"/>
          <w:sz w:val="15"/>
          <w:szCs w:val="15"/>
          <w:color w:val="auto"/>
        </w:rPr>
        <w:t>If a transaction or event that constitutes a Fundamental Change or a Make-Whole Fundamental Change occurs prior to the close of business on the Business Day immediately preceding June 15, 2019, regardless of whether a Holder has the right to require the Company to repurchase the Notes pursuant to Section 14.01, or if the Company is a party to a consolidation, merger, binding share exchange, or transfer or lease of all or substantially all of its assets, pursuant to which the Common Stock would be converted into cash, securities or other assets, the Notes may be surrendered for conversion at any time from or after the date that is 25 Scheduled Trading Days prior to the anticipated effective date of the transaction (or, if later, the Business Day after the Company gives notice of such transaction) until 35 Trading Days after the actual effective date of such transaction or, if such transaction also constitutes a Fundamental Change, until the related Fundamental Change Repurchase Date. The Company shall notify Holders, the Trustee and the Conversion Agent (if other than the Trustee) (i) as promptly as practicable following the date the Company publicly announces such transaction but in no event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3" w:right="239" w:bottom="1440" w:gutter="0" w:footer="0" w:header="0"/>
        </w:sectPr>
      </w:pPr>
    </w:p>
    <w:bookmarkStart w:id="65" w:name="page66"/>
    <w:bookmarkEnd w:id="65"/>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less than 25 Scheduled Trading Days prior to the anticipated effective date of such transaction (if the effective date of the transaction is known to the Company definitively at that time) or (ii) if the Company does not have knowledge of such transaction at least 25 Scheduled Trading Days prior to the anticipated effective date of such transaction, within two Business Days of the date upon which the Company receives notice, or otherwise becomes aware, of such transaction but in no event later than the actual effective date of such transaction.</w:t>
      </w:r>
    </w:p>
    <w:p>
      <w:pPr>
        <w:spacing w:after="0" w:line="191" w:lineRule="exact"/>
        <w:rPr>
          <w:sz w:val="20"/>
          <w:szCs w:val="20"/>
          <w:color w:val="auto"/>
        </w:rPr>
      </w:pPr>
    </w:p>
    <w:p>
      <w:pPr>
        <w:ind w:right="140" w:firstLine="919"/>
        <w:spacing w:after="0" w:line="307" w:lineRule="auto"/>
        <w:tabs>
          <w:tab w:leader="none" w:pos="1213"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Prior to the close of business on the Business Day immediately preceding June 15, 2019, the Notes may be surrendered for conversion during any calendar quarter commencing after the calendar quarter ending on September 30, 2014 (and only during such calendar quarter), if the Last Reported Sale Price of the Common Stock for at least 20 Trading Days (whether or not consecutive) during the period of 30 consecutive Trading Days ending on the last Trading Day of the immediately preceding calendar quarter as reported to the Conversion Agent by the Company is greater than or equal to 130% of the Conversion Price on each applicable Trading Day. The Company shall determine at the beginning of each calendar quarter commencing after September 30, 2014 whether the Notes may be surrendered for conversion in accordance with this clause (iv) and shall notify the Trustee and the Conversion Agent (if not the Trustee) in writing if the Notes become convertible in accordance with this clause (iv).</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Conversion Procedure; Settlement Upon Conversion</w:t>
      </w:r>
      <w:r>
        <w:rPr>
          <w:rFonts w:ascii="Arial" w:cs="Arial" w:eastAsia="Arial" w:hAnsi="Arial"/>
          <w:sz w:val="18"/>
          <w:szCs w:val="18"/>
          <w:color w:val="auto"/>
        </w:rPr>
        <w:t>.</w:t>
      </w:r>
    </w:p>
    <w:p>
      <w:pPr>
        <w:spacing w:after="0" w:line="217" w:lineRule="exact"/>
        <w:rPr>
          <w:sz w:val="20"/>
          <w:szCs w:val="20"/>
          <w:color w:val="auto"/>
        </w:rPr>
      </w:pPr>
    </w:p>
    <w:p>
      <w:pPr>
        <w:ind w:firstLine="463"/>
        <w:spacing w:after="0" w:line="269" w:lineRule="auto"/>
        <w:tabs>
          <w:tab w:leader="none" w:pos="697"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Subject to this Section 13.02, Section 13.03(b) and Section 13.07(a), upon conversion of any Note, the Company shall pay or deliver, as the case may be, to the converting Holder, in respect of each $1,000 principal amount of Notes being converted, cash (“</w:t>
      </w:r>
      <w:r>
        <w:rPr>
          <w:rFonts w:ascii="Arial" w:cs="Arial" w:eastAsia="Arial" w:hAnsi="Arial"/>
          <w:sz w:val="17"/>
          <w:szCs w:val="17"/>
          <w:b w:val="1"/>
          <w:bCs w:val="1"/>
          <w:color w:val="auto"/>
        </w:rPr>
        <w:t>Cash Settlement</w:t>
      </w:r>
      <w:r>
        <w:rPr>
          <w:rFonts w:ascii="Arial" w:cs="Arial" w:eastAsia="Arial" w:hAnsi="Arial"/>
          <w:sz w:val="17"/>
          <w:szCs w:val="17"/>
          <w:color w:val="auto"/>
        </w:rPr>
        <w:t>”), shares of Common Stock, together with cash, if applicable, in lieu of any fractional share of Common Stock in accordance with subsection (j) of this Section 13.02 (“</w:t>
      </w:r>
      <w:r>
        <w:rPr>
          <w:rFonts w:ascii="Arial" w:cs="Arial" w:eastAsia="Arial" w:hAnsi="Arial"/>
          <w:sz w:val="17"/>
          <w:szCs w:val="17"/>
          <w:b w:val="1"/>
          <w:bCs w:val="1"/>
          <w:color w:val="auto"/>
        </w:rPr>
        <w:t>Physical Settlement</w:t>
      </w:r>
      <w:r>
        <w:rPr>
          <w:rFonts w:ascii="Arial" w:cs="Arial" w:eastAsia="Arial" w:hAnsi="Arial"/>
          <w:sz w:val="17"/>
          <w:szCs w:val="17"/>
          <w:color w:val="auto"/>
        </w:rPr>
        <w:t>”) or a combination of cash and shares of Common Stock, together with cash, if applicable, in lieu of any fractional share of Common Stock in accordance with subsection (j) of this Section 13.02 (“</w:t>
      </w:r>
      <w:r>
        <w:rPr>
          <w:rFonts w:ascii="Arial" w:cs="Arial" w:eastAsia="Arial" w:hAnsi="Arial"/>
          <w:sz w:val="17"/>
          <w:szCs w:val="17"/>
          <w:b w:val="1"/>
          <w:bCs w:val="1"/>
          <w:color w:val="auto"/>
        </w:rPr>
        <w:t>Combination Settlement</w:t>
      </w:r>
      <w:r>
        <w:rPr>
          <w:rFonts w:ascii="Arial" w:cs="Arial" w:eastAsia="Arial" w:hAnsi="Arial"/>
          <w:sz w:val="17"/>
          <w:szCs w:val="17"/>
          <w:color w:val="auto"/>
        </w:rPr>
        <w:t>”), at its election, as set forth in this Section 13.02.</w:t>
      </w:r>
    </w:p>
    <w:p>
      <w:pPr>
        <w:spacing w:after="0" w:line="71" w:lineRule="exact"/>
        <w:rPr>
          <w:rFonts w:ascii="Arial" w:cs="Arial" w:eastAsia="Arial" w:hAnsi="Arial"/>
          <w:sz w:val="17"/>
          <w:szCs w:val="17"/>
          <w:color w:val="auto"/>
        </w:rPr>
      </w:pPr>
    </w:p>
    <w:p>
      <w:pPr>
        <w:ind w:left="1120" w:hanging="2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conversions occurring on or after June 15, 2019 shall be settled using the same Settlement Method.</w:t>
      </w:r>
    </w:p>
    <w:p>
      <w:pPr>
        <w:spacing w:after="0" w:line="111" w:lineRule="exact"/>
        <w:rPr>
          <w:rFonts w:ascii="Arial" w:cs="Arial" w:eastAsia="Arial" w:hAnsi="Arial"/>
          <w:sz w:val="18"/>
          <w:szCs w:val="18"/>
          <w:color w:val="auto"/>
        </w:rPr>
      </w:pPr>
    </w:p>
    <w:p>
      <w:pPr>
        <w:ind w:left="460" w:right="140" w:firstLine="441"/>
        <w:spacing w:after="0" w:line="366" w:lineRule="auto"/>
        <w:tabs>
          <w:tab w:leader="none" w:pos="1159" w:val="left"/>
        </w:tabs>
        <w:numPr>
          <w:ilvl w:val="1"/>
          <w:numId w:val="46"/>
        </w:numPr>
        <w:rPr>
          <w:rFonts w:ascii="Arial" w:cs="Arial" w:eastAsia="Arial" w:hAnsi="Arial"/>
          <w:sz w:val="15"/>
          <w:szCs w:val="15"/>
          <w:color w:val="auto"/>
        </w:rPr>
      </w:pPr>
      <w:r>
        <w:rPr>
          <w:rFonts w:ascii="Arial" w:cs="Arial" w:eastAsia="Arial" w:hAnsi="Arial"/>
          <w:sz w:val="15"/>
          <w:szCs w:val="15"/>
          <w:color w:val="auto"/>
        </w:rPr>
        <w:t>Prior to June 15, 2019, the Company shall use the same Settlement Method for all conversions occurring on the same Conversion Date, but the Company shall not have any obligation to use the same Settlement Method with respect to conversions that occur on different Conversion Dates.</w:t>
      </w:r>
    </w:p>
    <w:p>
      <w:pPr>
        <w:spacing w:after="0" w:line="4" w:lineRule="exact"/>
        <w:rPr>
          <w:rFonts w:ascii="Arial" w:cs="Arial" w:eastAsia="Arial" w:hAnsi="Arial"/>
          <w:sz w:val="15"/>
          <w:szCs w:val="15"/>
          <w:color w:val="auto"/>
        </w:rPr>
      </w:pPr>
    </w:p>
    <w:p>
      <w:pPr>
        <w:ind w:left="460" w:right="100" w:firstLine="441"/>
        <w:spacing w:after="0" w:line="269" w:lineRule="auto"/>
        <w:tabs>
          <w:tab w:leader="none" w:pos="1208" w:val="left"/>
        </w:tabs>
        <w:numPr>
          <w:ilvl w:val="1"/>
          <w:numId w:val="46"/>
        </w:numPr>
        <w:rPr>
          <w:rFonts w:ascii="Arial" w:cs="Arial" w:eastAsia="Arial" w:hAnsi="Arial"/>
          <w:sz w:val="17"/>
          <w:szCs w:val="17"/>
          <w:color w:val="auto"/>
        </w:rPr>
      </w:pPr>
      <w:r>
        <w:rPr>
          <w:rFonts w:ascii="Arial" w:cs="Arial" w:eastAsia="Arial" w:hAnsi="Arial"/>
          <w:sz w:val="17"/>
          <w:szCs w:val="17"/>
          <w:color w:val="auto"/>
        </w:rPr>
        <w:t>If, in respect of any Conversion Date (or any conversions of Notes occurring during the period beginning on, and including, June 15, 2019 and ending on, and including, the Scheduled Trading Day immediately preceding the Maturity Date, as the case may be), the Company elects to deliver a notice (the “</w:t>
      </w:r>
      <w:r>
        <w:rPr>
          <w:rFonts w:ascii="Arial" w:cs="Arial" w:eastAsia="Arial" w:hAnsi="Arial"/>
          <w:sz w:val="17"/>
          <w:szCs w:val="17"/>
          <w:b w:val="1"/>
          <w:bCs w:val="1"/>
          <w:color w:val="auto"/>
        </w:rPr>
        <w:t>Settlement Notice</w:t>
      </w:r>
      <w:r>
        <w:rPr>
          <w:rFonts w:ascii="Arial" w:cs="Arial" w:eastAsia="Arial" w:hAnsi="Arial"/>
          <w:sz w:val="17"/>
          <w:szCs w:val="17"/>
          <w:color w:val="auto"/>
        </w:rPr>
        <w:t>”) of the relevant Settlement Method in respect of such Conversion Date (or such period, as the case may be), the Company, through the Trustee, shall deliver such Settlement Notice to converting Holders no later than the close of business on the Trading Day immediately following the relevant Conversion Date (or, in the case of any conversions occurring 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3" w:right="259" w:bottom="1440" w:gutter="0" w:footer="0" w:header="0"/>
        </w:sectPr>
      </w:pPr>
    </w:p>
    <w:bookmarkStart w:id="66" w:name="page67"/>
    <w:bookmarkEnd w:id="66"/>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or after June 15, 2019, no later than June 15, 2019). If the Company does not elect a Settlement Method prior to the deadline set forth in the immediately preceding sentence, the Company shall no longer have the right to elect Cash Settlement or Physical Settlement and the Company shall be deemed to have elected Combination Settlement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If the Company delivers a Settlement Notice electing Combination Settlement in respect of its Conversion Obligation but does not indicate a Specified Dollar Amount in such Settlement Notice, the Specified Dollar Amount per $1,000 principal amount of Notes shall be deemed to be $1,000.</w:t>
      </w:r>
    </w:p>
    <w:p>
      <w:pPr>
        <w:spacing w:after="0" w:line="75" w:lineRule="exact"/>
        <w:rPr>
          <w:sz w:val="20"/>
          <w:szCs w:val="20"/>
          <w:color w:val="auto"/>
        </w:rPr>
      </w:pPr>
    </w:p>
    <w:p>
      <w:pPr>
        <w:ind w:right="900" w:firstLine="441"/>
        <w:spacing w:after="0" w:line="265" w:lineRule="auto"/>
        <w:tabs>
          <w:tab w:leader="none" w:pos="7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cash, shares of Common Stock or combination of cash and shares of Common Stock in respect of any conversion of Notes (the “</w:t>
      </w:r>
      <w:r>
        <w:rPr>
          <w:rFonts w:ascii="Arial" w:cs="Arial" w:eastAsia="Arial" w:hAnsi="Arial"/>
          <w:sz w:val="18"/>
          <w:szCs w:val="18"/>
          <w:b w:val="1"/>
          <w:bCs w:val="1"/>
          <w:color w:val="auto"/>
        </w:rPr>
        <w:t>Settlement Amount</w:t>
      </w:r>
      <w:r>
        <w:rPr>
          <w:rFonts w:ascii="Arial" w:cs="Arial" w:eastAsia="Arial" w:hAnsi="Arial"/>
          <w:sz w:val="18"/>
          <w:szCs w:val="18"/>
          <w:color w:val="auto"/>
        </w:rPr>
        <w:t>”) shall be computed by the Company as follows:</w:t>
      </w:r>
    </w:p>
    <w:p>
      <w:pPr>
        <w:spacing w:after="0" w:line="73" w:lineRule="exact"/>
        <w:rPr>
          <w:rFonts w:ascii="Arial" w:cs="Arial" w:eastAsia="Arial" w:hAnsi="Arial"/>
          <w:sz w:val="18"/>
          <w:szCs w:val="18"/>
          <w:color w:val="auto"/>
        </w:rPr>
      </w:pPr>
    </w:p>
    <w:p>
      <w:pPr>
        <w:ind w:left="460" w:firstLine="419"/>
        <w:spacing w:after="0" w:line="255" w:lineRule="auto"/>
        <w:tabs>
          <w:tab w:leader="none" w:pos="1169"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82" w:lineRule="exact"/>
        <w:rPr>
          <w:rFonts w:ascii="Arial" w:cs="Arial" w:eastAsia="Arial" w:hAnsi="Arial"/>
          <w:sz w:val="18"/>
          <w:szCs w:val="18"/>
          <w:color w:val="auto"/>
        </w:rPr>
      </w:pPr>
    </w:p>
    <w:p>
      <w:pPr>
        <w:jc w:val="both"/>
        <w:ind w:left="460" w:firstLine="419"/>
        <w:spacing w:after="0" w:line="255"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in respect of such conversion by Cash Settlement, the Company shall pay to the converting Holder in respect of each $1,000 principal amount of Notes being converted an amount in cash equal to the sum of the Daily Conversion Values for each of the 40 consecutive Trading Days during the related Observation Period; and</w:t>
      </w:r>
    </w:p>
    <w:p>
      <w:pPr>
        <w:spacing w:after="0" w:line="82" w:lineRule="exact"/>
        <w:rPr>
          <w:rFonts w:ascii="Arial" w:cs="Arial" w:eastAsia="Arial" w:hAnsi="Arial"/>
          <w:sz w:val="18"/>
          <w:szCs w:val="18"/>
          <w:color w:val="auto"/>
        </w:rPr>
      </w:pPr>
    </w:p>
    <w:p>
      <w:pPr>
        <w:ind w:left="460" w:firstLine="419"/>
        <w:spacing w:after="0" w:line="330" w:lineRule="auto"/>
        <w:tabs>
          <w:tab w:leader="none" w:pos="11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if the Company elects (or is deemed to have elected) to satisfy its Conversion Obligation in respect of such conversion by Combination Settlement, the Company shall pay or deliver, as the case may be, in respect of each $1,000 principal amount of Notes being converted, a Settlement Amount equal to the sum of the Daily Settlement Amounts for each of the 40 consecutive Trading Days during the related Observation Period.</w:t>
      </w:r>
    </w:p>
    <w:p>
      <w:pPr>
        <w:spacing w:after="0" w:line="31" w:lineRule="exact"/>
        <w:rPr>
          <w:rFonts w:ascii="Arial" w:cs="Arial" w:eastAsia="Arial" w:hAnsi="Arial"/>
          <w:sz w:val="15"/>
          <w:szCs w:val="15"/>
          <w:color w:val="auto"/>
        </w:rPr>
      </w:pPr>
    </w:p>
    <w:p>
      <w:pPr>
        <w:ind w:right="140" w:firstLine="441"/>
        <w:spacing w:after="0" w:line="249" w:lineRule="auto"/>
        <w:tabs>
          <w:tab w:leader="none" w:pos="6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any fractional share, the Company shall notify the Trustee and the Conversion Agent (if other than the Trustee) of the Daily Settlement Amounts or the Daily Conversion Values, as the case may be, and the amount of cash payable in lieu of fractional shares of Common Stock. The Trustee and the Conversion Agent (if other than the Trustee) shall have no responsibility for any such determination.</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700" w:top="273" w:right="259" w:bottom="1440" w:gutter="0" w:footer="0" w:header="0"/>
        </w:sectPr>
      </w:pPr>
    </w:p>
    <w:bookmarkStart w:id="67" w:name="page68"/>
    <w:bookmarkEnd w:id="67"/>
    <w:p>
      <w:pPr>
        <w:ind w:right="20" w:firstLine="463"/>
        <w:spacing w:after="0" w:line="302" w:lineRule="auto"/>
        <w:tabs>
          <w:tab w:leader="none" w:pos="707" w:val="left"/>
        </w:tabs>
        <w:numPr>
          <w:ilvl w:val="0"/>
          <w:numId w:val="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Subject to Section 13.02(e), before any Holder of a Note shall be entitled to convert a Note as set forth above, such Holder shall (i) in the case of a Global Note, comply with the procedures of the Depositary in effect at that time and, if required, pay funds equal to interest payable on the next Interest Payment Date to which such Holder is not entitled as set forth in Section 13.02(h) and (ii) in the case of a Physical Note (1) complete, manually sign and deliver an irrevocable notice to the Conversion Agent as set forth in the Form of Notice of Conversion (or a facsimile thereof) (a “</w:t>
      </w:r>
      <w:r>
        <w:rPr>
          <w:rFonts w:ascii="Arial" w:cs="Arial" w:eastAsia="Arial" w:hAnsi="Arial"/>
          <w:sz w:val="15"/>
          <w:szCs w:val="15"/>
          <w:b w:val="1"/>
          <w:bCs w:val="1"/>
          <w:color w:val="auto"/>
        </w:rPr>
        <w:t>Notice of Conversion</w:t>
      </w:r>
      <w:r>
        <w:rPr>
          <w:rFonts w:ascii="Arial" w:cs="Arial" w:eastAsia="Arial" w:hAnsi="Arial"/>
          <w:sz w:val="15"/>
          <w:szCs w:val="15"/>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as set forth in Section 13.02(h). The Trustee (and, if different, the Conversion Agent) shall notify the Company of any conversion pursuant to this Article 13 on the Conversion Date for such conversion. No Notice of Conversion with respect to any Notes may be surrendered by a Holder thereof if such Holder has also delivered a Fundamental Change Repurchase Notice to the Paying Agent in respect of such Notes and not validly withdrawn such Fundamental Change Repurchase Notice in accordance with Section 14.02.</w:t>
      </w:r>
    </w:p>
    <w:p>
      <w:pPr>
        <w:spacing w:after="0" w:line="370" w:lineRule="exact"/>
        <w:rPr>
          <w:sz w:val="20"/>
          <w:szCs w:val="20"/>
          <w:color w:val="auto"/>
        </w:rPr>
      </w:pPr>
    </w:p>
    <w:p>
      <w:pPr>
        <w:ind w:right="160" w:firstLine="457"/>
        <w:spacing w:after="0" w:line="366" w:lineRule="auto"/>
        <w:rPr>
          <w:sz w:val="20"/>
          <w:szCs w:val="20"/>
          <w:color w:val="auto"/>
        </w:rPr>
      </w:pPr>
      <w:r>
        <w:rPr>
          <w:rFonts w:ascii="Arial" w:cs="Arial" w:eastAsia="Arial" w:hAnsi="Arial"/>
          <w:sz w:val="15"/>
          <w:szCs w:val="15"/>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04" w:lineRule="exact"/>
        <w:rPr>
          <w:sz w:val="20"/>
          <w:szCs w:val="20"/>
          <w:color w:val="auto"/>
        </w:rPr>
      </w:pPr>
    </w:p>
    <w:p>
      <w:pPr>
        <w:ind w:firstLine="463"/>
        <w:spacing w:after="0" w:line="303" w:lineRule="auto"/>
        <w:tabs>
          <w:tab w:leader="none" w:pos="697" w:val="left"/>
        </w:tabs>
        <w:numPr>
          <w:ilvl w:val="0"/>
          <w:numId w:val="49"/>
        </w:numPr>
        <w:rPr>
          <w:rFonts w:ascii="Arial" w:cs="Arial" w:eastAsia="Arial" w:hAnsi="Arial"/>
          <w:sz w:val="15"/>
          <w:szCs w:val="15"/>
          <w:color w:val="auto"/>
        </w:rPr>
      </w:pPr>
      <w:r>
        <w:rPr>
          <w:rFonts w:ascii="Arial" w:cs="Arial" w:eastAsia="Arial" w:hAnsi="Arial"/>
          <w:sz w:val="15"/>
          <w:szCs w:val="15"/>
          <w:color w:val="auto"/>
        </w:rPr>
        <w:t>A Note shall be deemed to have been converted immediately prior to the close of business on the date (the “</w:t>
      </w:r>
      <w:r>
        <w:rPr>
          <w:rFonts w:ascii="Arial" w:cs="Arial" w:eastAsia="Arial" w:hAnsi="Arial"/>
          <w:sz w:val="15"/>
          <w:szCs w:val="15"/>
          <w:b w:val="1"/>
          <w:bCs w:val="1"/>
          <w:color w:val="auto"/>
        </w:rPr>
        <w:t>Conversion Date</w:t>
      </w:r>
      <w:r>
        <w:rPr>
          <w:rFonts w:ascii="Arial" w:cs="Arial" w:eastAsia="Arial" w:hAnsi="Arial"/>
          <w:sz w:val="15"/>
          <w:szCs w:val="15"/>
          <w:color w:val="auto"/>
        </w:rPr>
        <w:t>”) that the Holder has complied with the requirements set forth in subsection (b) above. Except as provided in Section 13.03(b) and in Section 13.07, the Company shall pay or deliver, as the case may be, the consideration due in respect of the Conversion Obligation on the third Business Day immediately following the relevant Conversion Date, if the Company elects Physical Settlement, or on the third Business Day immediately following the last Trading Day of the Observation Period, in the case of any other Settlement Method. If any shares of Common Stock are due to converting Holders, the Company shall issue or cause to be issued, and deliver to such Holder, or such Holder’s nominee or nominees, certificates or a book-entry transfer through the Depositary for the full number of shares of Common Stock to which such Holder shall be entitled in satisfaction of the portion of the Company’s Conversion Obligation that consists of shares of Common Stock, and, on or prior to such issuance, the Company shall give the Conversion Agent notice of the number of shares of Common Stock being so issued and the method by which the issuance shall take place. Any required funds due to a converting Holder in connection with a Cash Settlement or Combination Settlement shall be delivered to the Paying Agent and such Holder, or such Holder’s nominee or nominees, in accordance with the procedures set forth in Section 14.03.</w:t>
      </w:r>
    </w:p>
    <w:p>
      <w:pPr>
        <w:spacing w:after="0" w:line="161" w:lineRule="exact"/>
        <w:rPr>
          <w:rFonts w:ascii="Arial" w:cs="Arial" w:eastAsia="Arial" w:hAnsi="Arial"/>
          <w:sz w:val="15"/>
          <w:szCs w:val="15"/>
          <w:color w:val="auto"/>
        </w:rPr>
      </w:pPr>
    </w:p>
    <w:p>
      <w:pPr>
        <w:ind w:right="220" w:firstLine="463"/>
        <w:spacing w:after="0" w:line="294" w:lineRule="auto"/>
        <w:tabs>
          <w:tab w:leader="none" w:pos="7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3" w:right="239" w:bottom="1440" w:gutter="0" w:footer="0" w:header="0"/>
        </w:sectPr>
      </w:pPr>
    </w:p>
    <w:bookmarkStart w:id="68" w:name="page69"/>
    <w:bookmarkEnd w:id="68"/>
    <w:p>
      <w:pPr>
        <w:jc w:val="both"/>
        <w:ind w:right="10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principal amount equal to the unconverted portion of the surrendered Note, without payment of any service charge by the converting Holder but, if required by the Company or Trustee, with payment by the converting Holder of a sum sufficient to cover any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91" w:lineRule="exact"/>
        <w:rPr>
          <w:sz w:val="20"/>
          <w:szCs w:val="20"/>
          <w:color w:val="auto"/>
        </w:rPr>
      </w:pPr>
    </w:p>
    <w:p>
      <w:pPr>
        <w:ind w:right="20" w:firstLine="463"/>
        <w:spacing w:after="0" w:line="250" w:lineRule="auto"/>
        <w:tabs>
          <w:tab w:leader="none" w:pos="6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94" w:lineRule="exact"/>
        <w:rPr>
          <w:rFonts w:ascii="Arial" w:cs="Arial" w:eastAsia="Arial" w:hAnsi="Arial"/>
          <w:sz w:val="18"/>
          <w:szCs w:val="18"/>
          <w:color w:val="auto"/>
        </w:rPr>
      </w:pPr>
    </w:p>
    <w:p>
      <w:pPr>
        <w:ind w:right="180" w:firstLine="463"/>
        <w:spacing w:after="0" w:line="265" w:lineRule="auto"/>
        <w:tabs>
          <w:tab w:leader="none" w:pos="6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provided in Section 13.04, no adjustment shall be made for dividends on any shares issued upon the conversion of any Note as provided in this Article 14.</w:t>
      </w:r>
    </w:p>
    <w:p>
      <w:pPr>
        <w:spacing w:after="0" w:line="179" w:lineRule="exact"/>
        <w:rPr>
          <w:rFonts w:ascii="Arial" w:cs="Arial" w:eastAsia="Arial" w:hAnsi="Arial"/>
          <w:sz w:val="18"/>
          <w:szCs w:val="18"/>
          <w:color w:val="auto"/>
        </w:rPr>
      </w:pPr>
    </w:p>
    <w:p>
      <w:pPr>
        <w:ind w:right="60" w:firstLine="463"/>
        <w:spacing w:after="0" w:line="255" w:lineRule="auto"/>
        <w:tabs>
          <w:tab w:leader="none" w:pos="7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88" w:lineRule="exact"/>
        <w:rPr>
          <w:rFonts w:ascii="Arial" w:cs="Arial" w:eastAsia="Arial" w:hAnsi="Arial"/>
          <w:sz w:val="18"/>
          <w:szCs w:val="18"/>
          <w:color w:val="auto"/>
        </w:rPr>
      </w:pPr>
    </w:p>
    <w:p>
      <w:pPr>
        <w:ind w:firstLine="463"/>
        <w:spacing w:after="0" w:line="302" w:lineRule="auto"/>
        <w:tabs>
          <w:tab w:leader="none" w:pos="707"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Upon conversion, a Holder shall not receive any cash payment for accrued and unpaid interest, if any, except as set forth below. The Company’s settlement of the Conversion Obligation shall be deemed to satisfy in full its obligation to pay the principal amount of the Note and accrued and unpaid interest, if any, to, but not including, the Conversion Date. As a result, accrued and unpaid interest, if any, to, but not including, the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payment shall be required (1) for conversions following the Regular Record Date immediately preceding the Maturity Date; (2) if the Company has specified a Fundamental Change Repurchase Date that is after a Regular Record Date and on or prior to the Business Day immediately following the corresponding Interest Payment Date; or (3) to the extent of any Defaulted Amounts, if any Defaulted Amounts exist at the time of conversion with respect to such Note.</w:t>
      </w:r>
    </w:p>
    <w:p>
      <w:pPr>
        <w:spacing w:after="0" w:line="370" w:lineRule="exact"/>
        <w:rPr>
          <w:rFonts w:ascii="Arial" w:cs="Arial" w:eastAsia="Arial" w:hAnsi="Arial"/>
          <w:sz w:val="15"/>
          <w:szCs w:val="15"/>
          <w:color w:val="auto"/>
        </w:rPr>
      </w:pPr>
    </w:p>
    <w:p>
      <w:pPr>
        <w:ind w:right="120" w:firstLine="463"/>
        <w:spacing w:after="0" w:line="265" w:lineRule="auto"/>
        <w:tabs>
          <w:tab w:leader="none" w:pos="6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Person in whose name the certificate for any shares of Common Stock delivered upon conversion is registered shall be treated as a stockholder of record as of the close of business on the relevant Conversion Date (if the Company elects to satisfy the related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3" w:right="259" w:bottom="1440" w:gutter="0" w:footer="0" w:header="0"/>
        </w:sectPr>
      </w:pPr>
    </w:p>
    <w:bookmarkStart w:id="69" w:name="page70"/>
    <w:bookmarkEnd w:id="69"/>
    <w:p>
      <w:pPr>
        <w:ind w:right="2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Conversion Obligation by Physical Settlement) or the last Trading Day of the relevant Observation Period (if the Company elects to satisfy the related Conversion Obligation by Combination Settlement), as the case may be, in each case solely for the purpose of receiving or participating in any dividend, distribution, issuance, share split or combination, tender or exchange offer or any other event that would lead to a Conversion Rate adjustment as described in Section 13.04. Upon a conversion of Notes, such Person shall no longer be a Holder of such Notes surrendered for conversion.</w:t>
      </w:r>
    </w:p>
    <w:p>
      <w:pPr>
        <w:spacing w:after="0" w:line="147" w:lineRule="exact"/>
        <w:rPr>
          <w:sz w:val="20"/>
          <w:szCs w:val="20"/>
          <w:color w:val="auto"/>
        </w:rPr>
      </w:pPr>
    </w:p>
    <w:p>
      <w:pPr>
        <w:jc w:val="both"/>
        <w:ind w:right="60" w:firstLine="463"/>
        <w:spacing w:after="0" w:line="312" w:lineRule="auto"/>
        <w:tabs>
          <w:tab w:leader="none" w:pos="668"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Company shall not issue any fractional share of Common Stock upon conversion of the Notes and shall instead pay cash in lieu of any fractional share of Common Stock issuable upon conversion based on the Daily VWAP on the relevant Conversion Date (in the case of Physical Settlement) or based on the Daily VWAP on the last Trading Day of the relevant Observation Period (in the case of Combination Settlement). For each Note surrendered for conversion, if the Company has elected Combination Settlement, the full number of shares that shall be issued upon conversion thereof shall be computed on the basis of the aggregate Daily Settlement Amounts for the applicable Observation Period and any fractional shares remaining after such computation shall be paid in cash.</w:t>
      </w:r>
    </w:p>
    <w:p>
      <w:pPr>
        <w:spacing w:after="0" w:line="151" w:lineRule="exact"/>
        <w:rPr>
          <w:rFonts w:ascii="Arial" w:cs="Arial" w:eastAsia="Arial" w:hAnsi="Arial"/>
          <w:sz w:val="15"/>
          <w:szCs w:val="15"/>
          <w:color w:val="auto"/>
        </w:rPr>
      </w:pPr>
    </w:p>
    <w:p>
      <w:pPr>
        <w:ind w:firstLine="463"/>
        <w:spacing w:after="0" w:line="305" w:lineRule="auto"/>
        <w:tabs>
          <w:tab w:leader="none" w:pos="707"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Notwithstanding anything to the contrary herein, no Holder shall be entitled to receive shares of Common Stock upon conversion to the extent (but only to the extent) that such receipt would cause such converting Holder to become, directly or indirectly, a “beneficial owner” (within the meaning of Section 13(d) of the Exchange Act and the rules and regulations promulgated thereunder) of more than 5.0% of the shares of Common Stock outstanding at such time (the “</w:t>
      </w:r>
      <w:r>
        <w:rPr>
          <w:rFonts w:ascii="Arial" w:cs="Arial" w:eastAsia="Arial" w:hAnsi="Arial"/>
          <w:sz w:val="15"/>
          <w:szCs w:val="15"/>
          <w:b w:val="1"/>
          <w:bCs w:val="1"/>
          <w:color w:val="auto"/>
        </w:rPr>
        <w:t>Limitation</w:t>
      </w:r>
      <w:r>
        <w:rPr>
          <w:rFonts w:ascii="Arial" w:cs="Arial" w:eastAsia="Arial" w:hAnsi="Arial"/>
          <w:sz w:val="15"/>
          <w:szCs w:val="15"/>
          <w:color w:val="auto"/>
        </w:rPr>
        <w:t>”). Any purported delivery of shares of Common Stock upon conversion of Notes shall be void and have no effect to the extent (but only to the extent) that such delivery would result in the converting Holder becoming the beneficial owner of more than the Limitation. If any delivery of shares of Common Stock owed to a Holder upon conversion of Notes is not made, in whole or in part, as a result of the Limitation, the Company’s obligation to make such delivery shall not be extinguished and the Company shall deliver such shares as promptly as practicable after any such converting Holder gives notice to the Company that such delivery would not result in it being the beneficial owner of more than 5.0% of the shares of Common Stock outstanding at such time. The Limitation shall no longer apply following the effective date of any Fundamental Change.</w:t>
      </w:r>
    </w:p>
    <w:p>
      <w:pPr>
        <w:spacing w:after="0" w:line="36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Section 13.03</w:t>
      </w:r>
      <w:r>
        <w:rPr>
          <w:rFonts w:ascii="Arial" w:cs="Arial" w:eastAsia="Arial" w:hAnsi="Arial"/>
          <w:sz w:val="17"/>
          <w:szCs w:val="17"/>
          <w:i w:val="1"/>
          <w:iCs w:val="1"/>
          <w:color w:val="auto"/>
        </w:rPr>
        <w:t>. Increased Conversion Rate Applicable to Certain Notes Surrendered in Connection with Make-Whole Fundamental Changes.</w:t>
      </w:r>
      <w:r>
        <w:rPr>
          <w:rFonts w:ascii="Arial" w:cs="Arial" w:eastAsia="Arial" w:hAnsi="Arial"/>
          <w:sz w:val="17"/>
          <w:szCs w:val="17"/>
          <w:color w:val="auto"/>
        </w:rPr>
        <w:t xml:space="preserve"> (a) If a Make-Whole Fundamental Change occurs and a Holder elects to convert its Notes in connection with such Make-Whole Fundamental Change, the Company shall, under the circumstances described below, increase the Conversion Rate for the Notes so surrendered for conversion by a number of additional shares of Common Stock (the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(b) of the definition thereof, the 35th calendar day immediately following the Effective Date of such Make-Whole Fundamental 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3" w:right="239" w:bottom="1440" w:gutter="0" w:footer="0" w:header="0"/>
        </w:sectPr>
      </w:pPr>
    </w:p>
    <w:bookmarkStart w:id="70" w:name="page71"/>
    <w:bookmarkEnd w:id="70"/>
    <w:p>
      <w:pPr>
        <w:ind w:left="-60" w:firstLine="463"/>
        <w:spacing w:after="0" w:line="305" w:lineRule="auto"/>
        <w:tabs>
          <w:tab w:leader="none" w:pos="647" w:val="left"/>
        </w:tabs>
        <w:numPr>
          <w:ilvl w:val="0"/>
          <w:numId w:val="5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Upon surrender of Notes for conversion in connection with a Make-Whole Fundamental Change pursuant to Section 13.01(b)(iii), the Company shall, at its option, satisfy the related Conversion Obligation by Physical Settlement, Cash Settlement or Combination Settlement in accordance with Section 13.02;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if, at the effective time of a Make-Whole Fundamental Change described in clause (b) of the definition of Fundamental Change,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Reference Property is composed entirely of cash, for any conversion of Notes following the Effective Date of such Make-Whole Fundamental Change, the Conversion Obligation per $1,000 principal amount of converted Notes shall be calculated based solely on the Stock Price for the transaction and shall be deemed to be an amount of cash per $1,000 principal amount of converted Notes equal to the Conversion Rate (including any adjustment for Additional Shares), </w:t>
      </w:r>
      <w:r>
        <w:rPr>
          <w:rFonts w:ascii="Arial" w:cs="Arial" w:eastAsia="Arial" w:hAnsi="Arial"/>
          <w:sz w:val="15"/>
          <w:szCs w:val="15"/>
          <w:i w:val="1"/>
          <w:iCs w:val="1"/>
          <w:color w:val="auto"/>
        </w:rPr>
        <w:t xml:space="preserve">multiplied by </w:t>
      </w:r>
      <w:r>
        <w:rPr>
          <w:rFonts w:ascii="Arial" w:cs="Arial" w:eastAsia="Arial" w:hAnsi="Arial"/>
          <w:sz w:val="15"/>
          <w:szCs w:val="15"/>
          <w:color w:val="auto"/>
        </w:rPr>
        <w:t>such Stock Price. In such event, the Conversion Obligation shall be paid to Holders in cash on the third Business Day following the Conversion</w:t>
      </w:r>
      <w:r>
        <w:rPr>
          <w:rFonts w:ascii="Arial" w:cs="Arial" w:eastAsia="Arial" w:hAnsi="Arial"/>
          <w:sz w:val="15"/>
          <w:szCs w:val="15"/>
          <w:i w:val="1"/>
          <w:iCs w:val="1"/>
          <w:color w:val="auto"/>
        </w:rPr>
        <w:t xml:space="preserve"> </w:t>
      </w:r>
      <w:r>
        <w:rPr>
          <w:rFonts w:ascii="Arial" w:cs="Arial" w:eastAsia="Arial" w:hAnsi="Arial"/>
          <w:sz w:val="15"/>
          <w:szCs w:val="15"/>
          <w:color w:val="auto"/>
        </w:rPr>
        <w:t>Date. The Company shall notify the Holders of Notes of the Effective Date of any Make-Whole Fundamental Change and issue a press release announcing such Effective Date no later than five Business Days after such Effective Date.</w:t>
      </w:r>
    </w:p>
    <w:p>
      <w:pPr>
        <w:spacing w:after="0" w:line="367" w:lineRule="exact"/>
        <w:rPr>
          <w:rFonts w:ascii="Arial" w:cs="Arial" w:eastAsia="Arial" w:hAnsi="Arial"/>
          <w:sz w:val="15"/>
          <w:szCs w:val="15"/>
          <w:color w:val="auto"/>
        </w:rPr>
      </w:pPr>
    </w:p>
    <w:p>
      <w:pPr>
        <w:ind w:left="-60" w:right="60" w:firstLine="463"/>
        <w:spacing w:after="0" w:line="305" w:lineRule="auto"/>
        <w:tabs>
          <w:tab w:leader="none" w:pos="63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number of Additional Shares, if any, by which the Conversion Rate shall be increased shall be determined by reference to the table below, based on the date on which the Make-Whole Fundamental Change occurs or becomes effective (the “</w:t>
      </w:r>
      <w:r>
        <w:rPr>
          <w:rFonts w:ascii="Arial" w:cs="Arial" w:eastAsia="Arial" w:hAnsi="Arial"/>
          <w:sz w:val="15"/>
          <w:szCs w:val="15"/>
          <w:b w:val="1"/>
          <w:bCs w:val="1"/>
          <w:color w:val="auto"/>
        </w:rPr>
        <w:t>Effective Date</w:t>
      </w:r>
      <w:r>
        <w:rPr>
          <w:rFonts w:ascii="Arial" w:cs="Arial" w:eastAsia="Arial" w:hAnsi="Arial"/>
          <w:sz w:val="15"/>
          <w:szCs w:val="15"/>
          <w:color w:val="auto"/>
        </w:rPr>
        <w:t>”) and the price (the “</w:t>
      </w:r>
      <w:r>
        <w:rPr>
          <w:rFonts w:ascii="Arial" w:cs="Arial" w:eastAsia="Arial" w:hAnsi="Arial"/>
          <w:sz w:val="15"/>
          <w:szCs w:val="15"/>
          <w:b w:val="1"/>
          <w:bCs w:val="1"/>
          <w:color w:val="auto"/>
        </w:rPr>
        <w:t>Stock Price</w:t>
      </w:r>
      <w:r>
        <w:rPr>
          <w:rFonts w:ascii="Arial" w:cs="Arial" w:eastAsia="Arial" w:hAnsi="Arial"/>
          <w:sz w:val="15"/>
          <w:szCs w:val="15"/>
          <w:color w:val="auto"/>
        </w:rPr>
        <w:t>”) paid (or deemed to be paid) per share of the Common Stock in the Make-Whole Fundamental Change. If the holders of the Common Stock receive only cash in a Make-Whole Fundamental Change described in clause (b) of the definition of Fundamental Change, the Stock Price shall be the cash amount paid per share. Otherwise, the Stock Price shall be the average of the Last Reported Sale Prices of the Common Stock over the five Trading Day period ending on, and including, the Trading Day immediately preceding the Effective Date of the Make-Whole Fundamental Change. The Board of Directors shall make appropriate adjustments to the Stock Price, in its good faith determination, to account for any adjustment to the Conversion Rate that becomes effective, or any event requiring an adjustment to the Conversion Rate where the Ex-Dividend Date of the event occurs, during such five consecutive Trading Day period.</w:t>
      </w:r>
    </w:p>
    <w:p>
      <w:pPr>
        <w:spacing w:after="0" w:line="155" w:lineRule="exact"/>
        <w:rPr>
          <w:rFonts w:ascii="Arial" w:cs="Arial" w:eastAsia="Arial" w:hAnsi="Arial"/>
          <w:sz w:val="15"/>
          <w:szCs w:val="15"/>
          <w:color w:val="auto"/>
        </w:rPr>
      </w:pPr>
    </w:p>
    <w:p>
      <w:pPr>
        <w:ind w:left="-60" w:right="140" w:firstLine="463"/>
        <w:spacing w:after="0" w:line="250" w:lineRule="auto"/>
        <w:tabs>
          <w:tab w:leader="none" w:pos="6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13.04.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300" w:top="273" w:right="279" w:bottom="1440" w:gutter="0" w:footer="0" w:header="0"/>
        </w:sectPr>
      </w:pPr>
    </w:p>
    <w:bookmarkStart w:id="71" w:name="page72"/>
    <w:bookmarkEnd w:id="71"/>
    <w:p>
      <w:pPr>
        <w:ind w:right="240" w:firstLine="463"/>
        <w:spacing w:after="0" w:line="265" w:lineRule="auto"/>
        <w:tabs>
          <w:tab w:leader="none" w:pos="697"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following table sets forth the number of Additional Shares to be received per $1,000 principal amount of Notes pursuant to this Section 13.03 for each Stock Price and Effective Date set forth below:</w:t>
      </w:r>
    </w:p>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Effective Stock Price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0" w:type="dxa"/>
            <w:vAlign w:val="bottom"/>
            <w:tcBorders>
              <w:top w:val="single" w:sz="8" w:color="auto"/>
              <w:bottom w:val="single" w:sz="8" w:color="auto"/>
            </w:tcBorders>
          </w:tcPr>
          <w:p>
            <w:pPr>
              <w:spacing w:after="0" w:line="139" w:lineRule="exact"/>
              <w:rPr>
                <w:sz w:val="20"/>
                <w:szCs w:val="20"/>
                <w:color w:val="auto"/>
              </w:rPr>
            </w:pPr>
            <w:r>
              <w:rPr>
                <w:rFonts w:ascii="Arial" w:cs="Arial" w:eastAsia="Arial" w:hAnsi="Arial"/>
                <w:sz w:val="14"/>
                <w:szCs w:val="14"/>
                <w:b w:val="1"/>
                <w:bCs w:val="1"/>
                <w:color w:val="auto"/>
                <w:w w:val="90"/>
              </w:rPr>
              <w:t>Effective Date</w:t>
            </w:r>
          </w:p>
        </w:tc>
        <w:tc>
          <w:tcPr>
            <w:tcW w:w="3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$22.46</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$23.00</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$24.00</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$25.00</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$25.83</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$26.00</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$27.00</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$28.00</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$29.00</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$30.00</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$31.00</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$32.00</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$33.00</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$34.00</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$35.00</w:t>
            </w:r>
          </w:p>
        </w:tc>
        <w:tc>
          <w:tcPr>
            <w:tcW w:w="80" w:type="dxa"/>
            <w:vAlign w:val="bottom"/>
          </w:tcPr>
          <w:p>
            <w:pPr>
              <w:spacing w:after="0"/>
              <w:rPr>
                <w:sz w:val="13"/>
                <w:szCs w:val="13"/>
                <w:color w:val="auto"/>
              </w:rPr>
            </w:pPr>
          </w:p>
        </w:tc>
      </w:tr>
      <w:tr>
        <w:trPr>
          <w:trHeight w:val="199"/>
        </w:trPr>
        <w:tc>
          <w:tcPr>
            <w:tcW w:w="1240" w:type="dxa"/>
            <w:vAlign w:val="bottom"/>
            <w:tcBorders>
              <w:top w:val="single" w:sz="8" w:color="CCEEFF"/>
            </w:tcBorders>
            <w:gridSpan w:val="2"/>
            <w:shd w:val="clear" w:color="auto" w:fill="CCEEFF"/>
          </w:tcPr>
          <w:p>
            <w:pPr>
              <w:spacing w:after="0" w:line="199" w:lineRule="exact"/>
              <w:rPr>
                <w:sz w:val="20"/>
                <w:szCs w:val="20"/>
                <w:color w:val="auto"/>
              </w:rPr>
            </w:pPr>
            <w:r>
              <w:rPr>
                <w:rFonts w:ascii="Arial" w:cs="Arial" w:eastAsia="Arial" w:hAnsi="Arial"/>
                <w:sz w:val="18"/>
                <w:szCs w:val="18"/>
                <w:color w:val="auto"/>
                <w:shd w:val="clear" w:color="auto" w:fill="CCEEFF"/>
              </w:rPr>
              <w:t>June 10, 2014</w:t>
            </w: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5.8073</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7"/>
                <w:shd w:val="clear" w:color="auto" w:fill="CCEEFF"/>
              </w:rPr>
              <w:t>5.0572</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3.8616</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7"/>
                <w:shd w:val="clear" w:color="auto" w:fill="CCEEFF"/>
              </w:rPr>
              <w:t>2.8907</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2.2348</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80"/>
              <w:spacing w:after="0" w:line="199" w:lineRule="exact"/>
              <w:rPr>
                <w:sz w:val="20"/>
                <w:szCs w:val="20"/>
                <w:color w:val="auto"/>
              </w:rPr>
            </w:pPr>
            <w:r>
              <w:rPr>
                <w:rFonts w:ascii="Arial" w:cs="Arial" w:eastAsia="Arial" w:hAnsi="Arial"/>
                <w:sz w:val="18"/>
                <w:szCs w:val="18"/>
                <w:color w:val="auto"/>
                <w:w w:val="83"/>
                <w:shd w:val="clear" w:color="auto" w:fill="CCEEFF"/>
              </w:rPr>
              <w:t>2.1150</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1.5060</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1.0354</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0.6782</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0.4131</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0.2215</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0.0923</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0.0226</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w w:val="83"/>
                <w:shd w:val="clear" w:color="auto" w:fill="CCEEFF"/>
              </w:rPr>
              <w:t>0.0018</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199" w:lineRule="exact"/>
              <w:rPr>
                <w:sz w:val="20"/>
                <w:szCs w:val="20"/>
                <w:color w:val="auto"/>
              </w:rPr>
            </w:pPr>
            <w:r>
              <w:rPr>
                <w:rFonts w:ascii="Arial" w:cs="Arial" w:eastAsia="Arial" w:hAnsi="Arial"/>
                <w:sz w:val="18"/>
                <w:szCs w:val="18"/>
                <w:color w:val="auto"/>
                <w:w w:val="87"/>
                <w:shd w:val="clear" w:color="auto" w:fill="CCEEFF"/>
              </w:rPr>
              <w:t>0.0000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0"/>
        </w:trPr>
        <w:tc>
          <w:tcPr>
            <w:tcW w:w="1240" w:type="dxa"/>
            <w:vAlign w:val="bottom"/>
            <w:gridSpan w:val="2"/>
          </w:tcPr>
          <w:p>
            <w:pPr>
              <w:spacing w:after="0" w:line="200" w:lineRule="exact"/>
              <w:rPr>
                <w:sz w:val="20"/>
                <w:szCs w:val="20"/>
                <w:color w:val="auto"/>
              </w:rPr>
            </w:pPr>
            <w:r>
              <w:rPr>
                <w:rFonts w:ascii="Arial" w:cs="Arial" w:eastAsia="Arial" w:hAnsi="Arial"/>
                <w:sz w:val="18"/>
                <w:szCs w:val="18"/>
                <w:color w:val="auto"/>
              </w:rPr>
              <w:t>December 15,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860" w:type="dxa"/>
            <w:vAlign w:val="bottom"/>
          </w:tcPr>
          <w:p>
            <w:pPr>
              <w:ind w:left="18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5.8073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5.2996</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4.0615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3.0510</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2.3663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2.2407</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1.6017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1.1065</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0.7299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0.4488</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0.2453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0.1063</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0.0288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0.0031</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0.0000</w:t>
            </w:r>
          </w:p>
        </w:tc>
      </w:tr>
      <w:tr>
        <w:trPr>
          <w:trHeight w:val="201"/>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15,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3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5.8073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5.7566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4.4326</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3.3428</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2.5992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2.4625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1.7646</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1.2216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0.8079</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0.4992</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0.2756</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0.1251</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0.0401</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0.0073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0.0002</w:t>
            </w:r>
          </w:p>
        </w:tc>
      </w:tr>
      <w:tr>
        <w:trPr>
          <w:trHeight w:val="200"/>
        </w:trPr>
        <w:tc>
          <w:tcPr>
            <w:tcW w:w="1240" w:type="dxa"/>
            <w:vAlign w:val="bottom"/>
            <w:gridSpan w:val="2"/>
          </w:tcPr>
          <w:p>
            <w:pPr>
              <w:spacing w:after="0" w:line="200" w:lineRule="exact"/>
              <w:rPr>
                <w:sz w:val="20"/>
                <w:szCs w:val="20"/>
                <w:color w:val="auto"/>
              </w:rPr>
            </w:pPr>
            <w:r>
              <w:rPr>
                <w:rFonts w:ascii="Arial" w:cs="Arial" w:eastAsia="Arial" w:hAnsi="Arial"/>
                <w:sz w:val="18"/>
                <w:szCs w:val="18"/>
                <w:color w:val="auto"/>
              </w:rPr>
              <w:t>December 15,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860" w:type="dxa"/>
            <w:vAlign w:val="bottom"/>
          </w:tcPr>
          <w:p>
            <w:pPr>
              <w:ind w:left="18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5.8073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5.8073</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4.6488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3.4914</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2.6991</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2.5530</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1.8092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1.2325</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0.7967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0.4761</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0.2498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0.1054</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0.0319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0.0047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0.0000</w:t>
            </w:r>
          </w:p>
        </w:tc>
      </w:tr>
      <w:tr>
        <w:trPr>
          <w:trHeight w:val="201"/>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15,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3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5.8073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5.8073</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4.5557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3.3504</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2.5313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2.3815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1.6239</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1.0492</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0.6269</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0.3307</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0.1424</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0.0446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0.0159</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0.0000</w:t>
            </w:r>
          </w:p>
        </w:tc>
      </w:tr>
      <w:tr>
        <w:trPr>
          <w:trHeight w:val="200"/>
        </w:trPr>
        <w:tc>
          <w:tcPr>
            <w:tcW w:w="1240" w:type="dxa"/>
            <w:vAlign w:val="bottom"/>
            <w:gridSpan w:val="2"/>
          </w:tcPr>
          <w:p>
            <w:pPr>
              <w:spacing w:after="0" w:line="200" w:lineRule="exact"/>
              <w:rPr>
                <w:sz w:val="20"/>
                <w:szCs w:val="20"/>
                <w:color w:val="auto"/>
              </w:rPr>
            </w:pPr>
            <w:r>
              <w:rPr>
                <w:rFonts w:ascii="Arial" w:cs="Arial" w:eastAsia="Arial" w:hAnsi="Arial"/>
                <w:sz w:val="18"/>
                <w:szCs w:val="18"/>
                <w:color w:val="auto"/>
              </w:rPr>
              <w:t>December 15,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860" w:type="dxa"/>
            <w:vAlign w:val="bottom"/>
          </w:tcPr>
          <w:p>
            <w:pPr>
              <w:ind w:left="18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5.8073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5.4306</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3.9159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2.6877</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1.8793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1.7350</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1.0316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0.5414</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0.2314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0.0712</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0.0126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0.0003</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0.0000</w:t>
            </w:r>
          </w:p>
        </w:tc>
      </w:tr>
      <w:tr>
        <w:trPr>
          <w:trHeight w:val="201"/>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15,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5.8073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4.7620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2.9504</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1.2837</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111" w:lineRule="exact"/>
        <w:rPr>
          <w:sz w:val="20"/>
          <w:szCs w:val="20"/>
          <w:color w:val="auto"/>
        </w:rPr>
      </w:pPr>
    </w:p>
    <w:p>
      <w:pPr>
        <w:ind w:left="460" w:right="200" w:firstLine="441"/>
        <w:spacing w:after="0" w:line="255" w:lineRule="auto"/>
        <w:tabs>
          <w:tab w:leader="none" w:pos="11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above or the Effective Date is between two Effective Dates in the table, the number of Additional Shares shall be determined by a straight-line interpolation between the number of Additional Shares set forth for the higher and lower Stock Prices and the earlier and later Effective Dates, as applicable, based on a 365-day year;</w:t>
      </w:r>
    </w:p>
    <w:p>
      <w:pPr>
        <w:spacing w:after="0" w:line="82" w:lineRule="exact"/>
        <w:rPr>
          <w:rFonts w:ascii="Arial" w:cs="Arial" w:eastAsia="Arial" w:hAnsi="Arial"/>
          <w:sz w:val="18"/>
          <w:szCs w:val="18"/>
          <w:color w:val="auto"/>
        </w:rPr>
      </w:pPr>
    </w:p>
    <w:p>
      <w:pPr>
        <w:ind w:left="460" w:right="160" w:firstLine="441"/>
        <w:spacing w:after="0" w:line="265" w:lineRule="auto"/>
        <w:tabs>
          <w:tab w:leader="none" w:pos="11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Stock Price is greater than $35.00 per share (subject to adjustment in the same manner as the Stock Prices set forth in the column headings of the table above pursuant to subsection (d) above), no Additional Shares shall be added to the Conversion Rate; and</w:t>
      </w:r>
    </w:p>
    <w:p>
      <w:pPr>
        <w:spacing w:after="0" w:line="73" w:lineRule="exact"/>
        <w:rPr>
          <w:rFonts w:ascii="Arial" w:cs="Arial" w:eastAsia="Arial" w:hAnsi="Arial"/>
          <w:sz w:val="18"/>
          <w:szCs w:val="18"/>
          <w:color w:val="auto"/>
        </w:rPr>
      </w:pPr>
    </w:p>
    <w:p>
      <w:pPr>
        <w:ind w:left="460" w:right="140" w:firstLine="441"/>
        <w:spacing w:after="0" w:line="265" w:lineRule="auto"/>
        <w:tabs>
          <w:tab w:leader="none" w:pos="12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Stock Price is less than $22.46 per share (subject to adjustment in the same manner as the Stock Prices set forth in the column headings of the table above pursuant to subsection (d) above), no Additional Shares shall be added to the Conversion Rate.</w:t>
      </w:r>
    </w:p>
    <w:p>
      <w:pPr>
        <w:spacing w:after="0" w:line="179"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Notwithstanding the foregoing, in no event shall the total number of shares of Common Stock issuable upon conversion exceed 44.5235 per $1,000 principal amount of Notes, subject to adjustment in the same manner as the Conversion Rate pursuant to Section 13.04.</w:t>
      </w:r>
    </w:p>
    <w:p>
      <w:pPr>
        <w:spacing w:after="0" w:line="179" w:lineRule="exact"/>
        <w:rPr>
          <w:sz w:val="20"/>
          <w:szCs w:val="20"/>
          <w:color w:val="auto"/>
        </w:rPr>
      </w:pPr>
    </w:p>
    <w:p>
      <w:pPr>
        <w:ind w:left="680" w:hanging="217"/>
        <w:spacing w:after="0"/>
        <w:tabs>
          <w:tab w:leader="none" w:pos="6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Nothing in this Section 13.03 shall prevent an adjustment to the Conversion Rate pursuant to Section 13.04 in respect of a Make-Whole Fundamental</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Change.</w:t>
      </w:r>
    </w:p>
    <w:p>
      <w:pPr>
        <w:spacing w:after="0" w:line="206"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Section 13.04</w:t>
      </w:r>
      <w:r>
        <w:rPr>
          <w:rFonts w:ascii="Arial" w:cs="Arial" w:eastAsia="Arial" w:hAnsi="Arial"/>
          <w:sz w:val="17"/>
          <w:szCs w:val="17"/>
          <w:i w:val="1"/>
          <w:iCs w:val="1"/>
          <w:color w:val="auto"/>
        </w:rPr>
        <w:t>. Adjustment of Conversion Rate.</w:t>
      </w:r>
      <w:r>
        <w:rPr>
          <w:rFonts w:ascii="Arial" w:cs="Arial" w:eastAsia="Arial" w:hAnsi="Arial"/>
          <w:sz w:val="17"/>
          <w:szCs w:val="17"/>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a share split or share combination), at the same time and upon the same terms as holders of the Common Stock and solely as a result of holding the Notes, in any of the transactions described in this Section 13.04, without having to convert their Notes, as if they held a number of shares of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Holder.</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520"/>
          </w:cols>
          <w:pgMar w:left="240" w:top="273" w:right="139" w:bottom="1440" w:gutter="0" w:footer="0" w:header="0"/>
        </w:sectPr>
      </w:pPr>
    </w:p>
    <w:bookmarkStart w:id="72" w:name="page73"/>
    <w:bookmarkEnd w:id="72"/>
    <w:p>
      <w:pPr>
        <w:ind w:right="100" w:firstLine="463"/>
        <w:spacing w:after="0" w:line="265" w:lineRule="auto"/>
        <w:tabs>
          <w:tab w:leader="none" w:pos="697"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the Company exclusively issues shares of Common Stock as a dividend or distribution on shares of its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138430</wp:posOffset>
            </wp:positionV>
            <wp:extent cx="1035685" cy="403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35685"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where,</w:t>
            </w:r>
          </w:p>
        </w:tc>
        <w:tc>
          <w:tcPr>
            <w:tcW w:w="380" w:type="dxa"/>
            <w:vAlign w:val="bottom"/>
          </w:tcPr>
          <w:p>
            <w:pPr>
              <w:spacing w:after="0"/>
              <w:rPr>
                <w:sz w:val="19"/>
                <w:szCs w:val="19"/>
                <w:color w:val="auto"/>
              </w:rPr>
            </w:pPr>
          </w:p>
        </w:tc>
        <w:tc>
          <w:tcPr>
            <w:tcW w:w="10280" w:type="dxa"/>
            <w:vAlign w:val="bottom"/>
          </w:tcPr>
          <w:p>
            <w:pPr>
              <w:spacing w:after="0"/>
              <w:rPr>
                <w:sz w:val="19"/>
                <w:szCs w:val="19"/>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the Conversion Rate in effect immediately prior to the open of business on the Ex-Dividend Date of such dividend or distribution, or</w:t>
            </w:r>
          </w:p>
        </w:tc>
      </w:tr>
      <w:tr>
        <w:trPr>
          <w:trHeight w:val="223"/>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immediately prior to the effectiveness of such share split or share combination, as applicable;</w:t>
            </w:r>
          </w:p>
        </w:tc>
      </w:tr>
      <w:tr>
        <w:trPr>
          <w:trHeight w:val="307"/>
        </w:trPr>
        <w:tc>
          <w:tcPr>
            <w:tcW w:w="600" w:type="dxa"/>
            <w:vAlign w:val="bottom"/>
          </w:tcPr>
          <w:p>
            <w:pPr>
              <w:spacing w:after="0"/>
              <w:rPr>
                <w:sz w:val="20"/>
                <w:szCs w:val="20"/>
                <w:color w:val="auto"/>
              </w:rPr>
            </w:pPr>
            <w:r>
              <w:rPr>
                <w:rFonts w:ascii="Arial" w:cs="Arial" w:eastAsia="Arial" w:hAnsi="Arial"/>
                <w:sz w:val="18"/>
                <w:szCs w:val="18"/>
                <w:color w:val="auto"/>
              </w:rPr>
              <w:t>CR'</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80" w:type="dxa"/>
            <w:vAlign w:val="bottom"/>
          </w:tcPr>
          <w:p>
            <w:pPr>
              <w:ind w:left="180"/>
              <w:spacing w:after="0"/>
              <w:rPr>
                <w:sz w:val="20"/>
                <w:szCs w:val="20"/>
                <w:color w:val="auto"/>
              </w:rPr>
            </w:pPr>
            <w:r>
              <w:rPr>
                <w:rFonts w:ascii="Arial" w:cs="Arial" w:eastAsia="Arial" w:hAnsi="Arial"/>
                <w:sz w:val="18"/>
                <w:szCs w:val="18"/>
                <w:color w:val="auto"/>
                <w:w w:val="89"/>
              </w:rPr>
              <w:t>the Conversion Rate in effect immediately after the open of business on such Ex-Dividend Date or immediately after the effectiveness of such</w:t>
            </w:r>
          </w:p>
        </w:tc>
      </w:tr>
      <w:tr>
        <w:trPr>
          <w:trHeight w:val="223"/>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share split or share combination, as applicable;</w:t>
            </w:r>
          </w:p>
        </w:tc>
      </w:tr>
      <w:tr>
        <w:trPr>
          <w:trHeight w:val="307"/>
        </w:trPr>
        <w:tc>
          <w:tcPr>
            <w:tcW w:w="60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80" w:type="dxa"/>
            <w:vAlign w:val="bottom"/>
          </w:tcPr>
          <w:p>
            <w:pPr>
              <w:ind w:left="180"/>
              <w:spacing w:after="0"/>
              <w:rPr>
                <w:sz w:val="20"/>
                <w:szCs w:val="20"/>
                <w:color w:val="auto"/>
              </w:rPr>
            </w:pPr>
            <w:r>
              <w:rPr>
                <w:rFonts w:ascii="Arial" w:cs="Arial" w:eastAsia="Arial" w:hAnsi="Arial"/>
                <w:sz w:val="18"/>
                <w:szCs w:val="18"/>
                <w:color w:val="auto"/>
                <w:w w:val="89"/>
              </w:rPr>
              <w:t>the number of shares of Common Stock outstanding immediately prior to the open of business on such Ex-Dividend Date or immediately prior</w:t>
            </w:r>
          </w:p>
        </w:tc>
      </w:tr>
      <w:tr>
        <w:trPr>
          <w:trHeight w:val="223"/>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to the effectiveness of such share split or share combination, as applicable; and</w:t>
            </w:r>
          </w:p>
        </w:tc>
      </w:tr>
      <w:tr>
        <w:trPr>
          <w:trHeight w:val="307"/>
        </w:trPr>
        <w:tc>
          <w:tcPr>
            <w:tcW w:w="600" w:type="dxa"/>
            <w:vAlign w:val="bottom"/>
          </w:tcPr>
          <w:p>
            <w:pPr>
              <w:spacing w:after="0"/>
              <w:rPr>
                <w:sz w:val="20"/>
                <w:szCs w:val="20"/>
                <w:color w:val="auto"/>
              </w:rPr>
            </w:pPr>
            <w:r>
              <w:rPr>
                <w:rFonts w:ascii="Arial" w:cs="Arial" w:eastAsia="Arial" w:hAnsi="Arial"/>
                <w:sz w:val="18"/>
                <w:szCs w:val="18"/>
                <w:color w:val="auto"/>
              </w:rPr>
              <w:t>OS'</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80" w:type="dxa"/>
            <w:vAlign w:val="bottom"/>
          </w:tcPr>
          <w:p>
            <w:pPr>
              <w:ind w:left="180"/>
              <w:spacing w:after="0"/>
              <w:rPr>
                <w:sz w:val="20"/>
                <w:szCs w:val="20"/>
                <w:color w:val="auto"/>
              </w:rPr>
            </w:pPr>
            <w:r>
              <w:rPr>
                <w:rFonts w:ascii="Arial" w:cs="Arial" w:eastAsia="Arial" w:hAnsi="Arial"/>
                <w:sz w:val="18"/>
                <w:szCs w:val="18"/>
                <w:color w:val="auto"/>
                <w:w w:val="95"/>
              </w:rPr>
              <w:t>the number of shares of Common Stock outstanding immediately after giving effect to such dividend, distribution, share split or share</w:t>
            </w:r>
          </w:p>
        </w:tc>
      </w:tr>
      <w:tr>
        <w:trPr>
          <w:trHeight w:val="223"/>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combination.</w:t>
            </w:r>
          </w:p>
        </w:tc>
      </w:tr>
    </w:tbl>
    <w:p>
      <w:pPr>
        <w:spacing w:after="0" w:line="20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Any adjustment made under this Section 13.04(a) shall become effective immediately after the open of business on the Ex-Dividend Date for such dividend or distribution, or immediately after the effectiveness of such share split or share combination, as applicable. If any dividend or distribution of the type described in this Section 13.04(a)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47" w:lineRule="exact"/>
        <w:rPr>
          <w:sz w:val="20"/>
          <w:szCs w:val="20"/>
          <w:color w:val="auto"/>
        </w:rPr>
      </w:pPr>
    </w:p>
    <w:p>
      <w:pPr>
        <w:ind w:right="80" w:firstLine="463"/>
        <w:spacing w:after="0" w:line="318" w:lineRule="auto"/>
        <w:tabs>
          <w:tab w:leader="none" w:pos="707" w:val="left"/>
        </w:tabs>
        <w:numPr>
          <w:ilvl w:val="0"/>
          <w:numId w:val="57"/>
        </w:numPr>
        <w:rPr>
          <w:rFonts w:ascii="Arial" w:cs="Arial" w:eastAsia="Arial" w:hAnsi="Arial"/>
          <w:sz w:val="15"/>
          <w:szCs w:val="15"/>
          <w:color w:val="auto"/>
        </w:rPr>
      </w:pPr>
      <w:r>
        <w:rPr>
          <w:rFonts w:ascii="Arial" w:cs="Arial" w:eastAsia="Arial" w:hAnsi="Arial"/>
          <w:sz w:val="15"/>
          <w:szCs w:val="15"/>
          <w:color w:val="auto"/>
        </w:rPr>
        <w:t>If the Company issues to all or substantially all holders of its Common Stock any rights, options or warrants entitling them, for a period of not more than 45 calendar days after the issuance date for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117475</wp:posOffset>
            </wp:positionV>
            <wp:extent cx="1221105" cy="361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2110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44" w:lineRule="exact"/>
        <w:rPr>
          <w:sz w:val="20"/>
          <w:szCs w:val="20"/>
          <w:color w:val="auto"/>
        </w:rPr>
      </w:pPr>
    </w:p>
    <w:p>
      <w:pPr>
        <w:spacing w:after="0"/>
        <w:tabs>
          <w:tab w:leader="none" w:pos="680" w:val="left"/>
          <w:tab w:leader="none" w:pos="1140" w:val="left"/>
        </w:tabs>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Conversion Rate in effect immediately prior to the open of business on the Ex-Dividend Date for such issuance;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73" w:right="29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Conversion Rate in effect immediately after the open of business on such Ex-Dividend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-193675</wp:posOffset>
            </wp:positionV>
            <wp:extent cx="72910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3">
            <w:col w:w="280" w:space="420"/>
            <w:col w:w="100" w:space="360"/>
            <w:col w:w="10160"/>
          </w:cols>
          <w:pgMar w:left="240" w:top="273" w:right="339" w:bottom="1440" w:gutter="0" w:footer="0" w:header="0"/>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number of shares of Common Stock outstanding immediately prior to the open of business on such Ex-Dividend Date;</w:t>
      </w:r>
    </w:p>
    <w:p>
      <w:pPr>
        <w:spacing w:after="0" w:line="145" w:lineRule="exact"/>
        <w:rPr>
          <w:sz w:val="20"/>
          <w:szCs w:val="20"/>
          <w:color w:val="auto"/>
        </w:rPr>
      </w:pPr>
    </w:p>
    <w:p>
      <w:pPr>
        <w:sectPr>
          <w:pgSz w:w="11900" w:h="16838" w:orient="portrait"/>
          <w:cols w:equalWidth="0" w:num="3">
            <w:col w:w="300" w:space="400"/>
            <w:col w:w="100" w:space="360"/>
            <w:col w:w="10160"/>
          </w:cols>
          <w:pgMar w:left="240" w:top="273" w:right="339" w:bottom="1440" w:gutter="0" w:footer="0" w:header="0"/>
          <w:type w:val="continuous"/>
        </w:sectPr>
      </w:pPr>
    </w:p>
    <w:p>
      <w:pPr>
        <w:ind w:left="700" w:hanging="69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total number of shares of Common Stock issuable pursuant to such rights, options or warrants; and</w:t>
      </w:r>
    </w:p>
    <w:p>
      <w:pPr>
        <w:spacing w:after="0" w:line="111" w:lineRule="exact"/>
        <w:rPr>
          <w:sz w:val="20"/>
          <w:szCs w:val="20"/>
          <w:color w:val="auto"/>
        </w:rPr>
      </w:pPr>
    </w:p>
    <w:p>
      <w:pPr>
        <w:ind w:left="1160" w:hanging="1154"/>
        <w:spacing w:after="0" w:line="277" w:lineRule="auto"/>
        <w:tabs>
          <w:tab w:leader="none" w:pos="7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 xml:space="preserve">the number of shares of Common Stock equal to the aggregate price payable to exercise such rights, options or warrants,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7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Any increase made under this Section 13.04(b)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80" w:lineRule="exact"/>
        <w:rPr>
          <w:sz w:val="20"/>
          <w:szCs w:val="20"/>
          <w:color w:val="auto"/>
        </w:rPr>
      </w:pPr>
    </w:p>
    <w:p>
      <w:pPr>
        <w:ind w:right="20" w:firstLine="457"/>
        <w:spacing w:after="0" w:line="312" w:lineRule="auto"/>
        <w:rPr>
          <w:sz w:val="20"/>
          <w:szCs w:val="20"/>
          <w:color w:val="auto"/>
        </w:rPr>
      </w:pPr>
      <w:r>
        <w:rPr>
          <w:rFonts w:ascii="Arial" w:cs="Arial" w:eastAsia="Arial" w:hAnsi="Arial"/>
          <w:sz w:val="15"/>
          <w:szCs w:val="15"/>
          <w:color w:val="auto"/>
        </w:rPr>
        <w:t>For purposes of this Section 13.04(b),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273" w:right="339" w:bottom="1440" w:gutter="0" w:footer="0" w:header="0"/>
          <w:type w:val="continuous"/>
        </w:sectPr>
      </w:pPr>
    </w:p>
    <w:bookmarkStart w:id="74" w:name="page75"/>
    <w:bookmarkEnd w:id="74"/>
    <w:p>
      <w:pPr>
        <w:ind w:right="280" w:firstLine="463"/>
        <w:spacing w:after="0" w:line="300" w:lineRule="auto"/>
        <w:tabs>
          <w:tab w:leader="none" w:pos="697" w:val="left"/>
        </w:tabs>
        <w:numPr>
          <w:ilvl w:val="1"/>
          <w:numId w:val="6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pursuant to Section 13.04(a) or Section 13.04(b), (ii) dividends or distributions paid exclusively in cash and</w:t>
      </w:r>
    </w:p>
    <w:p>
      <w:pPr>
        <w:ind w:right="340" w:firstLine="6"/>
        <w:spacing w:after="0" w:line="248" w:lineRule="auto"/>
        <w:tabs>
          <w:tab w:leader="none" w:pos="3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Section 13.04(c) shall apply (any of such shares of Capital Stock, evidences of indebtedness, other assets or property or rights, options or warrants to acquire Capital Stock or other securities of the Company,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148590</wp:posOffset>
            </wp:positionV>
            <wp:extent cx="1431290" cy="3790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31290" cy="37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where,</w:t>
            </w:r>
          </w:p>
        </w:tc>
        <w:tc>
          <w:tcPr>
            <w:tcW w:w="380" w:type="dxa"/>
            <w:vAlign w:val="bottom"/>
          </w:tcPr>
          <w:p>
            <w:pPr>
              <w:spacing w:after="0"/>
              <w:rPr>
                <w:sz w:val="19"/>
                <w:szCs w:val="19"/>
                <w:color w:val="auto"/>
              </w:rPr>
            </w:pPr>
          </w:p>
        </w:tc>
        <w:tc>
          <w:tcPr>
            <w:tcW w:w="10160" w:type="dxa"/>
            <w:vAlign w:val="bottom"/>
          </w:tcPr>
          <w:p>
            <w:pPr>
              <w:spacing w:after="0"/>
              <w:rPr>
                <w:sz w:val="19"/>
                <w:szCs w:val="19"/>
                <w:color w:val="auto"/>
              </w:rPr>
            </w:pPr>
          </w:p>
        </w:tc>
      </w:tr>
      <w:tr>
        <w:trPr>
          <w:trHeight w:val="469"/>
        </w:trPr>
        <w:tc>
          <w:tcPr>
            <w:tcW w:w="6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16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distribution;</w:t>
            </w:r>
          </w:p>
        </w:tc>
      </w:tr>
      <w:tr>
        <w:trPr>
          <w:trHeight w:val="300"/>
        </w:trPr>
        <w:tc>
          <w:tcPr>
            <w:tcW w:w="600" w:type="dxa"/>
            <w:vAlign w:val="bottom"/>
          </w:tcPr>
          <w:p>
            <w:pPr>
              <w:spacing w:after="0"/>
              <w:rPr>
                <w:sz w:val="20"/>
                <w:szCs w:val="20"/>
                <w:color w:val="auto"/>
              </w:rPr>
            </w:pPr>
            <w:r>
              <w:rPr>
                <w:rFonts w:ascii="Arial" w:cs="Arial" w:eastAsia="Arial" w:hAnsi="Arial"/>
                <w:sz w:val="18"/>
                <w:szCs w:val="18"/>
                <w:color w:val="auto"/>
              </w:rPr>
              <w:t>CR'</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16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07"/>
        </w:trPr>
        <w:tc>
          <w:tcPr>
            <w:tcW w:w="60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160" w:type="dxa"/>
            <w:vAlign w:val="bottom"/>
          </w:tcPr>
          <w:p>
            <w:pPr>
              <w:ind w:left="180"/>
              <w:spacing w:after="0"/>
              <w:rPr>
                <w:sz w:val="20"/>
                <w:szCs w:val="20"/>
                <w:color w:val="auto"/>
              </w:rPr>
            </w:pPr>
            <w:r>
              <w:rPr>
                <w:rFonts w:ascii="Arial" w:cs="Arial" w:eastAsia="Arial" w:hAnsi="Arial"/>
                <w:sz w:val="18"/>
                <w:szCs w:val="18"/>
                <w:color w:val="auto"/>
                <w:w w:val="88"/>
              </w:rPr>
              <w:t>the average of the Last Reported Sale Prices of the Common Stock over the 10 consecutive Trading Day period ending on, and including, the</w:t>
            </w:r>
          </w:p>
        </w:tc>
      </w:tr>
      <w:tr>
        <w:trPr>
          <w:trHeight w:val="223"/>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160" w:type="dxa"/>
            <w:vAlign w:val="bottom"/>
          </w:tcPr>
          <w:p>
            <w:pPr>
              <w:ind w:left="180"/>
              <w:spacing w:after="0"/>
              <w:rPr>
                <w:sz w:val="20"/>
                <w:szCs w:val="20"/>
                <w:color w:val="auto"/>
              </w:rPr>
            </w:pPr>
            <w:r>
              <w:rPr>
                <w:rFonts w:ascii="Arial" w:cs="Arial" w:eastAsia="Arial" w:hAnsi="Arial"/>
                <w:sz w:val="18"/>
                <w:szCs w:val="18"/>
                <w:color w:val="auto"/>
              </w:rPr>
              <w:t>Trading Day immediately preceding the Ex-Dividend Date for such distribution; and</w:t>
            </w:r>
          </w:p>
        </w:tc>
      </w:tr>
      <w:tr>
        <w:trPr>
          <w:trHeight w:val="307"/>
        </w:trPr>
        <w:tc>
          <w:tcPr>
            <w:tcW w:w="600" w:type="dxa"/>
            <w:vAlign w:val="bottom"/>
          </w:tcPr>
          <w:p>
            <w:pPr>
              <w:spacing w:after="0"/>
              <w:rPr>
                <w:sz w:val="20"/>
                <w:szCs w:val="20"/>
                <w:color w:val="auto"/>
              </w:rPr>
            </w:pPr>
            <w:r>
              <w:rPr>
                <w:rFonts w:ascii="Arial" w:cs="Arial" w:eastAsia="Arial" w:hAnsi="Arial"/>
                <w:sz w:val="18"/>
                <w:szCs w:val="18"/>
                <w:color w:val="auto"/>
              </w:rPr>
              <w:t>FMV</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160" w:type="dxa"/>
            <w:vAlign w:val="bottom"/>
          </w:tcPr>
          <w:p>
            <w:pPr>
              <w:ind w:left="180"/>
              <w:spacing w:after="0"/>
              <w:rPr>
                <w:sz w:val="20"/>
                <w:szCs w:val="20"/>
                <w:color w:val="auto"/>
              </w:rPr>
            </w:pPr>
            <w:r>
              <w:rPr>
                <w:rFonts w:ascii="Arial" w:cs="Arial" w:eastAsia="Arial" w:hAnsi="Arial"/>
                <w:sz w:val="18"/>
                <w:szCs w:val="18"/>
                <w:color w:val="auto"/>
                <w:w w:val="92"/>
              </w:rPr>
              <w:t>the fair market value (as determined by the Board of Directors) of the Distributed Property with respect to each outstanding share of the</w:t>
            </w:r>
          </w:p>
        </w:tc>
      </w:tr>
      <w:tr>
        <w:trPr>
          <w:trHeight w:val="223"/>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160" w:type="dxa"/>
            <w:vAlign w:val="bottom"/>
          </w:tcPr>
          <w:p>
            <w:pPr>
              <w:ind w:left="180"/>
              <w:spacing w:after="0"/>
              <w:rPr>
                <w:sz w:val="20"/>
                <w:szCs w:val="20"/>
                <w:color w:val="auto"/>
              </w:rPr>
            </w:pPr>
            <w:r>
              <w:rPr>
                <w:rFonts w:ascii="Arial" w:cs="Arial" w:eastAsia="Arial" w:hAnsi="Arial"/>
                <w:sz w:val="18"/>
                <w:szCs w:val="18"/>
                <w:color w:val="auto"/>
              </w:rPr>
              <w:t>Common Stock on the Ex-Dividend Date for such distribution.</w:t>
            </w:r>
          </w:p>
        </w:tc>
      </w:tr>
    </w:tbl>
    <w:p>
      <w:pPr>
        <w:spacing w:after="0" w:line="20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Any increase made under the portion of this Section 13.04(c) above shall become effective immediately after the open of business on the Ex-Dividend Date for such distribution. If such distribution is not so paid or made, the Conversion Rate shall be decreased to the Conversion Rate that would then be in effect if such dividend or distribution had not been declared.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5"/>
          <w:szCs w:val="15"/>
          <w:color w:val="auto"/>
        </w:rPr>
        <w:t>” (as defined above), in lieu of the foregoing increase, each Holder of a Note shall receive, in respect of each $1,000 principal amount thereof, at the same time and upon the same terms as holders of the Common Stock receive the Distributed Property, the amount of Distributed Property such Holder would have received if such Holder owned a number of shares of Common Stock equal to the Conversion Rate in effect on the Ex-Dividend Date for the distribution. If the Board of Directors determines the “FMV” (as defined above) of any distribution for purposes of this Section 13.04(c)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155" w:lineRule="exact"/>
        <w:rPr>
          <w:sz w:val="20"/>
          <w:szCs w:val="20"/>
          <w:color w:val="auto"/>
        </w:rPr>
      </w:pPr>
    </w:p>
    <w:p>
      <w:pPr>
        <w:jc w:val="both"/>
        <w:ind w:right="20" w:firstLine="457"/>
        <w:spacing w:after="0" w:line="252" w:lineRule="auto"/>
        <w:rPr>
          <w:sz w:val="20"/>
          <w:szCs w:val="20"/>
          <w:color w:val="auto"/>
        </w:rPr>
      </w:pPr>
      <w:r>
        <w:rPr>
          <w:rFonts w:ascii="Arial" w:cs="Arial" w:eastAsia="Arial" w:hAnsi="Arial"/>
          <w:sz w:val="18"/>
          <w:szCs w:val="18"/>
          <w:color w:val="auto"/>
        </w:rPr>
        <w:t>With respect to an adjustment pursuant to this Section 13.04(c)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146050</wp:posOffset>
            </wp:positionV>
            <wp:extent cx="1515745" cy="403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5745"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3"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where,</w:t>
            </w:r>
          </w:p>
        </w:tc>
        <w:tc>
          <w:tcPr>
            <w:tcW w:w="380" w:type="dxa"/>
            <w:vAlign w:val="bottom"/>
          </w:tcPr>
          <w:p>
            <w:pPr>
              <w:spacing w:after="0"/>
              <w:rPr>
                <w:sz w:val="19"/>
                <w:szCs w:val="19"/>
                <w:color w:val="auto"/>
              </w:rPr>
            </w:pPr>
          </w:p>
        </w:tc>
        <w:tc>
          <w:tcPr>
            <w:tcW w:w="10360" w:type="dxa"/>
            <w:vAlign w:val="bottom"/>
          </w:tcPr>
          <w:p>
            <w:pPr>
              <w:spacing w:after="0"/>
              <w:rPr>
                <w:sz w:val="19"/>
                <w:szCs w:val="19"/>
                <w:color w:val="auto"/>
              </w:rPr>
            </w:pPr>
          </w:p>
        </w:tc>
      </w:tr>
      <w:tr>
        <w:trPr>
          <w:trHeight w:val="469"/>
        </w:trPr>
        <w:tc>
          <w:tcPr>
            <w:tcW w:w="6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36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of the Spin-Off;</w:t>
            </w:r>
          </w:p>
        </w:tc>
      </w:tr>
      <w:tr>
        <w:trPr>
          <w:trHeight w:val="300"/>
        </w:trPr>
        <w:tc>
          <w:tcPr>
            <w:tcW w:w="600" w:type="dxa"/>
            <w:vAlign w:val="bottom"/>
          </w:tcPr>
          <w:p>
            <w:pPr>
              <w:spacing w:after="0"/>
              <w:rPr>
                <w:sz w:val="20"/>
                <w:szCs w:val="20"/>
                <w:color w:val="auto"/>
              </w:rPr>
            </w:pPr>
            <w:r>
              <w:rPr>
                <w:rFonts w:ascii="Arial" w:cs="Arial" w:eastAsia="Arial" w:hAnsi="Arial"/>
                <w:sz w:val="18"/>
                <w:szCs w:val="18"/>
                <w:color w:val="auto"/>
              </w:rPr>
              <w:t>CR'</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36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after the open of business on the Ex-Dividend Date of the Spin-Off;</w:t>
            </w:r>
          </w:p>
        </w:tc>
      </w:tr>
      <w:tr>
        <w:trPr>
          <w:trHeight w:val="307"/>
        </w:trPr>
        <w:tc>
          <w:tcPr>
            <w:tcW w:w="60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360" w:type="dxa"/>
            <w:vAlign w:val="bottom"/>
          </w:tcPr>
          <w:p>
            <w:pPr>
              <w:ind w:left="180"/>
              <w:spacing w:after="0"/>
              <w:rPr>
                <w:sz w:val="20"/>
                <w:szCs w:val="20"/>
                <w:color w:val="auto"/>
              </w:rPr>
            </w:pPr>
            <w:r>
              <w:rPr>
                <w:rFonts w:ascii="Arial" w:cs="Arial" w:eastAsia="Arial" w:hAnsi="Arial"/>
                <w:sz w:val="18"/>
                <w:szCs w:val="18"/>
                <w:color w:val="auto"/>
                <w:w w:val="95"/>
              </w:rPr>
              <w:t>the average of the Last Reported Sale Prices of the Capital Stock or similar equity interest distributed to holders of the Common Stock</w:t>
            </w:r>
          </w:p>
        </w:tc>
      </w:tr>
      <w:tr>
        <w:trPr>
          <w:trHeight w:val="212"/>
        </w:trPr>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89"/>
              </w:rPr>
              <w:t>applicable to one share of the Common Stock (determined by reference to the definition of Last Reported Sale Price as set forth in Section 1.01</w:t>
            </w:r>
          </w:p>
        </w:tc>
      </w:tr>
      <w:tr>
        <w:trPr>
          <w:trHeight w:val="20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89"/>
              </w:rPr>
              <w:t>as if references therein to Common Stock were to such Capital Stock or similar equity interest) over the first 10 consecutive Trading Day period</w:t>
            </w:r>
          </w:p>
        </w:tc>
      </w:tr>
      <w:tr>
        <w:trPr>
          <w:trHeight w:val="229"/>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after, and including, the Ex-Dividend Date of the Spin-Off (the “</w:t>
            </w:r>
            <w:r>
              <w:rPr>
                <w:rFonts w:ascii="Arial" w:cs="Arial" w:eastAsia="Arial" w:hAnsi="Arial"/>
                <w:sz w:val="18"/>
                <w:szCs w:val="18"/>
                <w:b w:val="1"/>
                <w:bCs w:val="1"/>
                <w:color w:val="auto"/>
              </w:rPr>
              <w:t>Valuation Period</w:t>
            </w:r>
            <w:r>
              <w:rPr>
                <w:rFonts w:ascii="Arial" w:cs="Arial" w:eastAsia="Arial" w:hAnsi="Arial"/>
                <w:sz w:val="18"/>
                <w:szCs w:val="18"/>
                <w:color w:val="auto"/>
              </w:rPr>
              <w:t>”); and</w:t>
            </w:r>
          </w:p>
        </w:tc>
      </w:tr>
      <w:tr>
        <w:trPr>
          <w:trHeight w:val="337"/>
        </w:trPr>
        <w:tc>
          <w:tcPr>
            <w:tcW w:w="60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360" w:type="dxa"/>
            <w:vAlign w:val="bottom"/>
          </w:tcPr>
          <w:p>
            <w:pPr>
              <w:ind w:left="180"/>
              <w:spacing w:after="0"/>
              <w:rPr>
                <w:sz w:val="20"/>
                <w:szCs w:val="20"/>
                <w:color w:val="auto"/>
              </w:rPr>
            </w:pPr>
            <w:r>
              <w:rPr>
                <w:rFonts w:ascii="Arial" w:cs="Arial" w:eastAsia="Arial" w:hAnsi="Arial"/>
                <w:sz w:val="18"/>
                <w:szCs w:val="18"/>
                <w:color w:val="auto"/>
              </w:rPr>
              <w:t>the average of the Last Reported Sale Prices of the Common Stock over the Valuation Period.</w:t>
            </w:r>
          </w:p>
        </w:tc>
      </w:tr>
    </w:tbl>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right="160"/>
        <w:spacing w:after="0" w:line="271" w:lineRule="auto"/>
        <w:rPr>
          <w:sz w:val="20"/>
          <w:szCs w:val="20"/>
          <w:color w:val="auto"/>
        </w:rPr>
      </w:pPr>
      <w:r>
        <w:rPr>
          <w:rFonts w:ascii="Arial" w:cs="Arial" w:eastAsia="Arial" w:hAnsi="Arial"/>
          <w:sz w:val="17"/>
          <w:szCs w:val="17"/>
          <w:color w:val="auto"/>
        </w:rPr>
        <w:t xml:space="preserve">The adjustment to the Conversion Rate under the preceding paragraph shall occur on the last Trading Day of the Valuation Period but will be given effect as of the open of business on the Ex-Dividend Date of the Spin-Off;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conversion during the Valuation Period, references in the portion of this Section 13.04(c) related to Spin-Offs to 10 Trading Days shall be deemed to be replaced with such lesser number of Trading Days as have elapsed between the Ex-Dividend Date of such Spin-Off and the Conversion Date in determining the Conversion Rate.</w:t>
      </w:r>
    </w:p>
    <w:p>
      <w:pPr>
        <w:spacing w:after="0" w:line="17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For purposes of this Section 13.04(c) (and subject in all respect to Section 13.11), rights, options or warrants distributed by the Company to all holders of its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7"/>
          <w:szCs w:val="17"/>
          <w:b w:val="1"/>
          <w:bCs w:val="1"/>
          <w:color w:val="auto"/>
        </w:rPr>
        <w:t>Trigger Event</w:t>
      </w:r>
      <w:r>
        <w:rPr>
          <w:rFonts w:ascii="Arial" w:cs="Arial" w:eastAsia="Arial" w:hAnsi="Arial"/>
          <w:sz w:val="17"/>
          <w:szCs w:val="17"/>
          <w:color w:val="auto"/>
        </w:rPr>
        <w:t>”): (i) are deemed to be transferred with such shares of the Common Stock; (ii) are not exercisable; and (iii) are also issued in respect of future issuances of the Common Stock, shall be deemed not to have been distributed for purposes of this Section 13.04(c) (and no adjustment to the Conversion Rate under this Section 13.04(c) will be required) until the occurrence of the earliest Trigger Event, whereupon such rights, options or warrants shall be deemed to have been distributed and an appropriate adjustment (if any is required) to the Conversion Rate shall be made under this Section 13.04(c).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13.04(c) was made, (1) in the case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3" w:right="259" w:bottom="1440" w:gutter="0" w:footer="0" w:header="0"/>
        </w:sectPr>
      </w:pPr>
    </w:p>
    <w:bookmarkStart w:id="76" w:name="page77"/>
    <w:bookmarkEnd w:id="76"/>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1" w:lineRule="exact"/>
        <w:rPr>
          <w:sz w:val="20"/>
          <w:szCs w:val="20"/>
          <w:color w:val="auto"/>
        </w:rPr>
      </w:pPr>
    </w:p>
    <w:p>
      <w:pPr>
        <w:ind w:right="40" w:firstLine="457"/>
        <w:spacing w:after="0" w:line="265" w:lineRule="auto"/>
        <w:rPr>
          <w:sz w:val="20"/>
          <w:szCs w:val="20"/>
          <w:color w:val="auto"/>
        </w:rPr>
      </w:pPr>
      <w:r>
        <w:rPr>
          <w:rFonts w:ascii="Arial" w:cs="Arial" w:eastAsia="Arial" w:hAnsi="Arial"/>
          <w:sz w:val="18"/>
          <w:szCs w:val="18"/>
          <w:color w:val="auto"/>
        </w:rPr>
        <w:t>For purposes of Section 13.04(a), Section 13.04(b) and this Section 13.04(c), any dividend or distribution to which this Section 13.04(c) is applicable that also includes one or both of:</w:t>
      </w:r>
    </w:p>
    <w:p>
      <w:pPr>
        <w:spacing w:after="0" w:line="173" w:lineRule="exact"/>
        <w:rPr>
          <w:sz w:val="20"/>
          <w:szCs w:val="20"/>
          <w:color w:val="auto"/>
        </w:rPr>
      </w:pPr>
    </w:p>
    <w:p>
      <w:pPr>
        <w:ind w:left="760" w:hanging="297"/>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dividend or distribution of shares of Common Stock to which Section 13.04(a) is applicable (the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217" w:lineRule="exact"/>
        <w:rPr>
          <w:rFonts w:ascii="Arial" w:cs="Arial" w:eastAsia="Arial" w:hAnsi="Arial"/>
          <w:sz w:val="18"/>
          <w:szCs w:val="18"/>
          <w:color w:val="auto"/>
        </w:rPr>
      </w:pPr>
    </w:p>
    <w:p>
      <w:pPr>
        <w:ind w:left="740" w:hanging="277"/>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dividend or distribution of rights, options or warrants to which Section 13.04(b) is applicable (the “</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p>
      <w:pPr>
        <w:spacing w:after="0" w:line="22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then (1) such dividend or distribution, other than the Clause A Distribution and the Clause B Distribution, shall be deemed to be a dividend or distribution to which this Section 13.04(c) is applicable (the “</w:t>
      </w:r>
      <w:r>
        <w:rPr>
          <w:rFonts w:ascii="Arial" w:cs="Arial" w:eastAsia="Arial" w:hAnsi="Arial"/>
          <w:sz w:val="15"/>
          <w:szCs w:val="15"/>
          <w:b w:val="1"/>
          <w:bCs w:val="1"/>
          <w:color w:val="auto"/>
        </w:rPr>
        <w:t>Clause C Distribution</w:t>
      </w:r>
      <w:r>
        <w:rPr>
          <w:rFonts w:ascii="Arial" w:cs="Arial" w:eastAsia="Arial" w:hAnsi="Arial"/>
          <w:sz w:val="15"/>
          <w:szCs w:val="15"/>
          <w:color w:val="auto"/>
        </w:rPr>
        <w:t>”) and any Conversion Rate adjustment required by this Section 13.04(c) with respect to such Clause C Distribution shall then be made, and (2) the Clause A Distribution and Clause B Distribution shall be deemed to immediately follow the Clause C Distribution and any Conversion Rate adjustment required by Section 13.04(a) and Section 13.04(b)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13.04(a) or “outstanding immediately prior to the open of business on such Ex-Dividend Date” within the meaning of Section 13.04(b).</w:t>
      </w:r>
    </w:p>
    <w:p>
      <w:pPr>
        <w:spacing w:after="0" w:line="156" w:lineRule="exact"/>
        <w:rPr>
          <w:sz w:val="20"/>
          <w:szCs w:val="20"/>
          <w:color w:val="auto"/>
        </w:rPr>
      </w:pPr>
    </w:p>
    <w:p>
      <w:pPr>
        <w:ind w:right="120" w:firstLine="463"/>
        <w:spacing w:after="0" w:line="366" w:lineRule="auto"/>
        <w:tabs>
          <w:tab w:leader="none" w:pos="707" w:val="left"/>
        </w:tabs>
        <w:numPr>
          <w:ilvl w:val="0"/>
          <w:numId w:val="63"/>
        </w:numPr>
        <w:rPr>
          <w:rFonts w:ascii="Arial" w:cs="Arial" w:eastAsia="Arial" w:hAnsi="Arial"/>
          <w:sz w:val="15"/>
          <w:szCs w:val="15"/>
          <w:color w:val="auto"/>
        </w:rPr>
      </w:pPr>
      <w:r>
        <w:rPr>
          <w:rFonts w:ascii="Arial" w:cs="Arial" w:eastAsia="Arial" w:hAnsi="Arial"/>
          <w:sz w:val="15"/>
          <w:szCs w:val="15"/>
          <w:color w:val="auto"/>
        </w:rPr>
        <w:t>If any cash dividend or distribution is made by the Company to all or substantially all holders of the Common Stock, other than a regular, quarterly cash dividend that does not exceed $0.38 per share (the “</w:t>
      </w:r>
      <w:r>
        <w:rPr>
          <w:rFonts w:ascii="Arial" w:cs="Arial" w:eastAsia="Arial" w:hAnsi="Arial"/>
          <w:sz w:val="15"/>
          <w:szCs w:val="15"/>
          <w:b w:val="1"/>
          <w:bCs w:val="1"/>
          <w:color w:val="auto"/>
        </w:rPr>
        <w:t>Initial Dividend Threshold</w:t>
      </w:r>
      <w:r>
        <w:rPr>
          <w:rFonts w:ascii="Arial" w:cs="Arial" w:eastAsia="Arial" w:hAnsi="Arial"/>
          <w:sz w:val="15"/>
          <w:szCs w:val="15"/>
          <w:color w:val="auto"/>
        </w:rPr>
        <w:t>”),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94615</wp:posOffset>
            </wp:positionV>
            <wp:extent cx="1271270" cy="395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1270"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3" w:right="2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where,</w:t>
            </w:r>
          </w:p>
        </w:tc>
        <w:tc>
          <w:tcPr>
            <w:tcW w:w="380" w:type="dxa"/>
            <w:vAlign w:val="bottom"/>
          </w:tcPr>
          <w:p>
            <w:pPr>
              <w:spacing w:after="0"/>
              <w:rPr>
                <w:sz w:val="19"/>
                <w:szCs w:val="19"/>
                <w:color w:val="auto"/>
              </w:rPr>
            </w:pPr>
          </w:p>
        </w:tc>
        <w:tc>
          <w:tcPr>
            <w:tcW w:w="9940" w:type="dxa"/>
            <w:vAlign w:val="bottom"/>
          </w:tcPr>
          <w:p>
            <w:pPr>
              <w:spacing w:after="0"/>
              <w:rPr>
                <w:sz w:val="19"/>
                <w:szCs w:val="19"/>
                <w:color w:val="auto"/>
              </w:rPr>
            </w:pPr>
          </w:p>
        </w:tc>
      </w:tr>
      <w:tr>
        <w:trPr>
          <w:trHeight w:val="469"/>
        </w:trPr>
        <w:tc>
          <w:tcPr>
            <w:tcW w:w="6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w w:val="95"/>
              </w:rPr>
              <w:t>the Conversion Rate in effect immediately prior to the open of business on the Ex-Dividend Date for such dividend or distribution;</w:t>
            </w:r>
          </w:p>
        </w:tc>
      </w:tr>
      <w:tr>
        <w:trPr>
          <w:trHeight w:val="300"/>
        </w:trPr>
        <w:tc>
          <w:tcPr>
            <w:tcW w:w="600" w:type="dxa"/>
            <w:vAlign w:val="bottom"/>
          </w:tcPr>
          <w:p>
            <w:pPr>
              <w:spacing w:after="0"/>
              <w:rPr>
                <w:sz w:val="20"/>
                <w:szCs w:val="20"/>
                <w:color w:val="auto"/>
              </w:rPr>
            </w:pPr>
            <w:r>
              <w:rPr>
                <w:rFonts w:ascii="Arial" w:cs="Arial" w:eastAsia="Arial" w:hAnsi="Arial"/>
                <w:sz w:val="18"/>
                <w:szCs w:val="18"/>
                <w:color w:val="auto"/>
              </w:rPr>
              <w:t>CR'</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w w:val="96"/>
              </w:rPr>
              <w:t>the Conversion Rate in effect immediately after the open of business on the Ex-Dividend Date for such dividend or distribution;</w:t>
            </w:r>
          </w:p>
        </w:tc>
      </w:tr>
      <w:tr>
        <w:trPr>
          <w:trHeight w:val="307"/>
        </w:trPr>
        <w:tc>
          <w:tcPr>
            <w:tcW w:w="60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w w:val="89"/>
              </w:rPr>
              <w:t>the Last Reported Sale Price of the Common Stock on the Trading Day immediately preceding the Ex-Dividend Date for such dividend or</w:t>
            </w:r>
          </w:p>
        </w:tc>
      </w:tr>
      <w:tr>
        <w:trPr>
          <w:trHeight w:val="223"/>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distribution;</w:t>
            </w: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left="1160" w:right="640" w:hanging="1154"/>
        <w:spacing w:after="0" w:line="265" w:lineRule="auto"/>
        <w:tabs>
          <w:tab w:leader="none" w:pos="7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Initial Dividend Threshold;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dividend or distribution is not a regular quarterly cash dividend, the Initial Dividend Threshold shall be deemed to be zero; and</w:t>
      </w:r>
    </w:p>
    <w:p>
      <w:pPr>
        <w:spacing w:after="0" w:line="73" w:lineRule="exact"/>
        <w:rPr>
          <w:sz w:val="20"/>
          <w:szCs w:val="20"/>
          <w:color w:val="auto"/>
        </w:rPr>
      </w:pPr>
    </w:p>
    <w:p>
      <w:pPr>
        <w:ind w:left="700" w:hanging="694"/>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amount in cash per share the Company distributes to holders of its Common Stock.</w:t>
      </w:r>
    </w:p>
    <w:p>
      <w:pPr>
        <w:spacing w:after="0" w:line="217" w:lineRule="exact"/>
        <w:rPr>
          <w:sz w:val="20"/>
          <w:szCs w:val="20"/>
          <w:color w:val="auto"/>
        </w:rPr>
      </w:pPr>
    </w:p>
    <w:p>
      <w:pPr>
        <w:ind w:right="540"/>
        <w:spacing w:after="0" w:line="366" w:lineRule="auto"/>
        <w:rPr>
          <w:sz w:val="20"/>
          <w:szCs w:val="20"/>
          <w:color w:val="auto"/>
        </w:rPr>
      </w:pPr>
      <w:r>
        <w:rPr>
          <w:rFonts w:ascii="Arial" w:cs="Arial" w:eastAsia="Arial" w:hAnsi="Arial"/>
          <w:sz w:val="15"/>
          <w:szCs w:val="15"/>
          <w:color w:val="auto"/>
        </w:rPr>
        <w:t xml:space="preserve">The Initial Dividend Threshold shall be subject to adjustment in a manner inversely proportional to adjustments to the Conversion Rate;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adjustment shall be made to the Initial Dividend Threshold for any adjustment to the Conversion Rate pursuant to this Section 13.04(d).</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Any increase pursuant to this Section 13.04(d)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each Holder of a Note shall receive, for each $1,000 principal amount of Notes,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81" w:lineRule="exact"/>
        <w:rPr>
          <w:sz w:val="20"/>
          <w:szCs w:val="20"/>
          <w:color w:val="auto"/>
        </w:rPr>
      </w:pPr>
    </w:p>
    <w:p>
      <w:pPr>
        <w:ind w:firstLine="463"/>
        <w:spacing w:after="0" w:line="252" w:lineRule="auto"/>
        <w:tabs>
          <w:tab w:leader="none" w:pos="6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Company or any of its Subsidiaries make a payment in respect of a tender or exchange offer for the Common Stock, to the extent that the cash and value of any other consideration included in the payment per share of the Common Stock exceeds the Last Reported Sale Price of the Common Stock on the Trading Day next succeeding the last date on which tenders or exchanges may be made pursuant to such tender or exchange offer,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146050</wp:posOffset>
            </wp:positionV>
            <wp:extent cx="1666875" cy="412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66875" cy="41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360"/>
          </w:cols>
          <w:pgMar w:left="240" w:top="273" w:right="29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the Conversion Rate in effect immediately prior to the open of business on the Trading Day immediately following the date such tender or exchange offer expires;</w:t>
      </w:r>
    </w:p>
    <w:p>
      <w:pPr>
        <w:spacing w:after="0" w:line="113" w:lineRule="exact"/>
        <w:rPr>
          <w:sz w:val="20"/>
          <w:szCs w:val="20"/>
          <w:color w:val="auto"/>
        </w:rPr>
      </w:pPr>
    </w:p>
    <w:p>
      <w:pPr>
        <w:sectPr>
          <w:pgSz w:w="11900" w:h="16838" w:orient="portrait"/>
          <w:cols w:equalWidth="0" w:num="3">
            <w:col w:w="320" w:space="380"/>
            <w:col w:w="100" w:space="360"/>
            <w:col w:w="10200"/>
          </w:cols>
          <w:pgMar w:left="240" w:top="273"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360"/>
          </w:cols>
          <w:pgMar w:left="240" w:top="273" w:right="29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20"/>
                <w:szCs w:val="20"/>
                <w:color w:val="auto"/>
              </w:rPr>
            </w:pPr>
            <w:r>
              <w:rPr>
                <w:rFonts w:ascii="Arial" w:cs="Arial" w:eastAsia="Arial" w:hAnsi="Arial"/>
                <w:sz w:val="18"/>
                <w:szCs w:val="18"/>
                <w:color w:val="auto"/>
              </w:rPr>
              <w:t>CR'</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0" w:type="dxa"/>
            <w:vAlign w:val="bottom"/>
          </w:tcPr>
          <w:p>
            <w:pPr>
              <w:ind w:left="180"/>
              <w:spacing w:after="0"/>
              <w:rPr>
                <w:sz w:val="20"/>
                <w:szCs w:val="20"/>
                <w:color w:val="auto"/>
              </w:rPr>
            </w:pPr>
            <w:r>
              <w:rPr>
                <w:rFonts w:ascii="Arial" w:cs="Arial" w:eastAsia="Arial" w:hAnsi="Arial"/>
                <w:sz w:val="18"/>
                <w:szCs w:val="18"/>
                <w:color w:val="auto"/>
                <w:w w:val="95"/>
              </w:rPr>
              <w:t>the Conversion Rate in effect immediately after the open of business on the Trading Day immediately following the date such tender or</w:t>
            </w: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tcPr>
          <w:p>
            <w:pPr>
              <w:ind w:left="180"/>
              <w:spacing w:after="0"/>
              <w:rPr>
                <w:sz w:val="20"/>
                <w:szCs w:val="20"/>
                <w:color w:val="auto"/>
              </w:rPr>
            </w:pPr>
            <w:r>
              <w:rPr>
                <w:rFonts w:ascii="Arial" w:cs="Arial" w:eastAsia="Arial" w:hAnsi="Arial"/>
                <w:sz w:val="18"/>
                <w:szCs w:val="18"/>
                <w:color w:val="auto"/>
              </w:rPr>
              <w:t>exchange offer expires;</w:t>
            </w:r>
          </w:p>
        </w:tc>
      </w:tr>
      <w:tr>
        <w:trPr>
          <w:trHeight w:val="307"/>
        </w:trPr>
        <w:tc>
          <w:tcPr>
            <w:tcW w:w="500" w:type="dxa"/>
            <w:vAlign w:val="bottom"/>
          </w:tcPr>
          <w:p>
            <w:pPr>
              <w:spacing w:after="0"/>
              <w:rPr>
                <w:sz w:val="20"/>
                <w:szCs w:val="20"/>
                <w:color w:val="auto"/>
              </w:rPr>
            </w:pPr>
            <w:r>
              <w:rPr>
                <w:rFonts w:ascii="Arial" w:cs="Arial" w:eastAsia="Arial" w:hAnsi="Arial"/>
                <w:sz w:val="18"/>
                <w:szCs w:val="18"/>
                <w:color w:val="auto"/>
              </w:rPr>
              <w:t>AC</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0" w:type="dxa"/>
            <w:vAlign w:val="bottom"/>
          </w:tcPr>
          <w:p>
            <w:pPr>
              <w:ind w:left="180"/>
              <w:spacing w:after="0"/>
              <w:rPr>
                <w:sz w:val="20"/>
                <w:szCs w:val="20"/>
                <w:color w:val="auto"/>
              </w:rPr>
            </w:pPr>
            <w:r>
              <w:rPr>
                <w:rFonts w:ascii="Arial" w:cs="Arial" w:eastAsia="Arial" w:hAnsi="Arial"/>
                <w:sz w:val="18"/>
                <w:szCs w:val="18"/>
                <w:color w:val="auto"/>
                <w:w w:val="91"/>
              </w:rPr>
              <w:t>the aggregate value of all cash and any other consideration (as determined by the Board of Directors) paid or payable for shares of Common</w:t>
            </w: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tcPr>
          <w:p>
            <w:pPr>
              <w:ind w:left="180"/>
              <w:spacing w:after="0"/>
              <w:rPr>
                <w:sz w:val="20"/>
                <w:szCs w:val="20"/>
                <w:color w:val="auto"/>
              </w:rPr>
            </w:pPr>
            <w:r>
              <w:rPr>
                <w:rFonts w:ascii="Arial" w:cs="Arial" w:eastAsia="Arial" w:hAnsi="Arial"/>
                <w:sz w:val="18"/>
                <w:szCs w:val="18"/>
                <w:color w:val="auto"/>
              </w:rPr>
              <w:t>Stock purchased in such tender or exchange offer;</w:t>
            </w:r>
          </w:p>
        </w:tc>
      </w:tr>
      <w:tr>
        <w:trPr>
          <w:trHeight w:val="307"/>
        </w:trPr>
        <w:tc>
          <w:tcPr>
            <w:tcW w:w="50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0" w:type="dxa"/>
            <w:vAlign w:val="bottom"/>
          </w:tcPr>
          <w:p>
            <w:pPr>
              <w:ind w:left="180"/>
              <w:spacing w:after="0"/>
              <w:rPr>
                <w:sz w:val="20"/>
                <w:szCs w:val="20"/>
                <w:color w:val="auto"/>
              </w:rPr>
            </w:pPr>
            <w:r>
              <w:rPr>
                <w:rFonts w:ascii="Arial" w:cs="Arial" w:eastAsia="Arial" w:hAnsi="Arial"/>
                <w:sz w:val="18"/>
                <w:szCs w:val="18"/>
                <w:color w:val="auto"/>
                <w:w w:val="89"/>
              </w:rPr>
              <w:t>the number of shares of Common Stock outstanding immediately prior to the date such tender or exchange offer expires (prior to giving effect to</w:t>
            </w: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tcPr>
          <w:p>
            <w:pPr>
              <w:ind w:left="180"/>
              <w:spacing w:after="0"/>
              <w:rPr>
                <w:sz w:val="20"/>
                <w:szCs w:val="20"/>
                <w:color w:val="auto"/>
              </w:rPr>
            </w:pPr>
            <w:r>
              <w:rPr>
                <w:rFonts w:ascii="Arial" w:cs="Arial" w:eastAsia="Arial" w:hAnsi="Arial"/>
                <w:sz w:val="18"/>
                <w:szCs w:val="18"/>
                <w:color w:val="auto"/>
              </w:rPr>
              <w:t>the purchase of all shares of Common Stock accepted for purchase or exchange in such tender or exchange offer);</w:t>
            </w:r>
          </w:p>
        </w:tc>
      </w:tr>
      <w:tr>
        <w:trPr>
          <w:trHeight w:val="307"/>
        </w:trPr>
        <w:tc>
          <w:tcPr>
            <w:tcW w:w="500" w:type="dxa"/>
            <w:vAlign w:val="bottom"/>
          </w:tcPr>
          <w:p>
            <w:pPr>
              <w:spacing w:after="0"/>
              <w:rPr>
                <w:sz w:val="20"/>
                <w:szCs w:val="20"/>
                <w:color w:val="auto"/>
              </w:rPr>
            </w:pPr>
            <w:r>
              <w:rPr>
                <w:rFonts w:ascii="Arial" w:cs="Arial" w:eastAsia="Arial" w:hAnsi="Arial"/>
                <w:sz w:val="18"/>
                <w:szCs w:val="18"/>
                <w:color w:val="auto"/>
              </w:rPr>
              <w:t>OS'</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0" w:type="dxa"/>
            <w:vAlign w:val="bottom"/>
          </w:tcPr>
          <w:p>
            <w:pPr>
              <w:ind w:left="180"/>
              <w:spacing w:after="0"/>
              <w:rPr>
                <w:sz w:val="20"/>
                <w:szCs w:val="20"/>
                <w:color w:val="auto"/>
              </w:rPr>
            </w:pPr>
            <w:r>
              <w:rPr>
                <w:rFonts w:ascii="Arial" w:cs="Arial" w:eastAsia="Arial" w:hAnsi="Arial"/>
                <w:sz w:val="18"/>
                <w:szCs w:val="18"/>
                <w:color w:val="auto"/>
                <w:w w:val="89"/>
              </w:rPr>
              <w:t>the number of shares of Common Stock outstanding immediately after the date such tender or exchange offer expires (after giving effect to the</w:t>
            </w: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tcPr>
          <w:p>
            <w:pPr>
              <w:ind w:left="180"/>
              <w:spacing w:after="0"/>
              <w:rPr>
                <w:sz w:val="20"/>
                <w:szCs w:val="20"/>
                <w:color w:val="auto"/>
              </w:rPr>
            </w:pPr>
            <w:r>
              <w:rPr>
                <w:rFonts w:ascii="Arial" w:cs="Arial" w:eastAsia="Arial" w:hAnsi="Arial"/>
                <w:sz w:val="18"/>
                <w:szCs w:val="18"/>
                <w:color w:val="auto"/>
              </w:rPr>
              <w:t>purchase of all shares of Common Stock accepted for purchase or exchange in such tender or exchange offer); and</w:t>
            </w:r>
          </w:p>
        </w:tc>
      </w:tr>
      <w:tr>
        <w:trPr>
          <w:trHeight w:val="307"/>
        </w:trPr>
        <w:tc>
          <w:tcPr>
            <w:tcW w:w="500" w:type="dxa"/>
            <w:vAlign w:val="bottom"/>
          </w:tcPr>
          <w:p>
            <w:pPr>
              <w:spacing w:after="0"/>
              <w:rPr>
                <w:sz w:val="20"/>
                <w:szCs w:val="20"/>
                <w:color w:val="auto"/>
              </w:rPr>
            </w:pPr>
            <w:r>
              <w:rPr>
                <w:rFonts w:ascii="Arial" w:cs="Arial" w:eastAsia="Arial" w:hAnsi="Arial"/>
                <w:sz w:val="18"/>
                <w:szCs w:val="18"/>
                <w:color w:val="auto"/>
              </w:rPr>
              <w:t>SP'</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0" w:type="dxa"/>
            <w:vAlign w:val="bottom"/>
          </w:tcPr>
          <w:p>
            <w:pPr>
              <w:ind w:left="180"/>
              <w:spacing w:after="0"/>
              <w:rPr>
                <w:sz w:val="20"/>
                <w:szCs w:val="20"/>
                <w:color w:val="auto"/>
              </w:rPr>
            </w:pPr>
            <w:r>
              <w:rPr>
                <w:rFonts w:ascii="Arial" w:cs="Arial" w:eastAsia="Arial" w:hAnsi="Arial"/>
                <w:sz w:val="18"/>
                <w:szCs w:val="18"/>
                <w:color w:val="auto"/>
                <w:w w:val="89"/>
              </w:rPr>
              <w:t>the average of the Last Reported Sale Prices of the Common Stock over the 10 consecutive Trading Day period commencing on, and including,</w:t>
            </w: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tcPr>
          <w:p>
            <w:pPr>
              <w:ind w:left="180"/>
              <w:spacing w:after="0"/>
              <w:rPr>
                <w:sz w:val="20"/>
                <w:szCs w:val="20"/>
                <w:color w:val="auto"/>
              </w:rPr>
            </w:pPr>
            <w:r>
              <w:rPr>
                <w:rFonts w:ascii="Arial" w:cs="Arial" w:eastAsia="Arial" w:hAnsi="Arial"/>
                <w:sz w:val="18"/>
                <w:szCs w:val="18"/>
                <w:color w:val="auto"/>
              </w:rPr>
              <w:t>the Trading Day next succeeding the date such tender or exchange offer expires.</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right="80"/>
        <w:spacing w:after="0" w:line="249" w:lineRule="auto"/>
        <w:rPr>
          <w:sz w:val="20"/>
          <w:szCs w:val="20"/>
          <w:color w:val="auto"/>
        </w:rPr>
      </w:pPr>
      <w:r>
        <w:rPr>
          <w:rFonts w:ascii="Arial" w:cs="Arial" w:eastAsia="Arial" w:hAnsi="Arial"/>
          <w:sz w:val="18"/>
          <w:szCs w:val="18"/>
          <w:color w:val="auto"/>
        </w:rPr>
        <w:t xml:space="preserve">The adjustment to the Conversion Rate under this Section 13.04(e) shall occur at the close of business on the 10th Trading Day immediately following, and including, the Trading Day next succeeding the date such tender or exchange offer expires but will be given effect as of the open of business on the Trading Day next succeeding the date such tender or exchange offer expires;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respect of any conversion within the 10 Trading Days immediately following, and including, the expiration date of any tender or exchange offer, references in this Section 13.04(e) with respect to 10 Trading Days shall be deemed replaced with such lesser number of Trading Days as have elapsed between the date that such tender or exchange offer expires and the Conversion Date in determining the Conversion Rate.</w:t>
      </w:r>
    </w:p>
    <w:p>
      <w:pPr>
        <w:spacing w:after="0" w:line="197" w:lineRule="exact"/>
        <w:rPr>
          <w:sz w:val="20"/>
          <w:szCs w:val="20"/>
          <w:color w:val="auto"/>
        </w:rPr>
      </w:pPr>
    </w:p>
    <w:p>
      <w:pPr>
        <w:ind w:firstLine="463"/>
        <w:spacing w:after="0" w:line="309" w:lineRule="auto"/>
        <w:tabs>
          <w:tab w:leader="none" w:pos="677" w:val="left"/>
        </w:tabs>
        <w:numPr>
          <w:ilvl w:val="0"/>
          <w:numId w:val="67"/>
        </w:numPr>
        <w:rPr>
          <w:rFonts w:ascii="Arial" w:cs="Arial" w:eastAsia="Arial" w:hAnsi="Arial"/>
          <w:sz w:val="15"/>
          <w:szCs w:val="15"/>
          <w:color w:val="auto"/>
        </w:rPr>
      </w:pPr>
      <w:r>
        <w:rPr>
          <w:rFonts w:ascii="Arial" w:cs="Arial" w:eastAsia="Arial" w:hAnsi="Arial"/>
          <w:sz w:val="15"/>
          <w:szCs w:val="15"/>
          <w:color w:val="auto"/>
        </w:rPr>
        <w:t>Notwithstanding this Section 13.04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13.02(i) based on an adjusted Conversion Rate for such Ex-Dividend Date, then, notwithstanding the Conversion Rate adjustment provisions in this Section 13.04,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52" w:lineRule="exact"/>
        <w:rPr>
          <w:rFonts w:ascii="Arial" w:cs="Arial" w:eastAsia="Arial" w:hAnsi="Arial"/>
          <w:sz w:val="15"/>
          <w:szCs w:val="15"/>
          <w:color w:val="auto"/>
        </w:rPr>
      </w:pPr>
    </w:p>
    <w:p>
      <w:pPr>
        <w:ind w:right="20" w:firstLine="463"/>
        <w:spacing w:after="0" w:line="366" w:lineRule="auto"/>
        <w:tabs>
          <w:tab w:leader="none" w:pos="707" w:val="left"/>
        </w:tabs>
        <w:numPr>
          <w:ilvl w:val="0"/>
          <w:numId w:val="67"/>
        </w:numPr>
        <w:rPr>
          <w:rFonts w:ascii="Arial" w:cs="Arial" w:eastAsia="Arial" w:hAnsi="Arial"/>
          <w:sz w:val="15"/>
          <w:szCs w:val="15"/>
          <w:color w:val="auto"/>
        </w:rPr>
      </w:pPr>
      <w:r>
        <w:rPr>
          <w:rFonts w:ascii="Arial" w:cs="Arial" w:eastAsia="Arial" w:hAnsi="Arial"/>
          <w:sz w:val="15"/>
          <w:szCs w:val="15"/>
          <w:color w:val="auto"/>
        </w:rPr>
        <w:t>Except as stated herein, the Company shall not adjust the Conversion Rate for the issuance of shares of its Common Stock or any securities convertible into or exchangeable for shares of its Common Stock or the right to purchase shares of its Common Stock or such convertible or exchangeable securities.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3" w:right="239" w:bottom="1440" w:gutter="0" w:footer="0" w:header="0"/>
        </w:sectPr>
      </w:pPr>
    </w:p>
    <w:bookmarkStart w:id="79" w:name="page80"/>
    <w:bookmarkEnd w:id="79"/>
    <w:p>
      <w:pPr>
        <w:ind w:left="-20" w:firstLine="463"/>
        <w:spacing w:after="0" w:line="303" w:lineRule="auto"/>
        <w:tabs>
          <w:tab w:leader="none" w:pos="687" w:val="left"/>
        </w:tabs>
        <w:numPr>
          <w:ilvl w:val="0"/>
          <w:numId w:val="6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addition to those adjustments required by clauses (a), (b), (c), (d) and (e) of this Section 13.04, and to the extent permitted by applicable law and subject to the applicable rules of The New York Stock Exchange, the Company from time to time may increase the Conversion Rate by any amount for a period of at least 20 Business Days if the Board of Directors determines that such increase would be in the Company’s best interest. In addition, but subject to the same limitations set forth in the immediately preceding sentence, the Company may (but is not required to) increase the Conversion Rate to avoid or diminish any income tax to holders of Common Stock or rights to purchase Common Stock in connection with a dividend or distribution of shares (or rights to acquire shares) or similar event. The Company will not take any action that would result in an adjustment of the Conversion Rate, pursuant to clauses (a), (b), (c), (d) and (e) of this Section 13.04, in such a manner as to result in the reduction of the Conversion Price to less than the par value per share of the Common Stock. Whenever the Conversion Rate is adjusted pursuant to either of the preceding two sentences, the Company shall mail to the Holder of each Note at its last address appearing on the Note Register a notice of the increase at least 15 days prior to the date the adjusted Conversion Rate takes effect, and such notice shall state the adjusted Conversion Rate and the period during which it will be in effect.</w:t>
      </w:r>
    </w:p>
    <w:p>
      <w:pPr>
        <w:spacing w:after="0" w:line="373" w:lineRule="exact"/>
        <w:rPr>
          <w:rFonts w:ascii="Arial" w:cs="Arial" w:eastAsia="Arial" w:hAnsi="Arial"/>
          <w:sz w:val="15"/>
          <w:szCs w:val="15"/>
          <w:color w:val="auto"/>
        </w:rPr>
      </w:pPr>
    </w:p>
    <w:p>
      <w:pPr>
        <w:ind w:left="660" w:hanging="21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13, the Conversion Rate shall not be adjusted:</w:t>
      </w:r>
    </w:p>
    <w:p>
      <w:pPr>
        <w:spacing w:after="0" w:line="111" w:lineRule="exact"/>
        <w:rPr>
          <w:rFonts w:ascii="Arial" w:cs="Arial" w:eastAsia="Arial" w:hAnsi="Arial"/>
          <w:sz w:val="18"/>
          <w:szCs w:val="18"/>
          <w:color w:val="auto"/>
        </w:rPr>
      </w:pPr>
    </w:p>
    <w:p>
      <w:pPr>
        <w:ind w:left="440" w:right="140" w:firstLine="441"/>
        <w:spacing w:after="0" w:line="294" w:lineRule="auto"/>
        <w:tabs>
          <w:tab w:leader="none" w:pos="1089" w:val="left"/>
        </w:tabs>
        <w:numPr>
          <w:ilvl w:val="1"/>
          <w:numId w:val="68"/>
        </w:numPr>
        <w:rPr>
          <w:rFonts w:ascii="Arial" w:cs="Arial" w:eastAsia="Arial" w:hAnsi="Arial"/>
          <w:sz w:val="17"/>
          <w:szCs w:val="17"/>
          <w:color w:val="auto"/>
        </w:rPr>
      </w:pPr>
      <w:r>
        <w:rPr>
          <w:rFonts w:ascii="Arial" w:cs="Arial" w:eastAsia="Arial" w:hAnsi="Arial"/>
          <w:sz w:val="17"/>
          <w:szCs w:val="17"/>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51" w:lineRule="exact"/>
        <w:rPr>
          <w:rFonts w:ascii="Arial" w:cs="Arial" w:eastAsia="Arial" w:hAnsi="Arial"/>
          <w:sz w:val="17"/>
          <w:szCs w:val="17"/>
          <w:color w:val="auto"/>
        </w:rPr>
      </w:pPr>
    </w:p>
    <w:p>
      <w:pPr>
        <w:ind w:left="440" w:right="400" w:firstLine="441"/>
        <w:spacing w:after="0" w:line="294" w:lineRule="auto"/>
        <w:tabs>
          <w:tab w:leader="none" w:pos="1139" w:val="left"/>
        </w:tabs>
        <w:numPr>
          <w:ilvl w:val="1"/>
          <w:numId w:val="68"/>
        </w:numPr>
        <w:rPr>
          <w:rFonts w:ascii="Arial" w:cs="Arial" w:eastAsia="Arial" w:hAnsi="Arial"/>
          <w:sz w:val="17"/>
          <w:szCs w:val="17"/>
          <w:color w:val="auto"/>
        </w:rPr>
      </w:pPr>
      <w:r>
        <w:rPr>
          <w:rFonts w:ascii="Arial" w:cs="Arial" w:eastAsia="Arial" w:hAnsi="Arial"/>
          <w:sz w:val="17"/>
          <w:szCs w:val="17"/>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51" w:lineRule="exact"/>
        <w:rPr>
          <w:rFonts w:ascii="Arial" w:cs="Arial" w:eastAsia="Arial" w:hAnsi="Arial"/>
          <w:sz w:val="17"/>
          <w:szCs w:val="17"/>
          <w:color w:val="auto"/>
        </w:rPr>
      </w:pPr>
    </w:p>
    <w:p>
      <w:pPr>
        <w:ind w:left="440" w:right="560" w:firstLine="441"/>
        <w:spacing w:after="0" w:line="294" w:lineRule="auto"/>
        <w:tabs>
          <w:tab w:leader="none" w:pos="1188" w:val="left"/>
        </w:tabs>
        <w:numPr>
          <w:ilvl w:val="1"/>
          <w:numId w:val="68"/>
        </w:numPr>
        <w:rPr>
          <w:rFonts w:ascii="Arial" w:cs="Arial" w:eastAsia="Arial" w:hAnsi="Arial"/>
          <w:sz w:val="17"/>
          <w:szCs w:val="17"/>
          <w:color w:val="auto"/>
        </w:rPr>
      </w:pPr>
      <w:r>
        <w:rPr>
          <w:rFonts w:ascii="Arial" w:cs="Arial" w:eastAsia="Arial" w:hAnsi="Arial"/>
          <w:sz w:val="17"/>
          <w:szCs w:val="17"/>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51" w:lineRule="exact"/>
        <w:rPr>
          <w:rFonts w:ascii="Arial" w:cs="Arial" w:eastAsia="Arial" w:hAnsi="Arial"/>
          <w:sz w:val="17"/>
          <w:szCs w:val="17"/>
          <w:color w:val="auto"/>
        </w:rPr>
      </w:pPr>
    </w:p>
    <w:p>
      <w:pPr>
        <w:ind w:left="1180" w:hanging="299"/>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solely for a change in the par value of the Common Stock or a change in the Company’s jurisdiction of incorporation; or</w:t>
      </w:r>
    </w:p>
    <w:p>
      <w:pPr>
        <w:spacing w:after="0" w:line="111" w:lineRule="exact"/>
        <w:rPr>
          <w:rFonts w:ascii="Arial" w:cs="Arial" w:eastAsia="Arial" w:hAnsi="Arial"/>
          <w:sz w:val="18"/>
          <w:szCs w:val="18"/>
          <w:color w:val="auto"/>
        </w:rPr>
      </w:pPr>
    </w:p>
    <w:p>
      <w:pPr>
        <w:ind w:left="1140" w:hanging="259"/>
        <w:spacing w:after="0"/>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17" w:lineRule="exact"/>
        <w:rPr>
          <w:rFonts w:ascii="Arial" w:cs="Arial" w:eastAsia="Arial" w:hAnsi="Arial"/>
          <w:sz w:val="18"/>
          <w:szCs w:val="18"/>
          <w:color w:val="auto"/>
        </w:rPr>
      </w:pPr>
    </w:p>
    <w:p>
      <w:pPr>
        <w:ind w:left="-20" w:right="40" w:firstLine="463"/>
        <w:spacing w:after="0" w:line="250"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calculations and other determinations under this Article 13 shall be made by the Company and shall be made to the nearest one-ten thousandth (1/10,000) of a share. The Company shall not be required to make an adjustment in the Conversion Rate unless the adjustment would require a change of at least 1% in the Conversion Rate. However, the Company shall carry forward any adjustments that are less than 1% of the Conversion Rate and make such carried forward adjustment, regardless of whether the aggregate adjustment is less than 1%, on the Conversion Date for any Notes and on each Trading Day of any Observation Period for any converted Notes.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60" w:top="273" w:right="259" w:bottom="1440" w:gutter="0" w:footer="0" w:header="0"/>
        </w:sectPr>
      </w:pPr>
    </w:p>
    <w:bookmarkStart w:id="80" w:name="page81"/>
    <w:bookmarkEnd w:id="80"/>
    <w:p>
      <w:pPr>
        <w:ind w:firstLine="463"/>
        <w:spacing w:after="0" w:line="265" w:lineRule="auto"/>
        <w:tabs>
          <w:tab w:leader="none" w:pos="707"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(and Conversion Agent, if applicable) shall have received such Officers’ Certificate, the Trustee (and Conversion Agent, if applicable)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mail such notice of such adjustment of the Conversion Rate to each Holder at its last address appearing on the Note Register of this Indenture. Failure to deliver such notice shall not affect the legality or validity of any such adjustment.</w:t>
      </w:r>
    </w:p>
    <w:p>
      <w:pPr>
        <w:spacing w:after="0" w:line="183"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Section 13.05</w:t>
      </w:r>
      <w:r>
        <w:rPr>
          <w:rFonts w:ascii="Arial" w:cs="Arial" w:eastAsia="Arial" w:hAnsi="Arial"/>
          <w:sz w:val="18"/>
          <w:szCs w:val="18"/>
          <w:i w:val="1"/>
          <w:iCs w:val="1"/>
          <w:color w:val="auto"/>
        </w:rPr>
        <w:t>. Adjustments of Prices.</w:t>
      </w:r>
      <w:r>
        <w:rPr>
          <w:rFonts w:ascii="Arial" w:cs="Arial" w:eastAsia="Arial" w:hAnsi="Arial"/>
          <w:sz w:val="18"/>
          <w:szCs w:val="18"/>
          <w:color w:val="auto"/>
        </w:rPr>
        <w:t xml:space="preserve"> Whenever any provision of this Indenture requires the Company to calculate the Last Reported Sale Prices, the Daily VWAPs, the Daily Conversion Values or the Daily Settlement Amounts over a span of multiple days (including an Observation Period and the period for determining the Stock Price for purposes of a Make-Whole Fundamental Change), the Board of Directors shall make appropriate adjustments to each to account for any adjustment to the Conversion Rate that becomes effective, or any event requiring an adjustment to the Conversion Rate where the Ex-Dividend Date of the event occurs, at any time during the period when the Last Reported Sale Prices, the Daily VWAPs, the Daily Conversion Values or the Daily Settlement Amounts are to be calculated.</w:t>
      </w:r>
    </w:p>
    <w:p>
      <w:pPr>
        <w:spacing w:after="0" w:line="197" w:lineRule="exact"/>
        <w:rPr>
          <w:sz w:val="20"/>
          <w:szCs w:val="20"/>
          <w:color w:val="auto"/>
        </w:rPr>
      </w:pPr>
    </w:p>
    <w:p>
      <w:pPr>
        <w:jc w:val="both"/>
        <w:ind w:right="420" w:firstLine="457"/>
        <w:spacing w:after="0" w:line="330" w:lineRule="auto"/>
        <w:rPr>
          <w:sz w:val="20"/>
          <w:szCs w:val="20"/>
          <w:color w:val="auto"/>
        </w:rPr>
      </w:pPr>
      <w:r>
        <w:rPr>
          <w:rFonts w:ascii="Arial" w:cs="Arial" w:eastAsia="Arial" w:hAnsi="Arial"/>
          <w:sz w:val="15"/>
          <w:szCs w:val="15"/>
          <w:color w:val="auto"/>
        </w:rPr>
        <w:t>Section 13.06</w:t>
      </w:r>
      <w:r>
        <w:rPr>
          <w:rFonts w:ascii="Arial" w:cs="Arial" w:eastAsia="Arial" w:hAnsi="Arial"/>
          <w:sz w:val="15"/>
          <w:szCs w:val="15"/>
          <w:i w:val="1"/>
          <w:iCs w:val="1"/>
          <w:color w:val="auto"/>
        </w:rPr>
        <w:t>. Shares to Be Fully Paid.</w:t>
      </w:r>
      <w:r>
        <w:rPr>
          <w:rFonts w:ascii="Arial" w:cs="Arial" w:eastAsia="Arial" w:hAnsi="Arial"/>
          <w:sz w:val="15"/>
          <w:szCs w:val="15"/>
          <w:color w:val="auto"/>
        </w:rPr>
        <w:t xml:space="preserve"> The Company shall provide, free from preemptive rights, out of its authorized but unissued shares, sufficient shares of Common Stock to provide for conversion of the Notes from time to time as such Notes are presented for conversion (assuming that at the time of computation of such number of shares, all such Notes would be converted by a single Holder and that Physical Settlement is applicable).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13.07</w:t>
      </w:r>
      <w:r>
        <w:rPr>
          <w:rFonts w:ascii="Arial" w:cs="Arial" w:eastAsia="Arial" w:hAnsi="Arial"/>
          <w:sz w:val="18"/>
          <w:szCs w:val="18"/>
          <w:i w:val="1"/>
          <w:iCs w:val="1"/>
          <w:color w:val="auto"/>
        </w:rPr>
        <w:t>. Effect of Recapitalizations, Reclassifications and Changes of the Common Stock.</w:t>
      </w:r>
    </w:p>
    <w:p>
      <w:pPr>
        <w:spacing w:after="0" w:line="217" w:lineRule="exact"/>
        <w:rPr>
          <w:sz w:val="20"/>
          <w:szCs w:val="20"/>
          <w:color w:val="auto"/>
        </w:rPr>
      </w:pPr>
    </w:p>
    <w:p>
      <w:pPr>
        <w:ind w:left="700" w:hanging="237"/>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111" w:lineRule="exact"/>
        <w:rPr>
          <w:rFonts w:ascii="Arial" w:cs="Arial" w:eastAsia="Arial" w:hAnsi="Arial"/>
          <w:sz w:val="18"/>
          <w:szCs w:val="18"/>
          <w:color w:val="auto"/>
        </w:rPr>
      </w:pPr>
    </w:p>
    <w:p>
      <w:pPr>
        <w:ind w:left="460" w:right="520" w:firstLine="441"/>
        <w:spacing w:after="0" w:line="265" w:lineRule="auto"/>
        <w:tabs>
          <w:tab w:leader="none" w:pos="1109"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Common Stock (other than changes resulting from a subdivision or combination or a change solely in par value),</w:t>
      </w:r>
    </w:p>
    <w:p>
      <w:pPr>
        <w:spacing w:after="0" w:line="73" w:lineRule="exact"/>
        <w:rPr>
          <w:rFonts w:ascii="Arial" w:cs="Arial" w:eastAsia="Arial" w:hAnsi="Arial"/>
          <w:sz w:val="18"/>
          <w:szCs w:val="18"/>
          <w:color w:val="auto"/>
        </w:rPr>
      </w:pPr>
    </w:p>
    <w:p>
      <w:pPr>
        <w:ind w:left="1160" w:hanging="259"/>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the Company,</w:t>
      </w:r>
    </w:p>
    <w:p>
      <w:pPr>
        <w:spacing w:after="0" w:line="111" w:lineRule="exact"/>
        <w:rPr>
          <w:rFonts w:ascii="Arial" w:cs="Arial" w:eastAsia="Arial" w:hAnsi="Arial"/>
          <w:sz w:val="18"/>
          <w:szCs w:val="18"/>
          <w:color w:val="auto"/>
        </w:rPr>
      </w:pPr>
    </w:p>
    <w:p>
      <w:pPr>
        <w:ind w:left="1220" w:hanging="319"/>
        <w:spacing w:after="0"/>
        <w:tabs>
          <w:tab w:leader="none" w:pos="12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any sale, lease or other transfer to a third party of all or substantially all of the Company and the Company’s Subsidiaries’ consolidated assets or</w:t>
      </w:r>
    </w:p>
    <w:p>
      <w:pPr>
        <w:spacing w:after="0" w:line="145" w:lineRule="exact"/>
        <w:rPr>
          <w:rFonts w:ascii="Arial" w:cs="Arial" w:eastAsia="Arial" w:hAnsi="Arial"/>
          <w:sz w:val="15"/>
          <w:szCs w:val="15"/>
          <w:color w:val="auto"/>
        </w:rPr>
      </w:pPr>
    </w:p>
    <w:p>
      <w:pPr>
        <w:ind w:left="1200" w:hanging="299"/>
        <w:spacing w:after="0"/>
        <w:tabs>
          <w:tab w:leader="none" w:pos="12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3" w:right="259" w:bottom="1440" w:gutter="0" w:footer="0" w:header="0"/>
        </w:sectPr>
      </w:pPr>
    </w:p>
    <w:bookmarkStart w:id="81" w:name="page82"/>
    <w:bookmarkEnd w:id="81"/>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each case, as a result of which the Common Stock then outstanding would be converted into, or exchanged for, stock, other securities, other property or assets (including cash or any combination thereof) (any such event, a “</w:t>
      </w:r>
      <w:r>
        <w:rPr>
          <w:rFonts w:ascii="Arial" w:cs="Arial" w:eastAsia="Arial" w:hAnsi="Arial"/>
          <w:sz w:val="15"/>
          <w:szCs w:val="15"/>
          <w:b w:val="1"/>
          <w:bCs w:val="1"/>
          <w:color w:val="auto"/>
        </w:rPr>
        <w:t>Merger Event</w:t>
      </w:r>
      <w:r>
        <w:rPr>
          <w:rFonts w:ascii="Arial" w:cs="Arial" w:eastAsia="Arial" w:hAnsi="Arial"/>
          <w:sz w:val="15"/>
          <w:szCs w:val="15"/>
          <w:color w:val="auto"/>
        </w:rPr>
        <w:t>”), then, at and after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Arial" w:cs="Arial" w:eastAsia="Arial" w:hAnsi="Arial"/>
          <w:sz w:val="15"/>
          <w:szCs w:val="15"/>
          <w:b w:val="1"/>
          <w:bCs w:val="1"/>
          <w:color w:val="auto"/>
        </w:rPr>
        <w:t>Reference Property</w:t>
      </w:r>
      <w:r>
        <w:rPr>
          <w:rFonts w:ascii="Arial" w:cs="Arial" w:eastAsia="Arial" w:hAnsi="Arial"/>
          <w:sz w:val="15"/>
          <w:szCs w:val="15"/>
          <w:color w:val="auto"/>
        </w:rPr>
        <w:t>”, with each “</w:t>
      </w:r>
      <w:r>
        <w:rPr>
          <w:rFonts w:ascii="Arial" w:cs="Arial" w:eastAsia="Arial" w:hAnsi="Arial"/>
          <w:sz w:val="15"/>
          <w:szCs w:val="15"/>
          <w:b w:val="1"/>
          <w:bCs w:val="1"/>
          <w:color w:val="auto"/>
        </w:rPr>
        <w:t>unit of Reference</w:t>
      </w:r>
      <w:r>
        <w:rPr>
          <w:rFonts w:ascii="Arial" w:cs="Arial" w:eastAsia="Arial" w:hAnsi="Arial"/>
          <w:sz w:val="15"/>
          <w:szCs w:val="15"/>
          <w:color w:val="auto"/>
        </w:rPr>
        <w:t xml:space="preserve"> </w:t>
      </w:r>
      <w:r>
        <w:rPr>
          <w:rFonts w:ascii="Arial" w:cs="Arial" w:eastAsia="Arial" w:hAnsi="Arial"/>
          <w:sz w:val="15"/>
          <w:szCs w:val="15"/>
          <w:b w:val="1"/>
          <w:bCs w:val="1"/>
          <w:color w:val="auto"/>
        </w:rPr>
        <w:t>Property</w:t>
      </w:r>
      <w:r>
        <w:rPr>
          <w:rFonts w:ascii="Arial" w:cs="Arial" w:eastAsia="Arial" w:hAnsi="Arial"/>
          <w:sz w:val="15"/>
          <w:szCs w:val="15"/>
          <w:color w:val="auto"/>
        </w:rPr>
        <w:t>” meaning the kind and amount of Reference Property that a holder of one share of Common Stock is entitled to receive) upon such Merger Event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prior to or at the effective time of such Merger Event, the Company or the successor or purchasing Person, as the case may be, shall execute with the Trustee a supplemental indenture permitted under Section 10.01(b) providing for such change in the right to convert each $1,000 principal amount of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at and after the effective time of the Merger Event (A) the Company shall continue to have the right to determine the form of consideration to be</w:t>
      </w:r>
      <w:r>
        <w:rPr>
          <w:rFonts w:ascii="Arial" w:cs="Arial" w:eastAsia="Arial" w:hAnsi="Arial"/>
          <w:sz w:val="15"/>
          <w:szCs w:val="15"/>
          <w:i w:val="1"/>
          <w:iCs w:val="1"/>
          <w:color w:val="auto"/>
        </w:rPr>
        <w:t xml:space="preserve"> </w:t>
      </w:r>
      <w:r>
        <w:rPr>
          <w:rFonts w:ascii="Arial" w:cs="Arial" w:eastAsia="Arial" w:hAnsi="Arial"/>
          <w:sz w:val="15"/>
          <w:szCs w:val="15"/>
          <w:color w:val="auto"/>
        </w:rPr>
        <w:t>paid or delivered, as the case may be, upon conversion of Notes in accordance with Section 13.02 and (B) (I) any amount payable in cash upon conversion of the Notes in accordance with Section 13.02 shall continue to be payable in cash, (II) any shares of Common Stock that the Company would have been required to deliver upon conversion of the Notes in accordance with Section 13.02 shall instead be deliverable in the amount and type of Reference Property that a holder of that number of shares of Common Stock would have been entitled to receive in such Merger Event and (III) the Daily VWAP shall be calculated based on the value of a unit of Reference Property.</w:t>
      </w:r>
    </w:p>
    <w:p>
      <w:pPr>
        <w:spacing w:after="0" w:line="370"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color w:val="auto"/>
        </w:rPr>
        <w:t xml:space="preserve">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received by the holders of Common Stock that affirmatively make such an election, and (ii) the unit of Reference Property for purposes of the immediately preceding paragraph shall refer to the consideration referred to in clause (i) attributable to one share of Common Stock. The Company shall notify Holders, the Trustee and the Conversion Agent (if other than the Trustee) of such weighted average as soon as practicable after such determination is made. If the holders receive only cash in such Merger Event, then for all conversions that occur after the effective date of such Merger Event (x) the consideration due upon conversion of each $1,000 principal amount of Notes shall be solely cash in an amount equal to the Conversion Rate in effect on the Conversion Date (as may be increased by any Additional Shares pursuant to Section 13.03),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price paid per share of Common Stock in such Merger Event and (y) the Company shall satisfy the Conversion Obligation by paying cash to converting Holders on the third Business Day immediately following the relevant Conversion Date.</w:t>
      </w:r>
    </w:p>
    <w:p>
      <w:pPr>
        <w:spacing w:after="0" w:line="374"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Such supplemental indenture described in the second immediately preceding paragraph shall provide for adjustments that shall be as nearly equivalent as is possible to the adjustments provided for in this Article 13. If, in the case of any Merger Event, the Reference Property includes shares of stock, securities or other property or assets (including cash or any combination thereof) of a Person other than the successor or purchasing corporation, as the case may be, in such Merger Event, then such supplemental indenture shall also be executed by such other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3" w:right="279" w:bottom="1440" w:gutter="0" w:footer="0" w:header="0"/>
        </w:sectPr>
      </w:pPr>
    </w:p>
    <w:bookmarkStart w:id="82" w:name="page83"/>
    <w:bookmarkEnd w:id="8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Person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purchase rights set forth in Article 14.</w:t>
      </w:r>
    </w:p>
    <w:p>
      <w:pPr>
        <w:spacing w:after="0" w:line="189" w:lineRule="exact"/>
        <w:rPr>
          <w:sz w:val="20"/>
          <w:szCs w:val="20"/>
          <w:color w:val="auto"/>
        </w:rPr>
      </w:pPr>
    </w:p>
    <w:p>
      <w:pPr>
        <w:ind w:right="20" w:firstLine="463"/>
        <w:spacing w:after="0" w:line="267" w:lineRule="auto"/>
        <w:tabs>
          <w:tab w:leader="none" w:pos="707"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the event the Company shall execute a supplemental indenture pursuant to subsection (a) of this Section 13.07, the Company shall promptly file with the Trustee an Officers’ Certificate briefly stating the reasons therefore, the kind or amount of cash, securities or property or asset that will comprise the Reference Property after any such Merger Event,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Note Register provided for in this Indenture, within 20 days after execution thereof. Failure to deliver such notice shall not affect the legality or validity of such supplemental indenture.</w:t>
      </w:r>
    </w:p>
    <w:p>
      <w:pPr>
        <w:spacing w:after="0" w:line="180" w:lineRule="exact"/>
        <w:rPr>
          <w:rFonts w:ascii="Arial" w:cs="Arial" w:eastAsia="Arial" w:hAnsi="Arial"/>
          <w:sz w:val="17"/>
          <w:szCs w:val="17"/>
          <w:color w:val="auto"/>
        </w:rPr>
      </w:pPr>
    </w:p>
    <w:p>
      <w:pPr>
        <w:ind w:firstLine="463"/>
        <w:spacing w:after="0" w:line="277" w:lineRule="auto"/>
        <w:tabs>
          <w:tab w:leader="none" w:pos="697"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Company shall not become a party to any Merger Event unless its terms are consistent with this Section 13.07 in all material respects. None of the foregoing provisions shall affect the right of a Holder of Notes to convert its Notes into cash, shares of Common Stock or a combination of cash and shares of Common Stock, as applicable, as set forth in Section 13.01 and Section 13.02 prior to the effective date of such Merger Event.</w:t>
      </w:r>
    </w:p>
    <w:p>
      <w:pPr>
        <w:spacing w:after="0" w:line="171" w:lineRule="exact"/>
        <w:rPr>
          <w:rFonts w:ascii="Arial" w:cs="Arial" w:eastAsia="Arial" w:hAnsi="Arial"/>
          <w:sz w:val="17"/>
          <w:szCs w:val="17"/>
          <w:color w:val="auto"/>
        </w:rPr>
      </w:pPr>
    </w:p>
    <w:p>
      <w:pPr>
        <w:ind w:left="720" w:hanging="257"/>
        <w:spacing w:after="0"/>
        <w:tabs>
          <w:tab w:leader="none" w:pos="7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above provisions of this Section shall similarly apply to successive Merger Events.</w:t>
      </w:r>
    </w:p>
    <w:p>
      <w:pPr>
        <w:spacing w:after="0" w:line="217" w:lineRule="exact"/>
        <w:rPr>
          <w:rFonts w:ascii="Arial" w:cs="Arial" w:eastAsia="Arial" w:hAnsi="Arial"/>
          <w:sz w:val="18"/>
          <w:szCs w:val="18"/>
          <w:color w:val="auto"/>
        </w:rPr>
      </w:pPr>
    </w:p>
    <w:p>
      <w:pPr>
        <w:ind w:left="700" w:hanging="237"/>
        <w:spacing w:after="0"/>
        <w:tabs>
          <w:tab w:leader="none" w:pos="700" w:val="left"/>
        </w:tabs>
        <w:numPr>
          <w:ilvl w:val="1"/>
          <w:numId w:val="71"/>
        </w:numPr>
        <w:rPr>
          <w:rFonts w:ascii="Arial" w:cs="Arial" w:eastAsia="Arial" w:hAnsi="Arial"/>
          <w:sz w:val="15"/>
          <w:szCs w:val="15"/>
          <w:color w:val="auto"/>
        </w:rPr>
      </w:pPr>
      <w:r>
        <w:rPr>
          <w:rFonts w:ascii="Arial" w:cs="Arial" w:eastAsia="Arial" w:hAnsi="Arial"/>
          <w:sz w:val="15"/>
          <w:szCs w:val="15"/>
          <w:color w:val="auto"/>
        </w:rPr>
        <w:t>In connection with any Merger Event, the Initial Dividend Threshold shall be subject to adjustment as described in clause (i), clause (ii) or clause</w:t>
      </w:r>
    </w:p>
    <w:p>
      <w:pPr>
        <w:spacing w:after="0" w:line="50" w:lineRule="exact"/>
        <w:rPr>
          <w:rFonts w:ascii="Arial" w:cs="Arial" w:eastAsia="Arial" w:hAnsi="Arial"/>
          <w:sz w:val="15"/>
          <w:szCs w:val="15"/>
          <w:color w:val="auto"/>
        </w:rPr>
      </w:pPr>
    </w:p>
    <w:p>
      <w:pPr>
        <w:ind w:left="320" w:hanging="314"/>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below, as the case may be.</w:t>
      </w:r>
    </w:p>
    <w:p>
      <w:pPr>
        <w:spacing w:after="0" w:line="99" w:lineRule="exact"/>
        <w:rPr>
          <w:rFonts w:ascii="Arial" w:cs="Arial" w:eastAsia="Arial" w:hAnsi="Arial"/>
          <w:sz w:val="18"/>
          <w:szCs w:val="18"/>
          <w:color w:val="auto"/>
        </w:rPr>
      </w:pPr>
    </w:p>
    <w:p>
      <w:pPr>
        <w:ind w:left="460" w:right="80" w:firstLine="441"/>
        <w:spacing w:after="0" w:line="250" w:lineRule="auto"/>
        <w:tabs>
          <w:tab w:leader="none" w:pos="1109" w:val="left"/>
        </w:tabs>
        <w:numPr>
          <w:ilvl w:val="2"/>
          <w:numId w:val="72"/>
        </w:numPr>
        <w:rPr>
          <w:rFonts w:ascii="Arial" w:cs="Arial" w:eastAsia="Arial" w:hAnsi="Arial"/>
          <w:sz w:val="18"/>
          <w:szCs w:val="18"/>
          <w:color w:val="auto"/>
        </w:rPr>
      </w:pPr>
      <w:r>
        <w:rPr>
          <w:rFonts w:ascii="Arial" w:cs="Arial" w:eastAsia="Arial" w:hAnsi="Arial"/>
          <w:sz w:val="18"/>
          <w:szCs w:val="18"/>
          <w:color w:val="auto"/>
        </w:rPr>
        <w:t>In the case of a Merger Event in which the Reference Property (determined, as appropriate, pursuant to subsection (a) above and excluding any dissenters’ appraisal rights) is composed entirely of shares of common stock (the “</w:t>
      </w:r>
      <w:r>
        <w:rPr>
          <w:rFonts w:ascii="Arial" w:cs="Arial" w:eastAsia="Arial" w:hAnsi="Arial"/>
          <w:sz w:val="18"/>
          <w:szCs w:val="18"/>
          <w:b w:val="1"/>
          <w:bCs w:val="1"/>
          <w:color w:val="auto"/>
        </w:rPr>
        <w:t>Merger Common Stock</w:t>
      </w:r>
      <w:r>
        <w:rPr>
          <w:rFonts w:ascii="Arial" w:cs="Arial" w:eastAsia="Arial" w:hAnsi="Arial"/>
          <w:sz w:val="18"/>
          <w:szCs w:val="18"/>
          <w:color w:val="auto"/>
        </w:rPr>
        <w:t xml:space="preserve">”), the Initial Dividend Threshold at and after the effective time of such Merger Event will be equal to (x) the Initial Dividend Threshold immediately prior to the effective time of such Merger Event,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(y) the number of shares of Merger Common Stock that a holder of one share of Common Stock would receive in such Merger Event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quotient rounded down to nearest cent).</w:t>
      </w:r>
    </w:p>
    <w:p>
      <w:pPr>
        <w:spacing w:after="0" w:line="88" w:lineRule="exact"/>
        <w:rPr>
          <w:rFonts w:ascii="Arial" w:cs="Arial" w:eastAsia="Arial" w:hAnsi="Arial"/>
          <w:sz w:val="18"/>
          <w:szCs w:val="18"/>
          <w:color w:val="auto"/>
        </w:rPr>
      </w:pPr>
    </w:p>
    <w:p>
      <w:pPr>
        <w:jc w:val="both"/>
        <w:ind w:left="460" w:right="40" w:firstLine="441"/>
        <w:spacing w:after="0" w:line="271" w:lineRule="auto"/>
        <w:tabs>
          <w:tab w:leader="none" w:pos="1159" w:val="left"/>
        </w:tabs>
        <w:numPr>
          <w:ilvl w:val="2"/>
          <w:numId w:val="72"/>
        </w:numPr>
        <w:rPr>
          <w:rFonts w:ascii="Arial" w:cs="Arial" w:eastAsia="Arial" w:hAnsi="Arial"/>
          <w:sz w:val="17"/>
          <w:szCs w:val="17"/>
          <w:color w:val="auto"/>
        </w:rPr>
      </w:pPr>
      <w:r>
        <w:rPr>
          <w:rFonts w:ascii="Arial" w:cs="Arial" w:eastAsia="Arial" w:hAnsi="Arial"/>
          <w:sz w:val="17"/>
          <w:szCs w:val="17"/>
          <w:color w:val="auto"/>
        </w:rPr>
        <w:t xml:space="preserve">In the case of a Merger Event in which the Reference Property (determined, as appropriate, pursuant to subsection (a) above and excluding any dissenters’ appraisal rights) is composed in part of shares of Merger Common Stock, the Initial Dividend Threshold at and after the effective time of such Merger Event will be equal to (x) the Initial Dividend Threshold immediately prior to the effective time of such Merger Event,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(y) the Merger Valuation Percentage for such Merger Event (such product rounded down to nearest cent).</w:t>
      </w:r>
    </w:p>
    <w:p>
      <w:pPr>
        <w:spacing w:after="0" w:line="71" w:lineRule="exact"/>
        <w:rPr>
          <w:rFonts w:ascii="Arial" w:cs="Arial" w:eastAsia="Arial" w:hAnsi="Arial"/>
          <w:sz w:val="17"/>
          <w:szCs w:val="17"/>
          <w:color w:val="auto"/>
        </w:rPr>
      </w:pPr>
    </w:p>
    <w:p>
      <w:pPr>
        <w:ind w:left="1220" w:hanging="319"/>
        <w:spacing w:after="0"/>
        <w:tabs>
          <w:tab w:leader="none" w:pos="1220" w:val="left"/>
        </w:tabs>
        <w:numPr>
          <w:ilvl w:val="2"/>
          <w:numId w:val="72"/>
        </w:numPr>
        <w:rPr>
          <w:rFonts w:ascii="Arial" w:cs="Arial" w:eastAsia="Arial" w:hAnsi="Arial"/>
          <w:sz w:val="15"/>
          <w:szCs w:val="15"/>
          <w:color w:val="auto"/>
        </w:rPr>
      </w:pPr>
      <w:r>
        <w:rPr>
          <w:rFonts w:ascii="Arial" w:cs="Arial" w:eastAsia="Arial" w:hAnsi="Arial"/>
          <w:sz w:val="15"/>
          <w:szCs w:val="15"/>
          <w:color w:val="auto"/>
        </w:rPr>
        <w:t>For the avoidance of doubt, in the case of a Merger Event in which the Reference Property (determined, as appropriate, pursuant to subsection</w:t>
      </w:r>
    </w:p>
    <w:p>
      <w:pPr>
        <w:spacing w:after="0" w:line="50" w:lineRule="exact"/>
        <w:rPr>
          <w:rFonts w:ascii="Arial" w:cs="Arial" w:eastAsia="Arial" w:hAnsi="Arial"/>
          <w:sz w:val="15"/>
          <w:szCs w:val="15"/>
          <w:color w:val="auto"/>
        </w:rPr>
      </w:pPr>
    </w:p>
    <w:p>
      <w:pPr>
        <w:ind w:left="460" w:right="220" w:firstLine="3"/>
        <w:spacing w:after="0" w:line="251" w:lineRule="auto"/>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above and excluding any dissenters’ appraisal rights) is composed entirely of consideration other than shares of common stock, the Initial Dividend Threshold at and after the effective time of such Merger Event will be equal to zero.</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273" w:right="299" w:bottom="1440" w:gutter="0" w:footer="0" w:header="0"/>
        </w:sectPr>
      </w:pPr>
    </w:p>
    <w:bookmarkStart w:id="83" w:name="page84"/>
    <w:bookmarkEnd w:id="83"/>
    <w:p>
      <w:pPr>
        <w:ind w:right="180" w:firstLine="457"/>
        <w:spacing w:after="0" w:line="3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Section 13.08</w:t>
      </w:r>
      <w:r>
        <w:rPr>
          <w:rFonts w:ascii="Arial" w:cs="Arial" w:eastAsia="Arial" w:hAnsi="Arial"/>
          <w:sz w:val="15"/>
          <w:szCs w:val="15"/>
          <w:i w:val="1"/>
          <w:iCs w:val="1"/>
          <w:color w:val="auto"/>
        </w:rPr>
        <w:t>. Certain Covenants.</w:t>
      </w:r>
      <w:r>
        <w:rPr>
          <w:rFonts w:ascii="Arial" w:cs="Arial" w:eastAsia="Arial" w:hAnsi="Arial"/>
          <w:sz w:val="15"/>
          <w:szCs w:val="15"/>
          <w:color w:val="auto"/>
        </w:rPr>
        <w:t xml:space="preserve"> (a) The Company covenants that all shares of Common Stock issued upon conversion of Notes will be fully paid and non-assessable by the Company and free from all taxes, liens and charges (other than those created by the Holder) with respect to the issue thereof.</w:t>
      </w:r>
    </w:p>
    <w:p>
      <w:pPr>
        <w:spacing w:after="0" w:line="110" w:lineRule="exact"/>
        <w:rPr>
          <w:sz w:val="20"/>
          <w:szCs w:val="20"/>
          <w:color w:val="auto"/>
        </w:rPr>
      </w:pPr>
    </w:p>
    <w:p>
      <w:pPr>
        <w:ind w:right="160" w:firstLine="463"/>
        <w:spacing w:after="0" w:line="330" w:lineRule="auto"/>
        <w:tabs>
          <w:tab w:leader="none" w:pos="70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Company covenants that, if any shares of Common Stock to be provided for the purpose of conversion of Notes hereunder require registration with or approval of any governmental authority under any federal or state law before such shares may be validly issued upon conversion, the Company will, to the extent then permitted by the rules and interpretations of the Commission, secure such registration or approval, as the case may be.</w:t>
      </w:r>
    </w:p>
    <w:p>
      <w:pPr>
        <w:spacing w:after="0" w:line="137" w:lineRule="exact"/>
        <w:rPr>
          <w:rFonts w:ascii="Arial" w:cs="Arial" w:eastAsia="Arial" w:hAnsi="Arial"/>
          <w:sz w:val="15"/>
          <w:szCs w:val="15"/>
          <w:color w:val="auto"/>
        </w:rPr>
      </w:pPr>
    </w:p>
    <w:p>
      <w:pPr>
        <w:ind w:right="220" w:firstLine="463"/>
        <w:spacing w:after="0" w:line="255" w:lineRule="auto"/>
        <w:tabs>
          <w:tab w:leader="none" w:pos="69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89"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 xml:space="preserve">Section 13.09. </w:t>
      </w:r>
      <w:r>
        <w:rPr>
          <w:rFonts w:ascii="Arial" w:cs="Arial" w:eastAsia="Arial" w:hAnsi="Arial"/>
          <w:sz w:val="15"/>
          <w:szCs w:val="15"/>
          <w:i w:val="1"/>
          <w:iCs w:val="1"/>
          <w:color w:val="auto"/>
        </w:rPr>
        <w:t>Responsibility of Trustee</w:t>
      </w:r>
      <w:r>
        <w:rPr>
          <w:rFonts w:ascii="Arial" w:cs="Arial" w:eastAsia="Arial" w:hAnsi="Arial"/>
          <w:sz w:val="15"/>
          <w:szCs w:val="15"/>
          <w:color w:val="auto"/>
        </w:rPr>
        <w:t>.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13.07 relating either to the kind or amount of shares of stock or securities or property (including cash) receivable by Holders upon the conversion of their Notes after any event referred to in such Section 13.07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13.01(b) has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73" w:right="279" w:bottom="1440" w:gutter="0" w:footer="0" w:header="0"/>
        </w:sectPr>
      </w:pPr>
    </w:p>
    <w:bookmarkStart w:id="84" w:name="page85"/>
    <w:bookmarkEnd w:id="8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occurred that makes the Notes eligible for conversion or no longer eligible therefor until the Company has delivered to the Trustee and the Conversion Agent the notices referred to in Section 13.01(b)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13.01(b).</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13.10</w:t>
      </w:r>
      <w:r>
        <w:rPr>
          <w:rFonts w:ascii="Arial" w:cs="Arial" w:eastAsia="Arial" w:hAnsi="Arial"/>
          <w:sz w:val="18"/>
          <w:szCs w:val="18"/>
          <w:i w:val="1"/>
          <w:iCs w:val="1"/>
          <w:color w:val="auto"/>
        </w:rPr>
        <w:t>. Notice to Holders Prior to Certain Actions.</w:t>
      </w:r>
      <w:r>
        <w:rPr>
          <w:rFonts w:ascii="Arial" w:cs="Arial" w:eastAsia="Arial" w:hAnsi="Arial"/>
          <w:sz w:val="18"/>
          <w:szCs w:val="18"/>
          <w:color w:val="auto"/>
        </w:rPr>
        <w:t xml:space="preserve"> In case of any:</w:t>
      </w:r>
    </w:p>
    <w:p>
      <w:pPr>
        <w:spacing w:after="0" w:line="217" w:lineRule="exact"/>
        <w:rPr>
          <w:sz w:val="20"/>
          <w:szCs w:val="20"/>
          <w:color w:val="auto"/>
        </w:rPr>
      </w:pPr>
    </w:p>
    <w:p>
      <w:pPr>
        <w:ind w:left="700" w:hanging="237"/>
        <w:spacing w:after="0"/>
        <w:tabs>
          <w:tab w:leader="none" w:pos="7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action by the Company or one of its Subsidiaries that would require an adjustment in the Conversion Rate pursuant to Section 13.04 or Section 13.11;</w:t>
      </w:r>
    </w:p>
    <w:p>
      <w:pPr>
        <w:spacing w:after="0" w:line="251" w:lineRule="exact"/>
        <w:rPr>
          <w:rFonts w:ascii="Arial" w:cs="Arial" w:eastAsia="Arial" w:hAnsi="Arial"/>
          <w:sz w:val="15"/>
          <w:szCs w:val="15"/>
          <w:color w:val="auto"/>
        </w:rPr>
      </w:pPr>
    </w:p>
    <w:p>
      <w:pPr>
        <w:ind w:left="720" w:hanging="25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Merger Event; or</w:t>
      </w:r>
    </w:p>
    <w:p>
      <w:pPr>
        <w:spacing w:after="0" w:line="217" w:lineRule="exact"/>
        <w:rPr>
          <w:rFonts w:ascii="Arial" w:cs="Arial" w:eastAsia="Arial" w:hAnsi="Arial"/>
          <w:sz w:val="18"/>
          <w:szCs w:val="18"/>
          <w:color w:val="auto"/>
        </w:rPr>
      </w:pPr>
    </w:p>
    <w:p>
      <w:pPr>
        <w:ind w:left="700" w:hanging="237"/>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voluntary or involuntary dissolution, liquidation or winding-up of the Company or any of its Significant Subsidiaries;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then, in each case (unless notice of such event is otherwise required pursuant to another provision of this Indenture), the Company shall cause to be filed with the Trustee and the Conversion Agent (if other than the Trustee) and to be mailed to each Holder at its address appearing on the Note Register,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Common Stock of record shall be entitled to exchange their Common Stock for securities or other property deliverable upon such Merger Event, dissolution, liquidation or winding-up, if any. Failure to give such notice, or any defect therein, shall not affect the legality or validity of such action by the Company or one of its Subsidiaries, Merger Event, dissolution, liquidation or winding-up.</w:t>
      </w:r>
    </w:p>
    <w:p>
      <w:pPr>
        <w:spacing w:after="0" w:line="186" w:lineRule="exact"/>
        <w:rPr>
          <w:sz w:val="20"/>
          <w:szCs w:val="20"/>
          <w:color w:val="auto"/>
        </w:rPr>
      </w:pPr>
    </w:p>
    <w:p>
      <w:pPr>
        <w:ind w:right="40" w:firstLine="457"/>
        <w:spacing w:after="0" w:line="248" w:lineRule="auto"/>
        <w:rPr>
          <w:sz w:val="20"/>
          <w:szCs w:val="20"/>
          <w:color w:val="auto"/>
        </w:rPr>
      </w:pPr>
      <w:r>
        <w:rPr>
          <w:rFonts w:ascii="Arial" w:cs="Arial" w:eastAsia="Arial" w:hAnsi="Arial"/>
          <w:sz w:val="18"/>
          <w:szCs w:val="18"/>
          <w:color w:val="auto"/>
        </w:rPr>
        <w:t>Section 13.11</w:t>
      </w:r>
      <w:r>
        <w:rPr>
          <w:rFonts w:ascii="Arial" w:cs="Arial" w:eastAsia="Arial" w:hAnsi="Arial"/>
          <w:sz w:val="18"/>
          <w:szCs w:val="18"/>
          <w:i w:val="1"/>
          <w:iCs w:val="1"/>
          <w:color w:val="auto"/>
        </w:rPr>
        <w:t>. Stockholder Rights Plans.</w:t>
      </w:r>
      <w:r>
        <w:rPr>
          <w:rFonts w:ascii="Arial" w:cs="Arial" w:eastAsia="Arial" w:hAnsi="Arial"/>
          <w:sz w:val="18"/>
          <w:szCs w:val="18"/>
          <w:color w:val="auto"/>
        </w:rPr>
        <w:t xml:space="preserve"> To the extent that the Company has a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If at the time of conversion, however, the rights have separated from the shares of Common Stock in accordance with the provisions of the applicable stockholder rights plan so that the Holders would not be entitled to receive any rights in respect of Common Stock, if any, issuable upon conversion of the Notes, the Conversion Rate shall be adjusted at the time of separation as if the Company distributed to all or substantially all holders of Common Stock Distributed Property as provided in Section 13.04(c), subject to readjustment in the event of the expiration, termination or redemption of such rights.</w:t>
      </w:r>
    </w:p>
    <w:p>
      <w:pPr>
        <w:spacing w:after="0" w:line="198" w:lineRule="exact"/>
        <w:rPr>
          <w:sz w:val="20"/>
          <w:szCs w:val="20"/>
          <w:color w:val="auto"/>
        </w:rPr>
      </w:pPr>
    </w:p>
    <w:p>
      <w:pPr>
        <w:ind w:right="300" w:firstLine="457"/>
        <w:spacing w:after="0" w:line="265"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Limit on Issuance of Shares of Common Stock Upon Conversion</w:t>
      </w:r>
      <w:r>
        <w:rPr>
          <w:rFonts w:ascii="Arial" w:cs="Arial" w:eastAsia="Arial" w:hAnsi="Arial"/>
          <w:sz w:val="18"/>
          <w:szCs w:val="18"/>
          <w:color w:val="auto"/>
        </w:rPr>
        <w:t>. Notwithstanding anything to the contrary in this Indenture, if an event occurs (including pursuant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3" w:right="259" w:bottom="1440" w:gutter="0" w:footer="0" w:header="0"/>
        </w:sectPr>
      </w:pPr>
    </w:p>
    <w:bookmarkStart w:id="85" w:name="page86"/>
    <w:bookmarkEnd w:id="85"/>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to Section 13.03 and subsections Section 13.04(b), Section 13.04(c), Section 13.04(d), Section 13.04(e) and Section 13.04(h) of Section 13.04) that would result in an increase in the Conversion Rate by an amount in excess of limitations imposed by any shareholder approval rules or listing standards of any national or regional securities exchange (including the New York Stock Exchange) that are applicable to the Company, the Company will, at its option, either obtain stockholder approval of any issuance of Common Stock upon conversion of the Notes in excess of such limitations or deliver cash in lieu of any shares of Common Stock otherwise deliverable upon conversions in excess of such limitations based on the Daily VWAP on each Trading Day of the relevant Observation Period in respect of which, in lieu of delivering shares of Common Stock, the Company delivers cash pursuant to this Section 13.12. Notwithstanding anything to the contrary herein, to the extent required by the New York Stock Exchange, the Company will obtain stockholder approval prior to (i) taking any action described in Section 13.04(h) that would result in delivery of Common Stock upon conversion of the Notes in excess of limitations imposed by the New York Stock Exchange that are applicable to the Company, (ii) engaging in a Make-Whole Fundamental Change that would result in delivery of Common Stock upon conversion of the Notes in excess of limitations imposed by the New York Stock Exchange that are applicable to the Company or (iii) electing Combination Settlement.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EPURCHASE OF</w:t>
      </w:r>
      <w:r>
        <w:rPr>
          <w:rFonts w:ascii="Arial" w:cs="Arial" w:eastAsia="Arial" w:hAnsi="Arial"/>
          <w:sz w:val="18"/>
          <w:szCs w:val="18"/>
          <w:color w:val="auto"/>
        </w:rPr>
        <w:t xml:space="preserve"> N</w:t>
      </w:r>
      <w:r>
        <w:rPr>
          <w:rFonts w:ascii="Arial" w:cs="Arial" w:eastAsia="Arial" w:hAnsi="Arial"/>
          <w:sz w:val="14"/>
          <w:szCs w:val="14"/>
          <w:color w:val="auto"/>
        </w:rPr>
        <w:t>OTES AT</w:t>
      </w:r>
      <w:r>
        <w:rPr>
          <w:rFonts w:ascii="Arial" w:cs="Arial" w:eastAsia="Arial" w:hAnsi="Arial"/>
          <w:sz w:val="18"/>
          <w:szCs w:val="18"/>
          <w:color w:val="auto"/>
        </w:rPr>
        <w:t xml:space="preserve"> O</w:t>
      </w:r>
      <w:r>
        <w:rPr>
          <w:rFonts w:ascii="Arial" w:cs="Arial" w:eastAsia="Arial" w:hAnsi="Arial"/>
          <w:sz w:val="14"/>
          <w:szCs w:val="14"/>
          <w:color w:val="auto"/>
        </w:rPr>
        <w:t>PTION OF</w:t>
      </w:r>
      <w:r>
        <w:rPr>
          <w:rFonts w:ascii="Arial" w:cs="Arial" w:eastAsia="Arial" w:hAnsi="Arial"/>
          <w:sz w:val="18"/>
          <w:szCs w:val="18"/>
          <w:color w:val="auto"/>
        </w:rPr>
        <w:t xml:space="preserve"> H</w:t>
      </w:r>
      <w:r>
        <w:rPr>
          <w:rFonts w:ascii="Arial" w:cs="Arial" w:eastAsia="Arial" w:hAnsi="Arial"/>
          <w:sz w:val="14"/>
          <w:szCs w:val="14"/>
          <w:color w:val="auto"/>
        </w:rPr>
        <w:t>OLDERS</w:t>
      </w:r>
    </w:p>
    <w:p>
      <w:pPr>
        <w:spacing w:after="0" w:line="206"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color w:val="auto"/>
        </w:rPr>
        <w:t>Section 14.01</w:t>
      </w:r>
      <w:r>
        <w:rPr>
          <w:rFonts w:ascii="Arial" w:cs="Arial" w:eastAsia="Arial" w:hAnsi="Arial"/>
          <w:sz w:val="15"/>
          <w:szCs w:val="15"/>
          <w:i w:val="1"/>
          <w:iCs w:val="1"/>
          <w:color w:val="auto"/>
        </w:rPr>
        <w:t>. Repurchase at Option of Holders Upon a Fundamental Change.</w:t>
      </w:r>
      <w:r>
        <w:rPr>
          <w:rFonts w:ascii="Arial" w:cs="Arial" w:eastAsia="Arial" w:hAnsi="Arial"/>
          <w:sz w:val="15"/>
          <w:szCs w:val="15"/>
          <w:color w:val="auto"/>
        </w:rPr>
        <w:t xml:space="preserve"> (a) If a Fundamental Change occurs at any time, each Holder shall have the right, at such Holder’s option, to require the Company to repurchase for cash all of such Holder’s Notes, or any portion thereof that is equal to $1,000 or an integral multiple of $1,000, on the date (the “</w:t>
      </w:r>
      <w:r>
        <w:rPr>
          <w:rFonts w:ascii="Arial" w:cs="Arial" w:eastAsia="Arial" w:hAnsi="Arial"/>
          <w:sz w:val="15"/>
          <w:szCs w:val="15"/>
          <w:b w:val="1"/>
          <w:bCs w:val="1"/>
          <w:color w:val="auto"/>
        </w:rPr>
        <w:t>Fundamental Change Repurchase Date</w:t>
      </w:r>
      <w:r>
        <w:rPr>
          <w:rFonts w:ascii="Arial" w:cs="Arial" w:eastAsia="Arial" w:hAnsi="Arial"/>
          <w:sz w:val="15"/>
          <w:szCs w:val="15"/>
          <w:color w:val="auto"/>
        </w:rPr>
        <w:t xml:space="preserve">”) specified by the Company that is not less than 20 Business Days or more than 35 Business Days following the date of the Fundamental Change Company Notice (with such Fundamental Change Repurchase Date being subject to postponement by a number of days by which the Company’s Fundamental Change Repurchase Notice is delivered to Holders beyond the deadline set forth in Section 14.01(c)), at a repurchase price equal to 100% of the principal amount thereof,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thereon to, but excluding, the Fundamental Change Repurchase Date (the “</w:t>
      </w:r>
      <w:r>
        <w:rPr>
          <w:rFonts w:ascii="Arial" w:cs="Arial" w:eastAsia="Arial" w:hAnsi="Arial"/>
          <w:sz w:val="15"/>
          <w:szCs w:val="15"/>
          <w:b w:val="1"/>
          <w:bCs w:val="1"/>
          <w:color w:val="auto"/>
        </w:rPr>
        <w:t>Fundamental Change Repurchase Price</w:t>
      </w:r>
      <w:r>
        <w:rPr>
          <w:rFonts w:ascii="Arial" w:cs="Arial" w:eastAsia="Arial" w:hAnsi="Arial"/>
          <w:sz w:val="15"/>
          <w:szCs w:val="15"/>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14.</w:t>
      </w:r>
    </w:p>
    <w:p>
      <w:pPr>
        <w:spacing w:after="0" w:line="374" w:lineRule="exact"/>
        <w:rPr>
          <w:sz w:val="20"/>
          <w:szCs w:val="20"/>
          <w:color w:val="auto"/>
        </w:rPr>
      </w:pPr>
    </w:p>
    <w:p>
      <w:pPr>
        <w:ind w:left="720" w:hanging="257"/>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Repurchases of Notes under this Section 14.01 shall be made, at the option of the Holder thereof, upon:</w:t>
      </w:r>
    </w:p>
    <w:p>
      <w:pPr>
        <w:spacing w:after="0" w:line="105" w:lineRule="exact"/>
        <w:rPr>
          <w:rFonts w:ascii="Arial" w:cs="Arial" w:eastAsia="Arial" w:hAnsi="Arial"/>
          <w:sz w:val="18"/>
          <w:szCs w:val="18"/>
          <w:color w:val="auto"/>
        </w:rPr>
      </w:pPr>
    </w:p>
    <w:p>
      <w:pPr>
        <w:ind w:left="460" w:right="160" w:firstLine="441"/>
        <w:spacing w:after="0" w:line="254" w:lineRule="auto"/>
        <w:tabs>
          <w:tab w:leader="none" w:pos="1109"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delivery to the Paying Agent by a Holder of a duly completed notice (the “</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3" w:right="239" w:bottom="1440" w:gutter="0" w:footer="0" w:header="0"/>
        </w:sectPr>
      </w:pPr>
    </w:p>
    <w:bookmarkStart w:id="86" w:name="page87"/>
    <w:bookmarkEnd w:id="86"/>
    <w:p>
      <w:pPr>
        <w:ind w:left="460" w:right="40" w:firstLine="441"/>
        <w:spacing w:after="0" w:line="252" w:lineRule="auto"/>
        <w:tabs>
          <w:tab w:leader="none" w:pos="1159"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Fundamental Change Repurchase Notice in respect of any Notes to be repurchased shall state:</w:t>
      </w:r>
    </w:p>
    <w:p>
      <w:pPr>
        <w:spacing w:after="0" w:line="111" w:lineRule="exact"/>
        <w:rPr>
          <w:sz w:val="20"/>
          <w:szCs w:val="20"/>
          <w:color w:val="auto"/>
        </w:rPr>
      </w:pPr>
    </w:p>
    <w:p>
      <w:pPr>
        <w:ind w:left="1120" w:hanging="219"/>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Physical Notes, the certificate numbers of the Notes to be delivered for repurchase;</w:t>
      </w:r>
    </w:p>
    <w:p>
      <w:pPr>
        <w:spacing w:after="0" w:line="111" w:lineRule="exact"/>
        <w:rPr>
          <w:rFonts w:ascii="Arial" w:cs="Arial" w:eastAsia="Arial" w:hAnsi="Arial"/>
          <w:sz w:val="18"/>
          <w:szCs w:val="18"/>
          <w:color w:val="auto"/>
        </w:rPr>
      </w:pPr>
    </w:p>
    <w:p>
      <w:pPr>
        <w:ind w:left="1160" w:hanging="25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repurchased, which must be $1,000 or an integral multiple thereof; and</w:t>
      </w:r>
    </w:p>
    <w:p>
      <w:pPr>
        <w:spacing w:after="0" w:line="111" w:lineRule="exact"/>
        <w:rPr>
          <w:rFonts w:ascii="Arial" w:cs="Arial" w:eastAsia="Arial" w:hAnsi="Arial"/>
          <w:sz w:val="18"/>
          <w:szCs w:val="18"/>
          <w:color w:val="auto"/>
        </w:rPr>
      </w:pPr>
    </w:p>
    <w:p>
      <w:pPr>
        <w:ind w:left="1220" w:hanging="319"/>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the Notes are to be repurchased by the Company pursuant to the applicable provisions of the Notes and this Indenture;</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if the Notes are Global Notes, the Fundamental Change Repurchase Notice must comply with appropriate Depositary procedures.</w:t>
      </w:r>
    </w:p>
    <w:p>
      <w:pPr>
        <w:spacing w:after="0" w:line="252"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Notwithstanding anything herein to the contrary, any Holder delivering to the Paying Agent a Fundamental Change Repurchase Notice contemplated by this Section 14.01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14.02.</w:t>
      </w:r>
    </w:p>
    <w:p>
      <w:pPr>
        <w:spacing w:after="0" w:line="191" w:lineRule="exact"/>
        <w:rPr>
          <w:sz w:val="20"/>
          <w:szCs w:val="20"/>
          <w:color w:val="auto"/>
        </w:rPr>
      </w:pPr>
    </w:p>
    <w:p>
      <w:pPr>
        <w:ind w:right="140" w:firstLine="457"/>
        <w:spacing w:after="0" w:line="265" w:lineRule="auto"/>
        <w:rPr>
          <w:sz w:val="20"/>
          <w:szCs w:val="20"/>
          <w:color w:val="auto"/>
        </w:rPr>
      </w:pPr>
      <w:r>
        <w:rPr>
          <w:rFonts w:ascii="Arial" w:cs="Arial" w:eastAsia="Arial" w:hAnsi="Arial"/>
          <w:sz w:val="18"/>
          <w:szCs w:val="18"/>
          <w:color w:val="auto"/>
        </w:rPr>
        <w:t>The Paying Agent shall promptly notify the Company of the receipt by it of any Fundamental Change Repurchase Notice or written notice of withdrawal thereof.</w:t>
      </w:r>
    </w:p>
    <w:p>
      <w:pPr>
        <w:spacing w:after="0" w:line="179" w:lineRule="exact"/>
        <w:rPr>
          <w:sz w:val="20"/>
          <w:szCs w:val="20"/>
          <w:color w:val="auto"/>
        </w:rPr>
      </w:pPr>
    </w:p>
    <w:p>
      <w:pPr>
        <w:ind w:right="60" w:firstLine="463"/>
        <w:spacing w:after="0" w:line="266" w:lineRule="auto"/>
        <w:tabs>
          <w:tab w:leader="none" w:pos="697"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 or before the 20th calendar day after the date that the Fundamental Change occurred, the Company shall provide to all Holders of Notes and the Trustee and the Paying Agent (in the case of a Paying Agent other than the Trustee) a written notice (the “</w:t>
      </w:r>
      <w:r>
        <w:rPr>
          <w:rFonts w:ascii="Arial" w:cs="Arial" w:eastAsia="Arial" w:hAnsi="Arial"/>
          <w:sz w:val="17"/>
          <w:szCs w:val="17"/>
          <w:b w:val="1"/>
          <w:bCs w:val="1"/>
          <w:color w:val="auto"/>
        </w:rPr>
        <w:t>Fundamental Change Company Notice</w:t>
      </w:r>
      <w:r>
        <w:rPr>
          <w:rFonts w:ascii="Arial" w:cs="Arial" w:eastAsia="Arial" w:hAnsi="Arial"/>
          <w:sz w:val="17"/>
          <w:szCs w:val="17"/>
          <w:color w:val="auto"/>
        </w:rPr>
        <w:t>”) of the occurrence of the effective date of the Fundamental Change and of the repurchase right at the option of the Holders arising as a result thereof. Such notice shall be by first class mail or, in the case of Global Notes,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or through such other public medium as the Company may use at that time. Each Fundamental Change Company Notice shall specify:</w:t>
      </w:r>
    </w:p>
    <w:p>
      <w:pPr>
        <w:spacing w:after="0" w:line="74" w:lineRule="exact"/>
        <w:rPr>
          <w:rFonts w:ascii="Arial" w:cs="Arial" w:eastAsia="Arial" w:hAnsi="Arial"/>
          <w:sz w:val="17"/>
          <w:szCs w:val="17"/>
          <w:color w:val="auto"/>
        </w:rPr>
      </w:pPr>
    </w:p>
    <w:p>
      <w:pPr>
        <w:ind w:left="1120" w:hanging="219"/>
        <w:spacing w:after="0"/>
        <w:tabs>
          <w:tab w:leader="none" w:pos="11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3" w:right="239" w:bottom="1440" w:gutter="0" w:footer="0" w:header="0"/>
        </w:sectPr>
      </w:pPr>
    </w:p>
    <w:bookmarkStart w:id="87" w:name="page88"/>
    <w:bookmarkEnd w:id="87"/>
    <w:p>
      <w:pPr>
        <w:ind w:left="1160" w:hanging="25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date of the Fundamental Change;</w:t>
      </w:r>
    </w:p>
    <w:p>
      <w:pPr>
        <w:spacing w:after="0" w:line="111" w:lineRule="exact"/>
        <w:rPr>
          <w:rFonts w:ascii="Arial" w:cs="Arial" w:eastAsia="Arial" w:hAnsi="Arial"/>
          <w:sz w:val="18"/>
          <w:szCs w:val="18"/>
          <w:color w:val="auto"/>
        </w:rPr>
      </w:pPr>
    </w:p>
    <w:p>
      <w:pPr>
        <w:ind w:left="1220" w:hanging="319"/>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 pursuant to this Article 14;</w:t>
      </w:r>
    </w:p>
    <w:p>
      <w:pPr>
        <w:spacing w:after="0" w:line="111" w:lineRule="exact"/>
        <w:rPr>
          <w:rFonts w:ascii="Arial" w:cs="Arial" w:eastAsia="Arial" w:hAnsi="Arial"/>
          <w:sz w:val="18"/>
          <w:szCs w:val="18"/>
          <w:color w:val="auto"/>
        </w:rPr>
      </w:pPr>
    </w:p>
    <w:p>
      <w:pPr>
        <w:ind w:left="1200" w:hanging="299"/>
        <w:spacing w:after="0"/>
        <w:tabs>
          <w:tab w:leader="none" w:pos="1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111" w:lineRule="exact"/>
        <w:rPr>
          <w:rFonts w:ascii="Arial" w:cs="Arial" w:eastAsia="Arial" w:hAnsi="Arial"/>
          <w:sz w:val="18"/>
          <w:szCs w:val="18"/>
          <w:color w:val="auto"/>
        </w:rPr>
      </w:pPr>
    </w:p>
    <w:p>
      <w:pPr>
        <w:ind w:left="1160" w:hanging="25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111" w:lineRule="exact"/>
        <w:rPr>
          <w:rFonts w:ascii="Arial" w:cs="Arial" w:eastAsia="Arial" w:hAnsi="Arial"/>
          <w:sz w:val="18"/>
          <w:szCs w:val="18"/>
          <w:color w:val="auto"/>
        </w:rPr>
      </w:pPr>
    </w:p>
    <w:p>
      <w:pPr>
        <w:ind w:left="1200" w:hanging="299"/>
        <w:spacing w:after="0"/>
        <w:tabs>
          <w:tab w:leader="none" w:pos="1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111" w:lineRule="exact"/>
        <w:rPr>
          <w:rFonts w:ascii="Arial" w:cs="Arial" w:eastAsia="Arial" w:hAnsi="Arial"/>
          <w:sz w:val="18"/>
          <w:szCs w:val="18"/>
          <w:color w:val="auto"/>
        </w:rPr>
      </w:pPr>
    </w:p>
    <w:p>
      <w:pPr>
        <w:ind w:left="1240" w:hanging="339"/>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the Conversion Rate and any adjustments to the Conversion Rate;</w:t>
      </w:r>
    </w:p>
    <w:p>
      <w:pPr>
        <w:spacing w:after="0" w:line="111" w:lineRule="exact"/>
        <w:rPr>
          <w:rFonts w:ascii="Arial" w:cs="Arial" w:eastAsia="Arial" w:hAnsi="Arial"/>
          <w:sz w:val="18"/>
          <w:szCs w:val="18"/>
          <w:color w:val="auto"/>
        </w:rPr>
      </w:pPr>
    </w:p>
    <w:p>
      <w:pPr>
        <w:ind w:left="460" w:firstLine="441"/>
        <w:spacing w:after="0" w:line="294" w:lineRule="auto"/>
        <w:tabs>
          <w:tab w:leader="none" w:pos="1296"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applicable, 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51" w:lineRule="exact"/>
        <w:rPr>
          <w:rFonts w:ascii="Arial" w:cs="Arial" w:eastAsia="Arial" w:hAnsi="Arial"/>
          <w:sz w:val="17"/>
          <w:szCs w:val="17"/>
          <w:color w:val="auto"/>
        </w:rPr>
      </w:pPr>
    </w:p>
    <w:p>
      <w:pPr>
        <w:ind w:left="1200" w:hanging="299"/>
        <w:spacing w:after="0"/>
        <w:tabs>
          <w:tab w:leader="none" w:pos="1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Notes.</w:t>
      </w:r>
    </w:p>
    <w:p>
      <w:pPr>
        <w:spacing w:after="0" w:line="217" w:lineRule="exact"/>
        <w:rPr>
          <w:sz w:val="20"/>
          <w:szCs w:val="20"/>
          <w:color w:val="auto"/>
        </w:rPr>
      </w:pPr>
    </w:p>
    <w:p>
      <w:pPr>
        <w:ind w:right="580" w:firstLine="457"/>
        <w:spacing w:after="0" w:line="265" w:lineRule="auto"/>
        <w:rPr>
          <w:sz w:val="20"/>
          <w:szCs w:val="20"/>
          <w:color w:val="auto"/>
        </w:rPr>
      </w:pPr>
      <w:r>
        <w:rPr>
          <w:rFonts w:ascii="Arial" w:cs="Arial" w:eastAsia="Arial" w:hAnsi="Arial"/>
          <w:sz w:val="18"/>
          <w:szCs w:val="18"/>
          <w:color w:val="auto"/>
        </w:rPr>
        <w:t>No failure of the Company to give the foregoing notices and no defect therein shall limit the Holders’ repurchase rights or affect the validity of the proceedings for the repurchase of the Notes pursuant to this Section 14.01.</w:t>
      </w:r>
    </w:p>
    <w:p>
      <w:pPr>
        <w:spacing w:after="0" w:line="179" w:lineRule="exact"/>
        <w:rPr>
          <w:sz w:val="20"/>
          <w:szCs w:val="20"/>
          <w:color w:val="auto"/>
        </w:rPr>
      </w:pPr>
    </w:p>
    <w:p>
      <w:pPr>
        <w:ind w:right="80" w:firstLine="457"/>
        <w:spacing w:after="0" w:line="265" w:lineRule="auto"/>
        <w:rPr>
          <w:sz w:val="20"/>
          <w:szCs w:val="20"/>
          <w:color w:val="auto"/>
        </w:rPr>
      </w:pPr>
      <w:r>
        <w:rPr>
          <w:rFonts w:ascii="Arial" w:cs="Arial" w:eastAsia="Arial" w:hAnsi="Arial"/>
          <w:sz w:val="18"/>
          <w:szCs w:val="18"/>
          <w:color w:val="auto"/>
        </w:rPr>
        <w:t xml:space="preserve">At the Company’s request, the Trustee shall give such notice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all cases, the text of such Company Notice shall be prepared by the Company.</w:t>
      </w:r>
    </w:p>
    <w:p>
      <w:pPr>
        <w:spacing w:after="0" w:line="179" w:lineRule="exact"/>
        <w:rPr>
          <w:sz w:val="20"/>
          <w:szCs w:val="20"/>
          <w:color w:val="auto"/>
        </w:rPr>
      </w:pPr>
    </w:p>
    <w:p>
      <w:pPr>
        <w:ind w:right="60" w:firstLine="463"/>
        <w:spacing w:after="0" w:line="307" w:lineRule="auto"/>
        <w:tabs>
          <w:tab w:leader="none" w:pos="707" w:val="left"/>
        </w:tabs>
        <w:numPr>
          <w:ilvl w:val="0"/>
          <w:numId w:val="80"/>
        </w:numPr>
        <w:rPr>
          <w:rFonts w:ascii="Arial" w:cs="Arial" w:eastAsia="Arial" w:hAnsi="Arial"/>
          <w:sz w:val="15"/>
          <w:szCs w:val="15"/>
          <w:color w:val="auto"/>
        </w:rPr>
      </w:pPr>
      <w:r>
        <w:rPr>
          <w:rFonts w:ascii="Arial" w:cs="Arial" w:eastAsia="Arial" w:hAnsi="Arial"/>
          <w:sz w:val="15"/>
          <w:szCs w:val="15"/>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153" w:lineRule="exact"/>
        <w:rPr>
          <w:sz w:val="20"/>
          <w:szCs w:val="20"/>
          <w:color w:val="auto"/>
        </w:rPr>
      </w:pPr>
    </w:p>
    <w:p>
      <w:pPr>
        <w:ind w:right="80" w:firstLine="457"/>
        <w:spacing w:after="0" w:line="277"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i w:val="1"/>
          <w:iCs w:val="1"/>
          <w:color w:val="auto"/>
        </w:rPr>
        <w:t>Withdrawal of Fundamental Change Repurchase Notice</w:t>
      </w:r>
      <w:r>
        <w:rPr>
          <w:rFonts w:ascii="Arial" w:cs="Arial" w:eastAsia="Arial" w:hAnsi="Arial"/>
          <w:sz w:val="17"/>
          <w:szCs w:val="17"/>
          <w:color w:val="auto"/>
        </w:rPr>
        <w:t>. (a) A Fundamental Change Repurchase Notice may be withdrawn (in whole or in part) by means of a written notice of withdrawal delivered to the Corporate Trust Office of the Paying Agent in accordance with this Section 14.02 at any time prior to the close of business on the Business Day immediately preceding the Fundamental Change Repurchase Date, specifying:</w:t>
      </w:r>
    </w:p>
    <w:p>
      <w:pPr>
        <w:spacing w:after="0" w:line="66" w:lineRule="exact"/>
        <w:rPr>
          <w:sz w:val="20"/>
          <w:szCs w:val="20"/>
          <w:color w:val="auto"/>
        </w:rPr>
      </w:pPr>
    </w:p>
    <w:p>
      <w:pPr>
        <w:ind w:left="5620" w:right="3100" w:hanging="4719"/>
        <w:spacing w:after="0" w:line="434" w:lineRule="auto"/>
        <w:tabs>
          <w:tab w:leader="none" w:pos="11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principal amount of the Notes with respect to which such notice of withdrawal is being submitted, 77</w:t>
      </w:r>
    </w:p>
    <w:p>
      <w:pPr>
        <w:sectPr>
          <w:pgSz w:w="11900" w:h="16838" w:orient="portrait"/>
          <w:cols w:equalWidth="0" w:num="1">
            <w:col w:w="11400"/>
          </w:cols>
          <w:pgMar w:left="240" w:top="273" w:right="259" w:bottom="1440" w:gutter="0" w:footer="0" w:header="0"/>
        </w:sectPr>
      </w:pPr>
    </w:p>
    <w:bookmarkStart w:id="88" w:name="page89"/>
    <w:bookmarkEnd w:id="88"/>
    <w:p>
      <w:pPr>
        <w:ind w:left="1160" w:hanging="259"/>
        <w:spacing w:after="0"/>
        <w:tabs>
          <w:tab w:leader="none" w:pos="1160" w:val="left"/>
        </w:tabs>
        <w:numPr>
          <w:ilvl w:val="0"/>
          <w:numId w:val="8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Physical Notes have been issued, the certificate number of the Note in respect of which such notice of withdrawal is being submitted, and</w:t>
      </w:r>
    </w:p>
    <w:p>
      <w:pPr>
        <w:spacing w:after="0" w:line="145" w:lineRule="exact"/>
        <w:rPr>
          <w:rFonts w:ascii="Arial" w:cs="Arial" w:eastAsia="Arial" w:hAnsi="Arial"/>
          <w:sz w:val="15"/>
          <w:szCs w:val="15"/>
          <w:color w:val="auto"/>
        </w:rPr>
      </w:pPr>
    </w:p>
    <w:p>
      <w:pPr>
        <w:ind w:left="460" w:right="140" w:firstLine="441"/>
        <w:spacing w:after="0" w:line="265" w:lineRule="auto"/>
        <w:tabs>
          <w:tab w:leader="none" w:pos="120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notice must comply with appropriate procedures of the Depositary.</w:t>
      </w:r>
    </w:p>
    <w:p>
      <w:pPr>
        <w:spacing w:after="0" w:line="217"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Section 14.03</w:t>
      </w:r>
      <w:r>
        <w:rPr>
          <w:rFonts w:ascii="Arial" w:cs="Arial" w:eastAsia="Arial" w:hAnsi="Arial"/>
          <w:sz w:val="15"/>
          <w:szCs w:val="15"/>
          <w:i w:val="1"/>
          <w:iCs w:val="1"/>
          <w:color w:val="auto"/>
        </w:rPr>
        <w:t>. Deposit of Fundamental Change Repurchase Price.</w:t>
      </w:r>
      <w:r>
        <w:rPr>
          <w:rFonts w:ascii="Arial" w:cs="Arial" w:eastAsia="Arial" w:hAnsi="Arial"/>
          <w:sz w:val="15"/>
          <w:szCs w:val="15"/>
          <w:color w:val="auto"/>
        </w:rPr>
        <w:t xml:space="preserve"> (a) The Company, or its designee,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If any such designee does not deposit an amount of money sufficient to repurchase all of such Notes by the deadline set forth in the immediately preceding sentence and the Company does not otherwise deposit such an amount by such deadline, such failure by the designee shall be treated for all purposes of this Indenture as failure by the Company to make such deposit. In addition, failure by the Company to designate a designee to make the deposit required by the second immediately preceding sentence shall not relieve the Company of its obligation to so deposit such an amount of money. Subject to extension if necessary to comply with the provisions of the Investment Company Act, payment for Notes surrendered for repurchase (and not withdrawn prior to the close of business on the Business Day immediately preceding the Fundamental Change Repurchase Date) will be made on the later of (i) the Fundamental Change Repurchase Date with respect to such Note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Holder has satisfied the conditions in Section 14.01) and (ii) the time of book-entry transfer or the delivery of such Note to the Trustee (or other Paying Agent appointed by the Company) by the Holder thereof in the manner required by Section 14.01 by mailing checks for the amount payable to the Holders of such Notes entitled thereto as they shall appear in the Note Register;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payments to the Depositary shall be made by wire transfer of immediately available funds to the account of the Depositary or its nominee. The Trustee shall, promptly after a Fundamental Change Repurchase Date, return to the Company any funds in excess of the Fundamental Change Repurchase Price of the Notes, or portions thereof, that the Company is obligated to purchase on the applicable Fundamental Change Repurchase Date.</w:t>
      </w:r>
    </w:p>
    <w:p>
      <w:pPr>
        <w:spacing w:after="0" w:line="160" w:lineRule="exact"/>
        <w:rPr>
          <w:sz w:val="20"/>
          <w:szCs w:val="20"/>
          <w:color w:val="auto"/>
        </w:rPr>
      </w:pPr>
    </w:p>
    <w:p>
      <w:pPr>
        <w:ind w:right="200" w:firstLine="463"/>
        <w:spacing w:after="0" w:line="255" w:lineRule="auto"/>
        <w:tabs>
          <w:tab w:leader="none" w:pos="7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by 11:00 a.m. New York City time, on the Fundamental Change Repurchase Date, the Trustee (or other Paying Agent appointed by the Company) holds money sufficient to pay the Fundamental Change Repurchase Price of all the Notes or portions thereof for which Holders have surrendered and not withdrawn Fundamental Change Repurchase Notices on such</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3" w:right="27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Fundamental Change Repurchase Date, then (i) such Notes will cease to be outstanding, (ii) interest will cease to accrue on such Notes (whether or not book-entry transfer of the Notes has been made or the Notes have been delivered to the Trustee or Paying Agent) and (iii) all other rights of the Holders of such Notes will terminate (other than the right to receive the Fundamental Change Repurchase Price upon delivery or transfer of the Notes).</w:t>
      </w:r>
    </w:p>
    <w:p>
      <w:pPr>
        <w:spacing w:after="0" w:line="172" w:lineRule="exact"/>
        <w:rPr>
          <w:sz w:val="20"/>
          <w:szCs w:val="20"/>
          <w:color w:val="auto"/>
        </w:rPr>
      </w:pPr>
    </w:p>
    <w:p>
      <w:pPr>
        <w:ind w:right="20" w:firstLine="463"/>
        <w:spacing w:after="0" w:line="366" w:lineRule="auto"/>
        <w:tabs>
          <w:tab w:leader="none" w:pos="697" w:val="left"/>
        </w:tabs>
        <w:numPr>
          <w:ilvl w:val="0"/>
          <w:numId w:val="84"/>
        </w:numPr>
        <w:rPr>
          <w:rFonts w:ascii="Arial" w:cs="Arial" w:eastAsia="Arial" w:hAnsi="Arial"/>
          <w:sz w:val="15"/>
          <w:szCs w:val="15"/>
          <w:color w:val="auto"/>
        </w:rPr>
      </w:pPr>
      <w:r>
        <w:rPr>
          <w:rFonts w:ascii="Arial" w:cs="Arial" w:eastAsia="Arial" w:hAnsi="Arial"/>
          <w:sz w:val="15"/>
          <w:szCs w:val="15"/>
          <w:color w:val="auto"/>
        </w:rPr>
        <w:t>Upon surrender of a Note that is to be repurchased in part pursuant to Section 14.01, the Company shall execute and the Trustee shall authenticate and deliver to the Holder a new Note in an authorized denomination equal in principal amount to the unrepurchased portion of the Note surrendered.</w:t>
      </w:r>
    </w:p>
    <w:p>
      <w:pPr>
        <w:spacing w:after="0" w:line="110" w:lineRule="exact"/>
        <w:rPr>
          <w:sz w:val="20"/>
          <w:szCs w:val="20"/>
          <w:color w:val="auto"/>
        </w:rPr>
      </w:pPr>
    </w:p>
    <w:p>
      <w:pPr>
        <w:ind w:right="20" w:firstLine="457"/>
        <w:spacing w:after="0" w:line="265"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Covenant to Comply with Applicable Laws Upon Repurchase of Notes</w:t>
      </w:r>
      <w:r>
        <w:rPr>
          <w:rFonts w:ascii="Arial" w:cs="Arial" w:eastAsia="Arial" w:hAnsi="Arial"/>
          <w:sz w:val="18"/>
          <w:szCs w:val="18"/>
          <w:color w:val="auto"/>
        </w:rPr>
        <w:t>. In connection with any repurchase offer pursuant to a Fundamental Change Repurchase Notice, the Company will, if required:</w:t>
      </w:r>
    </w:p>
    <w:p>
      <w:pPr>
        <w:spacing w:after="0" w:line="179" w:lineRule="exact"/>
        <w:rPr>
          <w:sz w:val="20"/>
          <w:szCs w:val="20"/>
          <w:color w:val="auto"/>
        </w:rPr>
      </w:pPr>
    </w:p>
    <w:p>
      <w:pPr>
        <w:ind w:left="700" w:hanging="237"/>
        <w:spacing w:after="0"/>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comply with the provisions of Rule 13e-4, Rule 14e-1 and any other tender offer rules under the Exchange Act that may then be applicable;</w:t>
      </w:r>
    </w:p>
    <w:p>
      <w:pPr>
        <w:spacing w:after="0" w:line="228" w:lineRule="exact"/>
        <w:rPr>
          <w:rFonts w:ascii="Arial" w:cs="Arial" w:eastAsia="Arial" w:hAnsi="Arial"/>
          <w:sz w:val="17"/>
          <w:szCs w:val="17"/>
          <w:color w:val="auto"/>
        </w:rPr>
      </w:pPr>
    </w:p>
    <w:p>
      <w:pPr>
        <w:ind w:left="720" w:hanging="257"/>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and</w:t>
      </w:r>
    </w:p>
    <w:p>
      <w:pPr>
        <w:spacing w:after="0" w:line="217" w:lineRule="exact"/>
        <w:rPr>
          <w:rFonts w:ascii="Arial" w:cs="Arial" w:eastAsia="Arial" w:hAnsi="Arial"/>
          <w:sz w:val="18"/>
          <w:szCs w:val="18"/>
          <w:color w:val="auto"/>
        </w:rPr>
      </w:pPr>
    </w:p>
    <w:p>
      <w:pPr>
        <w:ind w:left="700" w:hanging="237"/>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otherwise comply with all federal and state securities laws in connection with any offer by the Company to repurchase the Notes;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in each case, so as to permit the rights and obligations under this Article 14 to be exercised in the time and in the manner specified in this Article 14.</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15</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w:t>
      </w:r>
      <w:r>
        <w:rPr>
          <w:rFonts w:ascii="Arial" w:cs="Arial" w:eastAsia="Arial" w:hAnsi="Arial"/>
          <w:sz w:val="18"/>
          <w:szCs w:val="18"/>
          <w:color w:val="auto"/>
        </w:rPr>
        <w:t xml:space="preserve"> R</w:t>
      </w:r>
      <w:r>
        <w:rPr>
          <w:rFonts w:ascii="Arial" w:cs="Arial" w:eastAsia="Arial" w:hAnsi="Arial"/>
          <w:sz w:val="14"/>
          <w:szCs w:val="14"/>
          <w:color w:val="auto"/>
        </w:rPr>
        <w:t>EDEMPTION</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15.01. </w:t>
      </w:r>
      <w:r>
        <w:rPr>
          <w:rFonts w:ascii="Arial" w:cs="Arial" w:eastAsia="Arial" w:hAnsi="Arial"/>
          <w:sz w:val="15"/>
          <w:szCs w:val="15"/>
          <w:i w:val="1"/>
          <w:iCs w:val="1"/>
          <w:color w:val="auto"/>
        </w:rPr>
        <w:t>No Redemption</w:t>
      </w:r>
      <w:r>
        <w:rPr>
          <w:rFonts w:ascii="Arial" w:cs="Arial" w:eastAsia="Arial" w:hAnsi="Arial"/>
          <w:sz w:val="15"/>
          <w:szCs w:val="15"/>
          <w:color w:val="auto"/>
        </w:rPr>
        <w:t>. The Notes shall not be redeemable by the Company prior to the Maturity Date, and no sinking fund is provided for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16</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206" w:lineRule="exact"/>
        <w:rPr>
          <w:sz w:val="20"/>
          <w:szCs w:val="20"/>
          <w:color w:val="auto"/>
        </w:rPr>
      </w:pPr>
    </w:p>
    <w:p>
      <w:pPr>
        <w:ind w:right="100" w:firstLine="457"/>
        <w:spacing w:after="0" w:line="265" w:lineRule="auto"/>
        <w:rPr>
          <w:sz w:val="20"/>
          <w:szCs w:val="20"/>
          <w:color w:val="auto"/>
        </w:rPr>
      </w:pPr>
      <w:r>
        <w:rPr>
          <w:rFonts w:ascii="Arial" w:cs="Arial" w:eastAsia="Arial" w:hAnsi="Arial"/>
          <w:sz w:val="18"/>
          <w:szCs w:val="18"/>
          <w:color w:val="auto"/>
        </w:rPr>
        <w:t>Section 16.01</w:t>
      </w:r>
      <w:r>
        <w:rPr>
          <w:rFonts w:ascii="Arial" w:cs="Arial" w:eastAsia="Arial" w:hAnsi="Arial"/>
          <w:sz w:val="18"/>
          <w:szCs w:val="18"/>
          <w:i w:val="1"/>
          <w:iCs w:val="1"/>
          <w:color w:val="auto"/>
        </w:rPr>
        <w:t>. Provisions Binding on Company’s Successors.</w:t>
      </w:r>
      <w:r>
        <w:rPr>
          <w:rFonts w:ascii="Arial" w:cs="Arial" w:eastAsia="Arial" w:hAnsi="Arial"/>
          <w:sz w:val="18"/>
          <w:szCs w:val="18"/>
          <w:color w:val="auto"/>
        </w:rPr>
        <w:t xml:space="preserve"> All the covenants, stipulations, promises and agreements of the Company contained in this Indenture shall bind its successors and assigns whether so expressed or not.</w:t>
      </w:r>
    </w:p>
    <w:p>
      <w:pPr>
        <w:spacing w:after="0" w:line="179" w:lineRule="exact"/>
        <w:rPr>
          <w:sz w:val="20"/>
          <w:szCs w:val="20"/>
          <w:color w:val="auto"/>
        </w:rPr>
      </w:pPr>
    </w:p>
    <w:p>
      <w:pPr>
        <w:ind w:right="80" w:firstLine="457"/>
        <w:spacing w:after="0" w:line="255" w:lineRule="auto"/>
        <w:rPr>
          <w:sz w:val="20"/>
          <w:szCs w:val="20"/>
          <w:color w:val="auto"/>
        </w:rPr>
      </w:pPr>
      <w:r>
        <w:rPr>
          <w:rFonts w:ascii="Arial" w:cs="Arial" w:eastAsia="Arial" w:hAnsi="Arial"/>
          <w:sz w:val="18"/>
          <w:szCs w:val="18"/>
          <w:color w:val="auto"/>
        </w:rPr>
        <w:t>Section 16.02</w:t>
      </w:r>
      <w:r>
        <w:rPr>
          <w:rFonts w:ascii="Arial" w:cs="Arial" w:eastAsia="Arial" w:hAnsi="Arial"/>
          <w:sz w:val="18"/>
          <w:szCs w:val="18"/>
          <w:i w:val="1"/>
          <w:iCs w:val="1"/>
          <w:color w:val="auto"/>
        </w:rPr>
        <w:t>. Official Acts by Successor Corporation.</w:t>
      </w:r>
      <w:r>
        <w:rPr>
          <w:rFonts w:ascii="Arial" w:cs="Arial" w:eastAsia="Arial" w:hAnsi="Arial"/>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273" w:right="319" w:bottom="1440" w:gutter="0" w:footer="0" w:header="0"/>
        </w:sectPr>
      </w:pPr>
    </w:p>
    <w:bookmarkStart w:id="90" w:name="page91"/>
    <w:bookmarkEnd w:id="90"/>
    <w:p>
      <w:pPr>
        <w:ind w:firstLine="457"/>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Section 16.03</w:t>
      </w:r>
      <w:r>
        <w:rPr>
          <w:rFonts w:ascii="Arial" w:cs="Arial" w:eastAsia="Arial" w:hAnsi="Arial"/>
          <w:sz w:val="17"/>
          <w:szCs w:val="17"/>
          <w:i w:val="1"/>
          <w:iCs w:val="1"/>
          <w:color w:val="auto"/>
        </w:rPr>
        <w:t>. Addresses for Notices, Etc.</w:t>
      </w:r>
      <w:r>
        <w:rPr>
          <w:rFonts w:ascii="Arial" w:cs="Arial" w:eastAsia="Arial" w:hAnsi="Arial"/>
          <w:sz w:val="17"/>
          <w:szCs w:val="17"/>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TPG Specialty Lending, Inc., 888 Seventh Avenue, 35th Floor, New York, New York 10019, Attention: Chief Financial Officer, with a copy to TPG Specialty Lending, Inc., 345 California Street, Suite 3300, San Francisco, CA 94104, Attention: TSSP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by notice to the Company, may designate additional or different addresses for subsequent notices or communications.</w:t>
      </w:r>
    </w:p>
    <w:p>
      <w:pPr>
        <w:spacing w:after="0" w:line="217" w:lineRule="exact"/>
        <w:rPr>
          <w:sz w:val="20"/>
          <w:szCs w:val="20"/>
          <w:color w:val="auto"/>
        </w:rPr>
      </w:pPr>
    </w:p>
    <w:p>
      <w:pPr>
        <w:ind w:right="80" w:firstLine="457"/>
        <w:spacing w:after="0" w:line="265" w:lineRule="auto"/>
        <w:rPr>
          <w:sz w:val="20"/>
          <w:szCs w:val="20"/>
          <w:color w:val="auto"/>
        </w:rPr>
      </w:pPr>
      <w:r>
        <w:rPr>
          <w:rFonts w:ascii="Arial" w:cs="Arial" w:eastAsia="Arial" w:hAnsi="Arial"/>
          <w:sz w:val="18"/>
          <w:szCs w:val="18"/>
          <w:color w:val="auto"/>
        </w:rPr>
        <w:t>Any notice or communication mailed to a Holder shall be mailed to it by first class mail, postage prepaid, at its address as it appears on the Note Register and shall be sufficiently given to it if so mailed within the time prescribed.</w:t>
      </w:r>
    </w:p>
    <w:p>
      <w:pPr>
        <w:spacing w:after="0" w:line="179" w:lineRule="exact"/>
        <w:rPr>
          <w:sz w:val="20"/>
          <w:szCs w:val="20"/>
          <w:color w:val="auto"/>
        </w:rPr>
      </w:pPr>
    </w:p>
    <w:p>
      <w:pPr>
        <w:ind w:right="600" w:firstLine="457"/>
        <w:spacing w:after="0" w:line="265"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179" w:lineRule="exact"/>
        <w:rPr>
          <w:sz w:val="20"/>
          <w:szCs w:val="20"/>
          <w:color w:val="auto"/>
        </w:rPr>
      </w:pPr>
    </w:p>
    <w:p>
      <w:pPr>
        <w:ind w:right="20" w:firstLine="457"/>
        <w:spacing w:after="0" w:line="366" w:lineRule="auto"/>
        <w:rPr>
          <w:sz w:val="20"/>
          <w:szCs w:val="20"/>
          <w:color w:val="auto"/>
        </w:rPr>
      </w:pPr>
      <w:r>
        <w:rPr>
          <w:rFonts w:ascii="Arial" w:cs="Arial" w:eastAsia="Arial" w:hAnsi="Arial"/>
          <w:sz w:val="15"/>
          <w:szCs w:val="15"/>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10" w:lineRule="exact"/>
        <w:rPr>
          <w:sz w:val="20"/>
          <w:szCs w:val="20"/>
          <w:color w:val="auto"/>
        </w:rPr>
      </w:pPr>
    </w:p>
    <w:p>
      <w:pPr>
        <w:ind w:right="260" w:firstLine="457"/>
        <w:spacing w:after="0" w:line="294" w:lineRule="auto"/>
        <w:rPr>
          <w:sz w:val="20"/>
          <w:szCs w:val="20"/>
          <w:color w:val="auto"/>
        </w:rPr>
      </w:pPr>
      <w:r>
        <w:rPr>
          <w:rFonts w:ascii="Arial" w:cs="Arial" w:eastAsia="Arial" w:hAnsi="Arial"/>
          <w:sz w:val="17"/>
          <w:szCs w:val="17"/>
          <w:color w:val="auto"/>
        </w:rPr>
        <w:t>Whenever under this Indenture the Trustee or the Company is required to provide any notice by mail, in all cases each of the Trustee and the Company may alternatively provide notice by overnight courier, by facsimile, with confirmation of transmission, or by electronic means.</w:t>
      </w:r>
    </w:p>
    <w:p>
      <w:pPr>
        <w:spacing w:after="0" w:line="158"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Section 16.04</w:t>
      </w:r>
      <w:r>
        <w:rPr>
          <w:rFonts w:ascii="Arial" w:cs="Arial" w:eastAsia="Arial" w:hAnsi="Arial"/>
          <w:sz w:val="17"/>
          <w:szCs w:val="17"/>
          <w:i w:val="1"/>
          <w:iCs w:val="1"/>
          <w:color w:val="auto"/>
        </w:rPr>
        <w:t>. Governing Law; Jurisdiction.</w:t>
      </w:r>
      <w:r>
        <w:rPr>
          <w:rFonts w:ascii="Arial" w:cs="Arial" w:eastAsia="Arial" w:hAnsi="Arial"/>
          <w:sz w:val="17"/>
          <w:szCs w:val="17"/>
          <w:color w:val="auto"/>
        </w:rPr>
        <w:t xml:space="preserve"> THIS INDENTURE AND EACH NOTE SHALL BE GOVERNED BY, AND CONSTRUED IN ACCORDANCE WITH, THE LAWS OF THE STATE OF NEW YORK (WITHOUT REGARD TO THE CONFLICTS OF LAWS PROVISIONS THEREOF THAT WOULD CAUSE THE APPLICATION OF THE LAWS OF ANOTHER JURISDICTION). THE PARTIES HERETO AGREE TO SUBMIT TO THE JURISDICTION OF ANY UNITED STATES FEDERAL OR STATE COURT LOCATED IN THE BOROUGH OF MANHATTAN, IN THE CITY OF NEW YORK IN ANY ACTION PROCEEDING ARISING OUT OF OR RELATING TO THIS INDENTURE OR THE NOTES.</w:t>
      </w:r>
    </w:p>
    <w:p>
      <w:pPr>
        <w:spacing w:after="0" w:line="177" w:lineRule="exact"/>
        <w:rPr>
          <w:sz w:val="20"/>
          <w:szCs w:val="20"/>
          <w:color w:val="auto"/>
        </w:rPr>
      </w:pPr>
    </w:p>
    <w:p>
      <w:pPr>
        <w:ind w:right="100" w:firstLine="457"/>
        <w:spacing w:after="0" w:line="277" w:lineRule="auto"/>
        <w:rPr>
          <w:sz w:val="20"/>
          <w:szCs w:val="20"/>
          <w:color w:val="auto"/>
        </w:rPr>
      </w:pPr>
      <w:r>
        <w:rPr>
          <w:rFonts w:ascii="Arial" w:cs="Arial" w:eastAsia="Arial" w:hAnsi="Arial"/>
          <w:sz w:val="17"/>
          <w:szCs w:val="17"/>
          <w:color w:val="auto"/>
        </w:rPr>
        <w:t>Section 16.05</w:t>
      </w:r>
      <w:r>
        <w:rPr>
          <w:rFonts w:ascii="Arial" w:cs="Arial" w:eastAsia="Arial" w:hAnsi="Arial"/>
          <w:sz w:val="17"/>
          <w:szCs w:val="17"/>
          <w:i w:val="1"/>
          <w:iCs w:val="1"/>
          <w:color w:val="auto"/>
        </w:rPr>
        <w:t>. Evidence of Compliance with Conditions Precedent; Certificates and Opinions of Counsel to Trustee.</w:t>
      </w:r>
      <w:r>
        <w:rPr>
          <w:rFonts w:ascii="Arial" w:cs="Arial" w:eastAsia="Arial" w:hAnsi="Arial"/>
          <w:sz w:val="17"/>
          <w:szCs w:val="17"/>
          <w:color w:val="auto"/>
        </w:rPr>
        <w:t xml:space="preserve">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3" w:right="279" w:bottom="1440" w:gutter="0" w:footer="0" w:header="0"/>
        </w:sectPr>
      </w:pPr>
    </w:p>
    <w:bookmarkStart w:id="91" w:name="page92"/>
    <w:bookmarkEnd w:id="91"/>
    <w:p>
      <w:pPr>
        <w:ind w:right="20" w:firstLine="457"/>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Officers’ Certificate and each Opinion of Counsel provided for, by or on behalf of the Company in this Indenture and delivered to the Trustee with respect to compliance with this Indenture (other than the Officers’ Certificates provided for in Section 4.09) shall include (a) a statement that the Person making such certificate is familiar with the requested action and this Indenture; (b) a brief statement as to the nature and scope of the examination or investigation upon which the statement contained in such certificate is based; (c) a statement that, in the opinion of such person, he or she has made such examination or investigation as is necessary to enable him or her to express an informed opinion as to whether or not the covenants and conditions provided for in this Indenture with respect to such action have been complied with; and (d) a statement as to whether or not, in the opinion of such Person, all conditions precedent provided for in this Indenture for such action have been compiled with.</w:t>
      </w:r>
    </w:p>
    <w:p>
      <w:pPr>
        <w:spacing w:after="0" w:line="181"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8"/>
          <w:szCs w:val="18"/>
          <w:color w:val="auto"/>
        </w:rPr>
        <w:t>Notwithstanding anything to the contrary in this Section 16.05,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89" w:lineRule="exact"/>
        <w:rPr>
          <w:sz w:val="20"/>
          <w:szCs w:val="20"/>
          <w:color w:val="auto"/>
        </w:rPr>
      </w:pPr>
    </w:p>
    <w:p>
      <w:pPr>
        <w:ind w:firstLine="457"/>
        <w:spacing w:after="0" w:line="255" w:lineRule="auto"/>
        <w:rPr>
          <w:sz w:val="20"/>
          <w:szCs w:val="20"/>
          <w:color w:val="auto"/>
        </w:rPr>
      </w:pPr>
      <w:r>
        <w:rPr>
          <w:rFonts w:ascii="Arial" w:cs="Arial" w:eastAsia="Arial" w:hAnsi="Arial"/>
          <w:sz w:val="18"/>
          <w:szCs w:val="18"/>
          <w:color w:val="auto"/>
        </w:rPr>
        <w:t>Section 16.06</w:t>
      </w:r>
      <w:r>
        <w:rPr>
          <w:rFonts w:ascii="Arial" w:cs="Arial" w:eastAsia="Arial" w:hAnsi="Arial"/>
          <w:sz w:val="18"/>
          <w:szCs w:val="18"/>
          <w:i w:val="1"/>
          <w:iCs w:val="1"/>
          <w:color w:val="auto"/>
        </w:rPr>
        <w:t>. Legal Holidays.</w:t>
      </w:r>
      <w:r>
        <w:rPr>
          <w:rFonts w:ascii="Arial" w:cs="Arial" w:eastAsia="Arial" w:hAnsi="Arial"/>
          <w:sz w:val="18"/>
          <w:szCs w:val="18"/>
          <w:color w:val="auto"/>
        </w:rPr>
        <w:t xml:space="preserve"> In any case where any Interest Payment Date, Fundamental Change Repurchase Date, Conversion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89" w:lineRule="exact"/>
        <w:rPr>
          <w:sz w:val="20"/>
          <w:szCs w:val="20"/>
          <w:color w:val="auto"/>
        </w:rPr>
      </w:pPr>
    </w:p>
    <w:p>
      <w:pPr>
        <w:ind w:right="340" w:firstLine="457"/>
        <w:spacing w:after="0" w:line="294" w:lineRule="auto"/>
        <w:rPr>
          <w:sz w:val="20"/>
          <w:szCs w:val="20"/>
          <w:color w:val="auto"/>
        </w:rPr>
      </w:pPr>
      <w:r>
        <w:rPr>
          <w:rFonts w:ascii="Arial" w:cs="Arial" w:eastAsia="Arial" w:hAnsi="Arial"/>
          <w:sz w:val="17"/>
          <w:szCs w:val="17"/>
          <w:color w:val="auto"/>
        </w:rPr>
        <w:t>Section 16.07</w:t>
      </w:r>
      <w:r>
        <w:rPr>
          <w:rFonts w:ascii="Arial" w:cs="Arial" w:eastAsia="Arial" w:hAnsi="Arial"/>
          <w:sz w:val="17"/>
          <w:szCs w:val="17"/>
          <w:i w:val="1"/>
          <w:iCs w:val="1"/>
          <w:color w:val="auto"/>
        </w:rPr>
        <w:t>. No Security Interest Created.</w:t>
      </w:r>
      <w:r>
        <w:rPr>
          <w:rFonts w:ascii="Arial" w:cs="Arial" w:eastAsia="Arial" w:hAnsi="Arial"/>
          <w:sz w:val="17"/>
          <w:szCs w:val="17"/>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8"/>
          <w:szCs w:val="18"/>
          <w:color w:val="auto"/>
        </w:rPr>
        <w:t>Section 16.08</w:t>
      </w:r>
      <w:r>
        <w:rPr>
          <w:rFonts w:ascii="Arial" w:cs="Arial" w:eastAsia="Arial" w:hAnsi="Arial"/>
          <w:sz w:val="18"/>
          <w:szCs w:val="18"/>
          <w:i w:val="1"/>
          <w:iCs w:val="1"/>
          <w:color w:val="auto"/>
        </w:rPr>
        <w:t>. Benefits of Indenture.</w:t>
      </w:r>
      <w:r>
        <w:rPr>
          <w:rFonts w:ascii="Arial" w:cs="Arial" w:eastAsia="Arial" w:hAnsi="Arial"/>
          <w:sz w:val="18"/>
          <w:szCs w:val="18"/>
          <w:color w:val="auto"/>
        </w:rPr>
        <w:t xml:space="preserve"> Nothing in this Indenture or in the Notes, expressed or implied, shall give to any Person, other than the parties hereto, any Paying Agent, any Conversion Agent, any authenticating agent, any Note Registrar and their successors hereunder or the Holders, any benefit or any legal or equitable right, remedy or claim under this Indenture.</w:t>
      </w:r>
    </w:p>
    <w:p>
      <w:pPr>
        <w:spacing w:after="0" w:line="189" w:lineRule="exact"/>
        <w:rPr>
          <w:sz w:val="20"/>
          <w:szCs w:val="20"/>
          <w:color w:val="auto"/>
        </w:rPr>
      </w:pPr>
    </w:p>
    <w:p>
      <w:pPr>
        <w:ind w:right="160" w:firstLine="457"/>
        <w:spacing w:after="0" w:line="366" w:lineRule="auto"/>
        <w:rPr>
          <w:sz w:val="20"/>
          <w:szCs w:val="20"/>
          <w:color w:val="auto"/>
        </w:rPr>
      </w:pPr>
      <w:r>
        <w:rPr>
          <w:rFonts w:ascii="Arial" w:cs="Arial" w:eastAsia="Arial" w:hAnsi="Arial"/>
          <w:sz w:val="15"/>
          <w:szCs w:val="15"/>
          <w:color w:val="auto"/>
        </w:rPr>
        <w:t>Section 16.09</w:t>
      </w:r>
      <w:r>
        <w:rPr>
          <w:rFonts w:ascii="Arial" w:cs="Arial" w:eastAsia="Arial" w:hAnsi="Arial"/>
          <w:sz w:val="15"/>
          <w:szCs w:val="15"/>
          <w:i w:val="1"/>
          <w:iCs w:val="1"/>
          <w:color w:val="auto"/>
        </w:rPr>
        <w:t>. Table of Contents, Headings, Etc.</w:t>
      </w:r>
      <w:r>
        <w:rPr>
          <w:rFonts w:ascii="Arial" w:cs="Arial" w:eastAsia="Arial" w:hAnsi="Arial"/>
          <w:sz w:val="15"/>
          <w:szCs w:val="15"/>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10" w:lineRule="exact"/>
        <w:rPr>
          <w:sz w:val="20"/>
          <w:szCs w:val="20"/>
          <w:color w:val="auto"/>
        </w:rPr>
      </w:pPr>
    </w:p>
    <w:p>
      <w:pPr>
        <w:ind w:right="120" w:firstLine="457"/>
        <w:spacing w:after="0" w:line="252"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i w:val="1"/>
          <w:iCs w:val="1"/>
          <w:color w:val="auto"/>
        </w:rPr>
        <w:t>Authenticating Agent</w:t>
      </w:r>
      <w:r>
        <w:rPr>
          <w:rFonts w:ascii="Arial" w:cs="Arial" w:eastAsia="Arial" w:hAnsi="Arial"/>
          <w:sz w:val="18"/>
          <w:szCs w:val="18"/>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14.03 as fully to all intents and purposes as though the authenticating agent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3" w:right="259" w:bottom="1440" w:gutter="0" w:footer="0" w:header="0"/>
        </w:sectPr>
      </w:pPr>
    </w:p>
    <w:bookmarkStart w:id="92" w:name="page93"/>
    <w:bookmarkEnd w:id="92"/>
    <w:p>
      <w:pPr>
        <w:ind w:right="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47"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without the execution or filing of any paper or any further act on the part of the parties hereto or the authenticating agent or such successor corporation or other entity.</w:t>
      </w:r>
    </w:p>
    <w:p>
      <w:pPr>
        <w:spacing w:after="0" w:line="195"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mail notice of such appointment to all Holders as the names and addresses of such Holders appear on the Note Register.</w:t>
      </w:r>
    </w:p>
    <w:p>
      <w:pPr>
        <w:spacing w:after="0" w:line="177" w:lineRule="exact"/>
        <w:rPr>
          <w:sz w:val="20"/>
          <w:szCs w:val="20"/>
          <w:color w:val="auto"/>
        </w:rPr>
      </w:pPr>
    </w:p>
    <w:p>
      <w:pPr>
        <w:ind w:right="120" w:firstLine="457"/>
        <w:spacing w:after="0" w:line="265"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provisions of Section 7.02, Section 7.03, Section 7.04, Section 8.03 and this Section 16.10 shall be applicable to any authenticating agent.</w:t>
      </w:r>
    </w:p>
    <w:p>
      <w:pPr>
        <w:spacing w:after="0" w:line="229" w:lineRule="exact"/>
        <w:rPr>
          <w:sz w:val="20"/>
          <w:szCs w:val="20"/>
          <w:color w:val="auto"/>
        </w:rPr>
      </w:pPr>
    </w:p>
    <w:p>
      <w:pPr>
        <w:ind w:right="840" w:firstLine="457"/>
        <w:spacing w:after="0" w:line="265" w:lineRule="auto"/>
        <w:rPr>
          <w:sz w:val="20"/>
          <w:szCs w:val="20"/>
          <w:color w:val="auto"/>
        </w:rPr>
      </w:pPr>
      <w:r>
        <w:rPr>
          <w:rFonts w:ascii="Arial" w:cs="Arial" w:eastAsia="Arial" w:hAnsi="Arial"/>
          <w:sz w:val="18"/>
          <w:szCs w:val="18"/>
          <w:color w:val="auto"/>
        </w:rPr>
        <w:t>If an authenticating agent is appointed pursuant to this Section, the Notes may have endorsed thereon, in addition to the Trustee’s certificate of authentication, an alternative certificate of authentication in the following form:</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37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as Authenticating Agent, certifies that this is one of the Notes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the within-named Indenture.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11430</wp:posOffset>
            </wp:positionV>
            <wp:extent cx="26606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17" w:lineRule="exact"/>
        <w:rPr>
          <w:sz w:val="20"/>
          <w:szCs w:val="20"/>
          <w:color w:val="auto"/>
        </w:rPr>
      </w:pPr>
    </w:p>
    <w:p>
      <w:pPr>
        <w:jc w:val="both"/>
        <w:ind w:right="220" w:firstLine="457"/>
        <w:spacing w:after="0" w:line="255" w:lineRule="auto"/>
        <w:rPr>
          <w:sz w:val="20"/>
          <w:szCs w:val="20"/>
          <w:color w:val="auto"/>
        </w:rPr>
      </w:pPr>
      <w:r>
        <w:rPr>
          <w:rFonts w:ascii="Arial" w:cs="Arial" w:eastAsia="Arial" w:hAnsi="Arial"/>
          <w:sz w:val="18"/>
          <w:szCs w:val="18"/>
          <w:color w:val="auto"/>
        </w:rPr>
        <w:t>Section 16.11</w:t>
      </w:r>
      <w:r>
        <w:rPr>
          <w:rFonts w:ascii="Arial" w:cs="Arial" w:eastAsia="Arial" w:hAnsi="Arial"/>
          <w:sz w:val="18"/>
          <w:szCs w:val="18"/>
          <w:i w:val="1"/>
          <w:iCs w:val="1"/>
          <w:color w:val="auto"/>
        </w:rPr>
        <w:t>. Execution in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 Delivery of an executed counterpart by facsimile, “portable document format” (pdf) or any other electronic means shall be effective as delivery of a manually executed counterpart thereof.</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3" w:right="279" w:bottom="1440" w:gutter="0" w:footer="0" w:header="0"/>
        </w:sectPr>
      </w:pPr>
    </w:p>
    <w:bookmarkStart w:id="93" w:name="page94"/>
    <w:bookmarkEnd w:id="93"/>
    <w:p>
      <w:pPr>
        <w:ind w:right="520" w:firstLine="457"/>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Section 16.12</w:t>
      </w:r>
      <w:r>
        <w:rPr>
          <w:rFonts w:ascii="Arial" w:cs="Arial" w:eastAsia="Arial" w:hAnsi="Arial"/>
          <w:sz w:val="17"/>
          <w:szCs w:val="17"/>
          <w:i w:val="1"/>
          <w:iCs w:val="1"/>
          <w:color w:val="auto"/>
        </w:rPr>
        <w:t>. Severability.</w:t>
      </w:r>
      <w:r>
        <w:rPr>
          <w:rFonts w:ascii="Arial" w:cs="Arial" w:eastAsia="Arial" w:hAnsi="Arial"/>
          <w:sz w:val="17"/>
          <w:szCs w:val="17"/>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right="180" w:firstLine="457"/>
        <w:spacing w:after="0" w:line="255" w:lineRule="auto"/>
        <w:rPr>
          <w:sz w:val="20"/>
          <w:szCs w:val="20"/>
          <w:color w:val="auto"/>
        </w:rPr>
      </w:pPr>
      <w:r>
        <w:rPr>
          <w:rFonts w:ascii="Arial" w:cs="Arial" w:eastAsia="Arial" w:hAnsi="Arial"/>
          <w:sz w:val="18"/>
          <w:szCs w:val="18"/>
          <w:color w:val="auto"/>
        </w:rPr>
        <w:t>Section 16.13</w:t>
      </w:r>
      <w:r>
        <w:rPr>
          <w:rFonts w:ascii="Arial" w:cs="Arial" w:eastAsia="Arial" w:hAnsi="Arial"/>
          <w:sz w:val="18"/>
          <w:szCs w:val="18"/>
          <w:i w:val="1"/>
          <w:iCs w:val="1"/>
          <w:color w:val="auto"/>
        </w:rPr>
        <w:t>. Waiver of Jury Trial.</w:t>
      </w:r>
      <w:r>
        <w:rPr>
          <w:rFonts w:ascii="Arial" w:cs="Arial" w:eastAsia="Arial" w:hAnsi="Arial"/>
          <w:sz w:val="18"/>
          <w:szCs w:val="18"/>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18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Section 16.14</w:t>
      </w:r>
      <w:r>
        <w:rPr>
          <w:rFonts w:ascii="Arial" w:cs="Arial" w:eastAsia="Arial" w:hAnsi="Arial"/>
          <w:sz w:val="17"/>
          <w:szCs w:val="17"/>
          <w:i w:val="1"/>
          <w:iCs w:val="1"/>
          <w:color w:val="auto"/>
        </w:rPr>
        <w:t>. Force Majeure.</w:t>
      </w:r>
      <w:r>
        <w:rPr>
          <w:rFonts w:ascii="Arial" w:cs="Arial" w:eastAsia="Arial" w:hAnsi="Arial"/>
          <w:sz w:val="17"/>
          <w:szCs w:val="17"/>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77"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Section 16.15</w:t>
      </w:r>
      <w:r>
        <w:rPr>
          <w:rFonts w:ascii="Arial" w:cs="Arial" w:eastAsia="Arial" w:hAnsi="Arial"/>
          <w:sz w:val="17"/>
          <w:szCs w:val="17"/>
          <w:i w:val="1"/>
          <w:iCs w:val="1"/>
          <w:color w:val="auto"/>
        </w:rPr>
        <w:t>. Calculations</w:t>
      </w:r>
      <w:r>
        <w:rPr>
          <w:rFonts w:ascii="Arial" w:cs="Arial" w:eastAsia="Arial" w:hAnsi="Arial"/>
          <w:sz w:val="17"/>
          <w:szCs w:val="17"/>
          <w:color w:val="auto"/>
        </w:rPr>
        <w:t>. Except as otherwise provided in Section 13.01(b)(i), the Company shall be responsible for making all calculations called for under the Notes. These calculations include, but are not limited to, determinations of the Last Reported Sale Prices of the Common Stock,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81" w:lineRule="exact"/>
        <w:rPr>
          <w:sz w:val="20"/>
          <w:szCs w:val="20"/>
          <w:color w:val="auto"/>
        </w:rPr>
      </w:pPr>
    </w:p>
    <w:p>
      <w:pPr>
        <w:ind w:right="100" w:firstLine="457"/>
        <w:spacing w:after="0" w:line="255" w:lineRule="auto"/>
        <w:rPr>
          <w:sz w:val="20"/>
          <w:szCs w:val="20"/>
          <w:color w:val="auto"/>
        </w:rPr>
      </w:pPr>
      <w:r>
        <w:rPr>
          <w:rFonts w:ascii="Arial" w:cs="Arial" w:eastAsia="Arial" w:hAnsi="Arial"/>
          <w:sz w:val="18"/>
          <w:szCs w:val="18"/>
          <w:color w:val="auto"/>
        </w:rPr>
        <w:t xml:space="preserve">Section 16.16. </w:t>
      </w:r>
      <w:r>
        <w:rPr>
          <w:rFonts w:ascii="Arial" w:cs="Arial" w:eastAsia="Arial" w:hAnsi="Arial"/>
          <w:sz w:val="18"/>
          <w:szCs w:val="18"/>
          <w:i w:val="1"/>
          <w:iCs w:val="1"/>
          <w:color w:val="auto"/>
        </w:rPr>
        <w:t>No Adverse Interpretation of Other Agreements</w:t>
      </w:r>
      <w:r>
        <w:rPr>
          <w:rFonts w:ascii="Arial" w:cs="Arial" w:eastAsia="Arial" w:hAnsi="Arial"/>
          <w:sz w:val="18"/>
          <w:szCs w:val="18"/>
          <w:color w:val="auto"/>
        </w:rPr>
        <w:t>. Other than the Notes and any supplemental indenture hereto, this Indenture may not be used to interpret any other indenture, loan or debt agreement of the Company or any of its Subsidiaries or of any other Person. Any such indenture, loan or debt agreement may not be used to interpret this Indenture.</w:t>
      </w:r>
    </w:p>
    <w:p>
      <w:pPr>
        <w:spacing w:after="0" w:line="189"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Section 16.17. U.S.A. Patriot Act.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73"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5"/>
          <w:szCs w:val="15"/>
          <w:i w:val="1"/>
          <w:iCs w:val="1"/>
          <w:color w:val="auto"/>
        </w:rPr>
        <w:t>Remainder of page intentionally left blank</w:t>
      </w:r>
      <w:r>
        <w:rPr>
          <w:rFonts w:ascii="Arial" w:cs="Arial" w:eastAsia="Arial" w:hAnsi="Arial"/>
          <w:sz w:val="15"/>
          <w:szCs w:val="15"/>
          <w:color w:val="auto"/>
        </w:rPr>
        <w:t>]</w:t>
      </w:r>
    </w:p>
    <w:p>
      <w:pPr>
        <w:sectPr>
          <w:pgSz w:w="11900" w:h="16838" w:orient="portrait"/>
          <w:cols w:equalWidth="0" w:num="1">
            <w:col w:w="9019"/>
          </w:cols>
          <w:pgMar w:left="1440" w:top="273"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9019"/>
          </w:cols>
          <w:pgMar w:left="1440" w:top="273" w:right="1440"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WITNESS WHEREOF, the parties hereto have caused this Indenture to be duly executed as of the date first written above.</w:t>
      </w: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TPG SPECIALTY LENDING, INC.</w:t>
      </w:r>
    </w:p>
    <w:p>
      <w:pPr>
        <w:spacing w:after="0" w:line="2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11430</wp:posOffset>
            </wp:positionV>
            <wp:extent cx="26606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1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Joshua Easterly</w:t>
      </w:r>
    </w:p>
    <w:p>
      <w:pPr>
        <w:spacing w:after="0" w:line="16" w:lineRule="exact"/>
        <w:rPr>
          <w:sz w:val="20"/>
          <w:szCs w:val="20"/>
          <w:color w:val="auto"/>
        </w:rPr>
      </w:pPr>
    </w:p>
    <w:p>
      <w:pPr>
        <w:ind w:left="678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Co-Chief Executive Officer</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Trustee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11430</wp:posOffset>
            </wp:positionV>
            <wp:extent cx="26606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1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Yana Kislenko</w:t>
      </w:r>
    </w:p>
    <w:p>
      <w:pPr>
        <w:spacing w:after="0" w:line="16" w:lineRule="exact"/>
        <w:rPr>
          <w:sz w:val="20"/>
          <w:szCs w:val="20"/>
          <w:color w:val="auto"/>
        </w:rPr>
      </w:pPr>
    </w:p>
    <w:p>
      <w:pPr>
        <w:ind w:left="678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0580"/>
          </w:cols>
          <w:pgMar w:left="700" w:top="273" w:right="6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FOLLOWING LEGEND IF A GLOBAL NOTE]</w:t>
      </w:r>
    </w:p>
    <w:p>
      <w:pPr>
        <w:spacing w:after="0" w:line="217"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FOLLOWING LEGEND IF A RESTRICTED SECURITY]</w:t>
      </w:r>
    </w:p>
    <w:p>
      <w:pPr>
        <w:spacing w:after="0" w:line="217" w:lineRule="exact"/>
        <w:rPr>
          <w:sz w:val="20"/>
          <w:szCs w:val="20"/>
          <w:color w:val="auto"/>
        </w:rPr>
      </w:pPr>
    </w:p>
    <w:p>
      <w:pPr>
        <w:ind w:right="260" w:firstLine="457"/>
        <w:spacing w:after="0" w:line="252"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85" w:lineRule="exact"/>
        <w:rPr>
          <w:sz w:val="20"/>
          <w:szCs w:val="20"/>
          <w:color w:val="auto"/>
        </w:rPr>
      </w:pPr>
    </w:p>
    <w:p>
      <w:pPr>
        <w:ind w:left="460" w:right="260" w:firstLine="441"/>
        <w:spacing w:after="0" w:line="255" w:lineRule="auto"/>
        <w:tabs>
          <w:tab w:leader="none" w:pos="11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82" w:lineRule="exact"/>
        <w:rPr>
          <w:rFonts w:ascii="Arial" w:cs="Arial" w:eastAsia="Arial" w:hAnsi="Arial"/>
          <w:sz w:val="18"/>
          <w:szCs w:val="18"/>
          <w:color w:val="auto"/>
        </w:rPr>
      </w:pPr>
    </w:p>
    <w:p>
      <w:pPr>
        <w:ind w:left="460" w:right="80" w:firstLine="441"/>
        <w:spacing w:after="0" w:line="318" w:lineRule="auto"/>
        <w:tabs>
          <w:tab w:leader="none" w:pos="1149" w:val="left"/>
        </w:tabs>
        <w:numPr>
          <w:ilvl w:val="0"/>
          <w:numId w:val="86"/>
        </w:numPr>
        <w:rPr>
          <w:rFonts w:ascii="Arial" w:cs="Arial" w:eastAsia="Arial" w:hAnsi="Arial"/>
          <w:sz w:val="15"/>
          <w:szCs w:val="15"/>
          <w:color w:val="auto"/>
        </w:rPr>
      </w:pPr>
      <w:r>
        <w:rPr>
          <w:rFonts w:ascii="Arial" w:cs="Arial" w:eastAsia="Arial" w:hAnsi="Arial"/>
          <w:sz w:val="15"/>
          <w:szCs w:val="15"/>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40" w:lineRule="exact"/>
        <w:rPr>
          <w:rFonts w:ascii="Arial" w:cs="Arial" w:eastAsia="Arial" w:hAnsi="Arial"/>
          <w:sz w:val="15"/>
          <w:szCs w:val="15"/>
          <w:color w:val="auto"/>
        </w:rPr>
      </w:pPr>
    </w:p>
    <w:p>
      <w:pPr>
        <w:ind w:left="1620" w:hanging="281"/>
        <w:spacing w:after="0"/>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TPG SPECIALTY LENDING, INC. (THE “COMPANY”) OR ANY CONSOLIDATED SUBSIDIARY THEREOF, OR</w:t>
      </w:r>
    </w:p>
    <w:p>
      <w:pPr>
        <w:spacing w:after="0" w:line="111" w:lineRule="exact"/>
        <w:rPr>
          <w:rFonts w:ascii="Arial" w:cs="Arial" w:eastAsia="Arial" w:hAnsi="Arial"/>
          <w:sz w:val="18"/>
          <w:szCs w:val="18"/>
          <w:color w:val="auto"/>
        </w:rPr>
      </w:pPr>
    </w:p>
    <w:p>
      <w:pPr>
        <w:ind w:left="1620" w:hanging="281"/>
        <w:spacing w:after="0"/>
        <w:tabs>
          <w:tab w:leader="none" w:pos="16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67" w:right="239" w:bottom="1440" w:gutter="0" w:footer="0" w:header="0"/>
        </w:sectPr>
      </w:pPr>
    </w:p>
    <w:bookmarkStart w:id="97" w:name="page98"/>
    <w:bookmarkEnd w:id="97"/>
    <w:p>
      <w:pPr>
        <w:ind w:left="1620" w:hanging="281"/>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TO A QUALIFIED INSTITUTIONAL BUYER IN COMPLIANCE WITH RULE 144A UNDER THE SECURITIES ACT, OR</w:t>
      </w:r>
    </w:p>
    <w:p>
      <w:pPr>
        <w:spacing w:after="0" w:line="111" w:lineRule="exact"/>
        <w:rPr>
          <w:rFonts w:ascii="Arial" w:cs="Arial" w:eastAsia="Arial" w:hAnsi="Arial"/>
          <w:sz w:val="18"/>
          <w:szCs w:val="18"/>
          <w:color w:val="auto"/>
        </w:rPr>
      </w:pPr>
    </w:p>
    <w:p>
      <w:pPr>
        <w:ind w:left="920" w:firstLine="419"/>
        <w:spacing w:after="0" w:line="265" w:lineRule="auto"/>
        <w:tabs>
          <w:tab w:leader="none" w:pos="1629"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9" w:lineRule="exact"/>
        <w:rPr>
          <w:sz w:val="20"/>
          <w:szCs w:val="20"/>
          <w:color w:val="auto"/>
        </w:rPr>
      </w:pPr>
    </w:p>
    <w:p>
      <w:pPr>
        <w:jc w:val="both"/>
        <w:ind w:right="100" w:firstLine="457"/>
        <w:spacing w:after="0" w:line="277" w:lineRule="auto"/>
        <w:rPr>
          <w:sz w:val="20"/>
          <w:szCs w:val="20"/>
          <w:color w:val="auto"/>
        </w:rPr>
      </w:pPr>
      <w:r>
        <w:rPr>
          <w:rFonts w:ascii="Arial" w:cs="Arial" w:eastAsia="Arial" w:hAnsi="Arial"/>
          <w:sz w:val="17"/>
          <w:szCs w:val="17"/>
          <w:color w:val="auto"/>
        </w:rPr>
        <w:t>THE RESALE RESTRICTION TERMINATION DATE WILL BE THE DATE (1) THAT IS AT LEAST ONE YEAR AFTER THE LAST ORIGINAL ISSUE DATE HEREOF; AND (2) ON WHICH THE COMPANY INSTRUCTS THE TRUSTEE THAT THIS LEGEND SHALL BE DEEMED REMOVED FROM THIS SECURITY, IN ACCORDANCE WITH THE PROCEDURES DESCRIBED IN THE INDENTURE RELATING TO THIS SECURITY.</w:t>
      </w:r>
    </w:p>
    <w:p>
      <w:pPr>
        <w:spacing w:after="0" w:line="172" w:lineRule="exact"/>
        <w:rPr>
          <w:sz w:val="20"/>
          <w:szCs w:val="20"/>
          <w:color w:val="auto"/>
        </w:rPr>
      </w:pPr>
    </w:p>
    <w:p>
      <w:pPr>
        <w:ind w:right="260" w:firstLine="457"/>
        <w:spacing w:after="0" w:line="250" w:lineRule="auto"/>
        <w:rPr>
          <w:sz w:val="20"/>
          <w:szCs w:val="20"/>
          <w:color w:val="auto"/>
        </w:rPr>
      </w:pPr>
      <w:r>
        <w:rPr>
          <w:rFonts w:ascii="Arial" w:cs="Arial" w:eastAsia="Arial" w:hAnsi="Arial"/>
          <w:sz w:val="18"/>
          <w:szCs w:val="18"/>
          <w:color w:val="auto"/>
        </w:rPr>
        <w:t>PRIOR TO THE REGISTRATION OF ANY TRANSFER IN ACCORDANCE WITH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9" w:lineRule="exact"/>
        <w:rPr>
          <w:sz w:val="20"/>
          <w:szCs w:val="20"/>
          <w:color w:val="auto"/>
        </w:rPr>
      </w:pPr>
    </w:p>
    <w:p>
      <w:pPr>
        <w:ind w:right="180" w:firstLine="457"/>
        <w:spacing w:after="0" w:line="281" w:lineRule="auto"/>
        <w:rPr>
          <w:sz w:val="20"/>
          <w:szCs w:val="20"/>
          <w:color w:val="auto"/>
        </w:rPr>
      </w:pPr>
      <w:r>
        <w:rPr>
          <w:rFonts w:ascii="Arial" w:cs="Arial" w:eastAsia="Arial" w:hAnsi="Arial"/>
          <w:sz w:val="17"/>
          <w:szCs w:val="17"/>
          <w:color w:val="auto"/>
        </w:rPr>
        <w:t>NO AFFILIATE (AS DEFINED IN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OF THE COMPANY OR PERSON THAT HAS BEEN AN AFFILIATE (AS DEFINED IN RULE 144 UNDER THE SECURITIES ACT) OF THE COMPANY DURING THE THREE IMMEDIATELY PRECEDING MONTHS MAY RESELL THIS NOTE OR A BENEFICIAL INTEREST HEREIN.</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00"/>
          </w:cols>
          <w:pgMar w:left="240" w:top="273" w:right="359" w:bottom="1440" w:gutter="0" w:footer="0" w:header="0"/>
        </w:sectPr>
      </w:pPr>
    </w:p>
    <w:bookmarkStart w:id="98" w:name="page99"/>
    <w:bookmarkEnd w:id="98"/>
    <w:p>
      <w:pPr>
        <w:ind w:left="4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TPG SPECIALTY LENDING, INC.</w:t>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4.50% Convertible Senior Note due 2019</w:t>
      </w:r>
    </w:p>
    <w:p>
      <w:pPr>
        <w:spacing w:after="0" w:line="232" w:lineRule="exact"/>
        <w:rPr>
          <w:sz w:val="20"/>
          <w:szCs w:val="20"/>
          <w:color w:val="auto"/>
        </w:rPr>
      </w:pPr>
    </w:p>
    <w:p>
      <w:pPr>
        <w:spacing w:after="0"/>
        <w:tabs>
          <w:tab w:leader="none" w:pos="700" w:val="left"/>
          <w:tab w:leader="none" w:pos="10140" w:val="left"/>
          <w:tab w:leader="none" w:pos="1124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Initially $[</w:t>
      </w:r>
      <w:r>
        <w:rPr>
          <w:sz w:val="20"/>
          <w:szCs w:val="20"/>
          <w:color w:val="auto"/>
        </w:rPr>
        <w:tab/>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CUSIP No. 87265KAA0*</w:t>
      </w:r>
    </w:p>
    <w:p>
      <w:pPr>
        <w:spacing w:after="0" w:line="211"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TPG Specialty Lending, Inc., a corporation duly organized and validly existing under the laws of the State of Delaware (the “</w:t>
      </w:r>
      <w:r>
        <w:rPr>
          <w:rFonts w:ascii="Arial" w:cs="Arial" w:eastAsia="Arial" w:hAnsi="Arial"/>
          <w:sz w:val="17"/>
          <w:szCs w:val="17"/>
          <w:b w:val="1"/>
          <w:bCs w:val="1"/>
          <w:color w:val="auto"/>
        </w:rPr>
        <w:t>Company</w:t>
      </w:r>
      <w:r>
        <w:rPr>
          <w:rFonts w:ascii="Arial" w:cs="Arial" w:eastAsia="Arial" w:hAnsi="Arial"/>
          <w:sz w:val="17"/>
          <w:szCs w:val="17"/>
          <w:color w:val="auto"/>
        </w:rPr>
        <w:t>,”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 of all other outstanding Notes, shall not, unless permitted by the Indenture, exceed $115,000,000 at any time, in accordance with the rules and procedures of the Depositary, on December 15, 2019, and interest thereon as set forth below.</w:t>
      </w:r>
    </w:p>
    <w:p>
      <w:pPr>
        <w:spacing w:after="0" w:line="179"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This Note shall bear interest at the rate of 4.50% per year from June 10, 2014, or from the most recent date to which interest had been paid or provided for to, but excluding, the next scheduled Interest Payment Date until December 15, 2019. Interest is payable semi-annually in arrears on each June 15 and December 15, commencing on December 15, 2014, to Holders of record at the close of business on the preceding June 1 and December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w:t>
      </w:r>
    </w:p>
    <w:p>
      <w:pPr>
        <w:spacing w:after="0" w:line="153" w:lineRule="exact"/>
        <w:rPr>
          <w:sz w:val="20"/>
          <w:szCs w:val="20"/>
          <w:color w:val="auto"/>
        </w:rPr>
      </w:pPr>
    </w:p>
    <w:p>
      <w:pPr>
        <w:ind w:right="520" w:firstLine="457"/>
        <w:spacing w:after="0" w:line="255" w:lineRule="auto"/>
        <w:rPr>
          <w:sz w:val="20"/>
          <w:szCs w:val="20"/>
          <w:color w:val="auto"/>
        </w:rPr>
      </w:pPr>
      <w:r>
        <w:rPr>
          <w:rFonts w:ascii="Arial" w:cs="Arial" w:eastAsia="Arial" w:hAnsi="Arial"/>
          <w:sz w:val="18"/>
          <w:szCs w:val="18"/>
          <w:color w:val="auto"/>
        </w:rPr>
        <w:t>Any Defaulted Amounts shall accrue interest per annum at the rate or rates, if any, specified in this Note,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189"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The Company shall pay the principal of and interest on this Note,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agency in New York, New York as a place where Notes may be presented for payment or for registration of transfer.</w:t>
      </w:r>
    </w:p>
    <w:p>
      <w:pPr>
        <w:spacing w:after="0" w:line="195" w:lineRule="exact"/>
        <w:rPr>
          <w:sz w:val="20"/>
          <w:szCs w:val="20"/>
          <w:color w:val="auto"/>
        </w:rPr>
      </w:pPr>
    </w:p>
    <w:p>
      <w:pPr>
        <w:ind w:right="120" w:firstLine="457"/>
        <w:spacing w:after="0" w:line="330" w:lineRule="auto"/>
        <w:rPr>
          <w:sz w:val="20"/>
          <w:szCs w:val="20"/>
          <w:color w:val="auto"/>
        </w:rPr>
      </w:pPr>
      <w:r>
        <w:rPr>
          <w:rFonts w:ascii="Arial" w:cs="Arial" w:eastAsia="Arial" w:hAnsi="Arial"/>
          <w:sz w:val="15"/>
          <w:szCs w:val="15"/>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64" w:lineRule="exact"/>
        <w:rPr>
          <w:sz w:val="20"/>
          <w:szCs w:val="20"/>
          <w:color w:val="auto"/>
        </w:rPr>
      </w:pPr>
    </w:p>
    <w:p>
      <w:pPr>
        <w:ind w:left="240" w:hanging="234"/>
        <w:spacing w:after="0" w:line="265" w:lineRule="auto"/>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terms and conditions of the Indenture, at such time as the Company notifies the Trustee to remove the restrictive legend pursuant to Section 2.05(c) of the Indenture, the CUSIP number for this Note shall be deemed to be CUSIP No. 87265KAB8.</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3" w:right="259" w:bottom="1440" w:gutter="0" w:footer="0" w:header="0"/>
        </w:sectPr>
      </w:pPr>
    </w:p>
    <w:bookmarkStart w:id="99" w:name="page100"/>
    <w:bookmarkEnd w:id="99"/>
    <w:p>
      <w:pPr>
        <w:ind w:right="240" w:firstLine="457"/>
        <w:spacing w:after="0" w:line="27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This Note shall be construed in accordance with and governed by the laws of the State of New York (without regard to the conflicts of laws provisions thereof that would cause the application of the laws of another jurisdiction).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w:t>
      </w:r>
    </w:p>
    <w:p>
      <w:pPr>
        <w:spacing w:after="0" w:line="217"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00"/>
          </w:cols>
          <w:pgMar w:left="240" w:top="267" w:right="55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WITNESS WHEREOF, the Company has caused this Note to be duly executed.</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TPG SPECIALTY LENDING,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11430</wp:posOffset>
            </wp:positionV>
            <wp:extent cx="26606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 Trustee, certifies that this is one of the Notes described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within-named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11430</wp:posOffset>
            </wp:positionV>
            <wp:extent cx="26352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35250"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273"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[FORM OF REVERSE OF NOTE]</w:t>
      </w:r>
    </w:p>
    <w:p>
      <w:pPr>
        <w:spacing w:after="0" w:line="2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TPG SPECIALTY LENDING, INC.</w:t>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4.50% Convertible Senior Note due 2019</w:t>
      </w:r>
    </w:p>
    <w:p>
      <w:pPr>
        <w:spacing w:after="0" w:line="200" w:lineRule="exact"/>
        <w:rPr>
          <w:sz w:val="20"/>
          <w:szCs w:val="20"/>
          <w:color w:val="auto"/>
        </w:rPr>
      </w:pPr>
    </w:p>
    <w:p>
      <w:pPr>
        <w:ind w:right="60" w:firstLine="457"/>
        <w:spacing w:after="0" w:line="315" w:lineRule="auto"/>
        <w:rPr>
          <w:sz w:val="20"/>
          <w:szCs w:val="20"/>
          <w:color w:val="auto"/>
        </w:rPr>
      </w:pPr>
      <w:r>
        <w:rPr>
          <w:rFonts w:ascii="Arial" w:cs="Arial" w:eastAsia="Arial" w:hAnsi="Arial"/>
          <w:sz w:val="15"/>
          <w:szCs w:val="15"/>
          <w:color w:val="auto"/>
        </w:rPr>
        <w:t>This Note is one of a duly authorized issue of Notes of the Company, designated as its 4.50% Convertible Senior Notes due 2019 (the “</w:t>
      </w:r>
      <w:r>
        <w:rPr>
          <w:rFonts w:ascii="Arial" w:cs="Arial" w:eastAsia="Arial" w:hAnsi="Arial"/>
          <w:sz w:val="15"/>
          <w:szCs w:val="15"/>
          <w:b w:val="1"/>
          <w:bCs w:val="1"/>
          <w:color w:val="auto"/>
        </w:rPr>
        <w:t>Notes</w:t>
      </w:r>
      <w:r>
        <w:rPr>
          <w:rFonts w:ascii="Arial" w:cs="Arial" w:eastAsia="Arial" w:hAnsi="Arial"/>
          <w:sz w:val="15"/>
          <w:szCs w:val="15"/>
          <w:color w:val="auto"/>
        </w:rPr>
        <w:t>”), limited to the aggregate principal amount of $115,000,000, all issued or to be issued under and pursuant to an Indenture dated as of June 10, 2014 (the “</w:t>
      </w:r>
      <w:r>
        <w:rPr>
          <w:rFonts w:ascii="Arial" w:cs="Arial" w:eastAsia="Arial" w:hAnsi="Arial"/>
          <w:sz w:val="15"/>
          <w:szCs w:val="15"/>
          <w:b w:val="1"/>
          <w:bCs w:val="1"/>
          <w:color w:val="auto"/>
        </w:rPr>
        <w:t>Indenture</w:t>
      </w:r>
      <w:r>
        <w:rPr>
          <w:rFonts w:ascii="Arial" w:cs="Arial" w:eastAsia="Arial" w:hAnsi="Arial"/>
          <w:sz w:val="15"/>
          <w:szCs w:val="15"/>
          <w:color w:val="auto"/>
        </w:rPr>
        <w:t>”), between the Company and Wells Fargo Bank, National Association (the “</w:t>
      </w:r>
      <w:r>
        <w:rPr>
          <w:rFonts w:ascii="Arial" w:cs="Arial" w:eastAsia="Arial" w:hAnsi="Arial"/>
          <w:sz w:val="15"/>
          <w:szCs w:val="15"/>
          <w:b w:val="1"/>
          <w:bCs w:val="1"/>
          <w:color w:val="auto"/>
        </w:rPr>
        <w:t>Trustee</w:t>
      </w:r>
      <w:r>
        <w:rPr>
          <w:rFonts w:ascii="Arial" w:cs="Arial" w:eastAsia="Arial" w:hAnsi="Arial"/>
          <w:sz w:val="15"/>
          <w:szCs w:val="15"/>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w:t>
      </w:r>
    </w:p>
    <w:p>
      <w:pPr>
        <w:spacing w:after="0" w:line="147" w:lineRule="exact"/>
        <w:rPr>
          <w:sz w:val="20"/>
          <w:szCs w:val="20"/>
          <w:color w:val="auto"/>
        </w:rPr>
      </w:pPr>
    </w:p>
    <w:p>
      <w:pPr>
        <w:ind w:right="20" w:firstLine="457"/>
        <w:spacing w:after="0" w:line="277" w:lineRule="auto"/>
        <w:rPr>
          <w:sz w:val="20"/>
          <w:szCs w:val="20"/>
          <w:color w:val="auto"/>
        </w:rPr>
      </w:pPr>
      <w:r>
        <w:rPr>
          <w:rFonts w:ascii="Arial" w:cs="Arial" w:eastAsia="Arial" w:hAnsi="Arial"/>
          <w:sz w:val="17"/>
          <w:szCs w:val="17"/>
          <w:color w:val="auto"/>
        </w:rPr>
        <w:t>In case an Event of Default, as defined in the Indenture,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2" w:lineRule="exact"/>
        <w:rPr>
          <w:sz w:val="20"/>
          <w:szCs w:val="20"/>
          <w:color w:val="auto"/>
        </w:rPr>
      </w:pPr>
    </w:p>
    <w:p>
      <w:pPr>
        <w:ind w:firstLine="457"/>
        <w:spacing w:after="0" w:line="330" w:lineRule="auto"/>
        <w:rPr>
          <w:sz w:val="20"/>
          <w:szCs w:val="20"/>
          <w:color w:val="auto"/>
        </w:rPr>
      </w:pPr>
      <w:r>
        <w:rPr>
          <w:rFonts w:ascii="Arial" w:cs="Arial" w:eastAsia="Arial" w:hAnsi="Arial"/>
          <w:sz w:val="15"/>
          <w:szCs w:val="15"/>
          <w:color w:val="auto"/>
        </w:rPr>
        <w:t>Subject to the terms and conditions of the Indenture, the Company will make all payments in respect of the Fundamental Change Repurchase Price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37" w:lineRule="exact"/>
        <w:rPr>
          <w:sz w:val="20"/>
          <w:szCs w:val="20"/>
          <w:color w:val="auto"/>
        </w:rPr>
      </w:pPr>
    </w:p>
    <w:p>
      <w:pPr>
        <w:ind w:right="60" w:firstLine="457"/>
        <w:spacing w:after="0" w:line="312" w:lineRule="auto"/>
        <w:rPr>
          <w:sz w:val="20"/>
          <w:szCs w:val="20"/>
          <w:color w:val="auto"/>
        </w:rPr>
      </w:pPr>
      <w:r>
        <w:rPr>
          <w:rFonts w:ascii="Arial" w:cs="Arial" w:eastAsia="Arial" w:hAnsi="Arial"/>
          <w:sz w:val="15"/>
          <w:szCs w:val="15"/>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52" w:lineRule="exact"/>
        <w:rPr>
          <w:sz w:val="20"/>
          <w:szCs w:val="20"/>
          <w:color w:val="auto"/>
        </w:rPr>
      </w:pPr>
    </w:p>
    <w:p>
      <w:pPr>
        <w:ind w:right="160" w:firstLine="457"/>
        <w:spacing w:after="0" w:line="252"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or deliver, as the case may be, the principal of, the Fundamental Change Repurchase Price, if applicable, of, accrued and unpaid interest on and amounts due upon conversion of this Note at the place, at the respective times, at the rate and in the lawful money or other consideration herein prescribed.</w:t>
      </w:r>
    </w:p>
    <w:p>
      <w:pPr>
        <w:spacing w:after="0" w:line="191" w:lineRule="exact"/>
        <w:rPr>
          <w:sz w:val="20"/>
          <w:szCs w:val="20"/>
          <w:color w:val="auto"/>
        </w:rPr>
      </w:pPr>
    </w:p>
    <w:p>
      <w:pPr>
        <w:ind w:right="300" w:firstLine="457"/>
        <w:spacing w:after="0" w:line="265" w:lineRule="auto"/>
        <w:rPr>
          <w:sz w:val="20"/>
          <w:szCs w:val="20"/>
          <w:color w:val="auto"/>
        </w:rPr>
      </w:pPr>
      <w:r>
        <w:rPr>
          <w:rFonts w:ascii="Arial" w:cs="Arial" w:eastAsia="Arial" w:hAnsi="Arial"/>
          <w:sz w:val="18"/>
          <w:szCs w:val="18"/>
          <w:color w:val="auto"/>
        </w:rPr>
        <w:t>The Notes are issuable in registered form without coupons in denominations of $1,000 principal amount and integral multiples thereof. At the office or agency of the Company referred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3" w:right="239" w:bottom="1440" w:gutter="0" w:footer="0" w:header="0"/>
        </w:sectPr>
      </w:pPr>
    </w:p>
    <w:bookmarkStart w:id="102" w:name="page103"/>
    <w:bookmarkEnd w:id="10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not subject to redemption through the operation of any sinking fund or otherwise.</w:t>
      </w:r>
    </w:p>
    <w:p>
      <w:pPr>
        <w:spacing w:after="0" w:line="217" w:lineRule="exact"/>
        <w:rPr>
          <w:sz w:val="20"/>
          <w:szCs w:val="20"/>
          <w:color w:val="auto"/>
        </w:rPr>
      </w:pPr>
    </w:p>
    <w:p>
      <w:pPr>
        <w:ind w:right="40" w:firstLine="457"/>
        <w:spacing w:after="0" w:line="255" w:lineRule="auto"/>
        <w:rPr>
          <w:sz w:val="20"/>
          <w:szCs w:val="20"/>
          <w:color w:val="auto"/>
        </w:rPr>
      </w:pPr>
      <w:r>
        <w:rPr>
          <w:rFonts w:ascii="Arial" w:cs="Arial" w:eastAsia="Arial" w:hAnsi="Arial"/>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89" w:lineRule="exact"/>
        <w:rPr>
          <w:sz w:val="20"/>
          <w:szCs w:val="20"/>
          <w:color w:val="auto"/>
        </w:rPr>
      </w:pPr>
    </w:p>
    <w:p>
      <w:pPr>
        <w:ind w:right="440" w:firstLine="457"/>
        <w:spacing w:after="0" w:line="318" w:lineRule="auto"/>
        <w:rPr>
          <w:sz w:val="20"/>
          <w:szCs w:val="20"/>
          <w:color w:val="auto"/>
        </w:rPr>
      </w:pPr>
      <w:r>
        <w:rPr>
          <w:rFonts w:ascii="Arial" w:cs="Arial" w:eastAsia="Arial" w:hAnsi="Arial"/>
          <w:sz w:val="15"/>
          <w:szCs w:val="15"/>
          <w:color w:val="auto"/>
        </w:rPr>
        <w:t>Subject to the provisions of the Indenture, the Holder hereof has the right, at its option, during certain periods and upon the occurrence of certain conditions specified in the Indenture, prior to the close of business on the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used in this Note and defined in the Indenture are used herein as therein defined.</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73" w:right="259" w:bottom="1440" w:gutter="0" w:footer="0" w:header="0"/>
        </w:sectPr>
      </w:pPr>
    </w:p>
    <w:bookmarkStart w:id="103" w:name="page104"/>
    <w:bookmarkEnd w:id="103"/>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ABBREVIATIONS</w:t>
      </w:r>
    </w:p>
    <w:p>
      <w:pPr>
        <w:spacing w:after="0" w:line="217"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217" w:lineRule="exact"/>
        <w:rPr>
          <w:sz w:val="20"/>
          <w:szCs w:val="20"/>
          <w:color w:val="auto"/>
        </w:rPr>
      </w:pPr>
    </w:p>
    <w:p>
      <w:pPr>
        <w:ind w:left="460" w:right="5600" w:hanging="456"/>
        <w:spacing w:after="0" w:line="544" w:lineRule="auto"/>
        <w:rPr>
          <w:sz w:val="20"/>
          <w:szCs w:val="20"/>
          <w:color w:val="auto"/>
        </w:rPr>
      </w:pPr>
      <w:r>
        <w:rPr>
          <w:rFonts w:ascii="Arial" w:cs="Arial" w:eastAsia="Arial" w:hAnsi="Arial"/>
          <w:sz w:val="15"/>
          <w:szCs w:val="15"/>
          <w:color w:val="auto"/>
        </w:rPr>
        <w:t>JT TEN = joint tenants with right of survivorship and not as tenants in common Additional abbreviations may also be used though not in the above list.</w:t>
      </w:r>
    </w:p>
    <w:p>
      <w:pPr>
        <w:jc w:val="center"/>
        <w:ind w:right="-1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240" w:top="273" w:right="4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9"/>
        </w:trPr>
        <w:tc>
          <w:tcPr>
            <w:tcW w:w="1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w w:val="95"/>
              </w:rPr>
              <w:t>SCHEDULE A</w:t>
            </w:r>
          </w:p>
        </w:tc>
        <w:tc>
          <w:tcPr>
            <w:tcW w:w="0" w:type="dxa"/>
            <w:vAlign w:val="bottom"/>
          </w:tcPr>
          <w:p>
            <w:pPr>
              <w:spacing w:after="0"/>
              <w:rPr>
                <w:sz w:val="1"/>
                <w:szCs w:val="1"/>
                <w:color w:val="auto"/>
              </w:rPr>
            </w:pPr>
          </w:p>
        </w:tc>
      </w:tr>
      <w:tr>
        <w:trPr>
          <w:trHeight w:val="424"/>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80" w:type="dxa"/>
            <w:vAlign w:val="bottom"/>
            <w:gridSpan w:val="6"/>
          </w:tcPr>
          <w:p>
            <w:pPr>
              <w:jc w:val="center"/>
              <w:ind w:right="1480"/>
              <w:spacing w:after="0"/>
              <w:rPr>
                <w:sz w:val="20"/>
                <w:szCs w:val="20"/>
                <w:color w:val="auto"/>
              </w:rPr>
            </w:pPr>
            <w:r>
              <w:rPr>
                <w:rFonts w:ascii="Arial" w:cs="Arial" w:eastAsia="Arial" w:hAnsi="Arial"/>
                <w:sz w:val="18"/>
                <w:szCs w:val="18"/>
                <w:color w:val="auto"/>
                <w:w w:val="92"/>
              </w:rPr>
              <w:t>SCHEDULE OF EXCHANGES OF NOTES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80" w:type="dxa"/>
            <w:vAlign w:val="bottom"/>
            <w:gridSpan w:val="6"/>
          </w:tcPr>
          <w:p>
            <w:pPr>
              <w:jc w:val="center"/>
              <w:ind w:right="1480"/>
              <w:spacing w:after="0"/>
              <w:rPr>
                <w:sz w:val="20"/>
                <w:szCs w:val="20"/>
                <w:color w:val="auto"/>
              </w:rPr>
            </w:pPr>
            <w:r>
              <w:rPr>
                <w:rFonts w:ascii="Arial" w:cs="Arial" w:eastAsia="Arial" w:hAnsi="Arial"/>
                <w:sz w:val="18"/>
                <w:szCs w:val="18"/>
                <w:color w:val="auto"/>
                <w:w w:val="94"/>
              </w:rPr>
              <w:t>TPG SPECIALTY LENDING, INC.</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780" w:type="dxa"/>
            <w:vAlign w:val="bottom"/>
            <w:gridSpan w:val="6"/>
          </w:tcPr>
          <w:p>
            <w:pPr>
              <w:jc w:val="center"/>
              <w:ind w:right="1460"/>
              <w:spacing w:after="0"/>
              <w:rPr>
                <w:sz w:val="20"/>
                <w:szCs w:val="20"/>
                <w:color w:val="auto"/>
              </w:rPr>
            </w:pPr>
            <w:r>
              <w:rPr>
                <w:rFonts w:ascii="Arial" w:cs="Arial" w:eastAsia="Arial" w:hAnsi="Arial"/>
                <w:sz w:val="18"/>
                <w:szCs w:val="18"/>
                <w:color w:val="auto"/>
                <w:w w:val="89"/>
              </w:rPr>
              <w:t>4.50% Convertible Senior Notes due 2019</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60" w:type="dxa"/>
            <w:vAlign w:val="bottom"/>
            <w:gridSpan w:val="2"/>
          </w:tcPr>
          <w:p>
            <w:pPr>
              <w:ind w:left="460"/>
              <w:spacing w:after="0"/>
              <w:rPr>
                <w:sz w:val="20"/>
                <w:szCs w:val="20"/>
                <w:color w:val="auto"/>
              </w:rPr>
            </w:pPr>
            <w:r>
              <w:rPr>
                <w:rFonts w:ascii="Arial" w:cs="Arial" w:eastAsia="Arial" w:hAnsi="Arial"/>
                <w:sz w:val="18"/>
                <w:szCs w:val="18"/>
                <w:color w:val="auto"/>
                <w:w w:val="92"/>
              </w:rPr>
              <w:t>The initial principal amount of this Global Note is</w:t>
            </w:r>
          </w:p>
        </w:tc>
        <w:tc>
          <w:tcPr>
            <w:tcW w:w="2220" w:type="dxa"/>
            <w:vAlign w:val="bottom"/>
            <w:gridSpan w:val="3"/>
          </w:tcPr>
          <w:p>
            <w:pPr>
              <w:ind w:left="920"/>
              <w:spacing w:after="0"/>
              <w:rPr>
                <w:sz w:val="20"/>
                <w:szCs w:val="20"/>
                <w:color w:val="auto"/>
              </w:rPr>
            </w:pPr>
            <w:r>
              <w:rPr>
                <w:rFonts w:ascii="Arial" w:cs="Arial" w:eastAsia="Arial" w:hAnsi="Arial"/>
                <w:sz w:val="18"/>
                <w:szCs w:val="18"/>
                <w:color w:val="auto"/>
              </w:rPr>
              <w:t>DOLLARS ($[</w:t>
            </w:r>
          </w:p>
        </w:tc>
        <w:tc>
          <w:tcPr>
            <w:tcW w:w="5140" w:type="dxa"/>
            <w:vAlign w:val="bottom"/>
            <w:gridSpan w:val="6"/>
          </w:tcPr>
          <w:p>
            <w:pPr>
              <w:ind w:left="120"/>
              <w:spacing w:after="0"/>
              <w:rPr>
                <w:sz w:val="20"/>
                <w:szCs w:val="20"/>
                <w:color w:val="auto"/>
              </w:rPr>
            </w:pPr>
            <w:r>
              <w:rPr>
                <w:rFonts w:ascii="Arial" w:cs="Arial" w:eastAsia="Arial" w:hAnsi="Arial"/>
                <w:sz w:val="18"/>
                <w:szCs w:val="18"/>
                <w:color w:val="auto"/>
                <w:w w:val="89"/>
              </w:rPr>
              <w:t>]). The following increases or decreases in this Global Note have been</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made:</w:t>
            </w: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Principal Amount</w:t>
            </w:r>
          </w:p>
        </w:tc>
        <w:tc>
          <w:tcPr>
            <w:tcW w:w="8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w w:val="97"/>
              </w:rPr>
              <w:t>Amount of</w:t>
            </w:r>
          </w:p>
        </w:tc>
        <w:tc>
          <w:tcPr>
            <w:tcW w:w="680" w:type="dxa"/>
            <w:vAlign w:val="bottom"/>
          </w:tcPr>
          <w:p>
            <w:pPr>
              <w:spacing w:after="0"/>
              <w:rPr>
                <w:sz w:val="12"/>
                <w:szCs w:val="12"/>
                <w:color w:val="auto"/>
              </w:rPr>
            </w:pPr>
          </w:p>
        </w:tc>
        <w:tc>
          <w:tcPr>
            <w:tcW w:w="1880" w:type="dxa"/>
            <w:vAlign w:val="bottom"/>
            <w:gridSpan w:val="2"/>
          </w:tcPr>
          <w:p>
            <w:pPr>
              <w:jc w:val="center"/>
              <w:ind w:right="820"/>
              <w:spacing w:after="0" w:line="146" w:lineRule="exact"/>
              <w:rPr>
                <w:sz w:val="20"/>
                <w:szCs w:val="20"/>
                <w:color w:val="auto"/>
              </w:rPr>
            </w:pPr>
            <w:r>
              <w:rPr>
                <w:rFonts w:ascii="Arial" w:cs="Arial" w:eastAsia="Arial" w:hAnsi="Arial"/>
                <w:sz w:val="14"/>
                <w:szCs w:val="14"/>
                <w:color w:val="auto"/>
                <w:w w:val="97"/>
              </w:rPr>
              <w:t>Amount of</w:t>
            </w: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93"/>
              </w:rPr>
              <w:t>of this Global Note</w:t>
            </w:r>
          </w:p>
        </w:tc>
        <w:tc>
          <w:tcPr>
            <w:tcW w:w="8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4"/>
                <w:szCs w:val="14"/>
                <w:color w:val="auto"/>
                <w:w w:val="88"/>
              </w:rPr>
              <w:t>authorized</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88"/>
              </w:rPr>
              <w:t>decrease in</w:t>
            </w:r>
          </w:p>
        </w:tc>
        <w:tc>
          <w:tcPr>
            <w:tcW w:w="680" w:type="dxa"/>
            <w:vAlign w:val="bottom"/>
          </w:tcPr>
          <w:p>
            <w:pPr>
              <w:spacing w:after="0"/>
              <w:rPr>
                <w:sz w:val="12"/>
                <w:szCs w:val="12"/>
                <w:color w:val="auto"/>
              </w:rPr>
            </w:pPr>
          </w:p>
        </w:tc>
        <w:tc>
          <w:tcPr>
            <w:tcW w:w="1880" w:type="dxa"/>
            <w:vAlign w:val="bottom"/>
            <w:gridSpan w:val="2"/>
          </w:tcPr>
          <w:p>
            <w:pPr>
              <w:jc w:val="center"/>
              <w:ind w:right="800"/>
              <w:spacing w:after="0" w:line="146" w:lineRule="exact"/>
              <w:rPr>
                <w:sz w:val="20"/>
                <w:szCs w:val="20"/>
                <w:color w:val="auto"/>
              </w:rPr>
            </w:pPr>
            <w:r>
              <w:rPr>
                <w:rFonts w:ascii="Arial" w:cs="Arial" w:eastAsia="Arial" w:hAnsi="Arial"/>
                <w:sz w:val="14"/>
                <w:szCs w:val="14"/>
                <w:color w:val="auto"/>
                <w:w w:val="88"/>
              </w:rPr>
              <w:t>increase in</w:t>
            </w: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95"/>
              </w:rPr>
              <w:t>following such</w:t>
            </w:r>
          </w:p>
        </w:tc>
        <w:tc>
          <w:tcPr>
            <w:tcW w:w="8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4"/>
                <w:szCs w:val="14"/>
                <w:color w:val="auto"/>
                <w:w w:val="93"/>
              </w:rPr>
              <w:t>signatory of</w:t>
            </w:r>
          </w:p>
        </w:tc>
        <w:tc>
          <w:tcPr>
            <w:tcW w:w="0" w:type="dxa"/>
            <w:vAlign w:val="bottom"/>
          </w:tcPr>
          <w:p>
            <w:pPr>
              <w:spacing w:after="0"/>
              <w:rPr>
                <w:sz w:val="1"/>
                <w:szCs w:val="1"/>
                <w:color w:val="auto"/>
              </w:rPr>
            </w:pPr>
          </w:p>
        </w:tc>
      </w:tr>
      <w:tr>
        <w:trPr>
          <w:trHeight w:val="146"/>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Date of Exchange</w:t>
            </w:r>
          </w:p>
        </w:tc>
        <w:tc>
          <w:tcPr>
            <w:tcW w:w="1020" w:type="dxa"/>
            <w:vAlign w:val="bottom"/>
          </w:tcPr>
          <w:p>
            <w:pPr>
              <w:spacing w:after="0"/>
              <w:rPr>
                <w:sz w:val="12"/>
                <w:szCs w:val="12"/>
                <w:color w:val="auto"/>
              </w:rPr>
            </w:pPr>
          </w:p>
        </w:tc>
        <w:tc>
          <w:tcPr>
            <w:tcW w:w="120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94"/>
              </w:rPr>
              <w:t>Principal Amount</w:t>
            </w:r>
          </w:p>
        </w:tc>
        <w:tc>
          <w:tcPr>
            <w:tcW w:w="680" w:type="dxa"/>
            <w:vAlign w:val="bottom"/>
          </w:tcPr>
          <w:p>
            <w:pPr>
              <w:spacing w:after="0"/>
              <w:rPr>
                <w:sz w:val="12"/>
                <w:szCs w:val="12"/>
                <w:color w:val="auto"/>
              </w:rPr>
            </w:pPr>
          </w:p>
        </w:tc>
        <w:tc>
          <w:tcPr>
            <w:tcW w:w="1880" w:type="dxa"/>
            <w:vAlign w:val="bottom"/>
            <w:gridSpan w:val="2"/>
          </w:tcPr>
          <w:p>
            <w:pPr>
              <w:jc w:val="center"/>
              <w:ind w:right="800"/>
              <w:spacing w:after="0" w:line="146" w:lineRule="exact"/>
              <w:rPr>
                <w:sz w:val="20"/>
                <w:szCs w:val="20"/>
                <w:color w:val="auto"/>
              </w:rPr>
            </w:pPr>
            <w:r>
              <w:rPr>
                <w:rFonts w:ascii="Arial" w:cs="Arial" w:eastAsia="Arial" w:hAnsi="Arial"/>
                <w:sz w:val="14"/>
                <w:szCs w:val="14"/>
                <w:color w:val="auto"/>
                <w:w w:val="94"/>
              </w:rPr>
              <w:t>Principal Amount</w:t>
            </w: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86"/>
              </w:rPr>
              <w:t>decrease or</w:t>
            </w:r>
          </w:p>
        </w:tc>
        <w:tc>
          <w:tcPr>
            <w:tcW w:w="8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4"/>
                <w:szCs w:val="14"/>
                <w:color w:val="auto"/>
                <w:w w:val="90"/>
              </w:rPr>
              <w:t>Trustee or</w:t>
            </w:r>
          </w:p>
        </w:tc>
        <w:tc>
          <w:tcPr>
            <w:tcW w:w="0" w:type="dxa"/>
            <w:vAlign w:val="bottom"/>
          </w:tcPr>
          <w:p>
            <w:pPr>
              <w:spacing w:after="0"/>
              <w:rPr>
                <w:sz w:val="1"/>
                <w:szCs w:val="1"/>
                <w:color w:val="auto"/>
              </w:rPr>
            </w:pPr>
          </w:p>
        </w:tc>
      </w:tr>
      <w:tr>
        <w:trPr>
          <w:trHeight w:val="158"/>
        </w:trPr>
        <w:tc>
          <w:tcPr>
            <w:tcW w:w="406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w w:val="93"/>
              </w:rPr>
              <w:t>of this Global Note</w:t>
            </w:r>
          </w:p>
        </w:tc>
        <w:tc>
          <w:tcPr>
            <w:tcW w:w="680" w:type="dxa"/>
            <w:vAlign w:val="bottom"/>
          </w:tcPr>
          <w:p>
            <w:pPr>
              <w:spacing w:after="0"/>
              <w:rPr>
                <w:sz w:val="13"/>
                <w:szCs w:val="13"/>
                <w:color w:val="auto"/>
              </w:rPr>
            </w:pPr>
          </w:p>
        </w:tc>
        <w:tc>
          <w:tcPr>
            <w:tcW w:w="1880" w:type="dxa"/>
            <w:vAlign w:val="bottom"/>
            <w:gridSpan w:val="2"/>
          </w:tcPr>
          <w:p>
            <w:pPr>
              <w:jc w:val="center"/>
              <w:ind w:right="800"/>
              <w:spacing w:after="0" w:line="151" w:lineRule="exact"/>
              <w:rPr>
                <w:sz w:val="20"/>
                <w:szCs w:val="20"/>
                <w:color w:val="auto"/>
              </w:rPr>
            </w:pPr>
            <w:r>
              <w:rPr>
                <w:rFonts w:ascii="Arial" w:cs="Arial" w:eastAsia="Arial" w:hAnsi="Arial"/>
                <w:sz w:val="14"/>
                <w:szCs w:val="14"/>
                <w:color w:val="auto"/>
                <w:w w:val="93"/>
              </w:rPr>
              <w:t>of this Global Note</w:t>
            </w:r>
          </w:p>
        </w:tc>
        <w:tc>
          <w:tcPr>
            <w:tcW w:w="1080" w:type="dxa"/>
            <w:vAlign w:val="bottom"/>
          </w:tcPr>
          <w:p>
            <w:pPr>
              <w:jc w:val="center"/>
              <w:spacing w:after="0" w:line="151" w:lineRule="exact"/>
              <w:rPr>
                <w:sz w:val="20"/>
                <w:szCs w:val="20"/>
                <w:color w:val="auto"/>
              </w:rPr>
            </w:pPr>
            <w:r>
              <w:rPr>
                <w:rFonts w:ascii="Arial" w:cs="Arial" w:eastAsia="Arial" w:hAnsi="Arial"/>
                <w:sz w:val="14"/>
                <w:szCs w:val="14"/>
                <w:color w:val="auto"/>
                <w:w w:val="90"/>
              </w:rPr>
              <w:t>increase</w:t>
            </w:r>
          </w:p>
        </w:tc>
        <w:tc>
          <w:tcPr>
            <w:tcW w:w="800" w:type="dxa"/>
            <w:vAlign w:val="bottom"/>
          </w:tcPr>
          <w:p>
            <w:pPr>
              <w:spacing w:after="0"/>
              <w:rPr>
                <w:sz w:val="13"/>
                <w:szCs w:val="13"/>
                <w:color w:val="auto"/>
              </w:rPr>
            </w:pPr>
          </w:p>
        </w:tc>
        <w:tc>
          <w:tcPr>
            <w:tcW w:w="700" w:type="dxa"/>
            <w:vAlign w:val="bottom"/>
          </w:tcPr>
          <w:p>
            <w:pPr>
              <w:jc w:val="center"/>
              <w:spacing w:after="0" w:line="151" w:lineRule="exact"/>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199"/>
        </w:trPr>
        <w:tc>
          <w:tcPr>
            <w:tcW w:w="1020" w:type="dxa"/>
            <w:vAlign w:val="bottom"/>
            <w:tcBorders>
              <w:top w:val="single" w:sz="8" w:color="auto"/>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6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ATTACHMENT 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11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8"/>
          <w:szCs w:val="18"/>
          <w:color w:val="auto"/>
        </w:rPr>
        <w:t>]</w:t>
      </w:r>
    </w:p>
    <w:p>
      <w:pPr>
        <w:spacing w:after="0" w:line="217"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transfer or similar taxes in accordance with Section 13.02(d) of the Indenture. Any amount required to be paid to the undersigned on account of interest accompanies this Note.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6878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783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297180</wp:posOffset>
            </wp:positionV>
            <wp:extent cx="31826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35528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 Institution (banks,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stock brokers, savings and loan associations and credit unions) with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membership in an approved signature guarantee medallion program pursuant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to Securities and Exchange Commission Rule 17Ad-15 if shares of Common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Stock are to be issued, or Notes are to be delivered, other than to and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name of the registered holder.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7" w:right="239" w:bottom="1440" w:gutter="0" w:footer="0" w:header="0"/>
        </w:sectPr>
      </w:pPr>
    </w:p>
    <w:bookmarkStart w:id="106" w:name="page107"/>
    <w:bookmarkEnd w:id="106"/>
    <w:p>
      <w:pPr>
        <w:ind w:right="42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Fill in for registration of shares if to be issued, and Notes if to be delivered, 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256540</wp:posOffset>
            </wp:positionV>
            <wp:extent cx="35445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35445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35445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Principal amount to be converted (if less than all):</w:t>
      </w:r>
    </w:p>
    <w:p>
      <w:pPr>
        <w:spacing w:after="0" w:line="16" w:lineRule="exact"/>
        <w:rPr>
          <w:sz w:val="20"/>
          <w:szCs w:val="20"/>
          <w:color w:val="auto"/>
        </w:rPr>
      </w:pPr>
    </w:p>
    <w:p>
      <w:pPr>
        <w:ind w:left="450" w:hanging="450"/>
        <w:spacing w:after="0"/>
        <w:tabs>
          <w:tab w:leader="none" w:pos="450" w:val="left"/>
        </w:tabs>
        <w:numPr>
          <w:ilvl w:val="0"/>
          <w:numId w:val="89"/>
        </w:numPr>
        <w:rPr>
          <w:rFonts w:ascii="Arial" w:cs="Arial" w:eastAsia="Arial" w:hAnsi="Arial"/>
          <w:sz w:val="18"/>
          <w:szCs w:val="18"/>
          <w:color w:val="auto"/>
        </w:rPr>
      </w:pPr>
      <w:r>
        <w:rPr>
          <w:rFonts w:ascii="Arial" w:cs="Arial" w:eastAsia="Arial" w:hAnsi="Arial"/>
          <w:sz w:val="18"/>
          <w:szCs w:val="18"/>
          <w:color w:val="auto"/>
        </w:rPr>
        <w:t>,000</w:t>
      </w:r>
    </w:p>
    <w:p>
      <w:pPr>
        <w:spacing w:after="0" w:line="219" w:lineRule="exact"/>
        <w:rPr>
          <w:sz w:val="20"/>
          <w:szCs w:val="20"/>
          <w:color w:val="auto"/>
        </w:rPr>
      </w:pPr>
    </w:p>
    <w:p>
      <w:pPr>
        <w:ind w:left="10"/>
        <w:spacing w:after="0" w:line="252" w:lineRule="auto"/>
        <w:rPr>
          <w:sz w:val="20"/>
          <w:szCs w:val="20"/>
          <w:color w:val="auto"/>
        </w:rPr>
      </w:pPr>
      <w:r>
        <w:rPr>
          <w:rFonts w:ascii="Arial" w:cs="Arial" w:eastAsia="Arial" w:hAnsi="Arial"/>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31826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Social Security or Other Taxpayer Identification Number</w:t>
      </w:r>
    </w:p>
    <w:p>
      <w:pPr>
        <w:sectPr>
          <w:pgSz w:w="11900" w:h="16838" w:orient="portrait"/>
          <w:cols w:equalWidth="0" w:num="2">
            <w:col w:w="5760" w:space="650"/>
            <w:col w:w="4590"/>
          </w:cols>
          <w:pgMar w:left="240" w:top="273" w:right="6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ATTACHMENT 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FUNDAMENTAL CHANGE REPURCHASE NOTICE]</w:t>
      </w:r>
    </w:p>
    <w:p>
      <w:pPr>
        <w:spacing w:after="0" w:line="2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80" w:firstLine="457"/>
        <w:spacing w:after="0" w:line="311" w:lineRule="auto"/>
        <w:rPr>
          <w:sz w:val="20"/>
          <w:szCs w:val="20"/>
          <w:color w:val="auto"/>
        </w:rPr>
      </w:pPr>
      <w:r>
        <w:rPr>
          <w:rFonts w:ascii="Arial" w:cs="Arial" w:eastAsia="Arial" w:hAnsi="Arial"/>
          <w:sz w:val="15"/>
          <w:szCs w:val="15"/>
          <w:color w:val="auto"/>
        </w:rPr>
        <w:t>The undersigned registered owner of this Note hereby acknowledges receipt of a notice from TPG Specialty Lending, Inc. (the “</w:t>
      </w:r>
      <w:r>
        <w:rPr>
          <w:rFonts w:ascii="Arial" w:cs="Arial" w:eastAsia="Arial" w:hAnsi="Arial"/>
          <w:sz w:val="15"/>
          <w:szCs w:val="15"/>
          <w:b w:val="1"/>
          <w:bCs w:val="1"/>
          <w:color w:val="auto"/>
        </w:rPr>
        <w:t>Company</w:t>
      </w:r>
      <w:r>
        <w:rPr>
          <w:rFonts w:ascii="Arial" w:cs="Arial" w:eastAsia="Arial" w:hAnsi="Arial"/>
          <w:sz w:val="15"/>
          <w:szCs w:val="15"/>
          <w:color w:val="auto"/>
        </w:rPr>
        <w:t>”) as to the occurrence of a Fundamental Change with respect to the Company and specifying the Fundamental Change Repurchase Date and requests and instructs the Company to pay to the registered holder hereof in accordance with the applicable provisions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wp:posOffset>
            </wp:positionV>
            <wp:extent cx="24834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8348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314325</wp:posOffset>
            </wp:positionV>
            <wp:extent cx="28962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280670</wp:posOffset>
            </wp:positionV>
            <wp:extent cx="28962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Social Security or Other Taxpayer Identification Number</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amount to be repaid (if less than all):</w:t>
      </w:r>
    </w:p>
    <w:p>
      <w:pPr>
        <w:spacing w:after="0" w:line="16"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NOTICE: The above signature(s) of the Holder(s) hereof must</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correspond with the name as written upon the face of the Note</w:t>
      </w:r>
    </w:p>
    <w:p>
      <w:pPr>
        <w:spacing w:after="0" w:line="4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 every particular without alteration or enlargement or any</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change whatever.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ATTACHMENT 3</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ASSIGNMENT AND TRANSFER]</w:t>
      </w:r>
    </w:p>
    <w:p>
      <w:pPr>
        <w:sectPr>
          <w:pgSz w:w="11900" w:h="16838" w:orient="portrait"/>
          <w:cols w:equalWidth="0" w:num="1">
            <w:col w:w="11420"/>
          </w:cols>
          <w:pgMar w:left="240" w:top="267" w:right="239" w:bottom="1440" w:gutter="0" w:footer="0" w:header="0"/>
        </w:sectPr>
      </w:pPr>
    </w:p>
    <w:p>
      <w:pPr>
        <w:spacing w:after="0" w:line="229" w:lineRule="exact"/>
        <w:rPr>
          <w:sz w:val="20"/>
          <w:szCs w:val="20"/>
          <w:color w:val="auto"/>
        </w:rPr>
      </w:pPr>
    </w:p>
    <w:p>
      <w:pPr>
        <w:ind w:right="1000"/>
        <w:spacing w:after="0" w:line="255" w:lineRule="auto"/>
        <w:rPr>
          <w:sz w:val="20"/>
          <w:szCs w:val="20"/>
          <w:color w:val="auto"/>
        </w:rPr>
      </w:pPr>
      <w:r>
        <w:rPr>
          <w:rFonts w:ascii="Arial" w:cs="Arial" w:eastAsia="Arial" w:hAnsi="Arial"/>
          <w:sz w:val="18"/>
          <w:szCs w:val="18"/>
          <w:color w:val="auto"/>
        </w:rPr>
        <w:t>For value received hereby sell(s), assign(s) and transfer(s) unto assignee) the within Note, and hereby irrevocably constitutes and appoints Company, with full power of substitution in the premises.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340" w:hanging="755"/>
        <w:spacing w:after="0" w:line="366" w:lineRule="auto"/>
        <w:rPr>
          <w:sz w:val="20"/>
          <w:szCs w:val="20"/>
          <w:color w:val="auto"/>
        </w:rPr>
      </w:pPr>
      <w:r>
        <w:rPr>
          <w:rFonts w:ascii="Arial" w:cs="Arial" w:eastAsia="Arial" w:hAnsi="Arial"/>
          <w:sz w:val="15"/>
          <w:szCs w:val="15"/>
          <w:color w:val="auto"/>
        </w:rPr>
        <w:t>(Please insert social security or Taxpayer Identification Number of attorney to transfer the said Note on the books of the</w:t>
      </w:r>
    </w:p>
    <w:p>
      <w:pPr>
        <w:spacing w:after="0" w:line="322" w:lineRule="exact"/>
        <w:rPr>
          <w:sz w:val="20"/>
          <w:szCs w:val="20"/>
          <w:color w:val="auto"/>
        </w:rPr>
      </w:pPr>
    </w:p>
    <w:p>
      <w:pPr>
        <w:sectPr>
          <w:pgSz w:w="11900" w:h="16838" w:orient="portrait"/>
          <w:cols w:equalWidth="0" w:num="2">
            <w:col w:w="6400" w:space="720"/>
            <w:col w:w="4300"/>
          </w:cols>
          <w:pgMar w:left="240" w:top="267" w:right="239" w:bottom="1440" w:gutter="0" w:footer="0" w:header="0"/>
          <w:type w:val="continuous"/>
        </w:sectPr>
      </w:pPr>
    </w:p>
    <w:p>
      <w:pPr>
        <w:ind w:right="160"/>
        <w:spacing w:after="0" w:line="265" w:lineRule="auto"/>
        <w:rPr>
          <w:sz w:val="20"/>
          <w:szCs w:val="20"/>
          <w:color w:val="auto"/>
        </w:rPr>
      </w:pPr>
      <w:r>
        <w:rPr>
          <w:rFonts w:ascii="Arial" w:cs="Arial" w:eastAsia="Arial" w:hAnsi="Arial"/>
          <w:sz w:val="18"/>
          <w:szCs w:val="18"/>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79" w:lineRule="exact"/>
        <w:rPr>
          <w:sz w:val="20"/>
          <w:szCs w:val="20"/>
          <w:color w:val="auto"/>
        </w:rPr>
      </w:pPr>
    </w:p>
    <w:p>
      <w:pPr>
        <w:ind w:left="260" w:hanging="254"/>
        <w:spacing w:after="0"/>
        <w:tabs>
          <w:tab w:leader="none" w:pos="26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To TPG Specialty Lending, Inc. or a subsidiary thereof; or</w:t>
      </w:r>
    </w:p>
    <w:p>
      <w:pPr>
        <w:spacing w:after="0" w:line="217" w:lineRule="exact"/>
        <w:rPr>
          <w:rFonts w:ascii="MS PGothic" w:cs="MS PGothic" w:eastAsia="MS PGothic" w:hAnsi="MS PGothic"/>
          <w:sz w:val="18"/>
          <w:szCs w:val="18"/>
          <w:color w:val="auto"/>
        </w:rPr>
      </w:pPr>
    </w:p>
    <w:p>
      <w:pPr>
        <w:ind w:left="260" w:hanging="254"/>
        <w:spacing w:after="0"/>
        <w:tabs>
          <w:tab w:leader="none" w:pos="26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Pursuant to a registration statement that has become or been declared effective under the Securities Act of 1933, as amended; or</w:t>
      </w:r>
    </w:p>
    <w:p>
      <w:pPr>
        <w:spacing w:after="0" w:line="217" w:lineRule="exact"/>
        <w:rPr>
          <w:rFonts w:ascii="MS PGothic" w:cs="MS PGothic" w:eastAsia="MS PGothic" w:hAnsi="MS PGothic"/>
          <w:sz w:val="18"/>
          <w:szCs w:val="18"/>
          <w:color w:val="auto"/>
        </w:rPr>
      </w:pPr>
    </w:p>
    <w:p>
      <w:pPr>
        <w:ind w:left="260" w:hanging="254"/>
        <w:spacing w:after="0"/>
        <w:tabs>
          <w:tab w:leader="none" w:pos="26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To a qualified institutional buyer pursuant to and in compliance with Rule 144A under the Securities Act of 1933, as amended; or</w:t>
      </w:r>
    </w:p>
    <w:p>
      <w:pPr>
        <w:spacing w:after="0" w:line="217" w:lineRule="exact"/>
        <w:rPr>
          <w:rFonts w:ascii="MS PGothic" w:cs="MS PGothic" w:eastAsia="MS PGothic" w:hAnsi="MS PGothic"/>
          <w:sz w:val="18"/>
          <w:szCs w:val="18"/>
          <w:color w:val="auto"/>
        </w:rPr>
      </w:pPr>
    </w:p>
    <w:p>
      <w:pPr>
        <w:ind w:right="820" w:firstLine="6"/>
        <w:spacing w:after="0" w:line="265" w:lineRule="auto"/>
        <w:tabs>
          <w:tab w:leader="none" w:pos="248"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7"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wp:posOffset>
            </wp:positionV>
            <wp:extent cx="24834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834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297180</wp:posOffset>
            </wp:positionV>
            <wp:extent cx="28962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583565</wp:posOffset>
            </wp:positionV>
            <wp:extent cx="28962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28962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 associations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Securities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Rule 17Ad-15 if Notes are to be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delivered, other than to and in the name of the registered holder.</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pacing w:after="0" w:line="11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00"/>
          </w:cols>
          <w:pgMar w:left="240" w:top="273" w:right="9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B</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Transferability Certificate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trustee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 East 42nd Street, 40th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17" w:lineRule="exact"/>
        <w:rPr>
          <w:sz w:val="20"/>
          <w:szCs w:val="20"/>
          <w:color w:val="auto"/>
        </w:rPr>
      </w:pPr>
    </w:p>
    <w:p>
      <w:pPr>
        <w:ind w:right="140" w:firstLine="457"/>
        <w:spacing w:after="0" w:line="252" w:lineRule="auto"/>
        <w:rPr>
          <w:sz w:val="20"/>
          <w:szCs w:val="20"/>
          <w:color w:val="auto"/>
        </w:rPr>
      </w:pPr>
      <w:r>
        <w:rPr>
          <w:rFonts w:ascii="Arial" w:cs="Arial" w:eastAsia="Arial" w:hAnsi="Arial"/>
          <w:sz w:val="18"/>
          <w:szCs w:val="18"/>
          <w:color w:val="auto"/>
        </w:rPr>
        <w:t>Reference is made to that certain Indenture, dated June 10, 2014 (as amended and supplement, the “Indenture”), between TPG SPECIALTY LENDING, INC. (the “Company”), and Wells Fargo Bank, National Association, as trustee (the “Trustee”), pursuant to which the Company issued $115,000,000 aggregate principal amount of the Company’s 4.50% Convertible Senior Notes due 2019 (the “Notes”). Capitalized terms used but not defined herein shall have the meanings set forth in the Indenture.</w:t>
      </w:r>
    </w:p>
    <w:p>
      <w:pPr>
        <w:spacing w:after="0" w:line="191" w:lineRule="exact"/>
        <w:rPr>
          <w:sz w:val="20"/>
          <w:szCs w:val="20"/>
          <w:color w:val="auto"/>
        </w:rPr>
      </w:pPr>
    </w:p>
    <w:p>
      <w:pPr>
        <w:ind w:right="100" w:firstLine="457"/>
        <w:spacing w:after="0" w:line="265" w:lineRule="auto"/>
        <w:rPr>
          <w:sz w:val="20"/>
          <w:szCs w:val="20"/>
          <w:color w:val="auto"/>
        </w:rPr>
      </w:pPr>
      <w:r>
        <w:rPr>
          <w:rFonts w:ascii="Arial" w:cs="Arial" w:eastAsia="Arial" w:hAnsi="Arial"/>
          <w:sz w:val="18"/>
          <w:szCs w:val="18"/>
          <w:color w:val="auto"/>
        </w:rPr>
        <w:t>Whereas the Notes have become freely tradable without restrictions by non-affiliates of the Company pursuant to Rule 144(b)(1) under the Securities Act of 1933, as amended, in accordance with Section 2.05(c) of the Indenture, the Company hereby instructs the Trustee that:</w:t>
      </w:r>
    </w:p>
    <w:p>
      <w:pPr>
        <w:spacing w:after="0" w:line="87" w:lineRule="exact"/>
        <w:rPr>
          <w:sz w:val="20"/>
          <w:szCs w:val="20"/>
          <w:color w:val="auto"/>
        </w:rPr>
      </w:pPr>
    </w:p>
    <w:p>
      <w:pPr>
        <w:ind w:left="900" w:right="20" w:hanging="443"/>
        <w:spacing w:after="0" w:line="255"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restrictive legends described in Section 2.05(c) of the Indenture and set forth on the Securities and Common Stock issued upon conversion of the Securities shall be deemed removed from the Global Note (as defined in the Indenture), in accordance with the terms and conditions of the Securities and as provided in the Indenture, without further action on the part of holders; and</w:t>
      </w:r>
    </w:p>
    <w:p>
      <w:pPr>
        <w:spacing w:after="0" w:line="95" w:lineRule="exact"/>
        <w:rPr>
          <w:rFonts w:ascii="Arial" w:cs="Arial" w:eastAsia="Arial" w:hAnsi="Arial"/>
          <w:sz w:val="18"/>
          <w:szCs w:val="18"/>
          <w:color w:val="auto"/>
        </w:rPr>
      </w:pPr>
    </w:p>
    <w:p>
      <w:pPr>
        <w:ind w:left="900" w:right="40" w:hanging="443"/>
        <w:spacing w:after="0" w:line="255"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restricted CUSIP number (87265KAA0) for the Notes shall be deemed removed from the Global Note and replaced with the unrestricted CUSIP number (87265KA8), in accordance with the terms and conditions of the Notes and as provided in the Indenture, without further action on the part of holders.</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11430</wp:posOffset>
            </wp:positionV>
            <wp:extent cx="25171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17140" cy="8255"/>
                    </a:xfrm>
                    <a:prstGeom prst="rect">
                      <a:avLst/>
                    </a:prstGeom>
                    <a:noFill/>
                  </pic:spPr>
                </pic:pic>
              </a:graphicData>
            </a:graphic>
          </wp:anchor>
        </w:drawing>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6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Convertible Senior Notes due 2019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4, 2014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1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Representatives of the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Initial Purchasers listed</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1 hereto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7" w:lineRule="exact"/>
        <w:rPr>
          <w:sz w:val="20"/>
          <w:szCs w:val="20"/>
          <w:color w:val="auto"/>
        </w:rPr>
      </w:pPr>
    </w:p>
    <w:p>
      <w:pPr>
        <w:ind w:right="220" w:firstLine="457"/>
        <w:spacing w:after="0" w:line="250" w:lineRule="auto"/>
        <w:rPr>
          <w:sz w:val="20"/>
          <w:szCs w:val="20"/>
          <w:color w:val="auto"/>
        </w:rPr>
      </w:pPr>
      <w:r>
        <w:rPr>
          <w:rFonts w:ascii="Arial" w:cs="Arial" w:eastAsia="Arial" w:hAnsi="Arial"/>
          <w:sz w:val="18"/>
          <w:szCs w:val="18"/>
          <w:color w:val="auto"/>
        </w:rPr>
        <w:t>TPG Specialty Lending, Inc., a Delaware corporation (the “Company”), proposes to issue and sell to the several Initial Purchasers listed in Schedule 1 hereto (the “Initial Purchasers”), for whom you are acting as representatives (the “Representatives”), $100,000,000 aggregate principal amount of 4.50% Convertible Senior Notes due 2019 of the Company (the “Initial Notes”) and, at the option of the Initial Purchasers, up to an additional $15,000,000 aggregate principal amount of 4.50% Convertible Senior Notes due 2019 of the Company, solely to cover overallotments (the “Option Notes”). The Initial Notes and the Option Notes are herein referred to as the “Notes.”</w:t>
      </w:r>
    </w:p>
    <w:p>
      <w:pPr>
        <w:spacing w:after="0" w:line="195" w:lineRule="exact"/>
        <w:rPr>
          <w:sz w:val="20"/>
          <w:szCs w:val="20"/>
          <w:color w:val="auto"/>
        </w:rPr>
      </w:pPr>
    </w:p>
    <w:p>
      <w:pPr>
        <w:ind w:right="120" w:firstLine="457"/>
        <w:spacing w:after="0" w:line="250" w:lineRule="auto"/>
        <w:rPr>
          <w:sz w:val="20"/>
          <w:szCs w:val="20"/>
          <w:color w:val="auto"/>
        </w:rPr>
      </w:pPr>
      <w:r>
        <w:rPr>
          <w:rFonts w:ascii="Arial" w:cs="Arial" w:eastAsia="Arial" w:hAnsi="Arial"/>
          <w:sz w:val="18"/>
          <w:szCs w:val="18"/>
          <w:color w:val="auto"/>
        </w:rPr>
        <w:t>The Notes will be issued under an indenture to be dated as of June 10, 2014 (the “Indenture”) between the Company and Wells Fargo Bank, National Association, as trustee (the “Trustee”). The Notes will be issued in book-entry form to Cede &amp; Co. as nominee of the Depository Trust Company (“DTC”) pursuant to a blanket letter of representations, dated as of March 24, 2014, between the Company and DTC. The Notes will be convertible into cash, shares (the “Underlying Securities”) of common stock of the Company, par value $0.01 per share (the “Common Stock”), or a combination of cash and shares of the Underlying Securities, at the Company’s election.</w:t>
      </w:r>
    </w:p>
    <w:p>
      <w:pPr>
        <w:spacing w:after="0" w:line="195"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The Company understands that the Initial Purchasers propose to make an offering of the Securities as soon as the Representatives deem advisable after this Agreement has been executed and delivered.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2" w:name="page113"/>
    <w:bookmarkEnd w:id="11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Company hereby confirms its agreement with the several Initial Purchasers concerning the purchase and sale of the Notes, as follows:</w:t>
      </w:r>
    </w:p>
    <w:p>
      <w:pPr>
        <w:spacing w:after="0" w:line="229" w:lineRule="exact"/>
        <w:rPr>
          <w:sz w:val="20"/>
          <w:szCs w:val="20"/>
          <w:color w:val="auto"/>
        </w:rPr>
      </w:pPr>
    </w:p>
    <w:p>
      <w:pPr>
        <w:ind w:right="40" w:firstLine="463"/>
        <w:spacing w:after="0" w:line="265" w:lineRule="auto"/>
        <w:tabs>
          <w:tab w:leader="none" w:pos="633"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Offering Memorandum</w:t>
      </w:r>
      <w:r>
        <w:rPr>
          <w:rFonts w:ascii="Arial" w:cs="Arial" w:eastAsia="Arial" w:hAnsi="Arial"/>
          <w:sz w:val="17"/>
          <w:szCs w:val="17"/>
          <w:color w:val="auto"/>
        </w:rPr>
        <w:t>. The Notes will be offered and sold to the Initial Purchasers without being registered under the Securities Act of 1933, as amended (the “Securities Act”), in reliance upon an exemption therefrom. The Company has prepared a preliminary offering memorandum, dated June 3, 2014 (the “Preliminary Offering Memorandum”) and will prepare an offering memorandum dated the date hereof (the “Offering Memorandum”) setting forth information concerning the Company and the Notes. Copies of the Preliminary Offering Memorandum have been, and copies of the Offering Memorandum will be, delivered by the Company to the Initial Purchasers pursuant to the terms of this Agreement. The Company hereby confirms that it has authorized the use of the Preliminary Offering Memorandum, the Pricing Disclosure Package (as defined below) and the Offering Memorandum in connection with the offering and resale of the Notes by the Initial Purchasers in the manner contemplated by this Agreement. Capitalized terms used but not defined herein shall have the meanings given to such terms in the Offering Memorandum.</w:t>
      </w:r>
    </w:p>
    <w:p>
      <w:pPr>
        <w:spacing w:after="0" w:line="183" w:lineRule="exact"/>
        <w:rPr>
          <w:sz w:val="20"/>
          <w:szCs w:val="20"/>
          <w:color w:val="auto"/>
        </w:rPr>
      </w:pPr>
    </w:p>
    <w:p>
      <w:pPr>
        <w:ind w:firstLine="457"/>
        <w:spacing w:after="0" w:line="312" w:lineRule="auto"/>
        <w:rPr>
          <w:sz w:val="20"/>
          <w:szCs w:val="20"/>
          <w:color w:val="auto"/>
        </w:rPr>
      </w:pPr>
      <w:r>
        <w:rPr>
          <w:rFonts w:ascii="Arial" w:cs="Arial" w:eastAsia="Arial" w:hAnsi="Arial"/>
          <w:sz w:val="15"/>
          <w:szCs w:val="15"/>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Securities and Exchange Commission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52" w:lineRule="exact"/>
        <w:rPr>
          <w:sz w:val="20"/>
          <w:szCs w:val="20"/>
          <w:color w:val="auto"/>
        </w:rPr>
      </w:pPr>
    </w:p>
    <w:p>
      <w:pPr>
        <w:ind w:right="340" w:firstLine="457"/>
        <w:spacing w:after="0" w:line="277"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13,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also entered into an Administration Agreement, dated as of March 15, 2011 (the “Administration Agreement”) with the Adviser.</w:t>
      </w:r>
    </w:p>
    <w:p>
      <w:pPr>
        <w:spacing w:after="0" w:line="229" w:lineRule="exact"/>
        <w:rPr>
          <w:sz w:val="20"/>
          <w:szCs w:val="20"/>
          <w:color w:val="auto"/>
        </w:rPr>
      </w:pPr>
    </w:p>
    <w:p>
      <w:pPr>
        <w:ind w:right="100" w:firstLine="457"/>
        <w:spacing w:after="0" w:line="265" w:lineRule="auto"/>
        <w:rPr>
          <w:sz w:val="20"/>
          <w:szCs w:val="20"/>
          <w:color w:val="auto"/>
        </w:rPr>
      </w:pPr>
      <w:r>
        <w:rPr>
          <w:rFonts w:ascii="Arial" w:cs="Arial" w:eastAsia="Arial" w:hAnsi="Arial"/>
          <w:sz w:val="18"/>
          <w:szCs w:val="18"/>
          <w:color w:val="auto"/>
        </w:rPr>
        <w:t>At or prior to the Applicable Time (as defined below), the Company had prepared the Preliminary Offering Memorandum and Term Sheet containing the terms of the Notes, substantially in the form on Schedule 3 hereto (collectively, the “Pricing Disclosure Package”).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5:00 P.M., New York City time, on June 4, 2014.</w:t>
      </w:r>
    </w:p>
    <w:p>
      <w:pPr>
        <w:spacing w:after="0" w:line="217" w:lineRule="exact"/>
        <w:rPr>
          <w:sz w:val="20"/>
          <w:szCs w:val="20"/>
          <w:color w:val="auto"/>
        </w:rPr>
      </w:pPr>
    </w:p>
    <w:p>
      <w:pPr>
        <w:ind w:left="640" w:hanging="177"/>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Purchase of the Notes by the Initial Purchasers</w:t>
      </w:r>
      <w:r>
        <w:rPr>
          <w:rFonts w:ascii="Arial" w:cs="Arial" w:eastAsia="Arial" w:hAnsi="Arial"/>
          <w:sz w:val="18"/>
          <w:szCs w:val="18"/>
          <w:color w:val="auto"/>
        </w:rPr>
        <w:t>.</w:t>
      </w:r>
    </w:p>
    <w:p>
      <w:pPr>
        <w:spacing w:after="0" w:line="217" w:lineRule="exact"/>
        <w:rPr>
          <w:sz w:val="20"/>
          <w:szCs w:val="20"/>
          <w:color w:val="auto"/>
        </w:rPr>
      </w:pPr>
    </w:p>
    <w:p>
      <w:pPr>
        <w:ind w:right="200" w:firstLine="463"/>
        <w:spacing w:after="0" w:line="252" w:lineRule="auto"/>
        <w:tabs>
          <w:tab w:leader="none" w:pos="6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agrees to issue and sell the Initial Notes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aggregate principal amount of Initial Notes set forth opposite such Initial Purchaser’s name in Schedule 1 hereto at the price (the “Purchase Price”) set forth in Schedule 1 hereto.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113" w:name="page114"/>
    <w:bookmarkEnd w:id="113"/>
    <w:p>
      <w:pPr>
        <w:ind w:right="160" w:firstLine="457"/>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addition, the Company agrees to issue and sell the Option Notes to the several Initial Purchasers as provided in this Agreement, and the Initial Purchasers, on the basis of the representations, warranties and agreements set forth herein and subject to the conditions set forth herein, shall have the option to purchase, severally and not jointly, from the Company the Option Notes at the Purchase Price.</w:t>
      </w:r>
    </w:p>
    <w:p>
      <w:pPr>
        <w:spacing w:after="0" w:line="189" w:lineRule="exact"/>
        <w:rPr>
          <w:sz w:val="20"/>
          <w:szCs w:val="20"/>
          <w:color w:val="auto"/>
        </w:rPr>
      </w:pPr>
    </w:p>
    <w:p>
      <w:pPr>
        <w:ind w:right="140" w:firstLine="457"/>
        <w:spacing w:after="0" w:line="318" w:lineRule="auto"/>
        <w:rPr>
          <w:sz w:val="20"/>
          <w:szCs w:val="20"/>
          <w:color w:val="auto"/>
        </w:rPr>
      </w:pPr>
      <w:r>
        <w:rPr>
          <w:rFonts w:ascii="Arial" w:cs="Arial" w:eastAsia="Arial" w:hAnsi="Arial"/>
          <w:sz w:val="15"/>
          <w:szCs w:val="15"/>
          <w:color w:val="auto"/>
        </w:rPr>
        <w:t>If any Option Notes are to be purchased, the aggregate principal amount of Option Notes to be purchased by each Initial Purchaser shall be the aggregate principal amount of Option Notes which bears the same ratio to the aggregate principal amount of Option Notes being purchased as the aggregate principal amount of Initial Notes set forth opposite the name of such Initial Purchaser in Schedule 1 hereto (or such number increased as set forth in Section 11 hereof) bears to the aggregate principal amount of Initial Notes being purchased from the Company by the several Initial Purchasers.</w:t>
      </w:r>
    </w:p>
    <w:p>
      <w:pPr>
        <w:spacing w:after="0" w:line="147" w:lineRule="exact"/>
        <w:rPr>
          <w:sz w:val="20"/>
          <w:szCs w:val="20"/>
          <w:color w:val="auto"/>
        </w:rPr>
      </w:pPr>
    </w:p>
    <w:p>
      <w:pPr>
        <w:ind w:right="140" w:firstLine="457"/>
        <w:spacing w:after="0" w:line="309" w:lineRule="auto"/>
        <w:rPr>
          <w:sz w:val="20"/>
          <w:szCs w:val="20"/>
          <w:color w:val="auto"/>
        </w:rPr>
      </w:pPr>
      <w:r>
        <w:rPr>
          <w:rFonts w:ascii="Arial" w:cs="Arial" w:eastAsia="Arial" w:hAnsi="Arial"/>
          <w:sz w:val="15"/>
          <w:szCs w:val="15"/>
          <w:color w:val="auto"/>
        </w:rPr>
        <w:t>The Initial Purchasers may exercise the option to purchase Option Notes at any time in whole, or from time to time in part, on or before the thirtieth day following the date of the Offering Memorandum, by written notice from the Representatives to the Company. Such notice shall set forth the aggregate principal amount of Option Notes as to which the option is being exercised and the date and time when the Option Notes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53" w:lineRule="exact"/>
        <w:rPr>
          <w:sz w:val="20"/>
          <w:szCs w:val="20"/>
          <w:color w:val="auto"/>
        </w:rPr>
      </w:pPr>
    </w:p>
    <w:p>
      <w:pPr>
        <w:ind w:right="120" w:firstLine="463"/>
        <w:spacing w:after="0" w:line="255" w:lineRule="auto"/>
        <w:tabs>
          <w:tab w:leader="none" w:pos="7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understands that the Initial Purchasers intend to offer the Notes for resale on the terms set forth in the Pricing Disclosure Package and the Offering Memorandum, as in the judgment of the Representatives is advisable. The Company acknowledges and agrees that the Initial Purchasers may offer and sell Notes to or through any affiliate of an Initial Purchaser.</w:t>
      </w:r>
    </w:p>
    <w:p>
      <w:pPr>
        <w:spacing w:after="0" w:line="188" w:lineRule="exact"/>
        <w:rPr>
          <w:rFonts w:ascii="Arial" w:cs="Arial" w:eastAsia="Arial" w:hAnsi="Arial"/>
          <w:sz w:val="18"/>
          <w:szCs w:val="18"/>
          <w:color w:val="auto"/>
        </w:rPr>
      </w:pPr>
    </w:p>
    <w:p>
      <w:pPr>
        <w:ind w:firstLine="463"/>
        <w:spacing w:after="0" w:line="249" w:lineRule="auto"/>
        <w:tabs>
          <w:tab w:leader="none" w:pos="697"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Payment for the Notes shall be made by wire transfer in immediately available funds to the account specified by the Company to the Representatives in the case of the Initial Notes, at the offices of Fried, Frank, Harris, Shriver &amp; Jacobson LLP, One New York Plaza, New York, NY 10004, at 10:00 A.M., New York City time, on June 10, 2014, or at such other time or place on the same or such other date, not later than the fifth business day thereafter, as the Representatives and the Company may agree upon in writing or, in the case of the Option Notes, on the date and at the time and place specified by the Representatives in the written notice of the Initial Purchasers’ election to purchase such Option Notes. The time and date of such payment for the Initial Notes is referred to herein as the “Closing Date”, and the time and date for such payment for the Option Notes, if other than the Closing Date, is herein referred to as the “Additional Closing Date.”</w:t>
      </w:r>
    </w:p>
    <w:p>
      <w:pPr>
        <w:spacing w:after="0" w:line="194" w:lineRule="exact"/>
        <w:rPr>
          <w:sz w:val="20"/>
          <w:szCs w:val="20"/>
          <w:color w:val="auto"/>
        </w:rPr>
      </w:pPr>
    </w:p>
    <w:p>
      <w:pPr>
        <w:ind w:right="140" w:firstLine="457"/>
        <w:spacing w:after="0" w:line="252" w:lineRule="auto"/>
        <w:rPr>
          <w:sz w:val="20"/>
          <w:szCs w:val="20"/>
          <w:color w:val="auto"/>
        </w:rPr>
      </w:pPr>
      <w:r>
        <w:rPr>
          <w:rFonts w:ascii="Arial" w:cs="Arial" w:eastAsia="Arial" w:hAnsi="Arial"/>
          <w:sz w:val="18"/>
          <w:szCs w:val="18"/>
          <w:color w:val="auto"/>
        </w:rPr>
        <w:t>Payment for the Notes to be purchased on the Closing Date or the Additional Closing Date, as the case may be, shall be made against delivery to the Representatives for the respective accounts of the several Initial Purchasers of the Notes to be purchased on such date with any transfer taxes payable in connection with the sale of such Notes duly paid by the Company. Delivery of the Notes shall be made through the facilities of DTC unless the Representatives shall otherwise instruct.</w:t>
      </w:r>
    </w:p>
    <w:p>
      <w:pPr>
        <w:spacing w:after="0" w:line="191" w:lineRule="exact"/>
        <w:rPr>
          <w:sz w:val="20"/>
          <w:szCs w:val="20"/>
          <w:color w:val="auto"/>
        </w:rPr>
      </w:pPr>
    </w:p>
    <w:p>
      <w:pPr>
        <w:jc w:val="both"/>
        <w:ind w:right="200" w:firstLine="463"/>
        <w:spacing w:after="0" w:line="318" w:lineRule="auto"/>
        <w:tabs>
          <w:tab w:leader="none" w:pos="707"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Company acknowledges and agrees that the Initial Purchasers are acting solely in the capacity of an arm’s-length contractual counterparty to the Company with respect to the offering of Notes contemplated hereby (including in connection with determining the terms of the offering) and not as a financial advisor or a fiduciary to, or an agent of, the Company or any other person. Additionally, neither the Representatives nor any other Initial Purchaser is advising the Company or any other person as to any legal, tax, investment, accounting or regulatory matters in any jurisdiction. The Company shall consult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114" w:name="page115"/>
    <w:bookmarkEnd w:id="114"/>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with its own advisors concerning such matters and shall be responsible for making its own independent investigation and appraisal of the transactions contemplated hereby, and the Initial Purchasers shall have no responsibility or liability to the Company with respect thereto. Any review by the Initial Purchasers of the Company, the transactions contemplated hereby or other matters relating to such transactions will be performed solely for the benefit of the Initial Purchasers and shall not be on behalf of the Company.</w:t>
      </w:r>
    </w:p>
    <w:p>
      <w:pPr>
        <w:spacing w:after="0" w:line="191" w:lineRule="exact"/>
        <w:rPr>
          <w:sz w:val="20"/>
          <w:szCs w:val="20"/>
          <w:color w:val="auto"/>
        </w:rPr>
      </w:pPr>
    </w:p>
    <w:p>
      <w:pPr>
        <w:ind w:right="120" w:firstLine="463"/>
        <w:spacing w:after="0" w:line="271" w:lineRule="auto"/>
        <w:tabs>
          <w:tab w:leader="none" w:pos="697"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by the Initial Purchasers</w:t>
      </w:r>
      <w:r>
        <w:rPr>
          <w:rFonts w:ascii="Arial" w:cs="Arial" w:eastAsia="Arial" w:hAnsi="Arial"/>
          <w:sz w:val="17"/>
          <w:szCs w:val="17"/>
          <w:color w:val="auto"/>
        </w:rPr>
        <w:t>. The Company understands that the Initial Purchasers intend to offer the Notes for resale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set forth in the Pricing Disclosure Package and the Offering Memorandum. Each Initial Purchaser, severally and not jointly, represents and warrants with the Company as of the date hereof, as of the Applicable Time, as of the Closing Date referred to in Section 2(c) hereof, and as of each Additional Closing Date (if any) referred to in Section 2(c) hereof, and agrees with the Company, as follows that:</w:t>
      </w:r>
    </w:p>
    <w:p>
      <w:pPr>
        <w:spacing w:after="0" w:line="177" w:lineRule="exact"/>
        <w:rPr>
          <w:rFonts w:ascii="Arial" w:cs="Arial" w:eastAsia="Arial" w:hAnsi="Arial"/>
          <w:sz w:val="17"/>
          <w:szCs w:val="17"/>
          <w:color w:val="auto"/>
        </w:rPr>
      </w:pPr>
    </w:p>
    <w:p>
      <w:pPr>
        <w:ind w:left="460" w:firstLine="441"/>
        <w:spacing w:after="0" w:line="255" w:lineRule="auto"/>
        <w:tabs>
          <w:tab w:leader="none" w:pos="1109" w:val="left"/>
        </w:tabs>
        <w:numPr>
          <w:ilvl w:val="1"/>
          <w:numId w:val="97"/>
        </w:numPr>
        <w:rPr>
          <w:rFonts w:ascii="Arial" w:cs="Arial" w:eastAsia="Arial" w:hAnsi="Arial"/>
          <w:sz w:val="18"/>
          <w:szCs w:val="18"/>
          <w:color w:val="auto"/>
        </w:rPr>
      </w:pPr>
      <w:r>
        <w:rPr>
          <w:rFonts w:ascii="Arial" w:cs="Arial" w:eastAsia="Arial" w:hAnsi="Arial"/>
          <w:sz w:val="18"/>
          <w:szCs w:val="18"/>
          <w:color w:val="auto"/>
        </w:rPr>
        <w:t>it is a qualified institutional buyer (a “QIB”) within the meaning of Rule 144A under the Securities Act (“Rule 144A”) and an accredited investor within the meaning of Rule 501(a) under the Securities Act with such knowledge and experience in financial and business matters as are necessary to evaluate the merits and risks of an investment in the Notes;</w:t>
      </w:r>
    </w:p>
    <w:p>
      <w:pPr>
        <w:spacing w:after="0" w:line="188" w:lineRule="exact"/>
        <w:rPr>
          <w:rFonts w:ascii="Arial" w:cs="Arial" w:eastAsia="Arial" w:hAnsi="Arial"/>
          <w:sz w:val="18"/>
          <w:szCs w:val="18"/>
          <w:color w:val="auto"/>
        </w:rPr>
      </w:pPr>
    </w:p>
    <w:p>
      <w:pPr>
        <w:jc w:val="both"/>
        <w:ind w:left="460" w:right="40" w:firstLine="441"/>
        <w:spacing w:after="0" w:line="252" w:lineRule="auto"/>
        <w:tabs>
          <w:tab w:leader="none" w:pos="1159" w:val="left"/>
        </w:tabs>
        <w:numPr>
          <w:ilvl w:val="1"/>
          <w:numId w:val="97"/>
        </w:numPr>
        <w:rPr>
          <w:rFonts w:ascii="Arial" w:cs="Arial" w:eastAsia="Arial" w:hAnsi="Arial"/>
          <w:sz w:val="18"/>
          <w:szCs w:val="18"/>
          <w:color w:val="auto"/>
        </w:rPr>
      </w:pPr>
      <w:r>
        <w:rPr>
          <w:rFonts w:ascii="Arial" w:cs="Arial" w:eastAsia="Arial" w:hAnsi="Arial"/>
          <w:sz w:val="18"/>
          <w:szCs w:val="18"/>
          <w:color w:val="auto"/>
        </w:rPr>
        <w:t>neither it, nor any person acting on its behalf, has solicited offers for, or offered or sold, and neither it, nor any person acting on its behalf, will not solicit offers for, or offer or sell, the Notes by means of any form of general solicitation or general advertising within the meaning of Rule 502(c) of Regulation D or in any manner involving a public offering within the meaning of Section 4(a)(2) of the Securities Act, other than by means of a Permitted General Solicitation (as defined in Section 3(r) below); and</w:t>
      </w:r>
    </w:p>
    <w:p>
      <w:pPr>
        <w:spacing w:after="0" w:line="191" w:lineRule="exact"/>
        <w:rPr>
          <w:rFonts w:ascii="Arial" w:cs="Arial" w:eastAsia="Arial" w:hAnsi="Arial"/>
          <w:sz w:val="18"/>
          <w:szCs w:val="18"/>
          <w:color w:val="auto"/>
        </w:rPr>
      </w:pPr>
    </w:p>
    <w:p>
      <w:pPr>
        <w:ind w:left="460" w:right="60" w:firstLine="441"/>
        <w:spacing w:after="0" w:line="252" w:lineRule="auto"/>
        <w:tabs>
          <w:tab w:leader="none" w:pos="1208" w:val="left"/>
        </w:tabs>
        <w:numPr>
          <w:ilvl w:val="1"/>
          <w:numId w:val="97"/>
        </w:numPr>
        <w:rPr>
          <w:rFonts w:ascii="Arial" w:cs="Arial" w:eastAsia="Arial" w:hAnsi="Arial"/>
          <w:sz w:val="18"/>
          <w:szCs w:val="18"/>
          <w:color w:val="auto"/>
        </w:rPr>
      </w:pPr>
      <w:r>
        <w:rPr>
          <w:rFonts w:ascii="Arial" w:cs="Arial" w:eastAsia="Arial" w:hAnsi="Arial"/>
          <w:sz w:val="18"/>
          <w:szCs w:val="18"/>
          <w:color w:val="auto"/>
        </w:rPr>
        <w:t>it has not solicited offers for, or offered or sold, and will not solicit offers for, or offer or sell, the Notes as part of their distribution of securities in connection with the Offering except to persons whom it reasonably believes to be QIBs in transactions pursuant to Rule 144A and in connection with each such sale, it has taken or will take reasonable steps to ensure that the purchaser of the Notes is aware that such sale is being made in reliance on Rule 144A.</w:t>
      </w:r>
    </w:p>
    <w:p>
      <w:pPr>
        <w:spacing w:after="0" w:line="191" w:lineRule="exact"/>
        <w:rPr>
          <w:sz w:val="20"/>
          <w:szCs w:val="20"/>
          <w:color w:val="auto"/>
        </w:rPr>
      </w:pPr>
    </w:p>
    <w:p>
      <w:pPr>
        <w:ind w:left="640" w:hanging="177"/>
        <w:spacing w:after="0"/>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agrees with, each Initial Purchaser that:</w:t>
      </w:r>
    </w:p>
    <w:p>
      <w:pPr>
        <w:spacing w:after="0" w:line="228" w:lineRule="exact"/>
        <w:rPr>
          <w:rFonts w:ascii="Arial" w:cs="Arial" w:eastAsia="Arial" w:hAnsi="Arial"/>
          <w:sz w:val="17"/>
          <w:szCs w:val="17"/>
          <w:color w:val="auto"/>
        </w:rPr>
      </w:pPr>
    </w:p>
    <w:p>
      <w:pPr>
        <w:ind w:left="460" w:right="200" w:firstLine="441"/>
        <w:spacing w:after="0" w:line="267" w:lineRule="auto"/>
        <w:tabs>
          <w:tab w:leader="none" w:pos="1139" w:val="left"/>
        </w:tabs>
        <w:numPr>
          <w:ilvl w:val="1"/>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Preliminary Offering Memorandum. </w:t>
      </w:r>
      <w:r>
        <w:rPr>
          <w:rFonts w:ascii="Arial" w:cs="Arial" w:eastAsia="Arial" w:hAnsi="Arial"/>
          <w:sz w:val="17"/>
          <w:szCs w:val="17"/>
          <w:color w:val="auto"/>
        </w:rPr>
        <w:t>The Preliminary Offering Memorandum, as of its date, did not contain any untrue statement of a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Representatives expressly for use in any Preliminary Offering Memorandum, it being understood and agreed that the only such information furnished by any Initial Purchaser consists of the information described as such in Section 8(b) hereof.</w:t>
      </w:r>
    </w:p>
    <w:p>
      <w:pPr>
        <w:spacing w:after="0" w:line="180" w:lineRule="exact"/>
        <w:rPr>
          <w:rFonts w:ascii="Arial" w:cs="Arial" w:eastAsia="Arial" w:hAnsi="Arial"/>
          <w:sz w:val="17"/>
          <w:szCs w:val="17"/>
          <w:color w:val="auto"/>
        </w:rPr>
      </w:pPr>
    </w:p>
    <w:p>
      <w:pPr>
        <w:jc w:val="both"/>
        <w:ind w:left="460" w:firstLine="441"/>
        <w:spacing w:after="0" w:line="271" w:lineRule="auto"/>
        <w:tabs>
          <w:tab w:leader="none" w:pos="1148" w:val="left"/>
        </w:tabs>
        <w:numPr>
          <w:ilvl w:val="1"/>
          <w:numId w:val="98"/>
        </w:numPr>
        <w:rPr>
          <w:rFonts w:ascii="Arial" w:cs="Arial" w:eastAsia="Arial" w:hAnsi="Arial"/>
          <w:sz w:val="17"/>
          <w:szCs w:val="17"/>
          <w:color w:val="auto"/>
        </w:rPr>
      </w:pPr>
      <w:r>
        <w:rPr>
          <w:rFonts w:ascii="Arial" w:cs="Arial" w:eastAsia="Arial" w:hAnsi="Arial"/>
          <w:sz w:val="17"/>
          <w:szCs w:val="17"/>
          <w:i w:val="1"/>
          <w:iCs w:val="1"/>
          <w:color w:val="auto"/>
        </w:rPr>
        <w:t>Pricing Disclosure Package and Marketing Materials</w:t>
      </w:r>
      <w:r>
        <w:rPr>
          <w:rFonts w:ascii="Arial" w:cs="Arial" w:eastAsia="Arial" w:hAnsi="Arial"/>
          <w:sz w:val="17"/>
          <w:szCs w:val="17"/>
          <w:color w:val="auto"/>
        </w:rPr>
        <w:t>. The Pricing Disclosure Package and any Marketing Materials (as defined below)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did not, and the Pricing Disclosure Package and any Marketing Materials (together with any amendment or supplement thereto) as of the Closing Date and as of any Additional Closing Date, as the case may be, will not, contain any untrue statement of a material fact or omit to state a material fact necessary in order to make the statements therein, in the light of the circumstances under which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115" w:name="page116"/>
    <w:bookmarkEnd w:id="115"/>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they were made, not misleading, and as of the Applicable Time, the Marketing Materials do not conflict with the information contained in the Preliminary Offering Memorandum, the Pricing Disclosure Package or the Offering Memorandum; p</w:t>
      </w:r>
      <w:r>
        <w:rPr>
          <w:rFonts w:ascii="Arial" w:cs="Arial" w:eastAsia="Arial" w:hAnsi="Arial"/>
          <w:sz w:val="15"/>
          <w:szCs w:val="15"/>
          <w:u w:val="single" w:color="auto"/>
          <w:color w:val="auto"/>
        </w:rPr>
        <w:t>rovided</w:t>
      </w:r>
      <w:r>
        <w:rPr>
          <w:rFonts w:ascii="Arial" w:cs="Arial" w:eastAsia="Arial" w:hAnsi="Arial"/>
          <w:sz w:val="15"/>
          <w:szCs w:val="15"/>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Representatives expressly for use in such Pricing Disclosure Package or such Marketing Materials, it being understood and agreed that the only such information furnished by any Initial Purchaser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and any Permitted General Solicitation Materials (as defined in Section 3(r) below)) in connection with the marketing of the offering of the Notes.</w:t>
      </w:r>
    </w:p>
    <w:p>
      <w:pPr>
        <w:spacing w:after="0" w:line="156" w:lineRule="exact"/>
        <w:rPr>
          <w:sz w:val="20"/>
          <w:szCs w:val="20"/>
          <w:color w:val="auto"/>
        </w:rPr>
      </w:pPr>
    </w:p>
    <w:p>
      <w:pPr>
        <w:ind w:firstLine="441"/>
        <w:spacing w:after="0" w:line="266" w:lineRule="auto"/>
        <w:tabs>
          <w:tab w:leader="none" w:pos="679"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Offering Memorandum. </w:t>
      </w:r>
      <w:r>
        <w:rPr>
          <w:rFonts w:ascii="Arial" w:cs="Arial" w:eastAsia="Arial" w:hAnsi="Arial"/>
          <w:sz w:val="17"/>
          <w:szCs w:val="17"/>
          <w:color w:val="auto"/>
        </w:rPr>
        <w:t>The Offering Memorandum and any amendment or supplement thereto as of the Closing Date and as of any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Representatives expressly for use in the Offering Memorandum and any amendment or supplement thereto, it being understood and agreed that the only such information furnished by any Initial Purchaser consists of the information described as such in Section 8(b) hereof.</w:t>
      </w:r>
    </w:p>
    <w:p>
      <w:pPr>
        <w:spacing w:after="0" w:line="180" w:lineRule="exact"/>
        <w:rPr>
          <w:rFonts w:ascii="Arial" w:cs="Arial" w:eastAsia="Arial" w:hAnsi="Arial"/>
          <w:sz w:val="17"/>
          <w:szCs w:val="17"/>
          <w:color w:val="auto"/>
        </w:rPr>
      </w:pPr>
    </w:p>
    <w:p>
      <w:pPr>
        <w:ind w:right="240" w:firstLine="441"/>
        <w:spacing w:after="0" w:line="294" w:lineRule="auto"/>
        <w:tabs>
          <w:tab w:leader="none" w:pos="688"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Emerging Growth Company</w:t>
      </w:r>
      <w:r>
        <w:rPr>
          <w:rFonts w:ascii="Arial" w:cs="Arial" w:eastAsia="Arial" w:hAnsi="Arial"/>
          <w:sz w:val="17"/>
          <w:szCs w:val="17"/>
          <w:color w:val="auto"/>
        </w:rPr>
        <w:t>. As of the date hereof, the Closing Date and any Additional Closing Date, as the case may be, the Company is an</w:t>
      </w:r>
      <w:r>
        <w:rPr>
          <w:rFonts w:ascii="Arial" w:cs="Arial" w:eastAsia="Arial" w:hAnsi="Arial"/>
          <w:sz w:val="17"/>
          <w:szCs w:val="17"/>
          <w:i w:val="1"/>
          <w:iCs w:val="1"/>
          <w:color w:val="auto"/>
        </w:rPr>
        <w:t xml:space="preserve"> </w:t>
      </w:r>
      <w:r>
        <w:rPr>
          <w:rFonts w:ascii="Arial" w:cs="Arial" w:eastAsia="Arial" w:hAnsi="Arial"/>
          <w:sz w:val="17"/>
          <w:szCs w:val="17"/>
          <w:color w:val="auto"/>
        </w:rPr>
        <w:t>“emerging growth company,” as defined in Section 2(a)(19) of the Securities Act (an “Emerging Growth Company”).</w:t>
      </w:r>
    </w:p>
    <w:p>
      <w:pPr>
        <w:spacing w:after="0" w:line="157" w:lineRule="exact"/>
        <w:rPr>
          <w:rFonts w:ascii="Arial" w:cs="Arial" w:eastAsia="Arial" w:hAnsi="Arial"/>
          <w:sz w:val="17"/>
          <w:szCs w:val="17"/>
          <w:color w:val="auto"/>
        </w:rPr>
      </w:pPr>
    </w:p>
    <w:p>
      <w:pPr>
        <w:ind w:firstLine="441"/>
        <w:spacing w:after="0" w:line="264" w:lineRule="auto"/>
        <w:tabs>
          <w:tab w:leader="none" w:pos="679"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Pricing Disclosure Package and the Offering Memorandum comply as to form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Pricing Disclosure Package and the Offering Memorandum present fairly in all material respects the information required to be stated therein; and any other financial information included in the Pricing Disclosure Package and the Offering Memorandum has been derived from the accounting records and other books and records of the Company and its consolidated subsidiaries and presents fairly in all material respects the information shown thereby.</w:t>
      </w:r>
    </w:p>
    <w:p>
      <w:pPr>
        <w:spacing w:after="0" w:line="186" w:lineRule="exact"/>
        <w:rPr>
          <w:rFonts w:ascii="Arial" w:cs="Arial" w:eastAsia="Arial" w:hAnsi="Arial"/>
          <w:sz w:val="17"/>
          <w:szCs w:val="17"/>
          <w:color w:val="auto"/>
        </w:rPr>
      </w:pPr>
    </w:p>
    <w:p>
      <w:pPr>
        <w:ind w:right="40" w:firstLine="441"/>
        <w:spacing w:after="0" w:line="252" w:lineRule="auto"/>
        <w:tabs>
          <w:tab w:leader="none" w:pos="659"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Except as disclosed in the Pricing Disclosure Package and the Offering Memorandum, since the date of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 financial statements of the Company included in the Pricing Disclosure Package and the Offering Memorandum, (i) there has not been any material change in the capital stock of the Company, short-term debt or long-term debt of the Company or any of its subsidiaries, or any dividend or distribution of any kind</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3" w:right="259" w:bottom="1440" w:gutter="0" w:footer="0" w:header="0"/>
        </w:sectPr>
      </w:pPr>
    </w:p>
    <w:bookmarkStart w:id="116" w:name="page117"/>
    <w:bookmarkEnd w:id="116"/>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56" w:lineRule="exact"/>
        <w:rPr>
          <w:sz w:val="20"/>
          <w:szCs w:val="20"/>
          <w:color w:val="auto"/>
        </w:rPr>
      </w:pPr>
    </w:p>
    <w:p>
      <w:pPr>
        <w:ind w:right="100" w:firstLine="441"/>
        <w:spacing w:after="0" w:line="264" w:lineRule="auto"/>
        <w:tabs>
          <w:tab w:leader="none" w:pos="688"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Investment Management Agreement and the Administration Agreement (a “Material Adverse Effect”). The subsidiaries listed in Schedule 2 to this Agreement are the only subsidiaries of the Company.</w:t>
      </w:r>
    </w:p>
    <w:p>
      <w:pPr>
        <w:spacing w:after="0" w:line="186" w:lineRule="exact"/>
        <w:rPr>
          <w:rFonts w:ascii="Arial" w:cs="Arial" w:eastAsia="Arial" w:hAnsi="Arial"/>
          <w:sz w:val="17"/>
          <w:szCs w:val="17"/>
          <w:color w:val="auto"/>
        </w:rPr>
      </w:pPr>
    </w:p>
    <w:p>
      <w:pPr>
        <w:ind w:firstLine="441"/>
        <w:spacing w:after="0" w:line="301" w:lineRule="auto"/>
        <w:tabs>
          <w:tab w:leader="none" w:pos="688" w:val="left"/>
        </w:tabs>
        <w:numPr>
          <w:ilvl w:val="0"/>
          <w:numId w:val="100"/>
        </w:numPr>
        <w:rPr>
          <w:rFonts w:ascii="Arial" w:cs="Arial" w:eastAsia="Arial" w:hAnsi="Arial"/>
          <w:sz w:val="15"/>
          <w:szCs w:val="15"/>
          <w:color w:val="auto"/>
        </w:rPr>
      </w:pPr>
      <w:r>
        <w:rPr>
          <w:rFonts w:ascii="Arial" w:cs="Arial" w:eastAsia="Arial" w:hAnsi="Arial"/>
          <w:sz w:val="15"/>
          <w:szCs w:val="15"/>
          <w:i w:val="1"/>
          <w:iCs w:val="1"/>
          <w:color w:val="auto"/>
        </w:rPr>
        <w:t xml:space="preserve">Capitalization. </w:t>
      </w:r>
      <w:r>
        <w:rPr>
          <w:rFonts w:ascii="Arial" w:cs="Arial" w:eastAsia="Arial" w:hAnsi="Arial"/>
          <w:sz w:val="15"/>
          <w:szCs w:val="15"/>
          <w:color w:val="auto"/>
        </w:rPr>
        <w:t>As of March 31, 2014, the Company had the authorized capitalization as set forth in the Pricing Disclosure Package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Offering Memorandum in “Capitalization” under the heading “Actual” and would have had the as adjusted capitalization as set forth in the Pricing Disclosure Package and the Offering Memorandum in “Capitalization” under the heading “As Adjusted” after giving effect to the offering pursuant to this Agreement and the use of proceeds thereof;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Offering Memorandum,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Pricing Disclosure Package and the Offering Memorandum; and all the outstanding shares of capital stock or other equity interests of each subsidiary owned, directly or indirectly, by the Company have been duly authorized and validly issued, are fully paid and non-assessable (except as otherwise described in the Pricing Disclosure Package and the Offering Memorandum), and are owned directly or indirectly by the Company, free and clear of any lien, charge, encumbrance, security interest, restriction on voting or transfer or any other claim of any third party, except as described in the Pricing Disclosure Package and the Offering Memorandum.</w:t>
      </w:r>
    </w:p>
    <w:p>
      <w:pPr>
        <w:spacing w:after="0" w:line="3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3" w:right="259" w:bottom="1440" w:gutter="0" w:footer="0" w:header="0"/>
        </w:sectPr>
      </w:pPr>
    </w:p>
    <w:bookmarkStart w:id="117" w:name="page118"/>
    <w:bookmarkEnd w:id="117"/>
    <w:p>
      <w:pPr>
        <w:ind w:left="660" w:hanging="219"/>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Stock Options. </w:t>
      </w:r>
      <w:r>
        <w:rPr>
          <w:rFonts w:ascii="Arial" w:cs="Arial" w:eastAsia="Arial" w:hAnsi="Arial"/>
          <w:sz w:val="18"/>
          <w:szCs w:val="18"/>
          <w:color w:val="auto"/>
        </w:rPr>
        <w:t>The Company has not granted, and has no policy or expectation of granting stock options.</w:t>
      </w:r>
    </w:p>
    <w:p>
      <w:pPr>
        <w:spacing w:after="0" w:line="217" w:lineRule="exact"/>
        <w:rPr>
          <w:rFonts w:ascii="Arial" w:cs="Arial" w:eastAsia="Arial" w:hAnsi="Arial"/>
          <w:sz w:val="18"/>
          <w:szCs w:val="18"/>
          <w:color w:val="auto"/>
        </w:rPr>
      </w:pPr>
    </w:p>
    <w:p>
      <w:pPr>
        <w:ind w:right="100" w:firstLine="441"/>
        <w:spacing w:after="0" w:line="269" w:lineRule="auto"/>
        <w:tabs>
          <w:tab w:leader="none" w:pos="649"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corporate power and authority to execute and deliver this Agreement and the Indenture and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and each of the Investment Management Agreement and the Administration Agreement, and the consummation by it of the transactions contemplated hereby and thereby has been duly and validly taken.</w:t>
      </w:r>
    </w:p>
    <w:p>
      <w:pPr>
        <w:spacing w:after="0" w:line="177" w:lineRule="exact"/>
        <w:rPr>
          <w:rFonts w:ascii="Arial" w:cs="Arial" w:eastAsia="Arial" w:hAnsi="Arial"/>
          <w:sz w:val="17"/>
          <w:szCs w:val="17"/>
          <w:color w:val="auto"/>
        </w:rPr>
      </w:pPr>
    </w:p>
    <w:p>
      <w:pPr>
        <w:ind w:left="700" w:hanging="259"/>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This Agreement has been duly authorized, executed and delivered by the Company.</w:t>
      </w:r>
    </w:p>
    <w:p>
      <w:pPr>
        <w:spacing w:after="0" w:line="217" w:lineRule="exact"/>
        <w:rPr>
          <w:rFonts w:ascii="Arial" w:cs="Arial" w:eastAsia="Arial" w:hAnsi="Arial"/>
          <w:sz w:val="18"/>
          <w:szCs w:val="18"/>
          <w:color w:val="auto"/>
        </w:rPr>
      </w:pPr>
    </w:p>
    <w:p>
      <w:pPr>
        <w:ind w:right="60" w:firstLine="441"/>
        <w:spacing w:after="0" w:line="252" w:lineRule="auto"/>
        <w:tabs>
          <w:tab w:leader="none" w:pos="649"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Administration Agreement. </w:t>
      </w:r>
      <w:r>
        <w:rPr>
          <w:rFonts w:ascii="Arial" w:cs="Arial" w:eastAsia="Arial" w:hAnsi="Arial"/>
          <w:sz w:val="18"/>
          <w:szCs w:val="18"/>
          <w:color w:val="auto"/>
        </w:rPr>
        <w:t>The Investment Management Agreement and the Administration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91" w:lineRule="exact"/>
        <w:rPr>
          <w:rFonts w:ascii="Arial" w:cs="Arial" w:eastAsia="Arial" w:hAnsi="Arial"/>
          <w:sz w:val="18"/>
          <w:szCs w:val="18"/>
          <w:color w:val="auto"/>
        </w:rPr>
      </w:pPr>
    </w:p>
    <w:p>
      <w:pPr>
        <w:ind w:right="60" w:firstLine="441"/>
        <w:spacing w:after="0" w:line="252"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Indenture has been duly authorized, and, on the Closing Date, will be duly executed and delivered by the Company and when</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91" w:lineRule="exact"/>
        <w:rPr>
          <w:rFonts w:ascii="Arial" w:cs="Arial" w:eastAsia="Arial" w:hAnsi="Arial"/>
          <w:sz w:val="18"/>
          <w:szCs w:val="18"/>
          <w:color w:val="auto"/>
        </w:rPr>
      </w:pPr>
    </w:p>
    <w:p>
      <w:pPr>
        <w:ind w:right="180" w:firstLine="441"/>
        <w:spacing w:after="0" w:line="309" w:lineRule="auto"/>
        <w:tabs>
          <w:tab w:leader="none" w:pos="688" w:val="left"/>
        </w:tabs>
        <w:numPr>
          <w:ilvl w:val="0"/>
          <w:numId w:val="101"/>
        </w:numPr>
        <w:rPr>
          <w:rFonts w:ascii="Arial" w:cs="Arial" w:eastAsia="Arial" w:hAnsi="Arial"/>
          <w:sz w:val="15"/>
          <w:szCs w:val="15"/>
          <w:color w:val="auto"/>
        </w:rPr>
      </w:pPr>
      <w:r>
        <w:rPr>
          <w:rFonts w:ascii="Arial" w:cs="Arial" w:eastAsia="Arial" w:hAnsi="Arial"/>
          <w:sz w:val="15"/>
          <w:szCs w:val="15"/>
          <w:i w:val="1"/>
          <w:iCs w:val="1"/>
          <w:color w:val="auto"/>
        </w:rPr>
        <w:t xml:space="preserve">The Notes. </w:t>
      </w:r>
      <w:r>
        <w:rPr>
          <w:rFonts w:ascii="Arial" w:cs="Arial" w:eastAsia="Arial" w:hAnsi="Arial"/>
          <w:sz w:val="15"/>
          <w:szCs w:val="15"/>
          <w:color w:val="auto"/>
        </w:rPr>
        <w:t>The Notes to be issued and sold by the Company hereunder have been duly authorized and, on the Closing Date, will be duly</w:t>
      </w:r>
      <w:r>
        <w:rPr>
          <w:rFonts w:ascii="Arial" w:cs="Arial" w:eastAsia="Arial" w:hAnsi="Arial"/>
          <w:sz w:val="15"/>
          <w:szCs w:val="15"/>
          <w:i w:val="1"/>
          <w:iCs w:val="1"/>
          <w:color w:val="auto"/>
        </w:rPr>
        <w:t xml:space="preserve"> </w:t>
      </w:r>
      <w:r>
        <w:rPr>
          <w:rFonts w:ascii="Arial" w:cs="Arial" w:eastAsia="Arial" w:hAnsi="Arial"/>
          <w:sz w:val="15"/>
          <w:szCs w:val="15"/>
          <w:color w:val="auto"/>
        </w:rPr>
        <w:t>executed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Notes and the Indenture conform in all material respects to the statements relating thereto contained in the Pricing Disclosure Package and the Offering Memorandum.</w:t>
      </w:r>
    </w:p>
    <w:p>
      <w:pPr>
        <w:spacing w:after="0" w:line="152" w:lineRule="exact"/>
        <w:rPr>
          <w:rFonts w:ascii="Arial" w:cs="Arial" w:eastAsia="Arial" w:hAnsi="Arial"/>
          <w:sz w:val="15"/>
          <w:szCs w:val="15"/>
          <w:color w:val="auto"/>
        </w:rPr>
      </w:pPr>
    </w:p>
    <w:p>
      <w:pPr>
        <w:ind w:firstLine="441"/>
        <w:spacing w:after="0" w:line="267" w:lineRule="auto"/>
        <w:tabs>
          <w:tab w:leader="none" w:pos="688"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The Underlying Securities. </w:t>
      </w:r>
      <w:r>
        <w:rPr>
          <w:rFonts w:ascii="Arial" w:cs="Arial" w:eastAsia="Arial" w:hAnsi="Arial"/>
          <w:sz w:val="17"/>
          <w:szCs w:val="17"/>
          <w:color w:val="auto"/>
        </w:rPr>
        <w:t>Upon issuance and delivery of the Notes in accordance with this Agreement and the Indenture, the Notes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at the option of the holder thereof into cash, shares of the Underlying Securities, or a combination of cash and shares of Underlying Securities, at the Company’s election, in accordance with the terms of the Notes, except as otherwise disclosed in the Pricing Disclosure Package and the Offering Memorandum; the Underlying Securities reserved for issuance upon conversion of the Notes have been duly authorized and reserved and, if issued upon conversion of the Notes in accordance with the terms of the Notes, will be validly issued, fully paid and non assessable, and the issuance of the Underlying Securities will not be subject to any preemptive or similar rights.</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3" w:right="239" w:bottom="1440" w:gutter="0" w:footer="0" w:header="0"/>
        </w:sectPr>
      </w:pPr>
    </w:p>
    <w:bookmarkStart w:id="118" w:name="page119"/>
    <w:bookmarkEnd w:id="118"/>
    <w:p>
      <w:pPr>
        <w:ind w:right="20" w:firstLine="441"/>
        <w:spacing w:after="0" w:line="250" w:lineRule="auto"/>
        <w:tabs>
          <w:tab w:leader="none" w:pos="688"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Rule 144A Eligibility</w:t>
      </w:r>
      <w:r>
        <w:rPr>
          <w:rFonts w:ascii="Arial" w:cs="Arial" w:eastAsia="Arial" w:hAnsi="Arial"/>
          <w:sz w:val="18"/>
          <w:szCs w:val="18"/>
          <w:color w:val="auto"/>
        </w:rPr>
        <w:t>. On the Closing Date, the Notes will not be of the same class as securities listed on a national exchange registered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 of the Securities Exchange Act of 1934, as amended (the “Exchange Act”), or quoted in an automated inter-dealer quotation system; and each of the Pricing Disclosure Package, as of the Applicable Time, and the Offering Memorandum, as of its date, contains or will contain all the information that, if requested by a prospective purchaser of the Notes, would be required to be provided to such prospective purchaser pursuant to Rule 144A(d)(4) under the Securities Act.</w:t>
      </w:r>
    </w:p>
    <w:p>
      <w:pPr>
        <w:spacing w:after="0" w:line="194" w:lineRule="exact"/>
        <w:rPr>
          <w:rFonts w:ascii="Arial" w:cs="Arial" w:eastAsia="Arial" w:hAnsi="Arial"/>
          <w:sz w:val="18"/>
          <w:szCs w:val="18"/>
          <w:color w:val="auto"/>
        </w:rPr>
      </w:pPr>
    </w:p>
    <w:p>
      <w:pPr>
        <w:jc w:val="both"/>
        <w:ind w:right="160" w:firstLine="441"/>
        <w:spacing w:after="0" w:line="330" w:lineRule="auto"/>
        <w:tabs>
          <w:tab w:leader="none" w:pos="688"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No Integration</w:t>
      </w:r>
      <w:r>
        <w:rPr>
          <w:rFonts w:ascii="Arial" w:cs="Arial" w:eastAsia="Arial" w:hAnsi="Arial"/>
          <w:sz w:val="15"/>
          <w:szCs w:val="15"/>
          <w:color w:val="auto"/>
        </w:rPr>
        <w:t>. Neither the Company nor any of its affiliates (as defined in Rule 501(b) of Regulation D under the Securities Act (“Regulation</w:t>
      </w:r>
      <w:r>
        <w:rPr>
          <w:rFonts w:ascii="Arial" w:cs="Arial" w:eastAsia="Arial" w:hAnsi="Arial"/>
          <w:sz w:val="15"/>
          <w:szCs w:val="15"/>
          <w:i w:val="1"/>
          <w:iCs w:val="1"/>
          <w:color w:val="auto"/>
        </w:rPr>
        <w:t xml:space="preserve"> </w:t>
      </w:r>
      <w:r>
        <w:rPr>
          <w:rFonts w:ascii="Arial" w:cs="Arial" w:eastAsia="Arial" w:hAnsi="Arial"/>
          <w:sz w:val="15"/>
          <w:szCs w:val="15"/>
          <w:color w:val="auto"/>
        </w:rPr>
        <w:t>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37" w:lineRule="exact"/>
        <w:rPr>
          <w:rFonts w:ascii="Arial" w:cs="Arial" w:eastAsia="Arial" w:hAnsi="Arial"/>
          <w:sz w:val="15"/>
          <w:szCs w:val="15"/>
          <w:color w:val="auto"/>
        </w:rPr>
      </w:pPr>
    </w:p>
    <w:p>
      <w:pPr>
        <w:ind w:firstLine="441"/>
        <w:spacing w:after="0" w:line="248" w:lineRule="auto"/>
        <w:tabs>
          <w:tab w:leader="none" w:pos="659"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No General Solicitation; Written Communications</w:t>
      </w:r>
      <w:r>
        <w:rPr>
          <w:rFonts w:ascii="Arial" w:cs="Arial" w:eastAsia="Arial" w:hAnsi="Arial"/>
          <w:sz w:val="18"/>
          <w:szCs w:val="18"/>
          <w:color w:val="auto"/>
        </w:rPr>
        <w:t>. None of the Company or any of its affiliates or any other person acting on its or their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other than any such solicitation listed on Schedule 4 (each such solicitation, a “Permitted General Solicitation”; each written general solicitation document listed on Schedule 4, a “Permitted General Solicitation Material”). The Company (including its agents and representatives, other than the Initial Purchasers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Notes other than the Pricing Disclosure Package, the Offering Memorandum and the Marketing Materials.</w:t>
      </w:r>
    </w:p>
    <w:p>
      <w:pPr>
        <w:spacing w:after="0" w:line="196" w:lineRule="exact"/>
        <w:rPr>
          <w:rFonts w:ascii="Arial" w:cs="Arial" w:eastAsia="Arial" w:hAnsi="Arial"/>
          <w:sz w:val="18"/>
          <w:szCs w:val="18"/>
          <w:color w:val="auto"/>
        </w:rPr>
      </w:pPr>
    </w:p>
    <w:p>
      <w:pPr>
        <w:jc w:val="both"/>
        <w:ind w:firstLine="441"/>
        <w:spacing w:after="0" w:line="318" w:lineRule="auto"/>
        <w:tabs>
          <w:tab w:leader="none" w:pos="669"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Securities Law Exemptions</w:t>
      </w:r>
      <w:r>
        <w:rPr>
          <w:rFonts w:ascii="Arial" w:cs="Arial" w:eastAsia="Arial" w:hAnsi="Arial"/>
          <w:sz w:val="15"/>
          <w:szCs w:val="15"/>
          <w:color w:val="auto"/>
        </w:rPr>
        <w:t>. Assuming the accuracy of the representations and warranties of the Initial Purchasers contained in Section 2(e) and</w:t>
      </w:r>
      <w:r>
        <w:rPr>
          <w:rFonts w:ascii="Arial" w:cs="Arial" w:eastAsia="Arial" w:hAnsi="Arial"/>
          <w:sz w:val="15"/>
          <w:szCs w:val="15"/>
          <w:i w:val="1"/>
          <w:iCs w:val="1"/>
          <w:color w:val="auto"/>
        </w:rPr>
        <w:t xml:space="preserve"> </w:t>
      </w:r>
      <w:r>
        <w:rPr>
          <w:rFonts w:ascii="Arial" w:cs="Arial" w:eastAsia="Arial" w:hAnsi="Arial"/>
          <w:sz w:val="15"/>
          <w:szCs w:val="15"/>
          <w:color w:val="auto"/>
        </w:rPr>
        <w:t>their compliance with their agreements set forth therein, it is not necessary, in connection with the issuance and sale of the Notes to the Initial Purchasers and the offer, resale and delivery of the Notes by the Initial Purchasers in the manner contemplated by this Agreement, the Pricing Disclosure Package and the Offering Memorandum, to register the Notes under the Securities Act or to qualify the Indenture under the Trust Indenture Act.</w:t>
      </w:r>
    </w:p>
    <w:p>
      <w:pPr>
        <w:spacing w:after="0" w:line="146" w:lineRule="exact"/>
        <w:rPr>
          <w:rFonts w:ascii="Arial" w:cs="Arial" w:eastAsia="Arial" w:hAnsi="Arial"/>
          <w:sz w:val="15"/>
          <w:szCs w:val="15"/>
          <w:color w:val="auto"/>
        </w:rPr>
      </w:pPr>
    </w:p>
    <w:p>
      <w:pPr>
        <w:ind w:right="500" w:firstLine="441"/>
        <w:spacing w:after="0" w:line="255" w:lineRule="auto"/>
        <w:tabs>
          <w:tab w:leader="none" w:pos="649"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Pricing Disclosure Package and the Offering Memorandum.</w:t>
      </w:r>
    </w:p>
    <w:p>
      <w:pPr>
        <w:spacing w:after="0" w:line="188" w:lineRule="exact"/>
        <w:rPr>
          <w:rFonts w:ascii="Arial" w:cs="Arial" w:eastAsia="Arial" w:hAnsi="Arial"/>
          <w:sz w:val="18"/>
          <w:szCs w:val="18"/>
          <w:color w:val="auto"/>
        </w:rPr>
      </w:pPr>
    </w:p>
    <w:p>
      <w:pPr>
        <w:ind w:firstLine="441"/>
        <w:spacing w:after="0" w:line="265" w:lineRule="auto"/>
        <w:tabs>
          <w:tab w:leader="none" w:pos="688"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3" w:right="259" w:bottom="1440" w:gutter="0" w:footer="0" w:header="0"/>
        </w:sectPr>
      </w:pPr>
    </w:p>
    <w:bookmarkStart w:id="119" w:name="page120"/>
    <w:bookmarkEnd w:id="119"/>
    <w:p>
      <w:pPr>
        <w:ind w:right="20" w:firstLine="441"/>
        <w:spacing w:after="0" w:line="302" w:lineRule="auto"/>
        <w:tabs>
          <w:tab w:leader="none" w:pos="688" w:val="left"/>
        </w:tabs>
        <w:numPr>
          <w:ilvl w:val="1"/>
          <w:numId w:val="103"/>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No Conflicts. </w:t>
      </w:r>
      <w:r>
        <w:rPr>
          <w:rFonts w:ascii="Arial" w:cs="Arial" w:eastAsia="Arial" w:hAnsi="Arial"/>
          <w:sz w:val="15"/>
          <w:szCs w:val="15"/>
          <w:color w:val="auto"/>
        </w:rPr>
        <w:t>The execution, delivery and performance by the Company of this Agreement and the Indenture, the issuance and sale of the Notes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issuance of the Underlying Securities upon conversion thereof)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58" w:lineRule="exact"/>
        <w:rPr>
          <w:rFonts w:ascii="Arial" w:cs="Arial" w:eastAsia="Arial" w:hAnsi="Arial"/>
          <w:sz w:val="15"/>
          <w:szCs w:val="15"/>
          <w:color w:val="auto"/>
        </w:rPr>
      </w:pPr>
    </w:p>
    <w:p>
      <w:pPr>
        <w:ind w:firstLine="441"/>
        <w:spacing w:after="0" w:line="298" w:lineRule="auto"/>
        <w:tabs>
          <w:tab w:leader="none" w:pos="728" w:val="left"/>
        </w:tabs>
        <w:numPr>
          <w:ilvl w:val="1"/>
          <w:numId w:val="103"/>
        </w:numPr>
        <w:rPr>
          <w:rFonts w:ascii="Arial" w:cs="Arial" w:eastAsia="Arial" w:hAnsi="Arial"/>
          <w:sz w:val="15"/>
          <w:szCs w:val="15"/>
          <w:color w:val="auto"/>
        </w:rPr>
      </w:pPr>
      <w:r>
        <w:rPr>
          <w:rFonts w:ascii="Arial" w:cs="Arial" w:eastAsia="Arial" w:hAnsi="Arial"/>
          <w:sz w:val="15"/>
          <w:szCs w:val="15"/>
          <w:i w:val="1"/>
          <w:iCs w:val="1"/>
          <w:color w:val="auto"/>
        </w:rPr>
        <w:t xml:space="preserve">No Consents Required. </w:t>
      </w:r>
      <w:r>
        <w:rPr>
          <w:rFonts w:ascii="Arial" w:cs="Arial" w:eastAsia="Arial" w:hAnsi="Arial"/>
          <w:sz w:val="15"/>
          <w:szCs w:val="15"/>
          <w:color w:val="auto"/>
        </w:rPr>
        <w:t>No consent, approval, authorization, order, license, registration or qualification of or with any court or arbitrator or</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governmental or regulatory authority is required for the execution, delivery and performance by the Company of this Agreement and the Indenture, the issuance and sale of the Notes (including the issuance of the Underlying Securities upon conversion thereof) and the consummation of the transactions contemplated by this Agreement and the Indenture or the performance by the Company of the Investment Management Agreement and the Administration Agreement, except for (i) such consents, approvals, authorizations, orders, licenses, registrations or qualifications as have already been obtained or made,</w:t>
      </w:r>
    </w:p>
    <w:p>
      <w:pPr>
        <w:spacing w:after="0" w:line="1" w:lineRule="exact"/>
        <w:rPr>
          <w:rFonts w:ascii="Arial" w:cs="Arial" w:eastAsia="Arial" w:hAnsi="Arial"/>
          <w:sz w:val="15"/>
          <w:szCs w:val="15"/>
          <w:color w:val="auto"/>
        </w:rPr>
      </w:pPr>
    </w:p>
    <w:p>
      <w:pPr>
        <w:ind w:right="140" w:firstLine="3"/>
        <w:spacing w:after="0" w:line="267" w:lineRule="auto"/>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such consents, approvals, authorizations, orders and registrations or qualifications as may be required under applicable state securities laws in connection with the purchase and distribution of the Notes by the Initial Purchasers, (iii) the listing of the Underlying Securities on the New York Stock Exchange and (iv) where the failure to obtain any such consent, approval, authorization, order, license, registration or qualification would not reasonably be expected, individually or in the aggregate, to have a Material Adverse Effect.</w:t>
      </w:r>
    </w:p>
    <w:p>
      <w:pPr>
        <w:spacing w:after="0" w:line="179" w:lineRule="exact"/>
        <w:rPr>
          <w:rFonts w:ascii="Arial" w:cs="Arial" w:eastAsia="Arial" w:hAnsi="Arial"/>
          <w:sz w:val="17"/>
          <w:szCs w:val="17"/>
          <w:color w:val="auto"/>
        </w:rPr>
      </w:pPr>
    </w:p>
    <w:p>
      <w:pPr>
        <w:ind w:firstLine="441"/>
        <w:spacing w:after="0" w:line="265" w:lineRule="auto"/>
        <w:tabs>
          <w:tab w:leader="none" w:pos="688" w:val="left"/>
        </w:tabs>
        <w:numPr>
          <w:ilvl w:val="1"/>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Pricing Disclosure Package and the Offering Memorandum, there are no legal, governmental or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would be required to be described in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3" w:right="259" w:bottom="1440" w:gutter="0" w:footer="0" w:header="0"/>
        </w:sectPr>
      </w:pPr>
    </w:p>
    <w:bookmarkStart w:id="120" w:name="page121"/>
    <w:bookmarkEnd w:id="120"/>
    <w:p>
      <w:pPr>
        <w:ind w:right="1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Pricing Disclosure Package or the Offering Memorandum if the offering of the Notes was pursuant to a registration under the Securities Act that are not so described in the Pricing Disclosure Package and the Offering Memorandum, and (ii) there are no contracts or other documents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78" w:lineRule="exact"/>
        <w:rPr>
          <w:sz w:val="20"/>
          <w:szCs w:val="20"/>
          <w:color w:val="auto"/>
        </w:rPr>
      </w:pPr>
    </w:p>
    <w:p>
      <w:pPr>
        <w:ind w:firstLine="441"/>
        <w:spacing w:after="0" w:line="252" w:lineRule="auto"/>
        <w:tabs>
          <w:tab w:leader="none" w:pos="688"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91" w:lineRule="exact"/>
        <w:rPr>
          <w:rFonts w:ascii="Arial" w:cs="Arial" w:eastAsia="Arial" w:hAnsi="Arial"/>
          <w:sz w:val="18"/>
          <w:szCs w:val="18"/>
          <w:color w:val="auto"/>
        </w:rPr>
      </w:pPr>
    </w:p>
    <w:p>
      <w:pPr>
        <w:ind w:firstLine="441"/>
        <w:spacing w:after="0" w:line="265" w:lineRule="auto"/>
        <w:tabs>
          <w:tab w:leader="none" w:pos="679"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Offering Memorandum, assuming they are implemented as described, will comply in all material respects with the requirements of the Investment Company Act; and (C) as of the time of each sale of Notes, as of the Closing Date and as of any Additional Closing Date, the operations of the Company are in compliance in all material respects with the provisions of the Investment Company Act applicable to business development companies.</w:t>
      </w:r>
    </w:p>
    <w:p>
      <w:pPr>
        <w:spacing w:after="0" w:line="183" w:lineRule="exact"/>
        <w:rPr>
          <w:sz w:val="20"/>
          <w:szCs w:val="20"/>
          <w:color w:val="auto"/>
        </w:rPr>
      </w:pPr>
    </w:p>
    <w:p>
      <w:pPr>
        <w:ind w:right="80" w:firstLine="441"/>
        <w:spacing w:after="0" w:line="277" w:lineRule="auto"/>
        <w:tabs>
          <w:tab w:leader="none" w:pos="757" w:val="left"/>
        </w:tabs>
        <w:numPr>
          <w:ilvl w:val="1"/>
          <w:numId w:val="106"/>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71" w:lineRule="exact"/>
        <w:rPr>
          <w:rFonts w:ascii="Arial" w:cs="Arial" w:eastAsia="Arial" w:hAnsi="Arial"/>
          <w:sz w:val="17"/>
          <w:szCs w:val="17"/>
          <w:color w:val="auto"/>
        </w:rPr>
      </w:pPr>
    </w:p>
    <w:p>
      <w:pPr>
        <w:ind w:right="20" w:firstLine="441"/>
        <w:spacing w:after="0" w:line="267" w:lineRule="auto"/>
        <w:tabs>
          <w:tab w:leader="none" w:pos="777" w:val="left"/>
        </w:tabs>
        <w:numPr>
          <w:ilvl w:val="1"/>
          <w:numId w:val="106"/>
        </w:numPr>
        <w:rPr>
          <w:rFonts w:ascii="Arial" w:cs="Arial" w:eastAsia="Arial" w:hAnsi="Arial"/>
          <w:sz w:val="17"/>
          <w:szCs w:val="17"/>
          <w:color w:val="auto"/>
        </w:rPr>
      </w:pPr>
      <w:r>
        <w:rPr>
          <w:rFonts w:ascii="Arial" w:cs="Arial" w:eastAsia="Arial" w:hAnsi="Arial"/>
          <w:sz w:val="17"/>
          <w:szCs w:val="17"/>
          <w:i w:val="1"/>
          <w:iCs w:val="1"/>
          <w:color w:val="auto"/>
        </w:rPr>
        <w:t>Title to Real and Personal Property</w:t>
      </w:r>
      <w:r>
        <w:rPr>
          <w:rFonts w:ascii="Arial" w:cs="Arial" w:eastAsia="Arial" w:hAnsi="Arial"/>
          <w:sz w:val="17"/>
          <w:szCs w:val="17"/>
          <w:color w:val="auto"/>
        </w:rPr>
        <w:t>. Except as would not reasonably be expected, individually or in the aggregate, to have a Material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3(cc)) that are material to the business of the Company and its subsidiaries, in each case free and clear of all liens, encumbrances, claims and defects and imperfections of title except (i) as otherwise described in the Pricing Disclosure Package and the Offering Memorandum or (ii) those that do not materially interfere with the use made and proposed to be made of such property by the Company and its subsidiaries.</w:t>
      </w:r>
    </w:p>
    <w:p>
      <w:pPr>
        <w:spacing w:after="0" w:line="180" w:lineRule="exact"/>
        <w:rPr>
          <w:rFonts w:ascii="Arial" w:cs="Arial" w:eastAsia="Arial" w:hAnsi="Arial"/>
          <w:sz w:val="17"/>
          <w:szCs w:val="17"/>
          <w:color w:val="auto"/>
        </w:rPr>
      </w:pPr>
    </w:p>
    <w:p>
      <w:pPr>
        <w:ind w:left="760" w:hanging="319"/>
        <w:spacing w:after="0"/>
        <w:tabs>
          <w:tab w:leader="none" w:pos="760" w:val="left"/>
        </w:tabs>
        <w:numPr>
          <w:ilvl w:val="1"/>
          <w:numId w:val="106"/>
        </w:numPr>
        <w:rPr>
          <w:rFonts w:ascii="Arial" w:cs="Arial" w:eastAsia="Arial" w:hAnsi="Arial"/>
          <w:sz w:val="15"/>
          <w:szCs w:val="15"/>
          <w:color w:val="auto"/>
        </w:rPr>
      </w:pPr>
      <w:r>
        <w:rPr>
          <w:rFonts w:ascii="Arial" w:cs="Arial" w:eastAsia="Arial" w:hAnsi="Arial"/>
          <w:sz w:val="15"/>
          <w:szCs w:val="15"/>
          <w:i w:val="1"/>
          <w:iCs w:val="1"/>
          <w:color w:val="auto"/>
        </w:rPr>
        <w:t>Title to Intellectual Property</w:t>
      </w:r>
      <w:r>
        <w:rPr>
          <w:rFonts w:ascii="Arial" w:cs="Arial" w:eastAsia="Arial" w:hAnsi="Arial"/>
          <w:sz w:val="15"/>
          <w:szCs w:val="15"/>
          <w:color w:val="auto"/>
        </w:rPr>
        <w:t>. Except as would not reasonably be expected, individually or in the aggregate, to have a Material Adverse Effect,</w:t>
      </w:r>
    </w:p>
    <w:p>
      <w:pPr>
        <w:spacing w:after="0" w:line="50" w:lineRule="exact"/>
        <w:rPr>
          <w:rFonts w:ascii="Arial" w:cs="Arial" w:eastAsia="Arial" w:hAnsi="Arial"/>
          <w:sz w:val="15"/>
          <w:szCs w:val="15"/>
          <w:color w:val="auto"/>
        </w:rPr>
      </w:pPr>
    </w:p>
    <w:p>
      <w:pPr>
        <w:ind w:right="240" w:firstLine="3"/>
        <w:spacing w:after="0" w:line="248" w:lineRule="auto"/>
        <w:tabs>
          <w:tab w:leader="none" w:pos="2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3" w:right="239" w:bottom="1440" w:gutter="0" w:footer="0" w:header="0"/>
        </w:sectPr>
      </w:pPr>
    </w:p>
    <w:bookmarkStart w:id="121" w:name="page122"/>
    <w:bookmarkEnd w:id="121"/>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95" w:lineRule="exact"/>
        <w:rPr>
          <w:sz w:val="20"/>
          <w:szCs w:val="20"/>
          <w:color w:val="auto"/>
        </w:rPr>
      </w:pPr>
    </w:p>
    <w:p>
      <w:pPr>
        <w:ind w:right="100" w:firstLine="441"/>
        <w:spacing w:after="0" w:line="271" w:lineRule="auto"/>
        <w:tabs>
          <w:tab w:leader="none" w:pos="777"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No Undisclosed Relationships</w:t>
      </w:r>
      <w:r>
        <w:rPr>
          <w:rFonts w:ascii="Arial" w:cs="Arial" w:eastAsia="Arial" w:hAnsi="Arial"/>
          <w:sz w:val="17"/>
          <w:szCs w:val="17"/>
          <w:color w:val="auto"/>
        </w:rPr>
        <w:t>. No relationship, direct or indirect, exists between or among the Company or any of its subsidiaries, on the one</w:t>
      </w:r>
      <w:r>
        <w:rPr>
          <w:rFonts w:ascii="Arial" w:cs="Arial" w:eastAsia="Arial" w:hAnsi="Arial"/>
          <w:sz w:val="17"/>
          <w:szCs w:val="17"/>
          <w:i w:val="1"/>
          <w:iCs w:val="1"/>
          <w:color w:val="auto"/>
        </w:rPr>
        <w:t xml:space="preserve"> </w:t>
      </w:r>
      <w:r>
        <w:rPr>
          <w:rFonts w:ascii="Arial" w:cs="Arial" w:eastAsia="Arial" w:hAnsi="Arial"/>
          <w:sz w:val="17"/>
          <w:szCs w:val="17"/>
          <w:color w:val="auto"/>
        </w:rPr>
        <w:t>hand, and the directors, officers, stockholders, customers or suppliers of the Company or any of its subsidiaries, on the other, that would be required to be described in the Pricing Disclosure Package or the Offering Memorandum if the offering of the Notes was pursuant to a registration under the Securities Act that is not so described in the Pricing Disclosure Package and the Offering Memorandum.</w:t>
      </w:r>
    </w:p>
    <w:p>
      <w:pPr>
        <w:spacing w:after="0" w:line="177" w:lineRule="exact"/>
        <w:rPr>
          <w:rFonts w:ascii="Arial" w:cs="Arial" w:eastAsia="Arial" w:hAnsi="Arial"/>
          <w:sz w:val="17"/>
          <w:szCs w:val="17"/>
          <w:color w:val="auto"/>
        </w:rPr>
      </w:pPr>
    </w:p>
    <w:p>
      <w:pPr>
        <w:ind w:right="160" w:firstLine="441"/>
        <w:spacing w:after="0" w:line="269" w:lineRule="auto"/>
        <w:tabs>
          <w:tab w:leader="none" w:pos="757"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its subsidiaries are not, and, after giving effect to the offering and sale of the Notes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the proceeds thereof as described in the Pricing Disclosure Package and the Offering Memorandum,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77" w:lineRule="exact"/>
        <w:rPr>
          <w:rFonts w:ascii="Arial" w:cs="Arial" w:eastAsia="Arial" w:hAnsi="Arial"/>
          <w:sz w:val="17"/>
          <w:szCs w:val="17"/>
          <w:color w:val="auto"/>
        </w:rPr>
      </w:pPr>
    </w:p>
    <w:p>
      <w:pPr>
        <w:ind w:right="20" w:firstLine="441"/>
        <w:spacing w:after="0" w:line="309" w:lineRule="auto"/>
        <w:tabs>
          <w:tab w:leader="none" w:pos="715" w:val="left"/>
        </w:tabs>
        <w:numPr>
          <w:ilvl w:val="0"/>
          <w:numId w:val="108"/>
        </w:numPr>
        <w:rPr>
          <w:rFonts w:ascii="Arial" w:cs="Arial" w:eastAsia="Arial" w:hAnsi="Arial"/>
          <w:sz w:val="15"/>
          <w:szCs w:val="15"/>
          <w:color w:val="auto"/>
        </w:rPr>
      </w:pPr>
      <w:r>
        <w:rPr>
          <w:rFonts w:ascii="Arial" w:cs="Arial" w:eastAsia="Arial" w:hAnsi="Arial"/>
          <w:sz w:val="15"/>
          <w:szCs w:val="15"/>
          <w:i w:val="1"/>
          <w:iCs w:val="1"/>
          <w:color w:val="auto"/>
        </w:rPr>
        <w:t xml:space="preserve">Taxes. </w:t>
      </w:r>
      <w:r>
        <w:rPr>
          <w:rFonts w:ascii="Arial" w:cs="Arial" w:eastAsia="Arial" w:hAnsi="Arial"/>
          <w:sz w:val="15"/>
          <w:szCs w:val="15"/>
          <w:color w:val="auto"/>
        </w:rPr>
        <w:t>The Company and its subsidiaries have paid (or caused to be paid) all federal, state, local and foreign taxes required by law to be paid,</w:t>
      </w:r>
      <w:r>
        <w:rPr>
          <w:rFonts w:ascii="Arial" w:cs="Arial" w:eastAsia="Arial" w:hAnsi="Arial"/>
          <w:sz w:val="15"/>
          <w:szCs w:val="15"/>
          <w:i w:val="1"/>
          <w:iCs w:val="1"/>
          <w:color w:val="auto"/>
        </w:rPr>
        <w:t xml:space="preserve"> </w:t>
      </w:r>
      <w:r>
        <w:rPr>
          <w:rFonts w:ascii="Arial" w:cs="Arial" w:eastAsia="Arial" w:hAnsi="Arial"/>
          <w:sz w:val="15"/>
          <w:szCs w:val="15"/>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Pricing Disclosure Package and the Offering Memorandum,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52" w:lineRule="exact"/>
        <w:rPr>
          <w:rFonts w:ascii="Arial" w:cs="Arial" w:eastAsia="Arial" w:hAnsi="Arial"/>
          <w:sz w:val="15"/>
          <w:szCs w:val="15"/>
          <w:color w:val="auto"/>
        </w:rPr>
      </w:pPr>
    </w:p>
    <w:p>
      <w:pPr>
        <w:ind w:right="80" w:firstLine="441"/>
        <w:spacing w:after="0" w:line="264" w:lineRule="auto"/>
        <w:tabs>
          <w:tab w:leader="none" w:pos="777"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 Material Adverse Effect; and except as described in the Pricing Disclosure Package and the Offering Memorandum,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3" w:right="239" w:bottom="1440" w:gutter="0" w:footer="0" w:header="0"/>
        </w:sectPr>
      </w:pPr>
    </w:p>
    <w:bookmarkStart w:id="122" w:name="page123"/>
    <w:bookmarkEnd w:id="122"/>
    <w:p>
      <w:pPr>
        <w:ind w:right="40" w:firstLine="441"/>
        <w:spacing w:after="0" w:line="309" w:lineRule="auto"/>
        <w:tabs>
          <w:tab w:leader="none" w:pos="777" w:val="left"/>
        </w:tabs>
        <w:numPr>
          <w:ilvl w:val="1"/>
          <w:numId w:val="109"/>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Disclosure Controls</w:t>
      </w:r>
      <w:r>
        <w:rPr>
          <w:rFonts w:ascii="Arial" w:cs="Arial" w:eastAsia="Arial" w:hAnsi="Arial"/>
          <w:sz w:val="15"/>
          <w:szCs w:val="15"/>
          <w:color w:val="auto"/>
        </w:rPr>
        <w:t>. The Company maintains an effective system of “disclosure controls and procedures” (as defined in Rule 13a-15(e)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52" w:lineRule="exact"/>
        <w:rPr>
          <w:rFonts w:ascii="Arial" w:cs="Arial" w:eastAsia="Arial" w:hAnsi="Arial"/>
          <w:sz w:val="15"/>
          <w:szCs w:val="15"/>
          <w:color w:val="auto"/>
        </w:rPr>
      </w:pPr>
    </w:p>
    <w:p>
      <w:pPr>
        <w:ind w:firstLine="441"/>
        <w:spacing w:after="0" w:line="296" w:lineRule="auto"/>
        <w:tabs>
          <w:tab w:leader="none" w:pos="698" w:val="left"/>
        </w:tabs>
        <w:numPr>
          <w:ilvl w:val="1"/>
          <w:numId w:val="109"/>
        </w:numPr>
        <w:rPr>
          <w:rFonts w:ascii="Arial" w:cs="Arial" w:eastAsia="Arial" w:hAnsi="Arial"/>
          <w:sz w:val="15"/>
          <w:szCs w:val="15"/>
          <w:color w:val="auto"/>
        </w:rPr>
      </w:pPr>
      <w:r>
        <w:rPr>
          <w:rFonts w:ascii="Arial" w:cs="Arial" w:eastAsia="Arial" w:hAnsi="Arial"/>
          <w:sz w:val="15"/>
          <w:szCs w:val="15"/>
          <w:i w:val="1"/>
          <w:iCs w:val="1"/>
          <w:color w:val="auto"/>
        </w:rPr>
        <w:t xml:space="preserve">Accounting Controls. </w:t>
      </w:r>
      <w:r>
        <w:rPr>
          <w:rFonts w:ascii="Arial" w:cs="Arial" w:eastAsia="Arial" w:hAnsi="Arial"/>
          <w:sz w:val="15"/>
          <w:szCs w:val="15"/>
          <w:color w:val="auto"/>
        </w:rPr>
        <w:t>The Company maintains a system of “internal control over financial reporting” (as defined in Rule 13a-15(f) of the</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w:t>
      </w:r>
    </w:p>
    <w:p>
      <w:pPr>
        <w:spacing w:after="0" w:line="6" w:lineRule="exact"/>
        <w:rPr>
          <w:rFonts w:ascii="Arial" w:cs="Arial" w:eastAsia="Arial" w:hAnsi="Arial"/>
          <w:sz w:val="15"/>
          <w:szCs w:val="15"/>
          <w:color w:val="auto"/>
        </w:rPr>
      </w:pPr>
    </w:p>
    <w:p>
      <w:pPr>
        <w:ind w:right="60" w:firstLine="3"/>
        <w:spacing w:after="0" w:line="303" w:lineRule="auto"/>
        <w:tabs>
          <w:tab w:leader="none" w:pos="29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Pricing Disclosure Package and the Offering Memorandum,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55" w:lineRule="exact"/>
        <w:rPr>
          <w:rFonts w:ascii="Arial" w:cs="Arial" w:eastAsia="Arial" w:hAnsi="Arial"/>
          <w:sz w:val="15"/>
          <w:szCs w:val="15"/>
          <w:color w:val="auto"/>
        </w:rPr>
      </w:pPr>
    </w:p>
    <w:p>
      <w:pPr>
        <w:ind w:right="40" w:firstLine="441"/>
        <w:spacing w:after="0" w:line="266" w:lineRule="auto"/>
        <w:tabs>
          <w:tab w:leader="none" w:pos="698" w:val="left"/>
        </w:tabs>
        <w:numPr>
          <w:ilvl w:val="1"/>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The Company and its subsidiaries have insurance covering their respective properties, operations, personnel and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3" w:right="239" w:bottom="1440" w:gutter="0" w:footer="0" w:header="0"/>
        </w:sectPr>
      </w:pPr>
    </w:p>
    <w:bookmarkStart w:id="123" w:name="page124"/>
    <w:bookmarkEnd w:id="123"/>
    <w:p>
      <w:pPr>
        <w:ind w:right="180" w:firstLine="441"/>
        <w:spacing w:after="0" w:line="297" w:lineRule="auto"/>
        <w:tabs>
          <w:tab w:leader="none" w:pos="777" w:val="left"/>
        </w:tabs>
        <w:numPr>
          <w:ilvl w:val="1"/>
          <w:numId w:val="111"/>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No Unlawful Payments. </w:t>
      </w:r>
      <w:r>
        <w:rPr>
          <w:rFonts w:ascii="Arial" w:cs="Arial" w:eastAsia="Arial" w:hAnsi="Arial"/>
          <w:sz w:val="15"/>
          <w:szCs w:val="15"/>
          <w:color w:val="auto"/>
        </w:rPr>
        <w:t>Neither the Company nor any of its subsidiaries nor any director, officer, or employee of the Company or any of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3" w:lineRule="exact"/>
        <w:rPr>
          <w:rFonts w:ascii="Arial" w:cs="Arial" w:eastAsia="Arial" w:hAnsi="Arial"/>
          <w:sz w:val="15"/>
          <w:szCs w:val="15"/>
          <w:color w:val="auto"/>
        </w:rPr>
      </w:pPr>
    </w:p>
    <w:p>
      <w:pPr>
        <w:ind w:right="140" w:firstLine="3"/>
        <w:spacing w:after="0" w:line="246" w:lineRule="auto"/>
        <w:tabs>
          <w:tab w:leader="none" w:pos="30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200" w:lineRule="exact"/>
        <w:rPr>
          <w:rFonts w:ascii="Arial" w:cs="Arial" w:eastAsia="Arial" w:hAnsi="Arial"/>
          <w:sz w:val="18"/>
          <w:szCs w:val="18"/>
          <w:color w:val="auto"/>
        </w:rPr>
      </w:pPr>
    </w:p>
    <w:p>
      <w:pPr>
        <w:ind w:right="80" w:firstLine="441"/>
        <w:spacing w:after="0" w:line="307" w:lineRule="auto"/>
        <w:tabs>
          <w:tab w:leader="none" w:pos="698" w:val="left"/>
        </w:tabs>
        <w:numPr>
          <w:ilvl w:val="1"/>
          <w:numId w:val="112"/>
        </w:numPr>
        <w:rPr>
          <w:rFonts w:ascii="Arial" w:cs="Arial" w:eastAsia="Arial" w:hAnsi="Arial"/>
          <w:sz w:val="15"/>
          <w:szCs w:val="15"/>
          <w:color w:val="auto"/>
        </w:rPr>
      </w:pPr>
      <w:r>
        <w:rPr>
          <w:rFonts w:ascii="Arial" w:cs="Arial" w:eastAsia="Arial" w:hAnsi="Arial"/>
          <w:sz w:val="15"/>
          <w:szCs w:val="15"/>
          <w:i w:val="1"/>
          <w:iCs w:val="1"/>
          <w:color w:val="auto"/>
        </w:rPr>
        <w:t>Compliance with Money Laundering Laws</w:t>
      </w:r>
      <w:r>
        <w:rPr>
          <w:rFonts w:ascii="Arial" w:cs="Arial" w:eastAsia="Arial" w:hAnsi="Arial"/>
          <w:sz w:val="15"/>
          <w:szCs w:val="15"/>
          <w:color w:val="auto"/>
        </w:rPr>
        <w:t>. The operations of the Company and its subsidiaries are and have been conducted at all times in</w:t>
      </w:r>
      <w:r>
        <w:rPr>
          <w:rFonts w:ascii="Arial" w:cs="Arial" w:eastAsia="Arial" w:hAnsi="Arial"/>
          <w:sz w:val="15"/>
          <w:szCs w:val="15"/>
          <w:i w:val="1"/>
          <w:iCs w:val="1"/>
          <w:color w:val="auto"/>
        </w:rPr>
        <w:t xml:space="preserve"> </w:t>
      </w:r>
      <w:r>
        <w:rPr>
          <w:rFonts w:ascii="Arial" w:cs="Arial" w:eastAsia="Arial" w:hAnsi="Arial"/>
          <w:sz w:val="15"/>
          <w:szCs w:val="15"/>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52" w:lineRule="exact"/>
        <w:rPr>
          <w:rFonts w:ascii="Arial" w:cs="Arial" w:eastAsia="Arial" w:hAnsi="Arial"/>
          <w:sz w:val="15"/>
          <w:szCs w:val="15"/>
          <w:color w:val="auto"/>
        </w:rPr>
      </w:pPr>
    </w:p>
    <w:p>
      <w:pPr>
        <w:ind w:firstLine="441"/>
        <w:spacing w:after="0" w:line="305" w:lineRule="auto"/>
        <w:tabs>
          <w:tab w:leader="none" w:pos="875" w:val="left"/>
        </w:tabs>
        <w:numPr>
          <w:ilvl w:val="1"/>
          <w:numId w:val="112"/>
        </w:numPr>
        <w:rPr>
          <w:rFonts w:ascii="Arial" w:cs="Arial" w:eastAsia="Arial" w:hAnsi="Arial"/>
          <w:sz w:val="15"/>
          <w:szCs w:val="15"/>
          <w:color w:val="auto"/>
        </w:rPr>
      </w:pPr>
      <w:r>
        <w:rPr>
          <w:rFonts w:ascii="Arial" w:cs="Arial" w:eastAsia="Arial" w:hAnsi="Arial"/>
          <w:sz w:val="15"/>
          <w:szCs w:val="15"/>
          <w:i w:val="1"/>
          <w:iCs w:val="1"/>
          <w:color w:val="auto"/>
        </w:rPr>
        <w:t xml:space="preserve">No Conflicts with Sanctions Laws. </w:t>
      </w:r>
      <w:r>
        <w:rPr>
          <w:rFonts w:ascii="Arial" w:cs="Arial" w:eastAsia="Arial" w:hAnsi="Arial"/>
          <w:sz w:val="15"/>
          <w:szCs w:val="15"/>
          <w:color w:val="auto"/>
        </w:rPr>
        <w:t>Neither the Company nor any of its subsidiaries, directors, officers or employees, nor, to the knowledge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any of its subsidiaries located, organized or resident in a country or territory that is the subject or the target of Sanctions, including, without limitation, Cuba, Iran, North Korea, Sudan and Syria, that broadly prohibit dealings with that country or territory (each, a “Sanctioned Country”); and the Company will not directly or indirectly use the</w:t>
      </w:r>
    </w:p>
    <w:p>
      <w:pPr>
        <w:spacing w:after="0" w:line="8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3" w:right="279" w:bottom="1440" w:gutter="0" w:footer="0" w:header="0"/>
        </w:sectPr>
      </w:pPr>
    </w:p>
    <w:bookmarkStart w:id="124" w:name="page125"/>
    <w:bookmarkEnd w:id="124"/>
    <w:p>
      <w:pPr>
        <w:ind w:right="18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proceeds of the offering of the Notes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153" w:lineRule="exact"/>
        <w:rPr>
          <w:sz w:val="20"/>
          <w:szCs w:val="20"/>
          <w:color w:val="auto"/>
        </w:rPr>
      </w:pPr>
    </w:p>
    <w:p>
      <w:pPr>
        <w:ind w:right="80" w:firstLine="441"/>
        <w:spacing w:after="0" w:line="318" w:lineRule="auto"/>
        <w:tabs>
          <w:tab w:leader="none" w:pos="777" w:val="left"/>
        </w:tabs>
        <w:numPr>
          <w:ilvl w:val="0"/>
          <w:numId w:val="113"/>
        </w:numPr>
        <w:rPr>
          <w:rFonts w:ascii="Arial" w:cs="Arial" w:eastAsia="Arial" w:hAnsi="Arial"/>
          <w:sz w:val="15"/>
          <w:szCs w:val="15"/>
          <w:color w:val="auto"/>
        </w:rPr>
      </w:pPr>
      <w:r>
        <w:rPr>
          <w:rFonts w:ascii="Arial" w:cs="Arial" w:eastAsia="Arial" w:hAnsi="Arial"/>
          <w:sz w:val="15"/>
          <w:szCs w:val="15"/>
          <w:i w:val="1"/>
          <w:iCs w:val="1"/>
          <w:color w:val="auto"/>
        </w:rPr>
        <w:t>No Restrictions on Subsidiaries</w:t>
      </w:r>
      <w:r>
        <w:rPr>
          <w:rFonts w:ascii="Arial" w:cs="Arial" w:eastAsia="Arial" w:hAnsi="Arial"/>
          <w:sz w:val="15"/>
          <w:szCs w:val="15"/>
          <w:color w:val="auto"/>
        </w:rPr>
        <w:t>. No subsidiary of the Company is currently prohibited, directly or indirectly, under any agreement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Pricing Disclosure Package and the Offering Memorandum.</w:t>
      </w:r>
    </w:p>
    <w:p>
      <w:pPr>
        <w:spacing w:after="0" w:line="146" w:lineRule="exact"/>
        <w:rPr>
          <w:rFonts w:ascii="Arial" w:cs="Arial" w:eastAsia="Arial" w:hAnsi="Arial"/>
          <w:sz w:val="15"/>
          <w:szCs w:val="15"/>
          <w:color w:val="auto"/>
        </w:rPr>
      </w:pPr>
    </w:p>
    <w:p>
      <w:pPr>
        <w:ind w:firstLine="441"/>
        <w:spacing w:after="0" w:line="255" w:lineRule="auto"/>
        <w:tabs>
          <w:tab w:leader="none" w:pos="77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this Agreement) that would give rise to a valid claim against the Company or any of its subsidiaries or any Initial Purchaser for a brokerage commission, finder’s fee or like payment in connection with the offering and sale of the Notes.</w:t>
      </w:r>
    </w:p>
    <w:p>
      <w:pPr>
        <w:spacing w:after="0" w:line="188" w:lineRule="exact"/>
        <w:rPr>
          <w:rFonts w:ascii="Arial" w:cs="Arial" w:eastAsia="Arial" w:hAnsi="Arial"/>
          <w:sz w:val="18"/>
          <w:szCs w:val="18"/>
          <w:color w:val="auto"/>
        </w:rPr>
      </w:pPr>
    </w:p>
    <w:p>
      <w:pPr>
        <w:ind w:right="160" w:firstLine="441"/>
        <w:spacing w:after="0" w:line="255" w:lineRule="auto"/>
        <w:tabs>
          <w:tab w:leader="none" w:pos="77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set forth in Section 4(q) with respect to the Adviser, the Company has not taken, directly or indirectly,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giving effect to any activities by the Initial Purchasers, any action designed to or that would reasonably be expected to cause or result in any stabilization or manipulation of the price of the Notes.</w:t>
      </w:r>
    </w:p>
    <w:p>
      <w:pPr>
        <w:spacing w:after="0" w:line="188" w:lineRule="exact"/>
        <w:rPr>
          <w:rFonts w:ascii="Arial" w:cs="Arial" w:eastAsia="Arial" w:hAnsi="Arial"/>
          <w:sz w:val="18"/>
          <w:szCs w:val="18"/>
          <w:color w:val="auto"/>
        </w:rPr>
      </w:pPr>
    </w:p>
    <w:p>
      <w:pPr>
        <w:jc w:val="both"/>
        <w:ind w:right="160" w:firstLine="441"/>
        <w:spacing w:after="0" w:line="255" w:lineRule="auto"/>
        <w:tabs>
          <w:tab w:leader="none" w:pos="77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Pricing Disclosure Package or the Offering Memorandum has been made or reaffirmed without a reasonable basis or has been disclosed other than in good faith.</w:t>
      </w:r>
    </w:p>
    <w:p>
      <w:pPr>
        <w:spacing w:after="0" w:line="188" w:lineRule="exact"/>
        <w:rPr>
          <w:rFonts w:ascii="Arial" w:cs="Arial" w:eastAsia="Arial" w:hAnsi="Arial"/>
          <w:sz w:val="18"/>
          <w:szCs w:val="18"/>
          <w:color w:val="auto"/>
        </w:rPr>
      </w:pPr>
    </w:p>
    <w:p>
      <w:pPr>
        <w:ind w:right="40" w:firstLine="441"/>
        <w:spacing w:after="0" w:line="255" w:lineRule="auto"/>
        <w:tabs>
          <w:tab w:leader="none" w:pos="718"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Pricing Disclosure Package and the Offering Memorandum is not based on or derived from sources that are reasonably reliable and accurate in all material respects.</w:t>
      </w:r>
    </w:p>
    <w:p>
      <w:pPr>
        <w:spacing w:after="0" w:line="188" w:lineRule="exact"/>
        <w:rPr>
          <w:rFonts w:ascii="Arial" w:cs="Arial" w:eastAsia="Arial" w:hAnsi="Arial"/>
          <w:sz w:val="18"/>
          <w:szCs w:val="18"/>
          <w:color w:val="auto"/>
        </w:rPr>
      </w:pPr>
    </w:p>
    <w:p>
      <w:pPr>
        <w:ind w:right="100" w:firstLine="441"/>
        <w:spacing w:after="0" w:line="271" w:lineRule="auto"/>
        <w:tabs>
          <w:tab w:leader="none" w:pos="738"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Sarbanes-Oxley Act</w:t>
      </w:r>
      <w:r>
        <w:rPr>
          <w:rFonts w:ascii="Arial" w:cs="Arial" w:eastAsia="Arial" w:hAnsi="Arial"/>
          <w:sz w:val="17"/>
          <w:szCs w:val="17"/>
          <w:color w:val="auto"/>
        </w:rPr>
        <w:t>. There is and has been no failure on the part of the Company or, to the knowledge of the Company, any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77" w:lineRule="exact"/>
        <w:rPr>
          <w:rFonts w:ascii="Arial" w:cs="Arial" w:eastAsia="Arial" w:hAnsi="Arial"/>
          <w:sz w:val="17"/>
          <w:szCs w:val="17"/>
          <w:color w:val="auto"/>
        </w:rPr>
      </w:pPr>
    </w:p>
    <w:p>
      <w:pPr>
        <w:ind w:right="160" w:firstLine="441"/>
        <w:spacing w:after="0" w:line="277" w:lineRule="auto"/>
        <w:tabs>
          <w:tab w:leader="none" w:pos="698"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 violation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3" w:right="239" w:bottom="1440" w:gutter="0" w:footer="0" w:header="0"/>
        </w:sectPr>
      </w:pPr>
    </w:p>
    <w:bookmarkStart w:id="125" w:name="page126"/>
    <w:bookmarkEnd w:id="125"/>
    <w:p>
      <w:pPr>
        <w:ind w:right="120" w:firstLine="441"/>
        <w:spacing w:after="0" w:line="252" w:lineRule="auto"/>
        <w:tabs>
          <w:tab w:leader="none" w:pos="777"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Notes in such a manner as to comply with the requirements of Subchapter M of the Code.</w:t>
      </w:r>
    </w:p>
    <w:p>
      <w:pPr>
        <w:spacing w:after="0" w:line="191" w:lineRule="exact"/>
        <w:rPr>
          <w:rFonts w:ascii="Arial" w:cs="Arial" w:eastAsia="Arial" w:hAnsi="Arial"/>
          <w:sz w:val="18"/>
          <w:szCs w:val="18"/>
          <w:color w:val="auto"/>
        </w:rPr>
      </w:pPr>
    </w:p>
    <w:p>
      <w:pPr>
        <w:ind w:left="180" w:hanging="177"/>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Initial Purchaser that:</w:t>
      </w:r>
    </w:p>
    <w:p>
      <w:pPr>
        <w:spacing w:after="0" w:line="217" w:lineRule="exact"/>
        <w:rPr>
          <w:rFonts w:ascii="Arial" w:cs="Arial" w:eastAsia="Arial" w:hAnsi="Arial"/>
          <w:sz w:val="18"/>
          <w:szCs w:val="18"/>
          <w:color w:val="auto"/>
        </w:rPr>
      </w:pPr>
    </w:p>
    <w:p>
      <w:pPr>
        <w:ind w:firstLine="441"/>
        <w:spacing w:after="0" w:line="299" w:lineRule="auto"/>
        <w:tabs>
          <w:tab w:leader="none" w:pos="679" w:val="left"/>
        </w:tabs>
        <w:numPr>
          <w:ilvl w:val="1"/>
          <w:numId w:val="115"/>
        </w:numPr>
        <w:rPr>
          <w:rFonts w:ascii="Arial" w:cs="Arial" w:eastAsia="Arial" w:hAnsi="Arial"/>
          <w:sz w:val="15"/>
          <w:szCs w:val="15"/>
          <w:color w:val="auto"/>
        </w:rPr>
      </w:pPr>
      <w:r>
        <w:rPr>
          <w:rFonts w:ascii="Arial" w:cs="Arial" w:eastAsia="Arial" w:hAnsi="Arial"/>
          <w:sz w:val="15"/>
          <w:szCs w:val="15"/>
          <w:i w:val="1"/>
          <w:iCs w:val="1"/>
          <w:color w:val="auto"/>
        </w:rPr>
        <w:t xml:space="preserve">No Material Adverse Change. </w:t>
      </w:r>
      <w:r>
        <w:rPr>
          <w:rFonts w:ascii="Arial" w:cs="Arial" w:eastAsia="Arial" w:hAnsi="Arial"/>
          <w:sz w:val="15"/>
          <w:szCs w:val="15"/>
          <w:color w:val="auto"/>
        </w:rPr>
        <w:t>Except as disclosed in the Pricing Disclosure Package and the Offering Memorandum, since the date of the most</w:t>
      </w:r>
      <w:r>
        <w:rPr>
          <w:rFonts w:ascii="Arial" w:cs="Arial" w:eastAsia="Arial" w:hAnsi="Arial"/>
          <w:sz w:val="15"/>
          <w:szCs w:val="15"/>
          <w:i w:val="1"/>
          <w:iCs w:val="1"/>
          <w:color w:val="auto"/>
        </w:rPr>
        <w:t xml:space="preserve"> </w:t>
      </w:r>
      <w:r>
        <w:rPr>
          <w:rFonts w:ascii="Arial" w:cs="Arial" w:eastAsia="Arial" w:hAnsi="Arial"/>
          <w:sz w:val="15"/>
          <w:szCs w:val="15"/>
          <w:color w:val="auto"/>
        </w:rPr>
        <w:t>recent financial statements of the Company included in the Pricing Disclosure Package and the Offering Memorandum,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w:t>
      </w:r>
    </w:p>
    <w:p>
      <w:pPr>
        <w:spacing w:after="0" w:line="248" w:lineRule="auto"/>
        <w:rPr>
          <w:rFonts w:ascii="Arial" w:cs="Arial" w:eastAsia="Arial" w:hAnsi="Arial"/>
          <w:sz w:val="15"/>
          <w:szCs w:val="15"/>
          <w:color w:val="auto"/>
        </w:rPr>
      </w:pPr>
      <w:r>
        <w:rPr>
          <w:rFonts w:ascii="Arial" w:cs="Arial" w:eastAsia="Arial" w:hAnsi="Arial"/>
          <w:sz w:val="18"/>
          <w:szCs w:val="18"/>
          <w:color w:val="auto"/>
        </w:rPr>
        <w:t>(ii)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95" w:lineRule="exact"/>
        <w:rPr>
          <w:rFonts w:ascii="Arial" w:cs="Arial" w:eastAsia="Arial" w:hAnsi="Arial"/>
          <w:sz w:val="15"/>
          <w:szCs w:val="15"/>
          <w:color w:val="auto"/>
        </w:rPr>
      </w:pPr>
    </w:p>
    <w:p>
      <w:pPr>
        <w:ind w:right="120" w:firstLine="441"/>
        <w:spacing w:after="0" w:line="305" w:lineRule="auto"/>
        <w:tabs>
          <w:tab w:leader="none" w:pos="688" w:val="left"/>
        </w:tabs>
        <w:numPr>
          <w:ilvl w:val="1"/>
          <w:numId w:val="115"/>
        </w:numPr>
        <w:rPr>
          <w:rFonts w:ascii="Arial" w:cs="Arial" w:eastAsia="Arial" w:hAnsi="Arial"/>
          <w:sz w:val="15"/>
          <w:szCs w:val="15"/>
          <w:color w:val="auto"/>
        </w:rPr>
      </w:pPr>
      <w:r>
        <w:rPr>
          <w:rFonts w:ascii="Arial" w:cs="Arial" w:eastAsia="Arial" w:hAnsi="Arial"/>
          <w:sz w:val="15"/>
          <w:szCs w:val="15"/>
          <w:i w:val="1"/>
          <w:iCs w:val="1"/>
          <w:color w:val="auto"/>
        </w:rPr>
        <w:t xml:space="preserve">Organization and Good Standing. </w:t>
      </w:r>
      <w:r>
        <w:rPr>
          <w:rFonts w:ascii="Arial" w:cs="Arial" w:eastAsia="Arial" w:hAnsi="Arial"/>
          <w:sz w:val="15"/>
          <w:szCs w:val="15"/>
          <w:color w:val="auto"/>
        </w:rPr>
        <w:t>The Adviser and each of its subsidiaries have been duly organized and are validly existing and in good</w:t>
      </w:r>
      <w:r>
        <w:rPr>
          <w:rFonts w:ascii="Arial" w:cs="Arial" w:eastAsia="Arial" w:hAnsi="Arial"/>
          <w:sz w:val="15"/>
          <w:szCs w:val="15"/>
          <w:i w:val="1"/>
          <w:iCs w:val="1"/>
          <w:color w:val="auto"/>
        </w:rPr>
        <w:t xml:space="preserve"> </w:t>
      </w:r>
      <w:r>
        <w:rPr>
          <w:rFonts w:ascii="Arial" w:cs="Arial" w:eastAsia="Arial" w:hAnsi="Arial"/>
          <w:sz w:val="15"/>
          <w:szCs w:val="15"/>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55" w:lineRule="exact"/>
        <w:rPr>
          <w:rFonts w:ascii="Arial" w:cs="Arial" w:eastAsia="Arial" w:hAnsi="Arial"/>
          <w:sz w:val="15"/>
          <w:szCs w:val="15"/>
          <w:color w:val="auto"/>
        </w:rPr>
      </w:pPr>
    </w:p>
    <w:p>
      <w:pPr>
        <w:ind w:firstLine="441"/>
        <w:spacing w:after="0" w:line="269" w:lineRule="auto"/>
        <w:tabs>
          <w:tab w:leader="none" w:pos="679"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is not prohibited by the Advisers Act or the Investment Company Act from acting under the Investment Management Agreement as an investment adviser to the Company, as contemplated by the Pricing Disclosure Package and the Offering Memorandum.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77" w:lineRule="exact"/>
        <w:rPr>
          <w:rFonts w:ascii="Arial" w:cs="Arial" w:eastAsia="Arial" w:hAnsi="Arial"/>
          <w:sz w:val="17"/>
          <w:szCs w:val="17"/>
          <w:color w:val="auto"/>
        </w:rPr>
      </w:pPr>
    </w:p>
    <w:p>
      <w:pPr>
        <w:ind w:left="700" w:hanging="259"/>
        <w:spacing w:after="0"/>
        <w:tabs>
          <w:tab w:leader="none" w:pos="700"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This Agreement has been duly authorized, executed and delivered by the Adviser.</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700" w:top="273" w:right="299" w:bottom="1440" w:gutter="0" w:footer="0" w:header="0"/>
        </w:sectPr>
      </w:pPr>
    </w:p>
    <w:bookmarkStart w:id="126" w:name="page127"/>
    <w:bookmarkEnd w:id="126"/>
    <w:p>
      <w:pPr>
        <w:ind w:right="100" w:firstLine="441"/>
        <w:spacing w:after="0" w:line="252" w:lineRule="auto"/>
        <w:tabs>
          <w:tab w:leader="none" w:pos="679"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Investment Management Agreement and the Administration Agreement. </w:t>
      </w:r>
      <w:r>
        <w:rPr>
          <w:rFonts w:ascii="Arial" w:cs="Arial" w:eastAsia="Arial" w:hAnsi="Arial"/>
          <w:sz w:val="18"/>
          <w:szCs w:val="18"/>
          <w:color w:val="auto"/>
        </w:rPr>
        <w:t>The Investment Management Agreement and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91" w:lineRule="exact"/>
        <w:rPr>
          <w:rFonts w:ascii="Arial" w:cs="Arial" w:eastAsia="Arial" w:hAnsi="Arial"/>
          <w:sz w:val="18"/>
          <w:szCs w:val="18"/>
          <w:color w:val="auto"/>
        </w:rPr>
      </w:pPr>
    </w:p>
    <w:p>
      <w:pPr>
        <w:ind w:right="140" w:firstLine="441"/>
        <w:spacing w:after="0" w:line="265" w:lineRule="auto"/>
        <w:tabs>
          <w:tab w:leader="none" w:pos="659"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Adviser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82" w:lineRule="exact"/>
        <w:rPr>
          <w:rFonts w:ascii="Arial" w:cs="Arial" w:eastAsia="Arial" w:hAnsi="Arial"/>
          <w:sz w:val="17"/>
          <w:szCs w:val="17"/>
          <w:color w:val="auto"/>
        </w:rPr>
      </w:pPr>
    </w:p>
    <w:p>
      <w:pPr>
        <w:ind w:firstLine="441"/>
        <w:spacing w:after="0" w:line="303" w:lineRule="auto"/>
        <w:tabs>
          <w:tab w:leader="none" w:pos="688"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 xml:space="preserve">No Conflicts. </w:t>
      </w:r>
      <w:r>
        <w:rPr>
          <w:rFonts w:ascii="Arial" w:cs="Arial" w:eastAsia="Arial" w:hAnsi="Arial"/>
          <w:sz w:val="15"/>
          <w:szCs w:val="15"/>
          <w:color w:val="auto"/>
        </w:rPr>
        <w:t>The execution, delivery and performance by the Adviser of this Agreement and the performance by the Adviser of the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373" w:lineRule="exact"/>
        <w:rPr>
          <w:rFonts w:ascii="Arial" w:cs="Arial" w:eastAsia="Arial" w:hAnsi="Arial"/>
          <w:sz w:val="15"/>
          <w:szCs w:val="15"/>
          <w:color w:val="auto"/>
        </w:rPr>
      </w:pPr>
    </w:p>
    <w:p>
      <w:pPr>
        <w:ind w:right="120" w:firstLine="441"/>
        <w:spacing w:after="0" w:line="249" w:lineRule="auto"/>
        <w:tabs>
          <w:tab w:leader="none" w:pos="688"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96" w:lineRule="exact"/>
        <w:rPr>
          <w:rFonts w:ascii="Arial" w:cs="Arial" w:eastAsia="Arial" w:hAnsi="Arial"/>
          <w:sz w:val="18"/>
          <w:szCs w:val="18"/>
          <w:color w:val="auto"/>
        </w:rPr>
      </w:pPr>
    </w:p>
    <w:p>
      <w:pPr>
        <w:ind w:right="240" w:firstLine="441"/>
        <w:spacing w:after="0" w:line="294" w:lineRule="auto"/>
        <w:tabs>
          <w:tab w:leader="none" w:pos="649"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Pricing Disclosure Package and the Offering Memorandum, there are no legal, governmental or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investigations, actions, suits or proceedings pending to which the Adviser or any of its subsidiaries is or, to the</w:t>
      </w:r>
    </w:p>
    <w:p>
      <w:pPr>
        <w:spacing w:after="0" w:line="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3" w:right="239" w:bottom="1440" w:gutter="0" w:footer="0" w:header="0"/>
        </w:sectPr>
      </w:pPr>
    </w:p>
    <w:bookmarkStart w:id="127" w:name="page128"/>
    <w:bookmarkEnd w:id="127"/>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83" w:lineRule="exact"/>
        <w:rPr>
          <w:sz w:val="20"/>
          <w:szCs w:val="20"/>
          <w:color w:val="auto"/>
        </w:rPr>
      </w:pPr>
    </w:p>
    <w:p>
      <w:pPr>
        <w:ind w:right="20" w:firstLine="441"/>
        <w:spacing w:after="0" w:line="264" w:lineRule="auto"/>
        <w:tabs>
          <w:tab w:leader="none" w:pos="649"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Adviser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an Adviser Material Adverse Effect; and except as described in the Pricing Disclosure Package and the Offering Memorandum,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6" w:lineRule="exact"/>
        <w:rPr>
          <w:rFonts w:ascii="Arial" w:cs="Arial" w:eastAsia="Arial" w:hAnsi="Arial"/>
          <w:sz w:val="17"/>
          <w:szCs w:val="17"/>
          <w:color w:val="auto"/>
        </w:rPr>
      </w:pPr>
    </w:p>
    <w:p>
      <w:pPr>
        <w:jc w:val="both"/>
        <w:ind w:right="140" w:firstLine="441"/>
        <w:spacing w:after="0" w:line="277" w:lineRule="auto"/>
        <w:tabs>
          <w:tab w:leader="none" w:pos="68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Description of the Adviser</w:t>
      </w:r>
      <w:r>
        <w:rPr>
          <w:rFonts w:ascii="Arial" w:cs="Arial" w:eastAsia="Arial" w:hAnsi="Arial"/>
          <w:sz w:val="17"/>
          <w:szCs w:val="17"/>
          <w:color w:val="auto"/>
        </w:rPr>
        <w:t>. The description of the Adviser and its respective principals and business in the Pricing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Memorandum does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71" w:lineRule="exact"/>
        <w:rPr>
          <w:rFonts w:ascii="Arial" w:cs="Arial" w:eastAsia="Arial" w:hAnsi="Arial"/>
          <w:sz w:val="17"/>
          <w:szCs w:val="17"/>
          <w:color w:val="auto"/>
        </w:rPr>
      </w:pPr>
    </w:p>
    <w:p>
      <w:pPr>
        <w:ind w:right="140" w:firstLine="441"/>
        <w:spacing w:after="0" w:line="255" w:lineRule="auto"/>
        <w:tabs>
          <w:tab w:leader="none" w:pos="649"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Offering Memorandum, and under this Agreement, the Investment Management Agreement and the Administration Agreement.</w:t>
      </w:r>
    </w:p>
    <w:p>
      <w:pPr>
        <w:spacing w:after="0" w:line="188" w:lineRule="exact"/>
        <w:rPr>
          <w:rFonts w:ascii="Arial" w:cs="Arial" w:eastAsia="Arial" w:hAnsi="Arial"/>
          <w:sz w:val="18"/>
          <w:szCs w:val="18"/>
          <w:color w:val="auto"/>
        </w:rPr>
      </w:pPr>
    </w:p>
    <w:p>
      <w:pPr>
        <w:ind w:firstLine="441"/>
        <w:spacing w:after="0" w:line="307" w:lineRule="auto"/>
        <w:tabs>
          <w:tab w:leader="none" w:pos="738" w:val="left"/>
        </w:tabs>
        <w:numPr>
          <w:ilvl w:val="0"/>
          <w:numId w:val="117"/>
        </w:numPr>
        <w:rPr>
          <w:rFonts w:ascii="Arial" w:cs="Arial" w:eastAsia="Arial" w:hAnsi="Arial"/>
          <w:sz w:val="15"/>
          <w:szCs w:val="15"/>
          <w:color w:val="auto"/>
        </w:rPr>
      </w:pPr>
      <w:r>
        <w:rPr>
          <w:rFonts w:ascii="Arial" w:cs="Arial" w:eastAsia="Arial" w:hAnsi="Arial"/>
          <w:sz w:val="15"/>
          <w:szCs w:val="15"/>
          <w:i w:val="1"/>
          <w:iCs w:val="1"/>
          <w:color w:val="auto"/>
        </w:rPr>
        <w:t>Internal Controls</w:t>
      </w:r>
      <w:r>
        <w:rPr>
          <w:rFonts w:ascii="Arial" w:cs="Arial" w:eastAsia="Arial" w:hAnsi="Arial"/>
          <w:sz w:val="15"/>
          <w:szCs w:val="15"/>
          <w:color w:val="auto"/>
        </w:rPr>
        <w:t>. The Adviser maintains a system of internal accounting controls sufficient to provide reasonable assurance that (i)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3" w:right="259" w:bottom="1440" w:gutter="0" w:footer="0" w:header="0"/>
        </w:sectPr>
      </w:pPr>
    </w:p>
    <w:bookmarkStart w:id="128" w:name="page129"/>
    <w:bookmarkEnd w:id="128"/>
    <w:p>
      <w:pPr>
        <w:ind w:right="100" w:firstLine="441"/>
        <w:spacing w:after="0" w:line="297" w:lineRule="auto"/>
        <w:tabs>
          <w:tab w:leader="none" w:pos="688" w:val="left"/>
        </w:tabs>
        <w:numPr>
          <w:ilvl w:val="1"/>
          <w:numId w:val="118"/>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No Unlawful Payments. </w:t>
      </w:r>
      <w:r>
        <w:rPr>
          <w:rFonts w:ascii="Arial" w:cs="Arial" w:eastAsia="Arial" w:hAnsi="Arial"/>
          <w:sz w:val="15"/>
          <w:szCs w:val="15"/>
          <w:color w:val="auto"/>
        </w:rPr>
        <w:t>Neither the Adviser nor any of its subsidiaries nor any director, officer, or employee of the Adviser or any of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3" w:lineRule="exact"/>
        <w:rPr>
          <w:rFonts w:ascii="Arial" w:cs="Arial" w:eastAsia="Arial" w:hAnsi="Arial"/>
          <w:sz w:val="15"/>
          <w:szCs w:val="15"/>
          <w:color w:val="auto"/>
        </w:rPr>
      </w:pPr>
    </w:p>
    <w:p>
      <w:pPr>
        <w:ind w:firstLine="3"/>
        <w:spacing w:after="0" w:line="247" w:lineRule="auto"/>
        <w:tabs>
          <w:tab w:leader="none" w:pos="3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97" w:lineRule="exact"/>
        <w:rPr>
          <w:rFonts w:ascii="Arial" w:cs="Arial" w:eastAsia="Arial" w:hAnsi="Arial"/>
          <w:sz w:val="18"/>
          <w:szCs w:val="18"/>
          <w:color w:val="auto"/>
        </w:rPr>
      </w:pPr>
    </w:p>
    <w:p>
      <w:pPr>
        <w:ind w:right="60" w:firstLine="441"/>
        <w:spacing w:after="0" w:line="312" w:lineRule="auto"/>
        <w:tabs>
          <w:tab w:leader="none" w:pos="688" w:val="left"/>
        </w:tabs>
        <w:numPr>
          <w:ilvl w:val="1"/>
          <w:numId w:val="119"/>
        </w:numPr>
        <w:rPr>
          <w:rFonts w:ascii="Arial" w:cs="Arial" w:eastAsia="Arial" w:hAnsi="Arial"/>
          <w:sz w:val="15"/>
          <w:szCs w:val="15"/>
          <w:color w:val="auto"/>
        </w:rPr>
      </w:pPr>
      <w:r>
        <w:rPr>
          <w:rFonts w:ascii="Arial" w:cs="Arial" w:eastAsia="Arial" w:hAnsi="Arial"/>
          <w:sz w:val="15"/>
          <w:szCs w:val="15"/>
          <w:i w:val="1"/>
          <w:iCs w:val="1"/>
          <w:color w:val="auto"/>
        </w:rPr>
        <w:t>Compliance with Money Laundering Laws</w:t>
      </w:r>
      <w:r>
        <w:rPr>
          <w:rFonts w:ascii="Arial" w:cs="Arial" w:eastAsia="Arial" w:hAnsi="Arial"/>
          <w:sz w:val="15"/>
          <w:szCs w:val="15"/>
          <w:color w:val="auto"/>
        </w:rPr>
        <w:t>. The operations of the Adviser and its subsidiaries are and have been conducted at all times in</w:t>
      </w:r>
      <w:r>
        <w:rPr>
          <w:rFonts w:ascii="Arial" w:cs="Arial" w:eastAsia="Arial" w:hAnsi="Arial"/>
          <w:sz w:val="15"/>
          <w:szCs w:val="15"/>
          <w:i w:val="1"/>
          <w:iCs w:val="1"/>
          <w:color w:val="auto"/>
        </w:rPr>
        <w:t xml:space="preserve"> </w:t>
      </w:r>
      <w:r>
        <w:rPr>
          <w:rFonts w:ascii="Arial" w:cs="Arial" w:eastAsia="Arial" w:hAnsi="Arial"/>
          <w:sz w:val="15"/>
          <w:szCs w:val="15"/>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51" w:lineRule="exact"/>
        <w:rPr>
          <w:rFonts w:ascii="Arial" w:cs="Arial" w:eastAsia="Arial" w:hAnsi="Arial"/>
          <w:sz w:val="15"/>
          <w:szCs w:val="15"/>
          <w:color w:val="auto"/>
        </w:rPr>
      </w:pPr>
    </w:p>
    <w:p>
      <w:pPr>
        <w:ind w:right="20" w:firstLine="441"/>
        <w:spacing w:after="0" w:line="312" w:lineRule="auto"/>
        <w:tabs>
          <w:tab w:leader="none" w:pos="688" w:val="left"/>
        </w:tabs>
        <w:numPr>
          <w:ilvl w:val="1"/>
          <w:numId w:val="119"/>
        </w:numPr>
        <w:rPr>
          <w:rFonts w:ascii="Arial" w:cs="Arial" w:eastAsia="Arial" w:hAnsi="Arial"/>
          <w:sz w:val="15"/>
          <w:szCs w:val="15"/>
          <w:color w:val="auto"/>
        </w:rPr>
      </w:pPr>
      <w:r>
        <w:rPr>
          <w:rFonts w:ascii="Arial" w:cs="Arial" w:eastAsia="Arial" w:hAnsi="Arial"/>
          <w:sz w:val="15"/>
          <w:szCs w:val="15"/>
          <w:i w:val="1"/>
          <w:iCs w:val="1"/>
          <w:color w:val="auto"/>
        </w:rPr>
        <w:t xml:space="preserve">No Conflicts with Sanctions Laws. </w:t>
      </w:r>
      <w:r>
        <w:rPr>
          <w:rFonts w:ascii="Arial" w:cs="Arial" w:eastAsia="Arial" w:hAnsi="Arial"/>
          <w:sz w:val="15"/>
          <w:szCs w:val="15"/>
          <w:color w:val="auto"/>
        </w:rPr>
        <w:t>Neither the Adviser nor any of its subsidiaries, directors, officers or employees, nor, to the knowledge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151" w:lineRule="exact"/>
        <w:rPr>
          <w:rFonts w:ascii="Arial" w:cs="Arial" w:eastAsia="Arial" w:hAnsi="Arial"/>
          <w:sz w:val="15"/>
          <w:szCs w:val="15"/>
          <w:color w:val="auto"/>
        </w:rPr>
      </w:pPr>
    </w:p>
    <w:p>
      <w:pPr>
        <w:jc w:val="both"/>
        <w:ind w:right="220" w:firstLine="441"/>
        <w:spacing w:after="0" w:line="255" w:lineRule="auto"/>
        <w:tabs>
          <w:tab w:leader="none" w:pos="688"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Initial Purchasers,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Notes, other than permitted activity pursuant to Regulation M and Rule 10b-18 under the Exchange Act.</w:t>
      </w:r>
    </w:p>
    <w:p>
      <w:pPr>
        <w:spacing w:after="0" w:line="188" w:lineRule="exact"/>
        <w:rPr>
          <w:rFonts w:ascii="Arial" w:cs="Arial" w:eastAsia="Arial" w:hAnsi="Arial"/>
          <w:sz w:val="18"/>
          <w:szCs w:val="18"/>
          <w:color w:val="auto"/>
        </w:rPr>
      </w:pPr>
    </w:p>
    <w:p>
      <w:pPr>
        <w:ind w:right="20" w:firstLine="441"/>
        <w:spacing w:after="0" w:line="277" w:lineRule="auto"/>
        <w:tabs>
          <w:tab w:leader="none" w:pos="659" w:val="left"/>
        </w:tabs>
        <w:numPr>
          <w:ilvl w:val="1"/>
          <w:numId w:val="119"/>
        </w:numPr>
        <w:rPr>
          <w:rFonts w:ascii="Arial" w:cs="Arial" w:eastAsia="Arial" w:hAnsi="Arial"/>
          <w:sz w:val="17"/>
          <w:szCs w:val="17"/>
          <w:color w:val="auto"/>
        </w:rPr>
      </w:pPr>
      <w:r>
        <w:rPr>
          <w:rFonts w:ascii="Arial" w:cs="Arial" w:eastAsia="Arial" w:hAnsi="Arial"/>
          <w:sz w:val="17"/>
          <w:szCs w:val="17"/>
          <w:i w:val="1"/>
          <w:iCs w:val="1"/>
          <w:color w:val="auto"/>
        </w:rPr>
        <w:t>No Integration</w:t>
      </w:r>
      <w:r>
        <w:rPr>
          <w:rFonts w:ascii="Arial" w:cs="Arial" w:eastAsia="Arial" w:hAnsi="Arial"/>
          <w:sz w:val="17"/>
          <w:szCs w:val="17"/>
          <w:color w:val="auto"/>
        </w:rPr>
        <w:t>. Neither the Adviser nor any of its affiliates (as defined in Rule 501(b) of Regulation D) has, directly or through any agent, sold,</w:t>
      </w:r>
      <w:r>
        <w:rPr>
          <w:rFonts w:ascii="Arial" w:cs="Arial" w:eastAsia="Arial" w:hAnsi="Arial"/>
          <w:sz w:val="17"/>
          <w:szCs w:val="17"/>
          <w:i w:val="1"/>
          <w:iCs w:val="1"/>
          <w:color w:val="auto"/>
        </w:rPr>
        <w:t xml:space="preserve"> </w:t>
      </w:r>
      <w:r>
        <w:rPr>
          <w:rFonts w:ascii="Arial" w:cs="Arial" w:eastAsia="Arial" w:hAnsi="Arial"/>
          <w:sz w:val="17"/>
          <w:szCs w:val="17"/>
          <w:color w:val="auto"/>
        </w:rPr>
        <w:t>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0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0"/>
          </w:cols>
          <w:pgMar w:left="700" w:top="273" w:right="359" w:bottom="1440" w:gutter="0" w:footer="0" w:header="0"/>
        </w:sectPr>
      </w:pPr>
    </w:p>
    <w:bookmarkStart w:id="129" w:name="page130"/>
    <w:bookmarkEnd w:id="129"/>
    <w:p>
      <w:pPr>
        <w:ind w:right="100" w:firstLine="441"/>
        <w:spacing w:after="0" w:line="252" w:lineRule="auto"/>
        <w:tabs>
          <w:tab w:leader="none" w:pos="669"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 General Solicitation</w:t>
      </w:r>
      <w:r>
        <w:rPr>
          <w:rFonts w:ascii="Arial" w:cs="Arial" w:eastAsia="Arial" w:hAnsi="Arial"/>
          <w:sz w:val="18"/>
          <w:szCs w:val="18"/>
          <w:color w:val="auto"/>
        </w:rPr>
        <w:t>. Neither the Adviser nor any of its affiliates or any other person acting on their behalf (other than the Initial Purchasers,</w:t>
      </w:r>
      <w:r>
        <w:rPr>
          <w:rFonts w:ascii="Arial" w:cs="Arial" w:eastAsia="Arial" w:hAnsi="Arial"/>
          <w:sz w:val="18"/>
          <w:szCs w:val="18"/>
          <w:i w:val="1"/>
          <w:iCs w:val="1"/>
          <w:color w:val="auto"/>
        </w:rPr>
        <w:t xml:space="preserve"> </w:t>
      </w:r>
      <w:r>
        <w:rPr>
          <w:rFonts w:ascii="Arial" w:cs="Arial" w:eastAsia="Arial" w:hAnsi="Arial"/>
          <w:sz w:val="18"/>
          <w:szCs w:val="18"/>
          <w:color w:val="auto"/>
        </w:rPr>
        <w:t>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other than by means of Permitted General Solicitation.</w:t>
      </w:r>
    </w:p>
    <w:p>
      <w:pPr>
        <w:spacing w:after="0" w:line="191" w:lineRule="exact"/>
        <w:rPr>
          <w:rFonts w:ascii="Arial" w:cs="Arial" w:eastAsia="Arial" w:hAnsi="Arial"/>
          <w:sz w:val="18"/>
          <w:szCs w:val="18"/>
          <w:color w:val="auto"/>
        </w:rPr>
      </w:pPr>
    </w:p>
    <w:p>
      <w:pPr>
        <w:jc w:val="both"/>
        <w:ind w:right="180" w:firstLine="441"/>
        <w:spacing w:after="0" w:line="271" w:lineRule="auto"/>
        <w:tabs>
          <w:tab w:leader="none" w:pos="649" w:val="left"/>
        </w:tabs>
        <w:numPr>
          <w:ilvl w:val="1"/>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7" w:lineRule="exact"/>
        <w:rPr>
          <w:rFonts w:ascii="Arial" w:cs="Arial" w:eastAsia="Arial" w:hAnsi="Arial"/>
          <w:sz w:val="17"/>
          <w:szCs w:val="17"/>
          <w:color w:val="auto"/>
        </w:rPr>
      </w:pPr>
    </w:p>
    <w:p>
      <w:pPr>
        <w:ind w:firstLine="441"/>
        <w:spacing w:after="0" w:line="252" w:lineRule="auto"/>
        <w:tabs>
          <w:tab w:leader="none" w:pos="688"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91" w:lineRule="exact"/>
        <w:rPr>
          <w:rFonts w:ascii="Arial" w:cs="Arial" w:eastAsia="Arial" w:hAnsi="Arial"/>
          <w:sz w:val="18"/>
          <w:szCs w:val="18"/>
          <w:color w:val="auto"/>
        </w:rPr>
      </w:pPr>
    </w:p>
    <w:p>
      <w:pPr>
        <w:ind w:left="180" w:hanging="177"/>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Initial Purchaser that:</w:t>
      </w:r>
    </w:p>
    <w:p>
      <w:pPr>
        <w:spacing w:after="0" w:line="217" w:lineRule="exact"/>
        <w:rPr>
          <w:rFonts w:ascii="Arial" w:cs="Arial" w:eastAsia="Arial" w:hAnsi="Arial"/>
          <w:sz w:val="18"/>
          <w:szCs w:val="18"/>
          <w:color w:val="auto"/>
        </w:rPr>
      </w:pPr>
    </w:p>
    <w:p>
      <w:pPr>
        <w:ind w:left="680" w:hanging="239"/>
        <w:spacing w:after="0"/>
        <w:tabs>
          <w:tab w:leader="none" w:pos="680" w:val="left"/>
        </w:tabs>
        <w:numPr>
          <w:ilvl w:val="1"/>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Delivery of Copies. </w:t>
      </w:r>
      <w:r>
        <w:rPr>
          <w:rFonts w:ascii="Arial" w:cs="Arial" w:eastAsia="Arial" w:hAnsi="Arial"/>
          <w:sz w:val="17"/>
          <w:szCs w:val="17"/>
          <w:color w:val="auto"/>
        </w:rPr>
        <w:t>The Company has delivered to each Initial Purchaser, without charge, as many copies of the Preliminary Offering</w:t>
      </w:r>
    </w:p>
    <w:p>
      <w:pPr>
        <w:spacing w:after="0" w:line="28" w:lineRule="exact"/>
        <w:rPr>
          <w:rFonts w:ascii="Arial" w:cs="Arial" w:eastAsia="Arial" w:hAnsi="Arial"/>
          <w:sz w:val="17"/>
          <w:szCs w:val="17"/>
          <w:color w:val="auto"/>
        </w:rPr>
      </w:pPr>
    </w:p>
    <w:p>
      <w:pPr>
        <w:ind w:right="100"/>
        <w:spacing w:after="0" w:line="251" w:lineRule="auto"/>
        <w:rPr>
          <w:rFonts w:ascii="Arial" w:cs="Arial" w:eastAsia="Arial" w:hAnsi="Arial"/>
          <w:sz w:val="17"/>
          <w:szCs w:val="17"/>
          <w:color w:val="auto"/>
        </w:rPr>
      </w:pPr>
      <w:r>
        <w:rPr>
          <w:rFonts w:ascii="Arial" w:cs="Arial" w:eastAsia="Arial" w:hAnsi="Arial"/>
          <w:sz w:val="18"/>
          <w:szCs w:val="18"/>
          <w:color w:val="auto"/>
        </w:rPr>
        <w:t>Memorandum as such Initial Purchaser reasonably requested. The Company will furnish to each Initial Purchaser, without charge, such number of copies of the Offering Memorandum (as amended or supplemented) as such Initial Purchaser may reasonably request.</w:t>
      </w:r>
    </w:p>
    <w:p>
      <w:pPr>
        <w:spacing w:after="0" w:line="192" w:lineRule="exact"/>
        <w:rPr>
          <w:rFonts w:ascii="Arial" w:cs="Arial" w:eastAsia="Arial" w:hAnsi="Arial"/>
          <w:sz w:val="17"/>
          <w:szCs w:val="17"/>
          <w:color w:val="auto"/>
        </w:rPr>
      </w:pPr>
    </w:p>
    <w:p>
      <w:pPr>
        <w:ind w:right="60" w:firstLine="441"/>
        <w:spacing w:after="0" w:line="252" w:lineRule="auto"/>
        <w:tabs>
          <w:tab w:leader="none" w:pos="688"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distributing any amendment or supplement to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or the Offering Memorandum, the Company will furnish to the Representatives and counsel for the Initial Purchasers a copy of the proposed amendment or supplement for review and will not use, authorize, approve, refer to or distribute any such proposed amendment or supplement to which the Representatives reasonably object in a timely manner.</w:t>
      </w:r>
    </w:p>
    <w:p>
      <w:pPr>
        <w:spacing w:after="0" w:line="191" w:lineRule="exact"/>
        <w:rPr>
          <w:rFonts w:ascii="Arial" w:cs="Arial" w:eastAsia="Arial" w:hAnsi="Arial"/>
          <w:sz w:val="18"/>
          <w:szCs w:val="18"/>
          <w:color w:val="auto"/>
        </w:rPr>
      </w:pPr>
    </w:p>
    <w:p>
      <w:pPr>
        <w:ind w:right="20" w:firstLine="441"/>
        <w:spacing w:after="0" w:line="255" w:lineRule="auto"/>
        <w:tabs>
          <w:tab w:leader="none" w:pos="679"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t>Marketing Materials</w:t>
      </w:r>
      <w:r>
        <w:rPr>
          <w:rFonts w:ascii="Arial" w:cs="Arial" w:eastAsia="Arial" w:hAnsi="Arial"/>
          <w:sz w:val="18"/>
          <w:szCs w:val="18"/>
          <w:color w:val="auto"/>
        </w:rPr>
        <w:t>. Before using, authorizing, approving, referring to or distributing any Marketing Materials,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and counsel for the Initial Purchasers a copy of such materials for review and will not use, authorize, approve, refer to or distribute any such materials to which the Representatives reasonably object in a timely manner.</w:t>
      </w:r>
    </w:p>
    <w:p>
      <w:pPr>
        <w:spacing w:after="0" w:line="188" w:lineRule="exact"/>
        <w:rPr>
          <w:rFonts w:ascii="Arial" w:cs="Arial" w:eastAsia="Arial" w:hAnsi="Arial"/>
          <w:sz w:val="18"/>
          <w:szCs w:val="18"/>
          <w:color w:val="auto"/>
        </w:rPr>
      </w:pPr>
    </w:p>
    <w:p>
      <w:pPr>
        <w:ind w:right="20" w:firstLine="441"/>
        <w:spacing w:after="0" w:line="250" w:lineRule="auto"/>
        <w:tabs>
          <w:tab w:leader="none" w:pos="688"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Representatives. </w:t>
      </w:r>
      <w:r>
        <w:rPr>
          <w:rFonts w:ascii="Arial" w:cs="Arial" w:eastAsia="Arial" w:hAnsi="Arial"/>
          <w:sz w:val="18"/>
          <w:szCs w:val="18"/>
          <w:color w:val="auto"/>
        </w:rPr>
        <w:t>The Company will advise the Representatives promptly, and confirm such advice in writing, (i) of the issuance by</w:t>
      </w:r>
      <w:r>
        <w:rPr>
          <w:rFonts w:ascii="Arial" w:cs="Arial" w:eastAsia="Arial" w:hAnsi="Arial"/>
          <w:sz w:val="18"/>
          <w:szCs w:val="18"/>
          <w:i w:val="1"/>
          <w:iCs w:val="1"/>
          <w:color w:val="auto"/>
        </w:rPr>
        <w:t xml:space="preserve"> </w:t>
      </w:r>
      <w:r>
        <w:rPr>
          <w:rFonts w:ascii="Arial" w:cs="Arial" w:eastAsia="Arial" w:hAnsi="Arial"/>
          <w:sz w:val="18"/>
          <w:szCs w:val="18"/>
          <w:color w:val="auto"/>
        </w:rPr>
        <w:t>any governmental or regulatory authority of any order preventing or suspending the use of the Pricing Disclosure Package, any Marketing Materials or the Offering Memorandum or the initiation or threatening of any proceeding for that purpose; (ii) of the occurrence of any event or development at any time prior to the completion of the offering of the Initial Notes, as a result of which the Pricing Disclosure Package, any Marketing Materials or the Offering Memorandum, as then amended or</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3" w:right="259" w:bottom="1440" w:gutter="0" w:footer="0" w:header="0"/>
        </w:sectPr>
      </w:pPr>
    </w:p>
    <w:bookmarkStart w:id="130" w:name="page131"/>
    <w:bookmarkEnd w:id="130"/>
    <w:p>
      <w:pPr>
        <w:ind w:right="1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supplemented, would include any untrue statement of a material fact or omit to state a material fact necessary in order to make the statements therein, in the light of the circumstances existing when the Pricing Disclosure Package, such Marketing Materials or the Offering Memorandum is delivered to a purchaser, not misleading; (iii) of the receipt of any oral or written comments from the Commission, whether or not related to the offering of the Notes; and (iv) of the receipt by the Company of any notice with respect to any suspension of the qualification of the Notes for offer and sale in any jurisdiction or the initiation or threatening of any proceeding for such purpose; and the Company will use commercially reasonable efforts to prevent the issuance of any such order preventing or suspending the use of any of the Pricing Disclosure Package, any Marketing Materials or the Offering Memorandum or suspending any such qualification of the Notes and, if any such order is issued, will use commercially reasonable efforts to obtain as soon as possible the withdrawal thereof.</w:t>
      </w:r>
    </w:p>
    <w:p>
      <w:pPr>
        <w:spacing w:after="0" w:line="183" w:lineRule="exact"/>
        <w:rPr>
          <w:sz w:val="20"/>
          <w:szCs w:val="20"/>
          <w:color w:val="auto"/>
        </w:rPr>
      </w:pPr>
    </w:p>
    <w:p>
      <w:pPr>
        <w:ind w:firstLine="441"/>
        <w:spacing w:after="0" w:line="300" w:lineRule="auto"/>
        <w:tabs>
          <w:tab w:leader="none" w:pos="679" w:val="left"/>
        </w:tabs>
        <w:numPr>
          <w:ilvl w:val="0"/>
          <w:numId w:val="122"/>
        </w:numPr>
        <w:rPr>
          <w:rFonts w:ascii="Arial" w:cs="Arial" w:eastAsia="Arial" w:hAnsi="Arial"/>
          <w:sz w:val="15"/>
          <w:szCs w:val="15"/>
          <w:color w:val="auto"/>
        </w:rPr>
      </w:pPr>
      <w:r>
        <w:rPr>
          <w:rFonts w:ascii="Arial" w:cs="Arial" w:eastAsia="Arial" w:hAnsi="Arial"/>
          <w:sz w:val="15"/>
          <w:szCs w:val="15"/>
          <w:i w:val="1"/>
          <w:iCs w:val="1"/>
          <w:color w:val="auto"/>
        </w:rPr>
        <w:t xml:space="preserve">Ongoing Compliance. </w:t>
      </w:r>
      <w:r>
        <w:rPr>
          <w:rFonts w:ascii="Arial" w:cs="Arial" w:eastAsia="Arial" w:hAnsi="Arial"/>
          <w:sz w:val="15"/>
          <w:szCs w:val="15"/>
          <w:color w:val="auto"/>
        </w:rPr>
        <w:t>(1) If at any time prior to the completion of the offering of the Initial Notes (i) any event or development shall occur or</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and to such dealers as the Representatives may designate such amendments or supplements to the Offering Memorandum as may be necessary so that the statements in the Offering Memorandum as so amended or supplemented will not, in the light of the circumstances existing when the Offering Memorandum is delivered to a purchaser, be misleading or so that the Offering Memorandum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Initial Purchasers thereof and forthwith prepare and, subject to paragraph (b) above, furnish to the Initial Purchasers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372" w:lineRule="exact"/>
        <w:rPr>
          <w:rFonts w:ascii="Arial" w:cs="Arial" w:eastAsia="Arial" w:hAnsi="Arial"/>
          <w:sz w:val="15"/>
          <w:szCs w:val="15"/>
          <w:color w:val="auto"/>
        </w:rPr>
      </w:pPr>
    </w:p>
    <w:p>
      <w:pPr>
        <w:jc w:val="both"/>
        <w:ind w:right="320" w:firstLine="441"/>
        <w:spacing w:after="0" w:line="330" w:lineRule="auto"/>
        <w:tabs>
          <w:tab w:leader="none" w:pos="659" w:val="left"/>
        </w:tabs>
        <w:numPr>
          <w:ilvl w:val="0"/>
          <w:numId w:val="122"/>
        </w:numPr>
        <w:rPr>
          <w:rFonts w:ascii="Arial" w:cs="Arial" w:eastAsia="Arial" w:hAnsi="Arial"/>
          <w:sz w:val="15"/>
          <w:szCs w:val="15"/>
          <w:color w:val="auto"/>
        </w:rPr>
      </w:pPr>
      <w:r>
        <w:rPr>
          <w:rFonts w:ascii="Arial" w:cs="Arial" w:eastAsia="Arial" w:hAnsi="Arial"/>
          <w:sz w:val="15"/>
          <w:szCs w:val="15"/>
          <w:i w:val="1"/>
          <w:iCs w:val="1"/>
          <w:color w:val="auto"/>
        </w:rPr>
        <w:t>Underlying Securities</w:t>
      </w:r>
      <w:r>
        <w:rPr>
          <w:rFonts w:ascii="Arial" w:cs="Arial" w:eastAsia="Arial" w:hAnsi="Arial"/>
          <w:sz w:val="15"/>
          <w:szCs w:val="15"/>
          <w:color w:val="auto"/>
        </w:rPr>
        <w:t>. The Company will reserve and keep available at all times, free of preemptive rights, shares of Common Stock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purpose of enabling the Company to satisfy all obligations to issue the Underlying Securities upon conversion of the Notes. The Company will use its commercially reasonable efforts to cause the Underlying Securities to be listed on the New York Stock Exchange and to maintain such listing.</w:t>
      </w:r>
    </w:p>
    <w:p>
      <w:pPr>
        <w:spacing w:after="0" w:line="137" w:lineRule="exact"/>
        <w:rPr>
          <w:rFonts w:ascii="Arial" w:cs="Arial" w:eastAsia="Arial" w:hAnsi="Arial"/>
          <w:sz w:val="15"/>
          <w:szCs w:val="15"/>
          <w:color w:val="auto"/>
        </w:rPr>
      </w:pPr>
    </w:p>
    <w:p>
      <w:pPr>
        <w:ind w:firstLine="441"/>
        <w:spacing w:after="0" w:line="271" w:lineRule="auto"/>
        <w:tabs>
          <w:tab w:leader="none" w:pos="688"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Supplying Information</w:t>
      </w:r>
      <w:r>
        <w:rPr>
          <w:rFonts w:ascii="Arial" w:cs="Arial" w:eastAsia="Arial" w:hAnsi="Arial"/>
          <w:sz w:val="17"/>
          <w:szCs w:val="17"/>
          <w:color w:val="auto"/>
        </w:rPr>
        <w:t>. While the Notes remain outstanding and are “restricted securities” within the meaning of Rule 144(a)(3)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the Company will, during any period in which the Company is not subject to and in compliance with Section 13 or 15(d) of the Exchange Act, furnish to holders of the Notes, prospective purchasers of the Securities designated by such holders and securities analysts, in each case upon request, the information required to be delivered pursuant to Rule 144A(d)(4) under the Securities Act.</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73" w:right="279" w:bottom="1440" w:gutter="0" w:footer="0" w:header="0"/>
        </w:sectPr>
      </w:pPr>
    </w:p>
    <w:bookmarkStart w:id="131" w:name="page132"/>
    <w:bookmarkEnd w:id="131"/>
    <w:p>
      <w:pPr>
        <w:ind w:right="40" w:firstLine="441"/>
        <w:spacing w:after="0" w:line="255" w:lineRule="auto"/>
        <w:tabs>
          <w:tab w:leader="none" w:pos="688"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 Integration</w:t>
      </w:r>
      <w:r>
        <w:rPr>
          <w:rFonts w:ascii="Arial" w:cs="Arial" w:eastAsia="Arial" w:hAnsi="Arial"/>
          <w:sz w:val="18"/>
          <w:szCs w:val="18"/>
          <w:color w:val="auto"/>
        </w:rPr>
        <w:t>. Neither the Company nor any of its affiliates (as defined in Rule 501(b) of Regulation D) will, directly or through any agent,</w:t>
      </w:r>
      <w:r>
        <w:rPr>
          <w:rFonts w:ascii="Arial" w:cs="Arial" w:eastAsia="Arial" w:hAnsi="Arial"/>
          <w:sz w:val="18"/>
          <w:szCs w:val="18"/>
          <w:i w:val="1"/>
          <w:iCs w:val="1"/>
          <w:color w:val="auto"/>
        </w:rPr>
        <w:t xml:space="preserve"> </w:t>
      </w:r>
      <w:r>
        <w:rPr>
          <w:rFonts w:ascii="Arial" w:cs="Arial" w:eastAsia="Arial" w:hAnsi="Arial"/>
          <w:sz w:val="18"/>
          <w:szCs w:val="18"/>
          <w:color w:val="auto"/>
        </w:rPr>
        <w:t>sell, offer for sale, solicit offers to buy or otherwise negotiate in respect of, any security (as defined in the Securities Act), that is or will be integrated with the sale of the Notes in a manner that would require registration of the Notes under the Securities Act.</w:t>
      </w:r>
    </w:p>
    <w:p>
      <w:pPr>
        <w:spacing w:after="0" w:line="188" w:lineRule="exact"/>
        <w:rPr>
          <w:rFonts w:ascii="Arial" w:cs="Arial" w:eastAsia="Arial" w:hAnsi="Arial"/>
          <w:sz w:val="18"/>
          <w:szCs w:val="18"/>
          <w:color w:val="auto"/>
        </w:rPr>
      </w:pPr>
    </w:p>
    <w:p>
      <w:pPr>
        <w:jc w:val="both"/>
        <w:ind w:right="140" w:firstLine="441"/>
        <w:spacing w:after="0" w:line="252" w:lineRule="auto"/>
        <w:tabs>
          <w:tab w:leader="none" w:pos="649"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No General Solicitation</w:t>
      </w:r>
      <w:r>
        <w:rPr>
          <w:rFonts w:ascii="Arial" w:cs="Arial" w:eastAsia="Arial" w:hAnsi="Arial"/>
          <w:sz w:val="18"/>
          <w:szCs w:val="18"/>
          <w:color w:val="auto"/>
        </w:rPr>
        <w:t>. None of the Company or any of its affiliates or any other person acting on its or their behalf (other than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as to which no covenant is given) will solicit offers for, or offer or sell, the Notes by means of any form of general solicitation or general advertising within the meaning of Rule 502(c) of Regulation D or in any manner involving a public offering within the meaning of Section 4(a)(2) of the Securities Act, other than by means of Permitted General Solicitation.</w:t>
      </w:r>
    </w:p>
    <w:p>
      <w:pPr>
        <w:spacing w:after="0" w:line="191" w:lineRule="exact"/>
        <w:rPr>
          <w:rFonts w:ascii="Arial" w:cs="Arial" w:eastAsia="Arial" w:hAnsi="Arial"/>
          <w:sz w:val="18"/>
          <w:szCs w:val="18"/>
          <w:color w:val="auto"/>
        </w:rPr>
      </w:pPr>
    </w:p>
    <w:p>
      <w:pPr>
        <w:ind w:right="200" w:firstLine="441"/>
        <w:spacing w:after="0" w:line="303" w:lineRule="auto"/>
        <w:tabs>
          <w:tab w:leader="none" w:pos="649" w:val="left"/>
        </w:tabs>
        <w:numPr>
          <w:ilvl w:val="0"/>
          <w:numId w:val="123"/>
        </w:numPr>
        <w:rPr>
          <w:rFonts w:ascii="Arial" w:cs="Arial" w:eastAsia="Arial" w:hAnsi="Arial"/>
          <w:sz w:val="15"/>
          <w:szCs w:val="15"/>
          <w:color w:val="auto"/>
        </w:rPr>
      </w:pPr>
      <w:r>
        <w:rPr>
          <w:rFonts w:ascii="Arial" w:cs="Arial" w:eastAsia="Arial" w:hAnsi="Arial"/>
          <w:sz w:val="15"/>
          <w:szCs w:val="15"/>
          <w:i w:val="1"/>
          <w:iCs w:val="1"/>
          <w:color w:val="auto"/>
        </w:rPr>
        <w:t>No Resales by the Company</w:t>
      </w:r>
      <w:r>
        <w:rPr>
          <w:rFonts w:ascii="Arial" w:cs="Arial" w:eastAsia="Arial" w:hAnsi="Arial"/>
          <w:sz w:val="15"/>
          <w:szCs w:val="15"/>
          <w:color w:val="auto"/>
        </w:rPr>
        <w:t>. During the period from the Closing Date until one year after the Closing Date or each Additional Closing Date, if</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the Company will not, and will not permit any of its subsidiaries to, resell any of the Notes that constitute “restricted securities” under Rule</w:t>
      </w:r>
    </w:p>
    <w:p>
      <w:pPr>
        <w:spacing w:after="0" w:line="251" w:lineRule="auto"/>
        <w:rPr>
          <w:rFonts w:ascii="Arial" w:cs="Arial" w:eastAsia="Arial" w:hAnsi="Arial"/>
          <w:sz w:val="15"/>
          <w:szCs w:val="15"/>
          <w:color w:val="auto"/>
        </w:rPr>
      </w:pPr>
      <w:r>
        <w:rPr>
          <w:rFonts w:ascii="Arial" w:cs="Arial" w:eastAsia="Arial" w:hAnsi="Arial"/>
          <w:sz w:val="18"/>
          <w:szCs w:val="18"/>
          <w:color w:val="auto"/>
        </w:rPr>
        <w:t>144 under the Securities Act that have been reacquired by any of them, except for Notes purchased by the Company or any of its subsidiaries and resold in a transaction registered under the Securities Act.</w:t>
      </w:r>
    </w:p>
    <w:p>
      <w:pPr>
        <w:spacing w:after="0" w:line="192" w:lineRule="exact"/>
        <w:rPr>
          <w:rFonts w:ascii="Arial" w:cs="Arial" w:eastAsia="Arial" w:hAnsi="Arial"/>
          <w:sz w:val="15"/>
          <w:szCs w:val="15"/>
          <w:color w:val="auto"/>
        </w:rPr>
      </w:pPr>
    </w:p>
    <w:p>
      <w:pPr>
        <w:ind w:right="100" w:firstLine="441"/>
        <w:spacing w:after="0" w:line="312" w:lineRule="auto"/>
        <w:tabs>
          <w:tab w:leader="none" w:pos="688" w:val="left"/>
        </w:tabs>
        <w:numPr>
          <w:ilvl w:val="0"/>
          <w:numId w:val="123"/>
        </w:numPr>
        <w:rPr>
          <w:rFonts w:ascii="Arial" w:cs="Arial" w:eastAsia="Arial" w:hAnsi="Arial"/>
          <w:sz w:val="15"/>
          <w:szCs w:val="15"/>
          <w:color w:val="auto"/>
        </w:rPr>
      </w:pPr>
      <w:r>
        <w:rPr>
          <w:rFonts w:ascii="Arial" w:cs="Arial" w:eastAsia="Arial" w:hAnsi="Arial"/>
          <w:sz w:val="15"/>
          <w:szCs w:val="15"/>
          <w:i w:val="1"/>
          <w:iCs w:val="1"/>
          <w:color w:val="auto"/>
        </w:rPr>
        <w:t xml:space="preserve">Blue Sky Compliance. </w:t>
      </w:r>
      <w:r>
        <w:rPr>
          <w:rFonts w:ascii="Arial" w:cs="Arial" w:eastAsia="Arial" w:hAnsi="Arial"/>
          <w:sz w:val="15"/>
          <w:szCs w:val="15"/>
          <w:color w:val="auto"/>
        </w:rPr>
        <w:t>The Company will use commercially reasonable efforts, in cooperation with the Representatives, to qualify the Notes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offer and sale under the securities or Blue Sky laws of such jurisdictions as the Representatives shall reasonably request and will continue such qualifications in effect so long as required for distribution of the Notes;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51" w:lineRule="exact"/>
        <w:rPr>
          <w:rFonts w:ascii="Arial" w:cs="Arial" w:eastAsia="Arial" w:hAnsi="Arial"/>
          <w:sz w:val="15"/>
          <w:szCs w:val="15"/>
          <w:color w:val="auto"/>
        </w:rPr>
      </w:pPr>
    </w:p>
    <w:p>
      <w:pPr>
        <w:ind w:right="40" w:firstLine="441"/>
        <w:spacing w:after="0" w:line="269" w:lineRule="auto"/>
        <w:tabs>
          <w:tab w:leader="none" w:pos="649"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Earning Statement. </w:t>
      </w:r>
      <w:r>
        <w:rPr>
          <w:rFonts w:ascii="Arial" w:cs="Arial" w:eastAsia="Arial" w:hAnsi="Arial"/>
          <w:sz w:val="17"/>
          <w:szCs w:val="17"/>
          <w:color w:val="auto"/>
        </w:rPr>
        <w:t>The Company will make generally available to its security holders and the Representatives as soon as practicable an earning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 that satisfies the provisions of Section 11(a) of the Securities Act and Rule 158 of the Commission promulgated thereunder covering a period of at least twelve months beginning with the first fiscal quarter of the Company occurring after the date of the Offering Memorandum;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177" w:lineRule="exact"/>
        <w:rPr>
          <w:rFonts w:ascii="Arial" w:cs="Arial" w:eastAsia="Arial" w:hAnsi="Arial"/>
          <w:sz w:val="17"/>
          <w:szCs w:val="17"/>
          <w:color w:val="auto"/>
        </w:rPr>
      </w:pPr>
    </w:p>
    <w:p>
      <w:pPr>
        <w:ind w:right="40" w:firstLine="441"/>
        <w:spacing w:after="0" w:line="267" w:lineRule="auto"/>
        <w:tabs>
          <w:tab w:leader="none" w:pos="738"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90 days after the date of the Offering Memorandum, the Company will not (i) offer, pledge, sell, contract to sell,</w:t>
      </w:r>
      <w:r>
        <w:rPr>
          <w:rFonts w:ascii="Arial" w:cs="Arial" w:eastAsia="Arial" w:hAnsi="Arial"/>
          <w:sz w:val="17"/>
          <w:szCs w:val="17"/>
          <w:i w:val="1"/>
          <w:iCs w:val="1"/>
          <w:color w:val="auto"/>
        </w:rPr>
        <w:t xml:space="preserve"> </w:t>
      </w:r>
      <w:r>
        <w:rPr>
          <w:rFonts w:ascii="Arial" w:cs="Arial" w:eastAsia="Arial" w:hAnsi="Arial"/>
          <w:sz w:val="17"/>
          <w:szCs w:val="17"/>
          <w:color w:val="auto"/>
        </w:rPr>
        <w:t>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publicly disclose the intention to make any such offer, sale, pledge, disposition or filing, or (ii) enter into any swap or other agreement that transfers, in whole or in part, any of the economic consequences of ownership of the Stock or any such other securities, whether any such transaction described in</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3" w:right="259" w:bottom="1440" w:gutter="0" w:footer="0" w:header="0"/>
        </w:sectPr>
      </w:pPr>
    </w:p>
    <w:bookmarkStart w:id="132" w:name="page133"/>
    <w:bookmarkEnd w:id="132"/>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clause (i) or (ii) above is to be settled by delivery of Common Stock or such other securities, in cash or otherwise, without the prior written consent of Merrill Lynch, Pierce, Fenner &amp; Smith Incorporated, J.P. Morgan Securities LLC and Goldman, Sachs &amp; Co. on behalf of the Initial Purchasers, other than</w:t>
      </w:r>
    </w:p>
    <w:p>
      <w:pPr>
        <w:ind w:left="300" w:hanging="297"/>
        <w:spacing w:after="0"/>
        <w:tabs>
          <w:tab w:leader="none" w:pos="3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sale of the Notes to be sold hereunder (including the Option Notes) or the issuance of Underlying Securities upon conversion of the Notes and</w:t>
      </w:r>
    </w:p>
    <w:p>
      <w:pPr>
        <w:spacing w:after="0" w:line="39" w:lineRule="exact"/>
        <w:rPr>
          <w:rFonts w:ascii="Arial" w:cs="Arial" w:eastAsia="Arial" w:hAnsi="Arial"/>
          <w:sz w:val="15"/>
          <w:szCs w:val="15"/>
          <w:color w:val="auto"/>
        </w:rPr>
      </w:pPr>
    </w:p>
    <w:p>
      <w:pPr>
        <w:ind w:right="140" w:firstLine="3"/>
        <w:spacing w:after="0" w:line="264" w:lineRule="auto"/>
        <w:tabs>
          <w:tab w:leader="none" w:pos="2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issuance of shares of Common Stock issued or delivered in connection with the Company’s dividend reinvestment plan. Notwithstanding the foregoing, if the Company is not then an Emerging Growth Company, then if (1) during the last 17 days of the 90-day restricted period, the Company issues an earnings release or material news or a material event relating to the Company occurs; or (2) prior to the expiration of the 90-day restricted period, the Company announces that it will release earnings results during the 16-day period beginning on the last day of the 90-day period, the restrictions imposed by this Agreement shall continue to apply until the expiration of the 18-day period beginning on the issuance of the earnings release or the occurrence of the material news or material event.</w:t>
      </w:r>
    </w:p>
    <w:p>
      <w:pPr>
        <w:spacing w:after="0" w:line="183" w:lineRule="exact"/>
        <w:rPr>
          <w:rFonts w:ascii="Arial" w:cs="Arial" w:eastAsia="Arial" w:hAnsi="Arial"/>
          <w:sz w:val="17"/>
          <w:szCs w:val="17"/>
          <w:color w:val="auto"/>
        </w:rPr>
      </w:pPr>
    </w:p>
    <w:p>
      <w:pPr>
        <w:ind w:right="640" w:firstLine="441"/>
        <w:spacing w:after="0" w:line="265" w:lineRule="auto"/>
        <w:tabs>
          <w:tab w:leader="none" w:pos="688"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Notes in all material respects as described in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Offering Memorandum under the heading “Use of Proceeds”.</w:t>
      </w:r>
    </w:p>
    <w:p>
      <w:pPr>
        <w:spacing w:after="0" w:line="179" w:lineRule="exact"/>
        <w:rPr>
          <w:rFonts w:ascii="Arial" w:cs="Arial" w:eastAsia="Arial" w:hAnsi="Arial"/>
          <w:sz w:val="18"/>
          <w:szCs w:val="18"/>
          <w:color w:val="auto"/>
        </w:rPr>
      </w:pPr>
    </w:p>
    <w:p>
      <w:pPr>
        <w:ind w:right="200" w:firstLine="441"/>
        <w:spacing w:after="0" w:line="255" w:lineRule="auto"/>
        <w:tabs>
          <w:tab w:leader="none" w:pos="688"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Section 3(pp) herein, the Company will not take, directly or indirectly, without giving effect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by the Initial Purchasers, any action designed to or that would reasonably be expected to cause or result in any stabilization or manipulation of the price of the Common Stock.</w:t>
      </w:r>
    </w:p>
    <w:p>
      <w:pPr>
        <w:spacing w:after="0" w:line="188" w:lineRule="exact"/>
        <w:rPr>
          <w:rFonts w:ascii="Arial" w:cs="Arial" w:eastAsia="Arial" w:hAnsi="Arial"/>
          <w:sz w:val="18"/>
          <w:szCs w:val="18"/>
          <w:color w:val="auto"/>
        </w:rPr>
      </w:pPr>
    </w:p>
    <w:p>
      <w:pPr>
        <w:ind w:right="540" w:firstLine="441"/>
        <w:spacing w:after="0" w:line="265" w:lineRule="auto"/>
        <w:tabs>
          <w:tab w:leader="none" w:pos="688"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Company will use commercially reasonable efforts to list for quotation, subject to notice of issuance, shares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Securities on the New York Stock Exchange.</w:t>
      </w:r>
    </w:p>
    <w:p>
      <w:pPr>
        <w:spacing w:after="0" w:line="179" w:lineRule="exact"/>
        <w:rPr>
          <w:rFonts w:ascii="Arial" w:cs="Arial" w:eastAsia="Arial" w:hAnsi="Arial"/>
          <w:sz w:val="18"/>
          <w:szCs w:val="18"/>
          <w:color w:val="auto"/>
        </w:rPr>
      </w:pPr>
    </w:p>
    <w:p>
      <w:pPr>
        <w:ind w:right="180" w:firstLine="441"/>
        <w:spacing w:after="0" w:line="250" w:lineRule="auto"/>
        <w:tabs>
          <w:tab w:leader="none" w:pos="688"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Notes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Notes,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194" w:lineRule="exact"/>
        <w:rPr>
          <w:rFonts w:ascii="Arial" w:cs="Arial" w:eastAsia="Arial" w:hAnsi="Arial"/>
          <w:sz w:val="18"/>
          <w:szCs w:val="18"/>
          <w:color w:val="auto"/>
        </w:rPr>
      </w:pPr>
    </w:p>
    <w:p>
      <w:pPr>
        <w:ind w:firstLine="441"/>
        <w:spacing w:after="0" w:line="255" w:lineRule="auto"/>
        <w:tabs>
          <w:tab w:leader="none" w:pos="659"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prior to the later of (i) completion of the distribution of Notes within the meaning of the Securities Act and (ii) completion of the 90-day restricted period referred to in Section 5(m) hereof.</w:t>
      </w:r>
    </w:p>
    <w:p>
      <w:pPr>
        <w:spacing w:after="0" w:line="188" w:lineRule="exact"/>
        <w:rPr>
          <w:rFonts w:ascii="Arial" w:cs="Arial" w:eastAsia="Arial" w:hAnsi="Arial"/>
          <w:sz w:val="18"/>
          <w:szCs w:val="18"/>
          <w:color w:val="auto"/>
        </w:rPr>
      </w:pPr>
    </w:p>
    <w:p>
      <w:pPr>
        <w:ind w:firstLine="441"/>
        <w:spacing w:after="0" w:line="318" w:lineRule="auto"/>
        <w:tabs>
          <w:tab w:leader="none" w:pos="669" w:val="left"/>
        </w:tabs>
        <w:numPr>
          <w:ilvl w:val="1"/>
          <w:numId w:val="124"/>
        </w:numPr>
        <w:rPr>
          <w:rFonts w:ascii="Arial" w:cs="Arial" w:eastAsia="Arial" w:hAnsi="Arial"/>
          <w:sz w:val="15"/>
          <w:szCs w:val="15"/>
          <w:color w:val="auto"/>
        </w:rPr>
      </w:pPr>
      <w:r>
        <w:rPr>
          <w:rFonts w:ascii="Arial" w:cs="Arial" w:eastAsia="Arial" w:hAnsi="Arial"/>
          <w:sz w:val="15"/>
          <w:szCs w:val="15"/>
          <w:i w:val="1"/>
          <w:iCs w:val="1"/>
          <w:color w:val="auto"/>
        </w:rPr>
        <w:t>Business Development Company</w:t>
      </w:r>
      <w:r>
        <w:rPr>
          <w:rFonts w:ascii="Arial" w:cs="Arial" w:eastAsia="Arial" w:hAnsi="Arial"/>
          <w:sz w:val="15"/>
          <w:szCs w:val="15"/>
          <w:color w:val="auto"/>
        </w:rPr>
        <w:t>. The Company, during a period of two years from the date of the Offering Memorandum, will use commercially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reasonable efforts to maintain its status as a business development company under the Investment Company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3" w:right="259" w:bottom="1440" w:gutter="0" w:footer="0" w:header="0"/>
        </w:sectPr>
      </w:pPr>
    </w:p>
    <w:bookmarkStart w:id="133" w:name="page134"/>
    <w:bookmarkEnd w:id="133"/>
    <w:p>
      <w:pPr>
        <w:ind w:left="440" w:right="140" w:firstLine="441"/>
        <w:spacing w:after="0" w:line="255" w:lineRule="auto"/>
        <w:tabs>
          <w:tab w:leader="none" w:pos="1089" w:val="left"/>
        </w:tabs>
        <w:numPr>
          <w:ilvl w:val="1"/>
          <w:numId w:val="1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Regulated Investment Company. </w:t>
      </w:r>
      <w:r>
        <w:rPr>
          <w:rFonts w:ascii="Arial" w:cs="Arial" w:eastAsia="Arial" w:hAnsi="Arial"/>
          <w:sz w:val="18"/>
          <w:szCs w:val="18"/>
          <w:color w:val="auto"/>
        </w:rPr>
        <w:t>The Company will use commercially reasonable efforts to maintain in effect its qualification and election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 regulated investment company under Subchapter M of the Code for each taxable year during which it is a business development company under the Investment Company Act.</w:t>
      </w:r>
    </w:p>
    <w:p>
      <w:pPr>
        <w:spacing w:after="0" w:line="188" w:lineRule="exact"/>
        <w:rPr>
          <w:rFonts w:ascii="Arial" w:cs="Arial" w:eastAsia="Arial" w:hAnsi="Arial"/>
          <w:sz w:val="18"/>
          <w:szCs w:val="18"/>
          <w:color w:val="auto"/>
        </w:rPr>
      </w:pPr>
    </w:p>
    <w:p>
      <w:pPr>
        <w:ind w:left="440" w:right="120" w:firstLine="441"/>
        <w:spacing w:after="0" w:line="250" w:lineRule="auto"/>
        <w:tabs>
          <w:tab w:leader="none" w:pos="1128" w:val="left"/>
        </w:tabs>
        <w:numPr>
          <w:ilvl w:val="1"/>
          <w:numId w:val="125"/>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94" w:lineRule="exact"/>
        <w:rPr>
          <w:rFonts w:ascii="Arial" w:cs="Arial" w:eastAsia="Arial" w:hAnsi="Arial"/>
          <w:sz w:val="18"/>
          <w:szCs w:val="18"/>
          <w:color w:val="auto"/>
        </w:rPr>
      </w:pPr>
    </w:p>
    <w:p>
      <w:pPr>
        <w:ind w:left="440" w:right="100" w:firstLine="441"/>
        <w:spacing w:after="0" w:line="265" w:lineRule="auto"/>
        <w:tabs>
          <w:tab w:leader="none" w:pos="1128" w:val="left"/>
        </w:tabs>
        <w:numPr>
          <w:ilvl w:val="1"/>
          <w:numId w:val="125"/>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Each of the Notes will bear, to the extent applicable, the legend contained in “Transfer Restrictions” in the Pricing Disclosure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Offering Memorandum for the time period and upon the other terms stated therein.</w:t>
      </w:r>
    </w:p>
    <w:p>
      <w:pPr>
        <w:spacing w:after="0" w:line="179" w:lineRule="exact"/>
        <w:rPr>
          <w:rFonts w:ascii="Arial" w:cs="Arial" w:eastAsia="Arial" w:hAnsi="Arial"/>
          <w:sz w:val="18"/>
          <w:szCs w:val="18"/>
          <w:color w:val="auto"/>
        </w:rPr>
      </w:pPr>
    </w:p>
    <w:p>
      <w:pPr>
        <w:jc w:val="both"/>
        <w:ind w:left="-20" w:firstLine="463"/>
        <w:spacing w:after="0" w:line="318" w:lineRule="auto"/>
        <w:tabs>
          <w:tab w:leader="none" w:pos="613"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Certain Agreements of the Initial Purchasers</w:t>
      </w:r>
      <w:r>
        <w:rPr>
          <w:rFonts w:ascii="Arial" w:cs="Arial" w:eastAsia="Arial" w:hAnsi="Arial"/>
          <w:sz w:val="15"/>
          <w:szCs w:val="15"/>
          <w:color w:val="auto"/>
        </w:rPr>
        <w:t>. Each Initial Purchaser hereby represents, warrants and agrees that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Notes, other than materials contained in the Pricing Disclosure Package, any Marketing Materials and the Offering Memorandum or any other offering materials prepared by or with the prior written consent of the Company.</w:t>
      </w:r>
    </w:p>
    <w:p>
      <w:pPr>
        <w:spacing w:after="0" w:line="146" w:lineRule="exact"/>
        <w:rPr>
          <w:rFonts w:ascii="Arial" w:cs="Arial" w:eastAsia="Arial" w:hAnsi="Arial"/>
          <w:sz w:val="15"/>
          <w:szCs w:val="15"/>
          <w:color w:val="auto"/>
        </w:rPr>
      </w:pPr>
    </w:p>
    <w:p>
      <w:pPr>
        <w:ind w:left="-20" w:right="80" w:firstLine="463"/>
        <w:spacing w:after="0" w:line="255" w:lineRule="auto"/>
        <w:tabs>
          <w:tab w:leader="none" w:pos="61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Conditions of Initial Purchasers’ Obligations.</w:t>
      </w:r>
      <w:r>
        <w:rPr>
          <w:rFonts w:ascii="Arial" w:cs="Arial" w:eastAsia="Arial" w:hAnsi="Arial"/>
          <w:sz w:val="18"/>
          <w:szCs w:val="18"/>
          <w:color w:val="auto"/>
        </w:rPr>
        <w:t xml:space="preserve"> The obligation of each Initial Purchaser to purchase the Initial Notes on the Closing Date or the Option Notes on the Closing Date or the Additional Closing Date, as the case may be, as provided herein is subject to the performance by the Company of its covenants and other obligations hereunder and to the following additional conditions:</w:t>
      </w:r>
    </w:p>
    <w:p>
      <w:pPr>
        <w:spacing w:after="0" w:line="188" w:lineRule="exact"/>
        <w:rPr>
          <w:rFonts w:ascii="Arial" w:cs="Arial" w:eastAsia="Arial" w:hAnsi="Arial"/>
          <w:sz w:val="18"/>
          <w:szCs w:val="18"/>
          <w:color w:val="auto"/>
        </w:rPr>
      </w:pPr>
    </w:p>
    <w:p>
      <w:pPr>
        <w:ind w:left="440" w:right="160" w:firstLine="441"/>
        <w:spacing w:after="0" w:line="252" w:lineRule="auto"/>
        <w:tabs>
          <w:tab w:leader="none" w:pos="111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 correct</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91" w:lineRule="exact"/>
        <w:rPr>
          <w:rFonts w:ascii="Arial" w:cs="Arial" w:eastAsia="Arial" w:hAnsi="Arial"/>
          <w:sz w:val="18"/>
          <w:szCs w:val="18"/>
          <w:color w:val="auto"/>
        </w:rPr>
      </w:pPr>
    </w:p>
    <w:p>
      <w:pPr>
        <w:ind w:left="440" w:firstLine="441"/>
        <w:spacing w:after="0" w:line="269" w:lineRule="auto"/>
        <w:tabs>
          <w:tab w:leader="none" w:pos="1128"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3(f) and Section 4(a) hereof shall have occurred or shall exist,</w:t>
      </w:r>
      <w:r>
        <w:rPr>
          <w:rFonts w:ascii="Arial" w:cs="Arial" w:eastAsia="Arial" w:hAnsi="Arial"/>
          <w:sz w:val="17"/>
          <w:szCs w:val="17"/>
          <w:i w:val="1"/>
          <w:iCs w:val="1"/>
          <w:color w:val="auto"/>
        </w:rPr>
        <w:t xml:space="preserve"> </w:t>
      </w:r>
      <w:r>
        <w:rPr>
          <w:rFonts w:ascii="Arial" w:cs="Arial" w:eastAsia="Arial" w:hAnsi="Arial"/>
          <w:sz w:val="17"/>
          <w:szCs w:val="17"/>
          <w:color w:val="auto"/>
        </w:rPr>
        <w:t>which event or condition is not described in the Pricing Disclosure Package (excluding any amendment or supplement thereto) and the Offering Memorandum (excluding any amendment or supplement thereto) and the effect of which in the judgment of the Representatives makes it impracticable or inadvisable to proceed with the offering, sale or delivery of the Notes on the Closing Date or the Additional Closing Date, as the case may be, on the terms and in the manner contemplated by this Agreement, the Pricing Disclosure Package and the Offering Memorandum.</w:t>
      </w:r>
    </w:p>
    <w:p>
      <w:pPr>
        <w:spacing w:after="0" w:line="177" w:lineRule="exact"/>
        <w:rPr>
          <w:rFonts w:ascii="Arial" w:cs="Arial" w:eastAsia="Arial" w:hAnsi="Arial"/>
          <w:sz w:val="17"/>
          <w:szCs w:val="17"/>
          <w:color w:val="auto"/>
        </w:rPr>
      </w:pPr>
    </w:p>
    <w:p>
      <w:pPr>
        <w:ind w:left="440" w:right="260" w:firstLine="441"/>
        <w:spacing w:after="0" w:line="255" w:lineRule="auto"/>
        <w:tabs>
          <w:tab w:leader="none" w:pos="111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Company’s Officer’s Certificate. </w:t>
      </w:r>
      <w:r>
        <w:rPr>
          <w:rFonts w:ascii="Arial" w:cs="Arial" w:eastAsia="Arial" w:hAnsi="Arial"/>
          <w:sz w:val="18"/>
          <w:szCs w:val="18"/>
          <w:color w:val="auto"/>
        </w:rPr>
        <w:t>The Representatives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Company and not the signatories in their individual capacity, of the chief financial officer or chief accounting officer of the Company and one additional senior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273" w:right="239" w:bottom="1440" w:gutter="0" w:footer="0" w:header="0"/>
        </w:sectPr>
      </w:pPr>
    </w:p>
    <w:bookmarkStart w:id="134" w:name="page135"/>
    <w:bookmarkEnd w:id="134"/>
    <w:p>
      <w:pPr>
        <w:ind w:right="1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executive officer of the Company who is reasonably satisfactory to the Representatives (i) confirming that such officers have carefully reviewed the Pricing Disclosure Package and the Offering Memorandum,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with respect to the Company and its subsidiaries, to the effect set forth in paragraph (b) above.</w:t>
      </w:r>
    </w:p>
    <w:p>
      <w:pPr>
        <w:spacing w:after="0" w:line="180" w:lineRule="exact"/>
        <w:rPr>
          <w:sz w:val="20"/>
          <w:szCs w:val="20"/>
          <w:color w:val="auto"/>
        </w:rPr>
      </w:pPr>
    </w:p>
    <w:p>
      <w:pPr>
        <w:ind w:right="40" w:firstLine="441"/>
        <w:spacing w:after="0" w:line="249" w:lineRule="auto"/>
        <w:tabs>
          <w:tab w:leader="none" w:pos="688"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Representatives shall have received on and as of the Closing Date or the Additional Closing Date, as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(b) above.</w:t>
      </w:r>
    </w:p>
    <w:p>
      <w:pPr>
        <w:spacing w:after="0" w:line="196" w:lineRule="exact"/>
        <w:rPr>
          <w:rFonts w:ascii="Arial" w:cs="Arial" w:eastAsia="Arial" w:hAnsi="Arial"/>
          <w:sz w:val="18"/>
          <w:szCs w:val="18"/>
          <w:color w:val="auto"/>
        </w:rPr>
      </w:pPr>
    </w:p>
    <w:p>
      <w:pPr>
        <w:ind w:firstLine="441"/>
        <w:spacing w:after="0" w:line="309" w:lineRule="auto"/>
        <w:tabs>
          <w:tab w:leader="none" w:pos="679"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Comfort Letters. </w:t>
      </w:r>
      <w:r>
        <w:rPr>
          <w:rFonts w:ascii="Arial" w:cs="Arial" w:eastAsia="Arial" w:hAnsi="Arial"/>
          <w:sz w:val="15"/>
          <w:szCs w:val="15"/>
          <w:color w:val="auto"/>
        </w:rPr>
        <w:t>On the date of this Agreement and on the Closing Date or the Additional Closing Date, as the case may be, KPMG LLP shall</w:t>
      </w:r>
      <w:r>
        <w:rPr>
          <w:rFonts w:ascii="Arial" w:cs="Arial" w:eastAsia="Arial" w:hAnsi="Arial"/>
          <w:sz w:val="15"/>
          <w:szCs w:val="15"/>
          <w:i w:val="1"/>
          <w:iCs w:val="1"/>
          <w:color w:val="auto"/>
        </w:rPr>
        <w:t xml:space="preserve"> </w:t>
      </w:r>
      <w:r>
        <w:rPr>
          <w:rFonts w:ascii="Arial" w:cs="Arial" w:eastAsia="Arial" w:hAnsi="Arial"/>
          <w:sz w:val="15"/>
          <w:szCs w:val="15"/>
          <w:color w:val="auto"/>
        </w:rPr>
        <w:t>have furnished to the Representatives, at the request of the Company, letters, dated the respective dates of delivery thereof and addressed to the Initial Purchasers, in form and substance reasonably satisfactory to the Representatives, containing statements and information of the type customarily included in accountants’ “comfort letters” to Initial Purchasers with respect to the financial statements and certain financial information contained in the Pricing Disclosure Package and the Offering Memorandum;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52" w:lineRule="exact"/>
        <w:rPr>
          <w:rFonts w:ascii="Arial" w:cs="Arial" w:eastAsia="Arial" w:hAnsi="Arial"/>
          <w:sz w:val="15"/>
          <w:szCs w:val="15"/>
          <w:color w:val="auto"/>
        </w:rPr>
      </w:pPr>
    </w:p>
    <w:p>
      <w:pPr>
        <w:ind w:right="20" w:firstLine="441"/>
        <w:spacing w:after="0" w:line="302" w:lineRule="auto"/>
        <w:tabs>
          <w:tab w:leader="none" w:pos="659"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Opinion and 10b-5 Statement of Counsel for the Company and Adviser. </w:t>
      </w:r>
      <w:r>
        <w:rPr>
          <w:rFonts w:ascii="Arial" w:cs="Arial" w:eastAsia="Arial" w:hAnsi="Arial"/>
          <w:sz w:val="15"/>
          <w:szCs w:val="15"/>
          <w:color w:val="auto"/>
        </w:rPr>
        <w:t>Cleary Gottlieb Steen &amp; Hamilton LLP, counsel for the Company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Adviser, shall have furnished to the Representatives, at the request of the Company and the Adviser, their written opinions and 10b-5 letter, dated the Closing Date or the Additional Closing Date, as the case may be, and addressed to the Initial Purchasers, in form and substance reasonably satisfactory to the Representatives. Sutherland Asbill &amp; Brennan LLP, Investment Company Act counsel for the Company and Advisers Act counsel for the Adviser, shall have furnished to the Representatives, at the request of the Company and the Adviser, their written opinion, dated the Closing Date or the Additional Closing Date, as the case may be, and addressed to the Initial Purchasers, in form and substance reasonably satisfactory to the Representatives. Morris, Nichols, Arsht &amp; Tunnell LLP, Delaware counsel for the Company and the Adviser, shall have furnished to the Representatives, at the request of the Company and the Adviser, their written opinion, dated the Closing Date or the Additional Closing Date, as the case may be, and addressed to the Initial Purchasers, in form and substance reasonably satisfactory to the Representatives. In-house counsel to the Company and the Adviser, shall have furnished to the Representatives, its written opinion, dated the Closing Date or the Additional Closing Date, as the case may be, and addressed to the Initial Purchasers, in form and substance reasonably satisfactory to the Representatives.</w:t>
      </w:r>
    </w:p>
    <w:p>
      <w:pPr>
        <w:spacing w:after="0" w:line="3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3" w:right="239" w:bottom="1440" w:gutter="0" w:footer="0" w:header="0"/>
        </w:sectPr>
      </w:pPr>
    </w:p>
    <w:bookmarkStart w:id="135" w:name="page136"/>
    <w:bookmarkEnd w:id="135"/>
    <w:p>
      <w:pPr>
        <w:ind w:left="460" w:right="20" w:firstLine="441"/>
        <w:spacing w:after="0" w:line="252" w:lineRule="auto"/>
        <w:tabs>
          <w:tab w:leader="none" w:pos="1148"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Opinion and 10b-5 Statement of Counsel for the Initial Purchasers. </w:t>
      </w:r>
      <w:r>
        <w:rPr>
          <w:rFonts w:ascii="Arial" w:cs="Arial" w:eastAsia="Arial" w:hAnsi="Arial"/>
          <w:sz w:val="18"/>
          <w:szCs w:val="18"/>
          <w:color w:val="auto"/>
        </w:rPr>
        <w:t>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Fried, Frank, Harris, Shriver &amp; Jacobson LLP, counsel for the Initial Purchasers, with respect to such matters as the Representatives may reasonably request, and such counsel shall have received such documents and information as they may reasonably request to enable them to pass upon such matters.</w:t>
      </w:r>
    </w:p>
    <w:p>
      <w:pPr>
        <w:spacing w:after="0" w:line="191" w:lineRule="exact"/>
        <w:rPr>
          <w:rFonts w:ascii="Arial" w:cs="Arial" w:eastAsia="Arial" w:hAnsi="Arial"/>
          <w:sz w:val="18"/>
          <w:szCs w:val="18"/>
          <w:color w:val="auto"/>
        </w:rPr>
      </w:pPr>
    </w:p>
    <w:p>
      <w:pPr>
        <w:ind w:left="460" w:firstLine="441"/>
        <w:spacing w:after="0" w:line="312" w:lineRule="auto"/>
        <w:tabs>
          <w:tab w:leader="none" w:pos="1148" w:val="left"/>
        </w:tabs>
        <w:numPr>
          <w:ilvl w:val="0"/>
          <w:numId w:val="128"/>
        </w:numPr>
        <w:rPr>
          <w:rFonts w:ascii="Arial" w:cs="Arial" w:eastAsia="Arial" w:hAnsi="Arial"/>
          <w:sz w:val="15"/>
          <w:szCs w:val="15"/>
          <w:color w:val="auto"/>
        </w:rPr>
      </w:pPr>
      <w:r>
        <w:rPr>
          <w:rFonts w:ascii="Arial" w:cs="Arial" w:eastAsia="Arial" w:hAnsi="Arial"/>
          <w:sz w:val="15"/>
          <w:szCs w:val="15"/>
          <w:i w:val="1"/>
          <w:iCs w:val="1"/>
          <w:color w:val="auto"/>
        </w:rPr>
        <w:t xml:space="preserve">No Legal Impediment to Issuance. </w:t>
      </w:r>
      <w:r>
        <w:rPr>
          <w:rFonts w:ascii="Arial" w:cs="Arial" w:eastAsia="Arial" w:hAnsi="Arial"/>
          <w:sz w:val="15"/>
          <w:szCs w:val="15"/>
          <w:color w:val="auto"/>
        </w:rPr>
        <w:t>No action shall have been taken and no statute, rule, regulation or order shall have been enacted, adopted or</w:t>
      </w:r>
      <w:r>
        <w:rPr>
          <w:rFonts w:ascii="Arial" w:cs="Arial" w:eastAsia="Arial" w:hAnsi="Arial"/>
          <w:sz w:val="15"/>
          <w:szCs w:val="15"/>
          <w:i w:val="1"/>
          <w:iCs w:val="1"/>
          <w:color w:val="auto"/>
        </w:rPr>
        <w:t xml:space="preserve"> </w:t>
      </w:r>
      <w:r>
        <w:rPr>
          <w:rFonts w:ascii="Arial" w:cs="Arial" w:eastAsia="Arial" w:hAnsi="Arial"/>
          <w:sz w:val="15"/>
          <w:szCs w:val="15"/>
          <w:color w:val="auto"/>
        </w:rPr>
        <w:t>issued by any federal, state or foreign governmental or regulatory authority that would, as of the Closing Date or the Additional Closing Date, as the case may be, prevent the issuance or sale of the Notes (including the issuance of the Underlying Securities upon conversion thereof); and no injunction or order of any federal, state or foreign court shall have been issued that would, as of the Closing Date or the Additional Closing Date, as the case may be, prevent the issuance or sale of the Notes (including the issuance of the Underlying Securities upon conversion thereof).</w:t>
      </w:r>
    </w:p>
    <w:p>
      <w:pPr>
        <w:spacing w:after="0" w:line="151" w:lineRule="exact"/>
        <w:rPr>
          <w:rFonts w:ascii="Arial" w:cs="Arial" w:eastAsia="Arial" w:hAnsi="Arial"/>
          <w:sz w:val="15"/>
          <w:szCs w:val="15"/>
          <w:color w:val="auto"/>
        </w:rPr>
      </w:pPr>
    </w:p>
    <w:p>
      <w:pPr>
        <w:ind w:left="460" w:right="160" w:firstLine="441"/>
        <w:spacing w:after="0" w:line="252" w:lineRule="auto"/>
        <w:tabs>
          <w:tab w:leader="none" w:pos="1109"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91" w:lineRule="exact"/>
        <w:rPr>
          <w:rFonts w:ascii="Arial" w:cs="Arial" w:eastAsia="Arial" w:hAnsi="Arial"/>
          <w:sz w:val="18"/>
          <w:szCs w:val="18"/>
          <w:color w:val="auto"/>
        </w:rPr>
      </w:pPr>
    </w:p>
    <w:p>
      <w:pPr>
        <w:ind w:left="460" w:right="240" w:firstLine="441"/>
        <w:spacing w:after="0" w:line="265" w:lineRule="auto"/>
        <w:tabs>
          <w:tab w:leader="none" w:pos="1109"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On the Closing Date or Additional Closing Date, as the case may be, the Company shall have applied to list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New York Stock Exchange.</w:t>
      </w:r>
    </w:p>
    <w:p>
      <w:pPr>
        <w:spacing w:after="0" w:line="179" w:lineRule="exact"/>
        <w:rPr>
          <w:rFonts w:ascii="Arial" w:cs="Arial" w:eastAsia="Arial" w:hAnsi="Arial"/>
          <w:sz w:val="18"/>
          <w:szCs w:val="18"/>
          <w:color w:val="auto"/>
        </w:rPr>
      </w:pPr>
    </w:p>
    <w:p>
      <w:pPr>
        <w:ind w:left="1160" w:hanging="259"/>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On or prior to the Closing Date, the Company and the Trustee shall have executed and delivered the Indenture.</w:t>
      </w:r>
    </w:p>
    <w:p>
      <w:pPr>
        <w:spacing w:after="0" w:line="217" w:lineRule="exact"/>
        <w:rPr>
          <w:rFonts w:ascii="Arial" w:cs="Arial" w:eastAsia="Arial" w:hAnsi="Arial"/>
          <w:sz w:val="18"/>
          <w:szCs w:val="18"/>
          <w:color w:val="auto"/>
        </w:rPr>
      </w:pPr>
    </w:p>
    <w:p>
      <w:pPr>
        <w:ind w:left="460" w:right="80" w:firstLine="441"/>
        <w:spacing w:after="0" w:line="249" w:lineRule="auto"/>
        <w:tabs>
          <w:tab w:leader="none" w:pos="1109"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196" w:lineRule="exact"/>
        <w:rPr>
          <w:rFonts w:ascii="Arial" w:cs="Arial" w:eastAsia="Arial" w:hAnsi="Arial"/>
          <w:sz w:val="18"/>
          <w:szCs w:val="18"/>
          <w:color w:val="auto"/>
        </w:rPr>
      </w:pPr>
    </w:p>
    <w:p>
      <w:pPr>
        <w:ind w:left="460" w:right="20" w:firstLine="441"/>
        <w:spacing w:after="0" w:line="265" w:lineRule="auto"/>
        <w:tabs>
          <w:tab w:leader="none" w:pos="1198"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Representatives such further certificates and documents as the Representatives may reasonably request.</w:t>
      </w:r>
    </w:p>
    <w:p>
      <w:pPr>
        <w:spacing w:after="0" w:line="179" w:lineRule="exact"/>
        <w:rPr>
          <w:sz w:val="20"/>
          <w:szCs w:val="20"/>
          <w:color w:val="auto"/>
        </w:rPr>
      </w:pPr>
    </w:p>
    <w:p>
      <w:pPr>
        <w:ind w:right="180" w:firstLine="457"/>
        <w:spacing w:after="0" w:line="265"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3" w:right="259" w:bottom="1440" w:gutter="0" w:footer="0" w:header="0"/>
        </w:sectPr>
      </w:pPr>
    </w:p>
    <w:bookmarkStart w:id="136" w:name="page137"/>
    <w:bookmarkEnd w:id="136"/>
    <w:p>
      <w:pPr>
        <w:ind w:left="640" w:hanging="177"/>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217" w:lineRule="exact"/>
        <w:rPr>
          <w:sz w:val="20"/>
          <w:szCs w:val="20"/>
          <w:color w:val="auto"/>
        </w:rPr>
      </w:pPr>
    </w:p>
    <w:p>
      <w:pPr>
        <w:ind w:right="40" w:firstLine="463"/>
        <w:spacing w:after="0" w:line="302" w:lineRule="auto"/>
        <w:tabs>
          <w:tab w:leader="none" w:pos="697" w:val="left"/>
        </w:tabs>
        <w:numPr>
          <w:ilvl w:val="0"/>
          <w:numId w:val="130"/>
        </w:numPr>
        <w:rPr>
          <w:rFonts w:ascii="Arial" w:cs="Arial" w:eastAsia="Arial" w:hAnsi="Arial"/>
          <w:sz w:val="15"/>
          <w:szCs w:val="15"/>
          <w:color w:val="auto"/>
        </w:rPr>
      </w:pPr>
      <w:r>
        <w:rPr>
          <w:rFonts w:ascii="Arial" w:cs="Arial" w:eastAsia="Arial" w:hAnsi="Arial"/>
          <w:sz w:val="15"/>
          <w:szCs w:val="15"/>
          <w:i w:val="1"/>
          <w:iCs w:val="1"/>
          <w:color w:val="auto"/>
        </w:rPr>
        <w:t xml:space="preserve">Indemnification of the Initial Purchasers. </w:t>
      </w:r>
      <w:r>
        <w:rPr>
          <w:rFonts w:ascii="Arial" w:cs="Arial" w:eastAsia="Arial" w:hAnsi="Arial"/>
          <w:sz w:val="15"/>
          <w:szCs w:val="15"/>
          <w:color w:val="auto"/>
        </w:rPr>
        <w:t>The Company agrees to indemnify and hold harmless each Initial Purchaser, its affiliates, directors and</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and each person, if any, who controls such Initial Purchaser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any untrue statement or alleged untrue statement of a material fact contained in the Offering Memorandum (or any amendment or supplement thereto),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Representatives expressly for use therein, it being understood and agreed that the only such information furnished by any Initial Purchaser consists of the information described as such in subsection (b) below.</w:t>
      </w:r>
    </w:p>
    <w:p>
      <w:pPr>
        <w:spacing w:after="0" w:line="370" w:lineRule="exact"/>
        <w:rPr>
          <w:rFonts w:ascii="Arial" w:cs="Arial" w:eastAsia="Arial" w:hAnsi="Arial"/>
          <w:sz w:val="15"/>
          <w:szCs w:val="15"/>
          <w:color w:val="auto"/>
        </w:rPr>
      </w:pPr>
    </w:p>
    <w:p>
      <w:pPr>
        <w:ind w:firstLine="463"/>
        <w:spacing w:after="0" w:line="264" w:lineRule="auto"/>
        <w:tabs>
          <w:tab w:leader="none" w:pos="707"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Initial Purchaser agrees, severally and not jointly, to indemnify and hold harmless the Company, its directors, its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Representatives expressly for use in the Offering Memorandum (or any amendment or supplement thereto), any road show, any Marketing Materials or any Pricing Disclosure Package (including any Pricing Disclosure Package that has subsequently been amended), it being understood and agreed upon that the only such information furnished by any Initial Purchaser consists of the following information in the Offering Memorandum furnished on behalf of each Initial Purchaser: the marketing names of the Initial Purchasers set forth on such cover page, and under the caption “Plan of Distribution;” the legal names of the Initial Purchasers and the information in the first and second paragraphs under “Price Stabilization, Short Positions.”</w:t>
      </w:r>
    </w:p>
    <w:p>
      <w:pPr>
        <w:spacing w:after="0" w:line="183" w:lineRule="exact"/>
        <w:rPr>
          <w:rFonts w:ascii="Arial" w:cs="Arial" w:eastAsia="Arial" w:hAnsi="Arial"/>
          <w:sz w:val="17"/>
          <w:szCs w:val="17"/>
          <w:color w:val="auto"/>
        </w:rPr>
      </w:pPr>
    </w:p>
    <w:p>
      <w:pPr>
        <w:ind w:right="20" w:firstLine="463"/>
        <w:spacing w:after="0" w:line="264" w:lineRule="auto"/>
        <w:tabs>
          <w:tab w:leader="none" w:pos="697"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 brought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3" w:right="239" w:bottom="1440" w:gutter="0" w:footer="0" w:header="0"/>
        </w:sectPr>
      </w:pPr>
    </w:p>
    <w:bookmarkStart w:id="137" w:name="page138"/>
    <w:bookmarkEnd w:id="137"/>
    <w:p>
      <w:pPr>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Initial Purchaser, its affiliates, directors and officers and any control persons of such Initial Purchaser shall be designated in writing by Merrill Lynch, Pierce, Fenner &amp; Smith Incorporated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spacing w:after="0" w:line="183" w:lineRule="exact"/>
        <w:rPr>
          <w:sz w:val="20"/>
          <w:szCs w:val="20"/>
          <w:color w:val="auto"/>
        </w:rPr>
      </w:pPr>
    </w:p>
    <w:p>
      <w:pPr>
        <w:ind w:left="260" w:hanging="254"/>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does not include any statement as to or any admission of fault, culpability or a failure to act by or on behalf of any Indemnified Person.</w:t>
      </w:r>
    </w:p>
    <w:p>
      <w:pPr>
        <w:spacing w:after="0" w:line="205" w:lineRule="exact"/>
        <w:rPr>
          <w:rFonts w:ascii="Arial" w:cs="Arial" w:eastAsia="Arial" w:hAnsi="Arial"/>
          <w:sz w:val="18"/>
          <w:szCs w:val="18"/>
          <w:color w:val="auto"/>
        </w:rPr>
      </w:pPr>
    </w:p>
    <w:p>
      <w:pPr>
        <w:ind w:right="40" w:firstLine="463"/>
        <w:spacing w:after="0" w:line="264" w:lineRule="auto"/>
        <w:tabs>
          <w:tab w:leader="none" w:pos="707" w:val="left"/>
        </w:tabs>
        <w:numPr>
          <w:ilvl w:val="1"/>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 of</w:t>
      </w:r>
      <w:r>
        <w:rPr>
          <w:rFonts w:ascii="Arial" w:cs="Arial" w:eastAsia="Arial" w:hAnsi="Arial"/>
          <w:sz w:val="17"/>
          <w:szCs w:val="17"/>
          <w:i w:val="1"/>
          <w:iCs w:val="1"/>
          <w:color w:val="auto"/>
        </w:rPr>
        <w:t xml:space="preserve"> </w:t>
      </w:r>
      <w:r>
        <w:rPr>
          <w:rFonts w:ascii="Arial" w:cs="Arial" w:eastAsia="Arial" w:hAnsi="Arial"/>
          <w:sz w:val="17"/>
          <w:szCs w:val="17"/>
          <w:color w:val="auto"/>
        </w:rPr>
        <w:t>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Notes or (ii) if the allocation provided by clause (i) is not permitted by applicable law, in such proportion as is 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 respective proportions as the net proceeds (before deducting expenses) received by the Company from the sale of the Notes and the total related discounts and commissions received by the Initial Purchasers in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3" w:right="239" w:bottom="1440" w:gutter="0" w:footer="0" w:header="0"/>
        </w:sectPr>
      </w:pPr>
    </w:p>
    <w:bookmarkStart w:id="138" w:name="page139"/>
    <w:bookmarkEnd w:id="138"/>
    <w:p>
      <w:pPr>
        <w:ind w:right="1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connection therewith, in each case as set forth in the table on the cover of the Offering Memorandum, bear to the aggregate offering price of the Notes.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w:t>
      </w:r>
    </w:p>
    <w:p>
      <w:pPr>
        <w:spacing w:after="0" w:line="147" w:lineRule="exact"/>
        <w:rPr>
          <w:sz w:val="20"/>
          <w:szCs w:val="20"/>
          <w:color w:val="auto"/>
        </w:rPr>
      </w:pPr>
    </w:p>
    <w:p>
      <w:pPr>
        <w:ind w:left="700" w:hanging="237"/>
        <w:spacing w:after="0"/>
        <w:tabs>
          <w:tab w:leader="none" w:pos="700" w:val="left"/>
        </w:tabs>
        <w:numPr>
          <w:ilvl w:val="1"/>
          <w:numId w:val="132"/>
        </w:numPr>
        <w:rPr>
          <w:rFonts w:ascii="Arial" w:cs="Arial" w:eastAsia="Arial" w:hAnsi="Arial"/>
          <w:sz w:val="15"/>
          <w:szCs w:val="15"/>
          <w:color w:val="auto"/>
        </w:rPr>
      </w:pPr>
      <w:r>
        <w:rPr>
          <w:rFonts w:ascii="Arial" w:cs="Arial" w:eastAsia="Arial" w:hAnsi="Arial"/>
          <w:sz w:val="15"/>
          <w:szCs w:val="15"/>
          <w:i w:val="1"/>
          <w:iCs w:val="1"/>
          <w:color w:val="auto"/>
        </w:rPr>
        <w:t xml:space="preserve">Limitation on Liability. </w:t>
      </w:r>
      <w:r>
        <w:rPr>
          <w:rFonts w:ascii="Arial" w:cs="Arial" w:eastAsia="Arial" w:hAnsi="Arial"/>
          <w:sz w:val="15"/>
          <w:szCs w:val="15"/>
          <w:color w:val="auto"/>
        </w:rPr>
        <w:t>The Company and the Initial Purchasers agree that it would not be just and equitable if contribution pursuant to paragraph</w:t>
      </w:r>
    </w:p>
    <w:p>
      <w:pPr>
        <w:spacing w:after="0" w:line="50" w:lineRule="exact"/>
        <w:rPr>
          <w:rFonts w:ascii="Arial" w:cs="Arial" w:eastAsia="Arial" w:hAnsi="Arial"/>
          <w:sz w:val="15"/>
          <w:szCs w:val="15"/>
          <w:color w:val="auto"/>
        </w:rPr>
      </w:pPr>
    </w:p>
    <w:p>
      <w:pPr>
        <w:ind w:firstLine="6"/>
        <w:spacing w:after="0" w:line="302" w:lineRule="auto"/>
        <w:tabs>
          <w:tab w:leader="none" w:pos="25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above were determined by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Initial Purchaser be required to contribute any amount in excess of the amount by which the total related discounts and commissions received by such Initial Purchaser with respect to the offering of the Notes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paragraphs (d) and (e) of this Section 8 are several in proportion to their respective purchase obligations hereunder and not joint.</w:t>
      </w:r>
    </w:p>
    <w:p>
      <w:pPr>
        <w:spacing w:after="0" w:line="368" w:lineRule="exact"/>
        <w:rPr>
          <w:rFonts w:ascii="Arial" w:cs="Arial" w:eastAsia="Arial" w:hAnsi="Arial"/>
          <w:sz w:val="15"/>
          <w:szCs w:val="15"/>
          <w:color w:val="auto"/>
        </w:rPr>
      </w:pPr>
    </w:p>
    <w:p>
      <w:pPr>
        <w:ind w:right="400" w:firstLine="463"/>
        <w:spacing w:after="0" w:line="265" w:lineRule="auto"/>
        <w:tabs>
          <w:tab w:leader="none" w:pos="677" w:val="left"/>
        </w:tabs>
        <w:numPr>
          <w:ilvl w:val="1"/>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9" w:lineRule="exact"/>
        <w:rPr>
          <w:sz w:val="20"/>
          <w:szCs w:val="20"/>
          <w:color w:val="auto"/>
        </w:rPr>
      </w:pPr>
    </w:p>
    <w:p>
      <w:pPr>
        <w:ind w:left="640" w:hanging="177"/>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17" w:lineRule="exact"/>
        <w:rPr>
          <w:rFonts w:ascii="Arial" w:cs="Arial" w:eastAsia="Arial" w:hAnsi="Arial"/>
          <w:sz w:val="18"/>
          <w:szCs w:val="18"/>
          <w:color w:val="auto"/>
        </w:rPr>
      </w:pPr>
    </w:p>
    <w:p>
      <w:pPr>
        <w:ind w:right="20" w:firstLine="463"/>
        <w:spacing w:after="0" w:line="305" w:lineRule="auto"/>
        <w:tabs>
          <w:tab w:leader="none" w:pos="722"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in the absolute discretion of the Representatives, by notice to the Company, if after the execution and delivery of this Agreement and prior to the Closing Date or, in the case of the Option Notes,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Notes on the Closing Date or the Additional Closing Date, as the case may be, on the terms and in the manner contemplated by this Agreement, the Pricing Disclosure Package and the Offering Memorandum.</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3" w:right="279" w:bottom="1440" w:gutter="0" w:footer="0" w:header="0"/>
        </w:sectPr>
      </w:pPr>
    </w:p>
    <w:bookmarkStart w:id="139" w:name="page140"/>
    <w:bookmarkEnd w:id="139"/>
    <w:p>
      <w:pPr>
        <w:ind w:left="700" w:hanging="257"/>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Defaulting Initial Purchaser</w:t>
      </w:r>
      <w:r>
        <w:rPr>
          <w:rFonts w:ascii="Arial" w:cs="Arial" w:eastAsia="Arial" w:hAnsi="Arial"/>
          <w:sz w:val="18"/>
          <w:szCs w:val="18"/>
          <w:color w:val="auto"/>
        </w:rPr>
        <w:t>.</w:t>
      </w:r>
    </w:p>
    <w:p>
      <w:pPr>
        <w:spacing w:after="0" w:line="217" w:lineRule="exact"/>
        <w:rPr>
          <w:sz w:val="20"/>
          <w:szCs w:val="20"/>
          <w:color w:val="auto"/>
        </w:rPr>
      </w:pPr>
    </w:p>
    <w:p>
      <w:pPr>
        <w:ind w:left="-20" w:right="20" w:firstLine="463"/>
        <w:spacing w:after="0" w:line="302" w:lineRule="auto"/>
        <w:tabs>
          <w:tab w:leader="none" w:pos="677"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If, on the Closing Date or the Additional Closing Date, as the case may be, any Initial Purchaser defaults on its obligation to purchase the Notes that it has agreed to purchase hereunder on such date, the non-defaulting Initial Purchasers may in their discretion arrange for the purchase of such Notes by other persons satisfactory to the Company on the terms contained in this Agreement. If, within 36 hours after any such default by any Initial Purchaser, the non-defaulting Initial Purchasers do not arrange for the purchase of such Notes, then the Company shall be entitled to a further period of 36 hours within which to procure other persons reasonably satisfactory to the non-defaulting Initial Purchasers to purchase such Notes on such terms. If other persons become obligated or agree to purchase the Notes of a defaulting Initial Purchaser, either the non-defaulting Initial Purchasers or the Company may postpone the Closing Date or the Additional Closing Date, as the case may be, for up to five full business days in order to effect any changes that in the opinion of counsel for the Company or counsel for the Initial Purchasers may be necessary in the Offering Memorandum or in any other document or arrangement, and the Company agrees to promptly prepare any amendment or supplement to the Offering Memorandum that effects any such changes. As used in this Agreement, the term “Initial Purchaser” includes, for all purposes of this Agreement unless the context otherwise requires, any person not listed in Schedule 1 hereto that, pursuant to this Section 11, purchases Notes that a defaulting Initial Purchaser agreed but failed to purchase.</w:t>
      </w:r>
    </w:p>
    <w:p>
      <w:pPr>
        <w:spacing w:after="0" w:line="375" w:lineRule="exact"/>
        <w:rPr>
          <w:rFonts w:ascii="Arial" w:cs="Arial" w:eastAsia="Arial" w:hAnsi="Arial"/>
          <w:sz w:val="15"/>
          <w:szCs w:val="15"/>
          <w:color w:val="auto"/>
        </w:rPr>
      </w:pPr>
    </w:p>
    <w:p>
      <w:pPr>
        <w:ind w:left="-20" w:right="40" w:firstLine="463"/>
        <w:spacing w:after="0" w:line="249" w:lineRule="auto"/>
        <w:tabs>
          <w:tab w:leader="none" w:pos="6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or the Additional Closing Date, as the case may be, does not exceed one-eleventh of the aggregate principal amount of Notes to be purchased on such date, then the Company shall have the right to require each non-defaulting Initial Purchaser to purchase the aggregate principal amount of Notes that such Initial Purchaser agreed to purchase hereunder on such date plus such Initial Purchaser’s pro rata share (based on the aggregate principal amount of Notes that such Initial Purchaser agreed to purchase on such date) of the Notes of such defaulting Initial Purchaser or Initial Purchasers for which such arrangements have not been made.</w:t>
      </w:r>
    </w:p>
    <w:p>
      <w:pPr>
        <w:spacing w:after="0" w:line="193" w:lineRule="exact"/>
        <w:rPr>
          <w:rFonts w:ascii="Arial" w:cs="Arial" w:eastAsia="Arial" w:hAnsi="Arial"/>
          <w:sz w:val="18"/>
          <w:szCs w:val="18"/>
          <w:color w:val="auto"/>
        </w:rPr>
      </w:pPr>
    </w:p>
    <w:p>
      <w:pPr>
        <w:ind w:left="-20" w:right="20" w:firstLine="463"/>
        <w:spacing w:after="0" w:line="248" w:lineRule="auto"/>
        <w:tabs>
          <w:tab w:leader="none" w:pos="6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or the Additional Closing Date, as the case may be, exceeds one-eleventh of the aggregate principal amount of Notes to be purchased on such date, or if the Company shall not exercise the right described in paragraph (b) above, then this Agreement or, with respect to any Additional Closing Date, the obligation of the Initial Purchasers to purchase Notes on the Additional Closing Date, as the case may be, shall terminate without liability on the part of the non-defaulting Initial Purchasers.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98" w:lineRule="exact"/>
        <w:rPr>
          <w:rFonts w:ascii="Arial" w:cs="Arial" w:eastAsia="Arial" w:hAnsi="Arial"/>
          <w:sz w:val="18"/>
          <w:szCs w:val="18"/>
          <w:color w:val="auto"/>
        </w:rPr>
      </w:pPr>
    </w:p>
    <w:p>
      <w:pPr>
        <w:ind w:left="-20" w:firstLine="463"/>
        <w:spacing w:after="0" w:line="265" w:lineRule="auto"/>
        <w:tabs>
          <w:tab w:leader="none" w:pos="6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Initial Purchaser of any liability it may have to the Company or any non-defaulting Initial Purchaser for damages caused by its default.</w:t>
      </w:r>
    </w:p>
    <w:p>
      <w:pPr>
        <w:spacing w:after="0" w:line="179" w:lineRule="exact"/>
        <w:rPr>
          <w:sz w:val="20"/>
          <w:szCs w:val="20"/>
          <w:color w:val="auto"/>
        </w:rPr>
      </w:pPr>
    </w:p>
    <w:p>
      <w:pPr>
        <w:ind w:left="700" w:hanging="257"/>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17" w:lineRule="exact"/>
        <w:rPr>
          <w:sz w:val="20"/>
          <w:szCs w:val="20"/>
          <w:color w:val="auto"/>
        </w:rPr>
      </w:pPr>
    </w:p>
    <w:p>
      <w:pPr>
        <w:ind w:left="-20" w:right="120" w:firstLine="463"/>
        <w:spacing w:after="0" w:line="265" w:lineRule="auto"/>
        <w:tabs>
          <w:tab w:leader="none" w:pos="67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Whether or not the transactions contemplated by this Agreement are consummated or this Agreement is terminated, the Company will pay or cause to be paid all costs and expenses incident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273" w:right="239" w:bottom="1440" w:gutter="0" w:footer="0" w:header="0"/>
        </w:sectPr>
      </w:pPr>
    </w:p>
    <w:bookmarkStart w:id="140" w:name="page141"/>
    <w:bookmarkEnd w:id="140"/>
    <w:p>
      <w:pPr>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performance of its obligations hereunder, including without limitation, (i) the costs incident to the authorization, issuance, sale, preparation and delivery of the Notes and any stamp, issuance, transfer or other similar taxes payable in that connection; (ii) the costs incident to the preparation and printing of the Preliminary Offering Memorandum, any Pricing Disclosure Package, any Marketing Materials and the Offering Memorandum (including all amendments and supplements thereto) and the distribution thereof; (iii) the fees and expenses of the Company’s counsel and independent accountants; (iv) the reasonable and documented fees and expenses incurred in connection with the registration or qualification of the Notes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Initial Purchasers); (v) the cost of preparing stock certificates, if applicable, in connection with the issuance and sale of any Underlying Securities; (vi) the costs and charges of any transfer agent and any registrar in connection with the issuance and sale of any Underlying Securities; (vii) all expenses incurred by the Company in connection with any “road show” presentation to potential investors,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the Initial Purchasers shall be responsible for 50% of the third-party costs of any chartered private aircraft incurred in connection with such road show; (viii) the fees and expenses of the Trustee with respect to the Notes; and (ix) all expenses and application fees related to the listing of any Underlying Securities on the New York Stock Exchange. It is, however, understood that except as provided in this Section 12 or in Section 8 of this Agreement, the Initial Purchasers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Initial Purchasers incurred by them in connection with any road show.</w:t>
      </w:r>
    </w:p>
    <w:p>
      <w:pPr>
        <w:spacing w:after="0" w:line="376" w:lineRule="exact"/>
        <w:rPr>
          <w:sz w:val="20"/>
          <w:szCs w:val="20"/>
          <w:color w:val="auto"/>
        </w:rPr>
      </w:pPr>
    </w:p>
    <w:p>
      <w:pPr>
        <w:ind w:left="720" w:hanging="257"/>
        <w:spacing w:after="0"/>
        <w:tabs>
          <w:tab w:leader="none" w:pos="72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If (i) this Agreement is terminated pursuant to Section 10 (other than as a result of a termination pursuant to clauses (i), (iii) or (iv) of Section 10),</w:t>
      </w:r>
    </w:p>
    <w:p>
      <w:pPr>
        <w:spacing w:after="0" w:line="50" w:lineRule="exact"/>
        <w:rPr>
          <w:rFonts w:ascii="Arial" w:cs="Arial" w:eastAsia="Arial" w:hAnsi="Arial"/>
          <w:sz w:val="15"/>
          <w:szCs w:val="15"/>
          <w:color w:val="auto"/>
        </w:rPr>
      </w:pPr>
    </w:p>
    <w:p>
      <w:pPr>
        <w:ind w:right="160" w:firstLine="6"/>
        <w:spacing w:after="0" w:line="247" w:lineRule="auto"/>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for any reason fails to tender the Notes for delivery to the Initial Purchasers (other than as a result of a termination pursuant to Section 11 or clauses (i), (iii) or (iv) of Section 10 or the default by one or more of the Initial Purchasers in its or their respective obligations hereunder) or (iii) the Initial Purchasers decline to purchase the Notes for any reason permitted under this Agreement, the Company agrees to reimburse the Initial Purchasers for all out-of-pocket costs and expenses (including the reasonable and documented fees and expenses of their counsel) reasonably incurred by the Initial Purchasers in connection with this Agreement and the offering contemplated hereby.</w:t>
      </w:r>
    </w:p>
    <w:p>
      <w:pPr>
        <w:spacing w:after="0" w:line="196" w:lineRule="exact"/>
        <w:rPr>
          <w:sz w:val="20"/>
          <w:szCs w:val="20"/>
          <w:color w:val="auto"/>
        </w:rPr>
      </w:pPr>
    </w:p>
    <w:p>
      <w:pPr>
        <w:ind w:right="100" w:firstLine="463"/>
        <w:spacing w:after="0" w:line="271" w:lineRule="auto"/>
        <w:tabs>
          <w:tab w:leader="none" w:pos="722"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Notes from any Initial Purchaser shall be deemed to be a successor merely by reason of such purchase.</w:t>
      </w:r>
    </w:p>
    <w:p>
      <w:pPr>
        <w:spacing w:after="0" w:line="177" w:lineRule="exact"/>
        <w:rPr>
          <w:rFonts w:ascii="Arial" w:cs="Arial" w:eastAsia="Arial" w:hAnsi="Arial"/>
          <w:sz w:val="17"/>
          <w:szCs w:val="17"/>
          <w:color w:val="auto"/>
        </w:rPr>
      </w:pPr>
    </w:p>
    <w:p>
      <w:pPr>
        <w:ind w:right="280" w:firstLine="463"/>
        <w:spacing w:after="0" w:line="318" w:lineRule="auto"/>
        <w:tabs>
          <w:tab w:leader="none" w:pos="722" w:val="left"/>
        </w:tabs>
        <w:numPr>
          <w:ilvl w:val="0"/>
          <w:numId w:val="141"/>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The respective indemnities, rights of contribution, representations, warranties and agreements of the Company, the Adviser and the Initial Purchasers contained in this Agreement or made by or on behalf of the Company, the Adviser or the Initial Purchasers pursuant to this Agreement or any certificate delivered pursuant hereto shall survive the delivery of and payment for the Notes and shall remain in full force and effect, regardless of any termination of this Agreement or any investigation made by or on behalf of the Company, the Adviser or the Initial Purchasers.</w:t>
      </w:r>
    </w:p>
    <w:p>
      <w:pPr>
        <w:spacing w:after="0" w:line="146" w:lineRule="exact"/>
        <w:rPr>
          <w:rFonts w:ascii="Arial" w:cs="Arial" w:eastAsia="Arial" w:hAnsi="Arial"/>
          <w:sz w:val="15"/>
          <w:szCs w:val="15"/>
          <w:color w:val="auto"/>
        </w:rPr>
      </w:pPr>
    </w:p>
    <w:p>
      <w:pPr>
        <w:jc w:val="both"/>
        <w:ind w:right="120" w:firstLine="463"/>
        <w:spacing w:after="0" w:line="277" w:lineRule="auto"/>
        <w:tabs>
          <w:tab w:leader="none" w:pos="722"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3" w:right="239" w:bottom="1440" w:gutter="0" w:footer="0" w:header="0"/>
        </w:sectPr>
      </w:pPr>
    </w:p>
    <w:bookmarkStart w:id="141" w:name="page142"/>
    <w:bookmarkEnd w:id="141"/>
    <w:p>
      <w:pPr>
        <w:ind w:left="660" w:hanging="257"/>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17" w:lineRule="exact"/>
        <w:rPr>
          <w:sz w:val="20"/>
          <w:szCs w:val="20"/>
          <w:color w:val="auto"/>
        </w:rPr>
      </w:pPr>
    </w:p>
    <w:p>
      <w:pPr>
        <w:ind w:left="-60" w:right="60" w:firstLine="463"/>
        <w:spacing w:after="0" w:line="309" w:lineRule="auto"/>
        <w:tabs>
          <w:tab w:leader="none" w:pos="637"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Notices</w:t>
      </w:r>
      <w:r>
        <w:rPr>
          <w:rFonts w:ascii="Arial" w:cs="Arial" w:eastAsia="Arial" w:hAnsi="Arial"/>
          <w:sz w:val="15"/>
          <w:szCs w:val="15"/>
          <w:color w:val="auto"/>
        </w:rPr>
        <w:t>. All notices and other communications hereunder shall be in writing and shall be deemed to have been duly given if mailed or transmitted and</w:t>
      </w:r>
      <w:r>
        <w:rPr>
          <w:rFonts w:ascii="Arial" w:cs="Arial" w:eastAsia="Arial" w:hAnsi="Arial"/>
          <w:sz w:val="15"/>
          <w:szCs w:val="15"/>
          <w:i w:val="1"/>
          <w:iCs w:val="1"/>
          <w:color w:val="auto"/>
        </w:rPr>
        <w:t xml:space="preserve"> </w:t>
      </w:r>
      <w:r>
        <w:rPr>
          <w:rFonts w:ascii="Arial" w:cs="Arial" w:eastAsia="Arial" w:hAnsi="Arial"/>
          <w:sz w:val="15"/>
          <w:szCs w:val="15"/>
          <w:color w:val="auto"/>
        </w:rPr>
        <w:t>confirmed by any standard form of telecommunication. Notices to the Initial Purchasers shall be given to the Representatives c/o Merrill Lynch, Pierce, Fenner &amp; Smith Incorporated, One Bryant Park, New York, New York 10036, Attention: Syndicate Department; J.P. Morgan Securities LLC, 383 Madison Avenue, New York, New York 10179 (fax: (212) 622-8358), Attention: Equity Syndicate Desk; and Goldman, Sachs &amp; Co., 200 West Street, New York, New York 10282, Attention: Registration Department. Notices to the Company or the Adviser shall be given to either of them at TPG Specialty Lending, Inc., 345 California Street, Suite 3300, San Francisco, California 94104 (fax: (917) 463-0175), Attention: David Stiepleman.</w:t>
      </w:r>
    </w:p>
    <w:p>
      <w:pPr>
        <w:spacing w:after="0" w:line="152" w:lineRule="exact"/>
        <w:rPr>
          <w:rFonts w:ascii="Arial" w:cs="Arial" w:eastAsia="Arial" w:hAnsi="Arial"/>
          <w:sz w:val="15"/>
          <w:szCs w:val="15"/>
          <w:color w:val="auto"/>
        </w:rPr>
      </w:pPr>
    </w:p>
    <w:p>
      <w:pPr>
        <w:ind w:left="-60" w:right="200" w:firstLine="463"/>
        <w:spacing w:after="0" w:line="255" w:lineRule="auto"/>
        <w:tabs>
          <w:tab w:leader="none" w:pos="647"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Purchasers are required to obtain, verify and record information that identifies their clients, which may include the name and address of their clients, as well as other information that will allow the Initial Purchasers to properly identify their clients.</w:t>
      </w:r>
    </w:p>
    <w:p>
      <w:pPr>
        <w:spacing w:after="0" w:line="188" w:lineRule="exact"/>
        <w:rPr>
          <w:rFonts w:ascii="Arial" w:cs="Arial" w:eastAsia="Arial" w:hAnsi="Arial"/>
          <w:sz w:val="18"/>
          <w:szCs w:val="18"/>
          <w:color w:val="auto"/>
        </w:rPr>
      </w:pPr>
    </w:p>
    <w:p>
      <w:pPr>
        <w:ind w:left="-60" w:right="80" w:firstLine="463"/>
        <w:spacing w:after="0" w:line="265" w:lineRule="auto"/>
        <w:tabs>
          <w:tab w:leader="none" w:pos="637"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 construed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laws of the State of New York applicable to agreements made and to be performed in such state.</w:t>
      </w:r>
    </w:p>
    <w:p>
      <w:pPr>
        <w:spacing w:after="0" w:line="179" w:lineRule="exact"/>
        <w:rPr>
          <w:rFonts w:ascii="Arial" w:cs="Arial" w:eastAsia="Arial" w:hAnsi="Arial"/>
          <w:sz w:val="18"/>
          <w:szCs w:val="18"/>
          <w:color w:val="auto"/>
        </w:rPr>
      </w:pPr>
    </w:p>
    <w:p>
      <w:pPr>
        <w:ind w:left="-60" w:firstLine="463"/>
        <w:spacing w:after="0" w:line="265" w:lineRule="auto"/>
        <w:tabs>
          <w:tab w:leader="none" w:pos="647"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counterparts (which may include counterparts delivered by any standard form of telecommunication),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which shall be an original and all of which together shall constitute one and the same instrument.</w:t>
      </w:r>
    </w:p>
    <w:p>
      <w:pPr>
        <w:spacing w:after="0" w:line="179" w:lineRule="exact"/>
        <w:rPr>
          <w:rFonts w:ascii="Arial" w:cs="Arial" w:eastAsia="Arial" w:hAnsi="Arial"/>
          <w:sz w:val="18"/>
          <w:szCs w:val="18"/>
          <w:color w:val="auto"/>
        </w:rPr>
      </w:pPr>
    </w:p>
    <w:p>
      <w:pPr>
        <w:ind w:left="-60" w:right="120" w:firstLine="463"/>
        <w:spacing w:after="0" w:line="265" w:lineRule="auto"/>
        <w:tabs>
          <w:tab w:leader="none" w:pos="637"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 any event be effective unless the same shall be in writing and signed by the parties hereto.</w:t>
      </w:r>
    </w:p>
    <w:p>
      <w:pPr>
        <w:spacing w:after="0" w:line="179" w:lineRule="exact"/>
        <w:rPr>
          <w:rFonts w:ascii="Arial" w:cs="Arial" w:eastAsia="Arial" w:hAnsi="Arial"/>
          <w:sz w:val="18"/>
          <w:szCs w:val="18"/>
          <w:color w:val="auto"/>
        </w:rPr>
      </w:pPr>
    </w:p>
    <w:p>
      <w:pPr>
        <w:ind w:left="-60" w:right="780" w:firstLine="463"/>
        <w:spacing w:after="0" w:line="265" w:lineRule="auto"/>
        <w:tabs>
          <w:tab w:leader="none" w:pos="617"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the foregoing is in accordance with your understanding, please indicate your acceptance of this Agreement by signing in the space provided below.</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300" w:top="273" w:right="299" w:bottom="1440" w:gutter="0" w:footer="0" w:header="0"/>
        </w:sectPr>
      </w:pPr>
    </w:p>
    <w:bookmarkStart w:id="142" w:name="page143"/>
    <w:bookmarkEnd w:id="14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Very truly yours,</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TPG SPECIALTY LENDING, INC.</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11430</wp:posOffset>
            </wp:positionV>
            <wp:extent cx="27025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025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Joshua Easterly</w:t>
      </w:r>
    </w:p>
    <w:p>
      <w:pPr>
        <w:spacing w:after="0" w:line="16" w:lineRule="exact"/>
        <w:rPr>
          <w:sz w:val="20"/>
          <w:szCs w:val="20"/>
          <w:color w:val="auto"/>
        </w:rPr>
      </w:pPr>
    </w:p>
    <w:p>
      <w:pPr>
        <w:jc w:val="right"/>
        <w:ind w:right="579"/>
        <w:spacing w:after="0"/>
        <w:tabs>
          <w:tab w:leader="none" w:pos="1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Co-Chief Executive Officer</w:t>
      </w:r>
    </w:p>
    <w:p>
      <w:pPr>
        <w:spacing w:after="0" w:line="200" w:lineRule="exact"/>
        <w:rPr>
          <w:sz w:val="20"/>
          <w:szCs w:val="20"/>
          <w:color w:val="auto"/>
        </w:rPr>
      </w:pP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11430</wp:posOffset>
            </wp:positionV>
            <wp:extent cx="27025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0256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Joshua Easterly</w:t>
      </w:r>
    </w:p>
    <w:p>
      <w:pPr>
        <w:spacing w:after="0" w:line="16" w:lineRule="exact"/>
        <w:rPr>
          <w:sz w:val="20"/>
          <w:szCs w:val="20"/>
          <w:color w:val="auto"/>
        </w:rPr>
      </w:pPr>
    </w:p>
    <w:p>
      <w:pPr>
        <w:ind w:left="596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019"/>
          </w:cols>
          <w:pgMar w:left="1440" w:top="273" w:right="1440"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MERRILL LYNCH, PIERCE, FENNER &amp; SMITH</w:t>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INCORPORATED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several Initial Purchasers listed in Schedule 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INCORPORATED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Clemence Rasigni</w:t>
            </w:r>
          </w:p>
        </w:tc>
      </w:tr>
      <w:tr>
        <w:trPr>
          <w:trHeight w:val="218"/>
        </w:trPr>
        <w:tc>
          <w:tcPr>
            <w:tcW w:w="4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Authorized Signatory</w:t>
            </w:r>
          </w:p>
        </w:tc>
      </w:tr>
      <w:tr>
        <w:trPr>
          <w:trHeight w:val="424"/>
        </w:trPr>
        <w:tc>
          <w:tcPr>
            <w:tcW w:w="36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r>
      <w:tr>
        <w:trPr>
          <w:trHeight w:val="425"/>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Yun Xie</w:t>
            </w:r>
          </w:p>
        </w:tc>
      </w:tr>
      <w:tr>
        <w:trPr>
          <w:trHeight w:val="218"/>
        </w:trPr>
        <w:tc>
          <w:tcPr>
            <w:tcW w:w="4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Authorized Signatory</w:t>
            </w:r>
          </w:p>
        </w:tc>
      </w:tr>
      <w:tr>
        <w:trPr>
          <w:trHeight w:val="424"/>
        </w:trPr>
        <w:tc>
          <w:tcPr>
            <w:tcW w:w="3640" w:type="dxa"/>
            <w:vAlign w:val="bottom"/>
            <w:gridSpan w:val="2"/>
          </w:tcPr>
          <w:p>
            <w:pPr>
              <w:spacing w:after="0"/>
              <w:rPr>
                <w:sz w:val="20"/>
                <w:szCs w:val="20"/>
                <w:color w:val="auto"/>
              </w:rPr>
            </w:pPr>
            <w:r>
              <w:rPr>
                <w:rFonts w:ascii="Arial" w:cs="Arial" w:eastAsia="Arial" w:hAnsi="Arial"/>
                <w:sz w:val="18"/>
                <w:szCs w:val="18"/>
                <w:color w:val="auto"/>
              </w:rPr>
              <w:t>GOLDMAN, SACHS &amp; CO.</w:t>
            </w:r>
          </w:p>
        </w:tc>
      </w:tr>
      <w:tr>
        <w:trPr>
          <w:trHeight w:val="425"/>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Daniel Young</w:t>
            </w:r>
          </w:p>
        </w:tc>
      </w:tr>
      <w:tr>
        <w:trPr>
          <w:trHeight w:val="218"/>
        </w:trPr>
        <w:tc>
          <w:tcPr>
            <w:tcW w:w="4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Authorized Signatory</w:t>
            </w:r>
          </w:p>
        </w:tc>
      </w:tr>
    </w:tbl>
    <w:p>
      <w:pPr>
        <w:spacing w:after="0" w:line="1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sectPr>
      <w:pgSz w:w="11900" w:h="16838" w:orient="portrait"/>
      <w:cols w:equalWidth="0" w:num="1">
        <w:col w:w="10219"/>
      </w:cols>
      <w:pgMar w:left="240" w:top="2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lowerLetter"/>
      <w:start w:val="4"/>
    </w:lvl>
  </w:abstractNum>
  <w:abstractNum w:abstractNumId="2">
    <w:nsid w:val="1EBA5D23"/>
    <w:multiLevelType w:val="hybridMultilevel"/>
    <w:lvl w:ilvl="0">
      <w:lvlJc w:val="left"/>
      <w:lvlText w:val="(%1)"/>
      <w:numFmt w:val="lowerLetter"/>
      <w:start w:val="2"/>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Letter"/>
      <w:start w:val="1"/>
    </w:lvl>
  </w:abstractNum>
  <w:abstractNum w:abstractNumId="5">
    <w:nsid w:val="540A471C"/>
    <w:multiLevelType w:val="hybridMultilevel"/>
    <w:lvl w:ilvl="0">
      <w:lvlJc w:val="left"/>
      <w:lvlText w:val="(%1)"/>
      <w:numFmt w:val="lowerLetter"/>
      <w:start w:val="1"/>
    </w:lvl>
  </w:abstractNum>
  <w:abstractNum w:abstractNumId="6">
    <w:nsid w:val="7BD3EE7B"/>
    <w:multiLevelType w:val="hybridMultilevel"/>
    <w:lvl w:ilvl="0">
      <w:lvlJc w:val="left"/>
      <w:lvlText w:val="(%1)"/>
      <w:numFmt w:val="lowerLetter"/>
      <w:start w:val="25"/>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9">
    <w:nsid w:val="BF72B14"/>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10">
    <w:nsid w:val="11447B73"/>
    <w:multiLevelType w:val="hybridMultilevel"/>
    <w:lvl w:ilvl="0">
      <w:lvlJc w:val="left"/>
      <w:lvlText w:val="(%1)"/>
      <w:numFmt w:val="lowerRoman"/>
      <w:start w:val="2"/>
    </w:lvl>
  </w:abstractNum>
  <w:abstractNum w:abstractNumId="11">
    <w:nsid w:val="42963E5A"/>
    <w:multiLevelType w:val="hybridMultilevel"/>
    <w:lvl w:ilvl="0">
      <w:lvlJc w:val="left"/>
      <w:lvlText w:val="(%1)"/>
      <w:numFmt w:val="lowerLetter"/>
      <w:start w:val="2"/>
    </w:lvl>
  </w:abstractNum>
  <w:abstractNum w:abstractNumId="12">
    <w:nsid w:val="A0382C5"/>
    <w:multiLevelType w:val="hybridMultilevel"/>
    <w:lvl w:ilvl="0">
      <w:lvlJc w:val="left"/>
      <w:lvlText w:val="(%1)"/>
      <w:numFmt w:val="lowerLetter"/>
      <w:start w:val="3"/>
    </w:lvl>
  </w:abstractNum>
  <w:abstractNum w:abstractNumId="13">
    <w:nsid w:val="8F2B15E"/>
    <w:multiLevelType w:val="hybridMultilevel"/>
    <w:lvl w:ilvl="0">
      <w:lvlJc w:val="left"/>
      <w:lvlText w:val="(%1)"/>
      <w:numFmt w:val="decimal"/>
      <w:start w:val="1"/>
    </w:lvl>
    <w:lvl w:ilvl="1">
      <w:lvlJc w:val="left"/>
      <w:lvlText w:val="(%2)"/>
      <w:numFmt w:val="upperLetter"/>
      <w:start w:val="1"/>
    </w:lvl>
  </w:abstractNum>
  <w:abstractNum w:abstractNumId="14">
    <w:nsid w:val="1A32234B"/>
    <w:multiLevelType w:val="hybridMultilevel"/>
    <w:lvl w:ilvl="0">
      <w:lvlJc w:val="left"/>
      <w:lvlText w:val="(%1)"/>
      <w:numFmt w:val="upperLetter"/>
      <w:start w:val="2"/>
    </w:lvl>
  </w:abstractNum>
  <w:abstractNum w:abstractNumId="15">
    <w:nsid w:val="3B0FD379"/>
    <w:multiLevelType w:val="hybridMultilevel"/>
    <w:lvl w:ilvl="0">
      <w:lvlJc w:val="left"/>
      <w:lvlText w:val="(%1)"/>
      <w:numFmt w:val="lowerLetter"/>
      <w:start w:val="4"/>
    </w:lvl>
  </w:abstractNum>
  <w:abstractNum w:abstractNumId="16">
    <w:nsid w:val="68EB2F63"/>
    <w:multiLevelType w:val="hybridMultilevel"/>
    <w:lvl w:ilvl="0">
      <w:lvlJc w:val="left"/>
      <w:lvlText w:val="(%1)"/>
      <w:numFmt w:val="decimal"/>
      <w:start w:val="1"/>
    </w:lvl>
    <w:lvl w:ilvl="1">
      <w:lvlJc w:val="left"/>
      <w:lvlText w:val="(%2)"/>
      <w:numFmt w:val="upperLetter"/>
      <w:start w:val="1"/>
    </w:lvl>
  </w:abstractNum>
  <w:abstractNum w:abstractNumId="17">
    <w:nsid w:val="4962813B"/>
    <w:multiLevelType w:val="hybridMultilevel"/>
    <w:lvl w:ilvl="0">
      <w:lvlJc w:val="left"/>
      <w:lvlText w:val="(%1)"/>
      <w:numFmt w:val="upperLetter"/>
      <w:start w:val="2"/>
    </w:lvl>
  </w:abstractNum>
  <w:abstractNum w:abstractNumId="18">
    <w:nsid w:val="60B6DF70"/>
    <w:multiLevelType w:val="hybridMultilevel"/>
    <w:lvl w:ilvl="0">
      <w:lvlJc w:val="left"/>
      <w:lvlText w:val="(%1)"/>
      <w:numFmt w:val="lowerLetter"/>
      <w:start w:val="5"/>
    </w:lvl>
  </w:abstractNum>
  <w:abstractNum w:abstractNumId="19">
    <w:nsid w:val="6A5EE64"/>
    <w:multiLevelType w:val="hybridMultilevel"/>
    <w:lvl w:ilvl="0">
      <w:lvlJc w:val="left"/>
      <w:lvlText w:val="(%1)"/>
      <w:numFmt w:val="lowerLetter"/>
      <w:start w:val="1"/>
    </w:lvl>
  </w:abstractNum>
  <w:abstractNum w:abstractNumId="20">
    <w:nsid w:val="14330624"/>
    <w:multiLevelType w:val="hybridMultilevel"/>
    <w:lvl w:ilvl="0">
      <w:lvlJc w:val="left"/>
      <w:lvlText w:val="(%1)"/>
      <w:numFmt w:val="lowerRoman"/>
      <w:start w:val="1"/>
    </w:lvl>
  </w:abstractNum>
  <w:abstractNum w:abstractNumId="21">
    <w:nsid w:val="7FFFCA11"/>
    <w:multiLevelType w:val="hybridMultilevel"/>
    <w:lvl w:ilvl="0">
      <w:lvlJc w:val="left"/>
      <w:lvlText w:val="(%1)"/>
      <w:numFmt w:val="lowerLetter"/>
      <w:start w:val="2"/>
    </w:lvl>
  </w:abstractNum>
  <w:abstractNum w:abstractNumId="22">
    <w:nsid w:val="1A27709E"/>
    <w:multiLevelType w:val="hybridMultilevel"/>
    <w:lvl w:ilvl="0">
      <w:lvlJc w:val="left"/>
      <w:lvlText w:val="%1"/>
      <w:numFmt w:val="lowerLetter"/>
      <w:start w:val="1"/>
    </w:lvl>
    <w:lvl w:ilvl="1">
      <w:lvlJc w:val="left"/>
      <w:lvlText w:val="(%2)"/>
      <w:numFmt w:val="lowerLetter"/>
      <w:start w:val="2"/>
    </w:lvl>
  </w:abstractNum>
  <w:abstractNum w:abstractNumId="23">
    <w:nsid w:val="71EA1109"/>
    <w:multiLevelType w:val="hybridMultilevel"/>
    <w:lvl w:ilvl="0">
      <w:lvlJc w:val="left"/>
      <w:lvlText w:val="(%1)"/>
      <w:numFmt w:val="lowerLetter"/>
      <w:start w:val="35"/>
    </w:lvl>
    <w:lvl w:ilvl="1">
      <w:lvlJc w:val="left"/>
      <w:lvlText w:val="%2"/>
      <w:numFmt w:val="lowerLetter"/>
      <w:start w:val="1"/>
    </w:lvl>
  </w:abstractNum>
  <w:abstractNum w:abstractNumId="24">
    <w:nsid w:val="100F59DC"/>
    <w:multiLevelType w:val="hybridMultilevel"/>
    <w:lvl w:ilvl="0">
      <w:lvlJc w:val="left"/>
      <w:lvlText w:val="(%1)"/>
      <w:numFmt w:val="lowerLetter"/>
      <w:start w:val="5"/>
    </w:lvl>
  </w:abstractNum>
  <w:abstractNum w:abstractNumId="25">
    <w:nsid w:val="7FB7E0AA"/>
    <w:multiLevelType w:val="hybridMultilevel"/>
    <w:lvl w:ilvl="0">
      <w:lvlJc w:val="left"/>
      <w:lvlText w:val="(%1)"/>
      <w:numFmt w:val="lowerLetter"/>
      <w:start w:val="1"/>
    </w:lvl>
  </w:abstractNum>
  <w:abstractNum w:abstractNumId="26">
    <w:nsid w:val="6EB5BD4"/>
    <w:multiLevelType w:val="hybridMultilevel"/>
    <w:lvl w:ilvl="0">
      <w:lvlJc w:val="left"/>
      <w:lvlText w:val="(%1)"/>
      <w:numFmt w:val="lowerLetter"/>
      <w:start w:val="11"/>
    </w:lvl>
  </w:abstractNum>
  <w:abstractNum w:abstractNumId="27">
    <w:nsid w:val="6F6DD9AC"/>
    <w:multiLevelType w:val="hybridMultilevel"/>
    <w:lvl w:ilvl="0">
      <w:lvlJc w:val="left"/>
      <w:lvlText w:val="(%1)"/>
      <w:numFmt w:val="lowerLetter"/>
      <w:start w:val="2"/>
    </w:lvl>
  </w:abstractNum>
  <w:abstractNum w:abstractNumId="28">
    <w:nsid w:val="94211F2"/>
    <w:multiLevelType w:val="hybridMultilevel"/>
    <w:lvl w:ilvl="0">
      <w:lvlJc w:val="left"/>
      <w:lvlText w:val="(%1)"/>
      <w:numFmt w:val="lowerLetter"/>
      <w:start w:val="1"/>
    </w:lvl>
  </w:abstractNum>
  <w:abstractNum w:abstractNumId="29">
    <w:nsid w:val="885E1B"/>
    <w:multiLevelType w:val="hybridMultilevel"/>
    <w:lvl w:ilvl="0">
      <w:lvlJc w:val="left"/>
      <w:lvlText w:val="(%1)"/>
      <w:numFmt w:val="lowerLetter"/>
      <w:start w:val="1"/>
    </w:lvl>
    <w:lvl w:ilvl="1">
      <w:lvlJc w:val="left"/>
      <w:lvlText w:val="(%2)"/>
      <w:numFmt w:val="lowerRoman"/>
      <w:start w:val="1"/>
    </w:lvl>
  </w:abstractNum>
  <w:abstractNum w:abstractNumId="30">
    <w:nsid w:val="76272110"/>
    <w:multiLevelType w:val="hybridMultilevel"/>
    <w:lvl w:ilvl="0">
      <w:lvlJc w:val="left"/>
      <w:lvlText w:val="(%1)"/>
      <w:numFmt w:val="lowerLetter"/>
      <w:start w:val="4"/>
    </w:lvl>
  </w:abstractNum>
  <w:abstractNum w:abstractNumId="31">
    <w:nsid w:val="4C04A8AF"/>
    <w:multiLevelType w:val="hybridMultilevel"/>
    <w:lvl w:ilvl="0">
      <w:lvlJc w:val="left"/>
      <w:lvlText w:val="(%1)"/>
      <w:numFmt w:val="lowerLetter"/>
      <w:start w:val="1"/>
    </w:lvl>
  </w:abstractNum>
  <w:abstractNum w:abstractNumId="32">
    <w:nsid w:val="1716703B"/>
    <w:multiLevelType w:val="hybridMultilevel"/>
    <w:lvl w:ilvl="0">
      <w:lvlJc w:val="left"/>
      <w:lvlText w:val="(%1)"/>
      <w:numFmt w:val="lowerLetter"/>
      <w:start w:val="2"/>
    </w:lvl>
  </w:abstractNum>
  <w:abstractNum w:abstractNumId="33">
    <w:nsid w:val="14E17E33"/>
    <w:multiLevelType w:val="hybridMultilevel"/>
    <w:lvl w:ilvl="0">
      <w:lvlJc w:val="left"/>
      <w:lvlText w:val="(%1)"/>
      <w:numFmt w:val="lowerLetter"/>
      <w:start w:val="2"/>
    </w:lvl>
    <w:lvl w:ilvl="1">
      <w:lvlJc w:val="left"/>
      <w:lvlText w:val="(%2)"/>
      <w:numFmt w:val="lowerRoman"/>
      <w:start w:val="1"/>
    </w:lvl>
  </w:abstractNum>
  <w:abstractNum w:abstractNumId="34">
    <w:nsid w:val="3222E7CD"/>
    <w:multiLevelType w:val="hybridMultilevel"/>
    <w:lvl w:ilvl="0">
      <w:lvlJc w:val="left"/>
      <w:lvlText w:val="(%1)"/>
      <w:numFmt w:val="lowerLetter"/>
      <w:start w:val="3"/>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4"/>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5"/>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42">
    <w:nsid w:val="CC1016F"/>
    <w:multiLevelType w:val="hybridMultilevel"/>
    <w:lvl w:ilvl="0">
      <w:lvlJc w:val="left"/>
      <w:lvlText w:val="(%1)"/>
      <w:numFmt w:val="upperLetter"/>
      <w:start w:val="2"/>
    </w:lvl>
  </w:abstractNum>
  <w:abstractNum w:abstractNumId="43">
    <w:nsid w:val="43F18422"/>
    <w:multiLevelType w:val="hybridMultilevel"/>
    <w:lvl w:ilvl="0">
      <w:lvlJc w:val="left"/>
      <w:lvlText w:val="(%1)"/>
      <w:numFmt w:val="lowerRoman"/>
      <w:start w:val="3"/>
    </w:lvl>
  </w:abstractNum>
  <w:abstractNum w:abstractNumId="44">
    <w:nsid w:val="60EF0119"/>
    <w:multiLevelType w:val="hybridMultilevel"/>
    <w:lvl w:ilvl="0">
      <w:lvlJc w:val="left"/>
      <w:lvlText w:val="(%1)"/>
      <w:numFmt w:val="lowerRoman"/>
      <w:start w:val="4"/>
    </w:lvl>
  </w:abstractNum>
  <w:abstractNum w:abstractNumId="45">
    <w:nsid w:val="26F324BA"/>
    <w:multiLevelType w:val="hybridMultilevel"/>
    <w:lvl w:ilvl="0">
      <w:lvlJc w:val="left"/>
      <w:lvlText w:val="(%1)"/>
      <w:numFmt w:val="lowerLetter"/>
      <w:start w:val="1"/>
    </w:lvl>
    <w:lvl w:ilvl="1">
      <w:lvlJc w:val="left"/>
      <w:lvlText w:val="(%2)"/>
      <w:numFmt w:val="lowerRoman"/>
      <w:start w:val="1"/>
    </w:lvl>
  </w:abstractNum>
  <w:abstractNum w:abstractNumId="46">
    <w:nsid w:val="7F01579B"/>
    <w:multiLevelType w:val="hybridMultilevel"/>
    <w:lvl w:ilvl="0">
      <w:lvlJc w:val="left"/>
      <w:lvlText w:val="(%1)"/>
      <w:numFmt w:val="lowerRoman"/>
      <w:start w:val="4"/>
    </w:lvl>
    <w:lvl w:ilvl="1">
      <w:lvlJc w:val="left"/>
      <w:lvlText w:val="(%2)"/>
      <w:numFmt w:val="upperLetter"/>
      <w:start w:val="1"/>
    </w:lvl>
  </w:abstractNum>
  <w:abstractNum w:abstractNumId="47">
    <w:nsid w:val="49DA307D"/>
    <w:multiLevelType w:val="hybridMultilevel"/>
    <w:lvl w:ilvl="0">
      <w:lvlJc w:val="left"/>
      <w:lvlText w:val="(%1)"/>
      <w:numFmt w:val="lowerLetter"/>
      <w:start w:val="2"/>
    </w:lvl>
  </w:abstractNum>
  <w:abstractNum w:abstractNumId="48">
    <w:nsid w:val="7055A5F5"/>
    <w:multiLevelType w:val="hybridMultilevel"/>
    <w:lvl w:ilvl="0">
      <w:lvlJc w:val="left"/>
      <w:lvlText w:val="(%1)"/>
      <w:numFmt w:val="lowerLetter"/>
      <w:start w:val="3"/>
    </w:lvl>
  </w:abstractNum>
  <w:abstractNum w:abstractNumId="49">
    <w:nsid w:val="5FB8370B"/>
    <w:multiLevelType w:val="hybridMultilevel"/>
    <w:lvl w:ilvl="0">
      <w:lvlJc w:val="left"/>
      <w:lvlText w:val="(%1)"/>
      <w:numFmt w:val="lowerLetter"/>
      <w:start w:val="5"/>
    </w:lvl>
  </w:abstractNum>
  <w:abstractNum w:abstractNumId="50">
    <w:nsid w:val="50801EE1"/>
    <w:multiLevelType w:val="hybridMultilevel"/>
    <w:lvl w:ilvl="0">
      <w:lvlJc w:val="left"/>
      <w:lvlText w:val="(%1)"/>
      <w:numFmt w:val="lowerLetter"/>
      <w:start w:val="10"/>
    </w:lvl>
  </w:abstractNum>
  <w:abstractNum w:abstractNumId="51">
    <w:nsid w:val="488AC1A"/>
    <w:multiLevelType w:val="hybridMultilevel"/>
    <w:lvl w:ilvl="0">
      <w:lvlJc w:val="left"/>
      <w:lvlText w:val="(%1)"/>
      <w:numFmt w:val="lowerLetter"/>
      <w:start w:val="2"/>
    </w:lvl>
  </w:abstractNum>
  <w:abstractNum w:abstractNumId="52">
    <w:nsid w:val="5FB8011C"/>
    <w:multiLevelType w:val="hybridMultilevel"/>
    <w:lvl w:ilvl="0">
      <w:lvlJc w:val="left"/>
      <w:lvlText w:val="(%1)"/>
      <w:numFmt w:val="lowerLetter"/>
      <w:start w:val="5"/>
    </w:lvl>
  </w:abstractNum>
  <w:abstractNum w:abstractNumId="53">
    <w:nsid w:val="6AA78F7F"/>
    <w:multiLevelType w:val="hybridMultilevel"/>
    <w:lvl w:ilvl="0">
      <w:lvlJc w:val="left"/>
      <w:lvlText w:val="(%1)"/>
      <w:numFmt w:val="lowerRoman"/>
      <w:start w:val="1"/>
    </w:lvl>
  </w:abstractNum>
  <w:abstractNum w:abstractNumId="54">
    <w:nsid w:val="7672BD23"/>
    <w:multiLevelType w:val="hybridMultilevel"/>
    <w:lvl w:ilvl="0">
      <w:lvlJc w:val="left"/>
      <w:lvlText w:val="(%1)"/>
      <w:numFmt w:val="lowerLetter"/>
      <w:start w:val="6"/>
    </w:lvl>
  </w:abstractNum>
  <w:abstractNum w:abstractNumId="55">
    <w:nsid w:val="6FC75AF8"/>
    <w:multiLevelType w:val="hybridMultilevel"/>
    <w:lvl w:ilvl="0">
      <w:lvlJc w:val="left"/>
      <w:lvlText w:val="(%1)"/>
      <w:numFmt w:val="lowerLetter"/>
      <w:start w:val="1"/>
    </w:lvl>
  </w:abstractNum>
  <w:abstractNum w:abstractNumId="56">
    <w:nsid w:val="6A5F7029"/>
    <w:multiLevelType w:val="hybridMultilevel"/>
    <w:lvl w:ilvl="0">
      <w:lvlJc w:val="left"/>
      <w:lvlText w:val="(%1)"/>
      <w:numFmt w:val="lowerLetter"/>
      <w:start w:val="2"/>
    </w:lvl>
  </w:abstractNum>
  <w:abstractNum w:abstractNumId="57">
    <w:nsid w:val="7D5E18F8"/>
    <w:multiLevelType w:val="hybridMultilevel"/>
    <w:lvl w:ilvl="0">
      <w:lvlJc w:val="left"/>
      <w:lvlText w:val="X"/>
      <w:numFmt w:val="bullet"/>
      <w:start w:val="1"/>
    </w:lvl>
  </w:abstractNum>
  <w:abstractNum w:abstractNumId="58">
    <w:nsid w:val="5F3534A4"/>
    <w:multiLevelType w:val="hybridMultilevel"/>
    <w:lvl w:ilvl="0">
      <w:lvlJc w:val="left"/>
      <w:lvlText w:val="Y"/>
      <w:numFmt w:val="bullet"/>
      <w:start w:val="1"/>
    </w:lvl>
  </w:abstractNum>
  <w:abstractNum w:abstractNumId="59">
    <w:nsid w:val="73A1821B"/>
    <w:multiLevelType w:val="hybridMultilevel"/>
    <w:lvl w:ilvl="0">
      <w:lvlJc w:val="left"/>
      <w:lvlText w:val="%1"/>
      <w:numFmt w:val="lowerLetter"/>
      <w:start w:val="1"/>
    </w:lvl>
    <w:lvl w:ilvl="1">
      <w:lvlJc w:val="left"/>
      <w:lvlText w:val="(%2)"/>
      <w:numFmt w:val="lowerLetter"/>
      <w:start w:val="3"/>
    </w:lvl>
  </w:abstractNum>
  <w:abstractNum w:abstractNumId="60">
    <w:nsid w:val="7DE67713"/>
    <w:multiLevelType w:val="hybridMultilevel"/>
    <w:lvl w:ilvl="0">
      <w:lvlJc w:val="left"/>
      <w:lvlText w:val="(%1)"/>
      <w:numFmt w:val="lowerLetter"/>
      <w:start w:val="61"/>
    </w:lvl>
    <w:lvl w:ilvl="1">
      <w:lvlJc w:val="left"/>
      <w:lvlText w:val="%2"/>
      <w:numFmt w:val="lowerLetter"/>
      <w:start w:val="1"/>
    </w:lvl>
  </w:abstractNum>
  <w:abstractNum w:abstractNumId="61">
    <w:nsid w:val="555C55B5"/>
    <w:multiLevelType w:val="hybridMultilevel"/>
    <w:lvl w:ilvl="0">
      <w:lvlJc w:val="left"/>
      <w:lvlText w:val="(%1)"/>
      <w:numFmt w:val="upperLetter"/>
      <w:start w:val="1"/>
    </w:lvl>
  </w:abstractNum>
  <w:abstractNum w:abstractNumId="62">
    <w:nsid w:val="3FA62ACA"/>
    <w:multiLevelType w:val="hybridMultilevel"/>
    <w:lvl w:ilvl="0">
      <w:lvlJc w:val="left"/>
      <w:lvlText w:val="(%1)"/>
      <w:numFmt w:val="lowerLetter"/>
      <w:start w:val="4"/>
    </w:lvl>
  </w:abstractNum>
  <w:abstractNum w:abstractNumId="63">
    <w:nsid w:val="14FCE74E"/>
    <w:multiLevelType w:val="hybridMultilevel"/>
    <w:lvl w:ilvl="0">
      <w:lvlJc w:val="left"/>
      <w:lvlText w:val="T"/>
      <w:numFmt w:val="bullet"/>
      <w:start w:val="1"/>
    </w:lvl>
  </w:abstractNum>
  <w:abstractNum w:abstractNumId="64">
    <w:nsid w:val="6A3DD3E8"/>
    <w:multiLevelType w:val="hybridMultilevel"/>
    <w:lvl w:ilvl="0">
      <w:lvlJc w:val="left"/>
      <w:lvlText w:val="C"/>
      <w:numFmt w:val="bullet"/>
      <w:start w:val="1"/>
    </w:lvl>
  </w:abstractNum>
  <w:abstractNum w:abstractNumId="65">
    <w:nsid w:val="71C91298"/>
    <w:multiLevelType w:val="hybridMultilevel"/>
    <w:lvl w:ilvl="0">
      <w:lvlJc w:val="left"/>
      <w:lvlText w:val="(%1)"/>
      <w:numFmt w:val="lowerLetter"/>
      <w:start w:val="5"/>
    </w:lvl>
  </w:abstractNum>
  <w:abstractNum w:abstractNumId="66">
    <w:nsid w:val="9DAF632"/>
    <w:multiLevelType w:val="hybridMultilevel"/>
    <w:lvl w:ilvl="0">
      <w:lvlJc w:val="left"/>
      <w:lvlText w:val="(%1)"/>
      <w:numFmt w:val="lowerLetter"/>
      <w:start w:val="6"/>
    </w:lvl>
  </w:abstractNum>
  <w:abstractNum w:abstractNumId="67">
    <w:nsid w:val="53299938"/>
    <w:multiLevelType w:val="hybridMultilevel"/>
    <w:lvl w:ilvl="0">
      <w:lvlJc w:val="left"/>
      <w:lvlText w:val="(%1)"/>
      <w:numFmt w:val="lowerLetter"/>
      <w:start w:val="8"/>
    </w:lvl>
    <w:lvl w:ilvl="1">
      <w:lvlJc w:val="left"/>
      <w:lvlText w:val="(%2)"/>
      <w:numFmt w:val="lowerRoman"/>
      <w:start w:val="1"/>
    </w:lvl>
  </w:abstractNum>
  <w:abstractNum w:abstractNumId="68">
    <w:nsid w:val="1FBFE8E0"/>
    <w:multiLevelType w:val="hybridMultilevel"/>
    <w:lvl w:ilvl="0">
      <w:lvlJc w:val="left"/>
      <w:lvlText w:val="(%1)"/>
      <w:numFmt w:val="lowerLetter"/>
      <w:start w:val="11"/>
    </w:lvl>
  </w:abstractNum>
  <w:abstractNum w:abstractNumId="69">
    <w:nsid w:val="5092CA79"/>
    <w:multiLevelType w:val="hybridMultilevel"/>
    <w:lvl w:ilvl="0">
      <w:lvlJc w:val="left"/>
      <w:lvlText w:val="(%1)"/>
      <w:numFmt w:val="lowerLetter"/>
      <w:start w:val="1"/>
    </w:lvl>
    <w:lvl w:ilvl="1">
      <w:lvlJc w:val="left"/>
      <w:lvlText w:val="(%2)"/>
      <w:numFmt w:val="lowerRoman"/>
      <w:start w:val="1"/>
    </w:lvl>
  </w:abstractNum>
  <w:abstractNum w:abstractNumId="70">
    <w:nsid w:val="1D545C4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1">
    <w:nsid w:val="59ADEA3D"/>
    <w:multiLevelType w:val="hybridMultilevel"/>
    <w:lvl w:ilvl="0">
      <w:lvlJc w:val="left"/>
      <w:lvlText w:val="(%1)"/>
      <w:numFmt w:val="lowerLetter"/>
      <w:start w:val="61"/>
    </w:lvl>
    <w:lvl w:ilvl="1">
      <w:lvlJc w:val="left"/>
      <w:lvlText w:val="(%2)"/>
      <w:numFmt w:val="lowerLetter"/>
    </w:lvl>
    <w:lvl w:ilvl="2">
      <w:lvlJc w:val="left"/>
      <w:lvlText w:val="(%3)"/>
      <w:numFmt w:val="lowerRoman"/>
      <w:start w:val="1"/>
    </w:lvl>
  </w:abstractNum>
  <w:abstractNum w:abstractNumId="72">
    <w:nsid w:val="288F1A34"/>
    <w:multiLevelType w:val="hybridMultilevel"/>
    <w:lvl w:ilvl="0">
      <w:lvlJc w:val="left"/>
      <w:lvlText w:val="(%1)"/>
      <w:numFmt w:val="lowerLetter"/>
      <w:start w:val="2"/>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2"/>
    </w:lvl>
    <w:lvl w:ilvl="1">
      <w:lvlJc w:val="left"/>
      <w:lvlText w:val="(%2)"/>
      <w:numFmt w:val="lowerLetter"/>
      <w:start w:val="9"/>
    </w:lvl>
  </w:abstractNum>
  <w:abstractNum w:abstractNumId="75">
    <w:nsid w:val="97E1B4E"/>
    <w:multiLevelType w:val="hybridMultilevel"/>
    <w:lvl w:ilvl="0">
      <w:lvlJc w:val="left"/>
      <w:lvlText w:val="(%1)"/>
      <w:numFmt w:val="lowerRoman"/>
      <w:start w:val="2"/>
    </w:lvl>
  </w:abstractNum>
  <w:abstractNum w:abstractNumId="76">
    <w:nsid w:val="51088277"/>
    <w:multiLevelType w:val="hybridMultilevel"/>
    <w:lvl w:ilvl="0">
      <w:lvlJc w:val="left"/>
      <w:lvlText w:val="(%1)"/>
      <w:numFmt w:val="lowerRoman"/>
      <w:start w:val="1"/>
    </w:lvl>
  </w:abstractNum>
  <w:abstractNum w:abstractNumId="77">
    <w:nsid w:val="1CA0C5FA"/>
    <w:multiLevelType w:val="hybridMultilevel"/>
    <w:lvl w:ilvl="0">
      <w:lvlJc w:val="left"/>
      <w:lvlText w:val="(%1)"/>
      <w:numFmt w:val="lowerLetter"/>
      <w:start w:val="3"/>
    </w:lvl>
    <w:lvl w:ilvl="1">
      <w:lvlJc w:val="left"/>
      <w:lvlText w:val="(%2)"/>
      <w:numFmt w:val="lowerLetter"/>
      <w:start w:val="9"/>
    </w:lvl>
  </w:abstractNum>
  <w:abstractNum w:abstractNumId="78">
    <w:nsid w:val="53584BCB"/>
    <w:multiLevelType w:val="hybridMultilevel"/>
    <w:lvl w:ilvl="0">
      <w:lvlJc w:val="left"/>
      <w:lvlText w:val="(%1)"/>
      <w:numFmt w:val="lowerRoman"/>
      <w:start w:val="2"/>
    </w:lvl>
  </w:abstractNum>
  <w:abstractNum w:abstractNumId="79">
    <w:nsid w:val="415E286C"/>
    <w:multiLevelType w:val="hybridMultilevel"/>
    <w:lvl w:ilvl="0">
      <w:lvlJc w:val="left"/>
      <w:lvlText w:val="(%1)"/>
      <w:numFmt w:val="lowerLetter"/>
      <w:start w:val="4"/>
    </w:lvl>
  </w:abstractNum>
  <w:abstractNum w:abstractNumId="80">
    <w:nsid w:val="7C58FD05"/>
    <w:multiLevelType w:val="hybridMultilevel"/>
    <w:lvl w:ilvl="0">
      <w:lvlJc w:val="left"/>
      <w:lvlText w:val="(%1)"/>
      <w:numFmt w:val="lowerRoman"/>
      <w:start w:val="1"/>
    </w:lvl>
  </w:abstractNum>
  <w:abstractNum w:abstractNumId="81">
    <w:nsid w:val="23D86AAC"/>
    <w:multiLevelType w:val="hybridMultilevel"/>
    <w:lvl w:ilvl="0">
      <w:lvlJc w:val="left"/>
      <w:lvlText w:val="(%1)"/>
      <w:numFmt w:val="lowerRoman"/>
      <w:start w:val="2"/>
    </w:lvl>
  </w:abstractNum>
  <w:abstractNum w:abstractNumId="82">
    <w:nsid w:val="45E6D486"/>
    <w:multiLevelType w:val="hybridMultilevel"/>
    <w:lvl w:ilvl="0">
      <w:lvlJc w:val="left"/>
      <w:lvlText w:val="(%1)"/>
      <w:numFmt w:val="lowerLetter"/>
      <w:start w:val="2"/>
    </w:lvl>
  </w:abstractNum>
  <w:abstractNum w:abstractNumId="83">
    <w:nsid w:val="5C10FE21"/>
    <w:multiLevelType w:val="hybridMultilevel"/>
    <w:lvl w:ilvl="0">
      <w:lvlJc w:val="left"/>
      <w:lvlText w:val="(%1)"/>
      <w:numFmt w:val="lowerLetter"/>
      <w:start w:val="3"/>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1)"/>
      <w:numFmt w:val="decimal"/>
      <w:start w:val="1"/>
    </w:lvl>
    <w:lvl w:ilvl="1">
      <w:lvlJc w:val="left"/>
      <w:lvlText w:val="(%2)"/>
      <w:numFmt w:val="upperLetter"/>
      <w:start w:val="1"/>
    </w:lvl>
  </w:abstractNum>
  <w:abstractNum w:abstractNumId="86">
    <w:nsid w:val="4BD8591A"/>
    <w:multiLevelType w:val="hybridMultilevel"/>
    <w:lvl w:ilvl="0">
      <w:lvlJc w:val="left"/>
      <w:lvlText w:val="(%1)"/>
      <w:numFmt w:val="upperLetter"/>
      <w:start w:val="3"/>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1)"/>
      <w:numFmt w:val="lowerRoman"/>
      <w:start w:val="1"/>
    </w:lvl>
  </w:abstractNum>
  <w:abstractNum w:abstractNumId="91">
    <w:nsid w:val="379E21B5"/>
    <w:multiLevelType w:val="hybridMultilevel"/>
    <w:lvl w:ilvl="0">
      <w:lvlJc w:val="left"/>
      <w:lvlText w:val="%1."/>
      <w:numFmt w:val="decimal"/>
      <w:start w:val="1"/>
    </w:lvl>
  </w:abstractNum>
  <w:abstractNum w:abstractNumId="92">
    <w:nsid w:val="69E373"/>
    <w:multiLevelType w:val="hybridMultilevel"/>
    <w:lvl w:ilvl="0">
      <w:lvlJc w:val="left"/>
      <w:lvlText w:val="%1."/>
      <w:numFmt w:val="decimal"/>
      <w:start w:val="2"/>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1)"/>
      <w:numFmt w:val="lowerLetter"/>
      <w:start w:val="2"/>
    </w:lvl>
  </w:abstractNum>
  <w:abstractNum w:abstractNumId="95">
    <w:nsid w:val="6AA7B75C"/>
    <w:multiLevelType w:val="hybridMultilevel"/>
    <w:lvl w:ilvl="0">
      <w:lvlJc w:val="left"/>
      <w:lvlText w:val="(%1)"/>
      <w:numFmt w:val="lowerLetter"/>
      <w:start w:val="4"/>
    </w:lvl>
  </w:abstractNum>
  <w:abstractNum w:abstractNumId="96">
    <w:nsid w:val="1DF029D3"/>
    <w:multiLevelType w:val="hybridMultilevel"/>
    <w:lvl w:ilvl="0">
      <w:lvlJc w:val="left"/>
      <w:lvlText w:val="(%1)"/>
      <w:numFmt w:val="lowerLetter"/>
      <w:start w:val="5"/>
    </w:lvl>
    <w:lvl w:ilvl="1">
      <w:lvlJc w:val="left"/>
      <w:lvlText w:val="(%2)"/>
      <w:numFmt w:val="lowerRoman"/>
      <w:start w:val="1"/>
    </w:lvl>
  </w:abstractNum>
  <w:abstractNum w:abstractNumId="97">
    <w:nsid w:val="5675FF36"/>
    <w:multiLevelType w:val="hybridMultilevel"/>
    <w:lvl w:ilvl="0">
      <w:lvlJc w:val="left"/>
      <w:lvlText w:val="%1."/>
      <w:numFmt w:val="decimal"/>
      <w:start w:val="3"/>
    </w:lvl>
    <w:lvl w:ilvl="1">
      <w:lvlJc w:val="left"/>
      <w:lvlText w:val="(%2)"/>
      <w:numFmt w:val="lowerLetter"/>
      <w:start w:val="1"/>
    </w:lvl>
  </w:abstractNum>
  <w:abstractNum w:abstractNumId="98">
    <w:nsid w:val="3DD15094"/>
    <w:multiLevelType w:val="hybridMultilevel"/>
    <w:lvl w:ilvl="0">
      <w:lvlJc w:val="left"/>
      <w:lvlText w:val="(%1)"/>
      <w:numFmt w:val="lowerLetter"/>
      <w:start w:val="3"/>
    </w:lvl>
  </w:abstractNum>
  <w:abstractNum w:abstractNumId="99">
    <w:nsid w:val="3DB012B3"/>
    <w:multiLevelType w:val="hybridMultilevel"/>
    <w:lvl w:ilvl="0">
      <w:lvlJc w:val="left"/>
      <w:lvlText w:val="(%1)"/>
      <w:numFmt w:val="lowerLetter"/>
      <w:start w:val="7"/>
    </w:lvl>
  </w:abstractNum>
  <w:abstractNum w:abstractNumId="100">
    <w:nsid w:val="2708C9AF"/>
    <w:multiLevelType w:val="hybridMultilevel"/>
    <w:lvl w:ilvl="0">
      <w:lvlJc w:val="left"/>
      <w:lvlText w:val="(%1)"/>
      <w:numFmt w:val="lowerLetter"/>
      <w:start w:val="9"/>
    </w:lvl>
  </w:abstractNum>
  <w:abstractNum w:abstractNumId="101">
    <w:nsid w:val="5B25ACE2"/>
    <w:multiLevelType w:val="hybridMultilevel"/>
    <w:lvl w:ilvl="0">
      <w:lvlJc w:val="left"/>
      <w:lvlText w:val="(%1)"/>
      <w:numFmt w:val="lowerLetter"/>
      <w:start w:val="16"/>
    </w:lvl>
  </w:abstractNum>
  <w:abstractNum w:abstractNumId="102">
    <w:nsid w:val="175DFCF0"/>
    <w:multiLevelType w:val="hybridMultilevel"/>
    <w:lvl w:ilvl="0">
      <w:lvlJc w:val="left"/>
      <w:lvlText w:val="%1"/>
      <w:numFmt w:val="lowerLetter"/>
      <w:start w:val="1"/>
    </w:lvl>
    <w:lvl w:ilvl="1">
      <w:lvlJc w:val="left"/>
      <w:lvlText w:val="(%2)"/>
      <w:numFmt w:val="lowerLetter"/>
      <w:start w:val="22"/>
    </w:lvl>
  </w:abstractNum>
  <w:abstractNum w:abstractNumId="103">
    <w:nsid w:val="4F97E3E4"/>
    <w:multiLevelType w:val="hybridMultilevel"/>
    <w:lvl w:ilvl="0">
      <w:lvlJc w:val="left"/>
      <w:lvlText w:val="(%1)"/>
      <w:numFmt w:val="lowerLetter"/>
      <w:start w:val="35"/>
    </w:lvl>
    <w:lvl w:ilvl="1">
      <w:lvlJc w:val="left"/>
      <w:lvlText w:val="(%2)"/>
      <w:numFmt w:val="lowerLetter"/>
      <w:start w:val="24"/>
    </w:lvl>
  </w:abstractNum>
  <w:abstractNum w:abstractNumId="104">
    <w:nsid w:val="53B0A9E"/>
    <w:multiLevelType w:val="hybridMultilevel"/>
    <w:lvl w:ilvl="0">
      <w:lvlJc w:val="left"/>
      <w:lvlText w:val="(%1)"/>
      <w:numFmt w:val="lowerLetter"/>
      <w:start w:val="25"/>
    </w:lvl>
  </w:abstractNum>
  <w:abstractNum w:abstractNumId="105">
    <w:nsid w:val="34FD6B4F"/>
    <w:multiLevelType w:val="hybridMultilevel"/>
    <w:lvl w:ilvl="0">
      <w:lvlJc w:val="left"/>
      <w:lvlText w:val="%1"/>
      <w:numFmt w:val="lowerLetter"/>
      <w:start w:val="1"/>
    </w:lvl>
    <w:lvl w:ilvl="1">
      <w:lvlJc w:val="left"/>
      <w:lvlText w:val="(%2)"/>
      <w:numFmt w:val="lowerLetter"/>
      <w:start w:val="27"/>
    </w:lvl>
  </w:abstractNum>
  <w:abstractNum w:abstractNumId="106">
    <w:nsid w:val="5915FF32"/>
    <w:multiLevelType w:val="hybridMultilevel"/>
    <w:lvl w:ilvl="0">
      <w:lvlJc w:val="left"/>
      <w:lvlText w:val="(%1)"/>
      <w:numFmt w:val="lowerLetter"/>
      <w:start w:val="9"/>
    </w:lvl>
    <w:lvl w:ilvl="1">
      <w:lvlJc w:val="left"/>
      <w:lvlText w:val="%2"/>
      <w:numFmt w:val="lowerLetter"/>
      <w:start w:val="1"/>
    </w:lvl>
  </w:abstractNum>
  <w:abstractNum w:abstractNumId="107">
    <w:nsid w:val="56438D15"/>
    <w:multiLevelType w:val="hybridMultilevel"/>
    <w:lvl w:ilvl="0">
      <w:lvlJc w:val="left"/>
      <w:lvlText w:val="(%1)"/>
      <w:numFmt w:val="lowerLetter"/>
      <w:start w:val="30"/>
    </w:lvl>
  </w:abstractNum>
  <w:abstractNum w:abstractNumId="108">
    <w:nsid w:val="519E3149"/>
    <w:multiLevelType w:val="hybridMultilevel"/>
    <w:lvl w:ilvl="0">
      <w:lvlJc w:val="left"/>
      <w:lvlText w:val="%1"/>
      <w:numFmt w:val="lowerRoman"/>
      <w:start w:val="1"/>
    </w:lvl>
    <w:lvl w:ilvl="1">
      <w:lvlJc w:val="left"/>
      <w:lvlText w:val="(%2)"/>
      <w:numFmt w:val="lowerLetter"/>
      <w:start w:val="34"/>
    </w:lvl>
  </w:abstractNum>
  <w:abstractNum w:abstractNumId="109">
    <w:nsid w:val="2C6E4AFD"/>
    <w:multiLevelType w:val="hybridMultilevel"/>
    <w:lvl w:ilvl="0">
      <w:lvlJc w:val="left"/>
      <w:lvlText w:val="(%1)"/>
      <w:numFmt w:val="lowerRoman"/>
      <w:start w:val="4"/>
    </w:lvl>
    <w:lvl w:ilvl="1">
      <w:lvlJc w:val="left"/>
      <w:lvlText w:val="(%2)"/>
      <w:numFmt w:val="lowerLetter"/>
      <w:start w:val="36"/>
    </w:lvl>
  </w:abstractNum>
  <w:abstractNum w:abstractNumId="110">
    <w:nsid w:val="17A1B582"/>
    <w:multiLevelType w:val="hybridMultilevel"/>
    <w:lvl w:ilvl="0">
      <w:lvlJc w:val="left"/>
      <w:lvlText w:val="%1"/>
      <w:numFmt w:val="lowerLetter"/>
      <w:start w:val="1"/>
    </w:lvl>
    <w:lvl w:ilvl="1">
      <w:lvlJc w:val="left"/>
      <w:lvlText w:val="(%2)"/>
      <w:numFmt w:val="lowerLetter"/>
      <w:start w:val="37"/>
    </w:lvl>
  </w:abstractNum>
  <w:abstractNum w:abstractNumId="111">
    <w:nsid w:val="4DF72E4E"/>
    <w:multiLevelType w:val="hybridMultilevel"/>
    <w:lvl w:ilvl="0">
      <w:lvlJc w:val="left"/>
      <w:lvlText w:val="(%1)"/>
      <w:numFmt w:val="lowerLetter"/>
      <w:start w:val="61"/>
    </w:lvl>
    <w:lvl w:ilvl="1">
      <w:lvlJc w:val="left"/>
      <w:lvlText w:val="(%2)"/>
      <w:numFmt w:val="lowerLetter"/>
      <w:start w:val="38"/>
    </w:lvl>
  </w:abstractNum>
  <w:abstractNum w:abstractNumId="112">
    <w:nsid w:val="5046B5A9"/>
    <w:multiLevelType w:val="hybridMultilevel"/>
    <w:lvl w:ilvl="0">
      <w:lvlJc w:val="left"/>
      <w:lvlText w:val="(%1)"/>
      <w:numFmt w:val="lowerLetter"/>
      <w:start w:val="40"/>
    </w:lvl>
  </w:abstractNum>
  <w:abstractNum w:abstractNumId="113">
    <w:nsid w:val="5D888A08"/>
    <w:multiLevelType w:val="hybridMultilevel"/>
    <w:lvl w:ilvl="0">
      <w:lvlJc w:val="left"/>
      <w:lvlText w:val="%1"/>
      <w:numFmt w:val="decimal"/>
      <w:start w:val="1"/>
    </w:lvl>
    <w:lvl w:ilvl="1">
      <w:lvlJc w:val="left"/>
      <w:lvlText w:val="(%2)"/>
      <w:numFmt w:val="lowerLetter"/>
      <w:start w:val="47"/>
    </w:lvl>
  </w:abstractNum>
  <w:abstractNum w:abstractNumId="114">
    <w:nsid w:val="2A082C70"/>
    <w:multiLevelType w:val="hybridMultilevel"/>
    <w:lvl w:ilvl="0">
      <w:lvlJc w:val="left"/>
      <w:lvlText w:val="%1."/>
      <w:numFmt w:val="decimal"/>
      <w:start w:val="4"/>
    </w:lvl>
    <w:lvl w:ilvl="1">
      <w:lvlJc w:val="left"/>
      <w:lvlText w:val="(%2)"/>
      <w:numFmt w:val="lowerLetter"/>
      <w:start w:val="1"/>
    </w:lvl>
  </w:abstractNum>
  <w:abstractNum w:abstractNumId="115">
    <w:nsid w:val="5EC6AFD4"/>
    <w:multiLevelType w:val="hybridMultilevel"/>
    <w:lvl w:ilvl="0">
      <w:lvlJc w:val="left"/>
      <w:lvlText w:val="(%1)"/>
      <w:numFmt w:val="lowerLetter"/>
      <w:start w:val="5"/>
    </w:lvl>
  </w:abstractNum>
  <w:abstractNum w:abstractNumId="116">
    <w:nsid w:val="19E21BB2"/>
    <w:multiLevelType w:val="hybridMultilevel"/>
    <w:lvl w:ilvl="0">
      <w:lvlJc w:val="left"/>
      <w:lvlText w:val="(%1)"/>
      <w:numFmt w:val="lowerLetter"/>
      <w:start w:val="10"/>
    </w:lvl>
  </w:abstractNum>
  <w:abstractNum w:abstractNumId="117">
    <w:nsid w:val="75E0858A"/>
    <w:multiLevelType w:val="hybridMultilevel"/>
    <w:lvl w:ilvl="0">
      <w:lvlJc w:val="left"/>
      <w:lvlText w:val="%1"/>
      <w:numFmt w:val="lowerLetter"/>
      <w:start w:val="1"/>
    </w:lvl>
    <w:lvl w:ilvl="1">
      <w:lvlJc w:val="left"/>
      <w:lvlText w:val="(%2)"/>
      <w:numFmt w:val="lowerLetter"/>
      <w:start w:val="14"/>
    </w:lvl>
  </w:abstractNum>
  <w:abstractNum w:abstractNumId="118">
    <w:nsid w:val="57A61A29"/>
    <w:multiLevelType w:val="hybridMultilevel"/>
    <w:lvl w:ilvl="0">
      <w:lvlJc w:val="left"/>
      <w:lvlText w:val="(%1)"/>
      <w:numFmt w:val="lowerLetter"/>
      <w:start w:val="61"/>
    </w:lvl>
    <w:lvl w:ilvl="1">
      <w:lvlJc w:val="left"/>
      <w:lvlText w:val="(%2)"/>
      <w:numFmt w:val="lowerLetter"/>
      <w:start w:val="15"/>
    </w:lvl>
  </w:abstractNum>
  <w:abstractNum w:abstractNumId="119">
    <w:nsid w:val="5399C654"/>
    <w:multiLevelType w:val="hybridMultilevel"/>
    <w:lvl w:ilvl="0">
      <w:lvlJc w:val="left"/>
      <w:lvlText w:val="%1"/>
      <w:numFmt w:val="decimal"/>
      <w:start w:val="1"/>
    </w:lvl>
    <w:lvl w:ilvl="1">
      <w:lvlJc w:val="left"/>
      <w:lvlText w:val="(%2)"/>
      <w:numFmt w:val="lowerLetter"/>
      <w:start w:val="19"/>
    </w:lvl>
  </w:abstractNum>
  <w:abstractNum w:abstractNumId="120">
    <w:nsid w:val="20EE1348"/>
    <w:multiLevelType w:val="hybridMultilevel"/>
    <w:lvl w:ilvl="0">
      <w:lvlJc w:val="left"/>
      <w:lvlText w:val="%1."/>
      <w:numFmt w:val="decimal"/>
      <w:start w:val="5"/>
    </w:lvl>
    <w:lvl w:ilvl="1">
      <w:lvlJc w:val="left"/>
      <w:lvlText w:val="(%2)"/>
      <w:numFmt w:val="lowerLetter"/>
      <w:start w:val="1"/>
    </w:lvl>
  </w:abstractNum>
  <w:abstractNum w:abstractNumId="121">
    <w:nsid w:val="4427069A"/>
    <w:multiLevelType w:val="hybridMultilevel"/>
    <w:lvl w:ilvl="0">
      <w:lvlJc w:val="left"/>
      <w:lvlText w:val="(%1)"/>
      <w:numFmt w:val="lowerLetter"/>
      <w:start w:val="5"/>
    </w:lvl>
  </w:abstractNum>
  <w:abstractNum w:abstractNumId="122">
    <w:nsid w:val="B37E80A"/>
    <w:multiLevelType w:val="hybridMultilevel"/>
    <w:lvl w:ilvl="0">
      <w:lvlJc w:val="left"/>
      <w:lvlText w:val="(%1)"/>
      <w:numFmt w:val="lowerLetter"/>
      <w:start w:val="8"/>
    </w:lvl>
  </w:abstractNum>
  <w:abstractNum w:abstractNumId="123">
    <w:nsid w:val="2157F6BC"/>
    <w:multiLevelType w:val="hybridMultilevel"/>
    <w:lvl w:ilvl="0">
      <w:lvlJc w:val="left"/>
      <w:lvlText w:val="(%1)"/>
      <w:numFmt w:val="upperLetter"/>
      <w:start w:val="1"/>
    </w:lvl>
    <w:lvl w:ilvl="1">
      <w:lvlJc w:val="left"/>
      <w:lvlText w:val="(%2)"/>
      <w:numFmt w:val="lowerLetter"/>
      <w:start w:val="14"/>
    </w:lvl>
  </w:abstractNum>
  <w:abstractNum w:abstractNumId="124">
    <w:nsid w:val="704E1DD5"/>
    <w:multiLevelType w:val="hybridMultilevel"/>
    <w:lvl w:ilvl="0">
      <w:lvlJc w:val="left"/>
      <w:lvlText w:val="%1"/>
      <w:numFmt w:val="decimal"/>
      <w:start w:val="1"/>
    </w:lvl>
    <w:lvl w:ilvl="1">
      <w:lvlJc w:val="left"/>
      <w:lvlText w:val="(%2)"/>
      <w:numFmt w:val="lowerLetter"/>
      <w:start w:val="20"/>
    </w:lvl>
  </w:abstractNum>
  <w:abstractNum w:abstractNumId="125">
    <w:nsid w:val="57D2F10E"/>
    <w:multiLevelType w:val="hybridMultilevel"/>
    <w:lvl w:ilvl="0">
      <w:lvlJc w:val="left"/>
      <w:lvlText w:val="%1."/>
      <w:numFmt w:val="decimal"/>
      <w:start w:val="6"/>
    </w:lvl>
    <w:lvl w:ilvl="1">
      <w:lvlJc w:val="left"/>
      <w:lvlText w:val="(%2)"/>
      <w:numFmt w:val="lowerLetter"/>
      <w:start w:val="1"/>
    </w:lvl>
  </w:abstractNum>
  <w:abstractNum w:abstractNumId="126">
    <w:nsid w:val="BFFAE18"/>
    <w:multiLevelType w:val="hybridMultilevel"/>
    <w:lvl w:ilvl="0">
      <w:lvlJc w:val="left"/>
      <w:lvlText w:val="(%1)"/>
      <w:numFmt w:val="lowerLetter"/>
      <w:start w:val="4"/>
    </w:lvl>
  </w:abstractNum>
  <w:abstractNum w:abstractNumId="127">
    <w:nsid w:val="E3E47A8"/>
    <w:multiLevelType w:val="hybridMultilevel"/>
    <w:lvl w:ilvl="0">
      <w:lvlJc w:val="left"/>
      <w:lvlText w:val="(%1)"/>
      <w:numFmt w:val="lowerLetter"/>
      <w:start w:val="7"/>
    </w:lvl>
  </w:abstractNum>
  <w:abstractNum w:abstractNumId="128">
    <w:nsid w:val="2E48F044"/>
    <w:multiLevelType w:val="hybridMultilevel"/>
    <w:lvl w:ilvl="0">
      <w:lvlJc w:val="left"/>
      <w:lvlText w:val="%1."/>
      <w:numFmt w:val="decimal"/>
      <w:start w:val="8"/>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lowerLetter"/>
      <w:start w:val="25"/>
    </w:lvl>
    <w:lvl w:ilvl="1">
      <w:lvlJc w:val="left"/>
      <w:lvlText w:val="(%2)"/>
      <w:numFmt w:val="lowerLetter"/>
      <w:start w:val="4"/>
    </w:lvl>
  </w:abstractNum>
  <w:abstractNum w:abstractNumId="131">
    <w:nsid w:val="5551B9F3"/>
    <w:multiLevelType w:val="hybridMultilevel"/>
    <w:lvl w:ilvl="0">
      <w:lvlJc w:val="left"/>
      <w:lvlText w:val="%1"/>
      <w:numFmt w:val="lowerLetter"/>
      <w:start w:val="1"/>
    </w:lvl>
    <w:lvl w:ilvl="1">
      <w:lvlJc w:val="left"/>
      <w:lvlText w:val="(%2)"/>
      <w:numFmt w:val="lowerLetter"/>
      <w:start w:val="5"/>
    </w:lvl>
  </w:abstractNum>
  <w:abstractNum w:abstractNumId="132">
    <w:nsid w:val="24F6AB8E"/>
    <w:multiLevelType w:val="hybridMultilevel"/>
    <w:lvl w:ilvl="0">
      <w:lvlJc w:val="left"/>
      <w:lvlText w:val="(%1)"/>
      <w:numFmt w:val="lowerLetter"/>
      <w:start w:val="4"/>
    </w:lvl>
    <w:lvl w:ilvl="1">
      <w:lvlJc w:val="left"/>
      <w:lvlText w:val="(%2)"/>
      <w:numFmt w:val="lowerLetter"/>
      <w:start w:val="6"/>
    </w:lvl>
  </w:abstractNum>
  <w:abstractNum w:abstractNumId="133">
    <w:nsid w:val="634C574C"/>
    <w:multiLevelType w:val="hybridMultilevel"/>
    <w:lvl w:ilvl="0">
      <w:lvlJc w:val="left"/>
      <w:lvlText w:val="%1."/>
      <w:numFmt w:val="decimal"/>
      <w:start w:val="9"/>
    </w:lvl>
  </w:abstractNum>
  <w:abstractNum w:abstractNumId="134">
    <w:nsid w:val="24E99DD7"/>
    <w:multiLevelType w:val="hybridMultilevel"/>
    <w:lvl w:ilvl="0">
      <w:lvlJc w:val="left"/>
      <w:lvlText w:val="%1."/>
      <w:numFmt w:val="decimal"/>
      <w:start w:val="11"/>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decimal"/>
      <w:start w:val="12"/>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lowerLetter"/>
      <w:start w:val="1"/>
    </w:lvl>
    <w:lvl w:ilvl="1">
      <w:lvlJc w:val="left"/>
      <w:lvlText w:val="(%2)"/>
      <w:numFmt w:val="lowerLetter"/>
      <w:start w:val="2"/>
    </w:lvl>
  </w:abstractNum>
  <w:abstractNum w:abstractNumId="139">
    <w:nsid w:val="69E7F3E5"/>
    <w:multiLevelType w:val="hybridMultilevel"/>
    <w:lvl w:ilvl="0">
      <w:lvlJc w:val="left"/>
      <w:lvlText w:val="(%1)"/>
      <w:numFmt w:val="lowerLetter"/>
      <w:start w:val="35"/>
    </w:lvl>
    <w:lvl w:ilvl="1">
      <w:lvlJc w:val="left"/>
      <w:lvlText w:val="%2"/>
      <w:numFmt w:val="lowerLetter"/>
      <w:start w:val="1"/>
    </w:lvl>
  </w:abstractNum>
  <w:abstractNum w:abstractNumId="140">
    <w:nsid w:val="2A6DE806"/>
    <w:multiLevelType w:val="hybridMultilevel"/>
    <w:lvl w:ilvl="0">
      <w:lvlJc w:val="left"/>
      <w:lvlText w:val="%1."/>
      <w:numFmt w:val="decimal"/>
      <w:start w:val="13"/>
    </w:lvl>
  </w:abstractNum>
  <w:abstractNum w:abstractNumId="141">
    <w:nsid w:val="1816F8C4"/>
    <w:multiLevelType w:val="hybridMultilevel"/>
    <w:lvl w:ilvl="0">
      <w:lvlJc w:val="left"/>
      <w:lvlText w:val="%1."/>
      <w:numFmt w:val="decimal"/>
      <w:start w:val="16"/>
    </w:lvl>
  </w:abstractNum>
  <w:abstractNum w:abstractNumId="142">
    <w:nsid w:val="37DF223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2019-12-07T23:55:33Z</dcterms:created>
  <dcterms:modified xsi:type="dcterms:W3CDTF">2019-12-07T23:55:33Z</dcterms:modified>
</cp:coreProperties>
</file>