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Pluss Steven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Sixth Street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17" w:lineRule="exact"/>
        <w:rPr>
          <w:sz w:val="24"/>
          <w:szCs w:val="24"/>
          <w:color w:val="auto"/>
        </w:rPr>
      </w:pPr>
    </w:p>
    <w:p>
      <w:pPr>
        <w:sectPr>
          <w:pgSz w:w="11900" w:h="16838" w:orient="portrait"/>
          <w:cols w:equalWidth="0" w:num="3">
            <w:col w:w="3460" w:space="460"/>
            <w:col w:w="3640" w:space="17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19.0379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$19.025 to $19.05, inclusive. The reporting person undertakes to provide upon request, full information regarding the number of shares purchased at each separate price within the range set forth above.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Ian Simmonds is signing on behalf of Steven Pluss pursuant to a Power of Attorney dated January 4, 2021, which is attached hereto as an exhibit.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Ian Simmonds, on behalf of </w:t>
      </w:r>
      <w:r>
        <w:rPr>
          <w:rFonts w:ascii="Times New Roman" w:cs="Times New Roman" w:eastAsia="Times New Roman" w:hAnsi="Times New Roman"/>
          <w:sz w:val="34"/>
          <w:szCs w:val="34"/>
          <w:color w:val="0000FF"/>
          <w:vertAlign w:val="subscript"/>
        </w:rPr>
        <w:t>08/10/2022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Steven Pluss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15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0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REPORTING OBLIGATIONS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David Stiepleman, Jennifer Gordon, and Ian Simmonds,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76" w:lineRule="exact"/>
        <w:rPr>
          <w:sz w:val="20"/>
          <w:szCs w:val="20"/>
          <w:color w:val="auto"/>
        </w:rPr>
      </w:pPr>
    </w:p>
    <w:p>
      <w:pPr>
        <w:jc w:val="both"/>
        <w:ind w:left="96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76" w:lineRule="exact"/>
        <w:rPr>
          <w:rFonts w:ascii="Times New Roman" w:cs="Times New Roman" w:eastAsia="Times New Roman" w:hAnsi="Times New Roman"/>
          <w:sz w:val="18"/>
          <w:szCs w:val="18"/>
          <w:color w:val="auto"/>
        </w:rPr>
      </w:pPr>
    </w:p>
    <w:p>
      <w:pPr>
        <w:jc w:val="both"/>
        <w:ind w:left="960" w:hanging="314"/>
        <w:spacing w:after="0" w:line="25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77" w:lineRule="exact"/>
        <w:rPr>
          <w:rFonts w:ascii="Times New Roman" w:cs="Times New Roman" w:eastAsia="Times New Roman" w:hAnsi="Times New Roman"/>
          <w:sz w:val="18"/>
          <w:szCs w:val="18"/>
          <w:color w:val="auto"/>
        </w:rPr>
      </w:pPr>
    </w:p>
    <w:p>
      <w:pPr>
        <w:jc w:val="both"/>
        <w:ind w:left="960" w:hanging="31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113" w:lineRule="exact"/>
        <w:rPr>
          <w:sz w:val="20"/>
          <w:szCs w:val="20"/>
          <w:color w:val="auto"/>
        </w:rPr>
      </w:pPr>
    </w:p>
    <w:p>
      <w:pPr>
        <w:ind w:left="960" w:hanging="314"/>
        <w:spacing w:after="0" w:line="27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56" w:lineRule="exact"/>
        <w:rPr>
          <w:rFonts w:ascii="Times New Roman" w:cs="Times New Roman" w:eastAsia="Times New Roman" w:hAnsi="Times New Roman"/>
          <w:sz w:val="18"/>
          <w:szCs w:val="18"/>
          <w:color w:val="auto"/>
        </w:rPr>
      </w:pPr>
    </w:p>
    <w:p>
      <w:pPr>
        <w:ind w:left="960" w:hanging="314"/>
        <w:spacing w:after="0" w:line="27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56" w:lineRule="exact"/>
        <w:rPr>
          <w:rFonts w:ascii="Times New Roman" w:cs="Times New Roman" w:eastAsia="Times New Roman" w:hAnsi="Times New Roman"/>
          <w:sz w:val="18"/>
          <w:szCs w:val="18"/>
          <w:color w:val="auto"/>
        </w:rPr>
      </w:pPr>
    </w:p>
    <w:p>
      <w:pPr>
        <w:ind w:left="960" w:right="20" w:hanging="314"/>
        <w:spacing w:after="0" w:line="27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 w:name="page3"/>
    <w:bookmarkEnd w:id="2"/>
    <w:p>
      <w:pPr>
        <w:ind w:left="960" w:right="20"/>
        <w:spacing w:after="0" w:line="276" w:lineRule="auto"/>
        <w:rPr>
          <w:sz w:val="20"/>
          <w:szCs w:val="20"/>
          <w:color w:val="auto"/>
        </w:rPr>
      </w:pPr>
      <w:r>
        <w:rPr>
          <w:rFonts w:ascii="Times New Roman" w:cs="Times New Roman" w:eastAsia="Times New Roman" w:hAnsi="Times New Roman"/>
          <w:sz w:val="18"/>
          <w:szCs w:val="18"/>
          <w:color w:val="auto"/>
        </w:rPr>
        <w:t>Section 16 of the Exchange Act or Rule 144, any liability of the undersigned for any failure to comply with such requirements, or any liability of the undersigned for disgorgement of profits under Section 16(b) of the Exchange Act; and</w:t>
      </w:r>
    </w:p>
    <w:p>
      <w:pPr>
        <w:spacing w:after="0" w:line="57" w:lineRule="exact"/>
        <w:rPr>
          <w:sz w:val="20"/>
          <w:szCs w:val="20"/>
          <w:color w:val="auto"/>
        </w:rPr>
      </w:pPr>
    </w:p>
    <w:p>
      <w:pPr>
        <w:jc w:val="both"/>
        <w:ind w:left="960" w:right="20" w:hanging="31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January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556895</wp:posOffset>
            </wp:positionV>
            <wp:extent cx="1979930" cy="922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979930" cy="92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9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Name: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734695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82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12" Type="http://schemas.openxmlformats.org/officeDocument/2006/relationships/hyperlink" Target="http://www.sec.gov/cgi-bin/browse-edgar?action=getcompany&amp;CIK=00015987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2022-08-10T16:02:16Z</dcterms:created>
  <dcterms:modified xsi:type="dcterms:W3CDTF">2022-08-10T16:02:16Z</dcterms:modified>
</cp:coreProperties>
</file>