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3260"/>
        <w:spacing w:after="0"/>
        <w:rPr>
          <w:sz w:val="20"/>
          <w:szCs w:val="20"/>
          <w:color w:val="auto"/>
        </w:rPr>
      </w:pPr>
      <w:r>
        <w:rPr>
          <w:rFonts w:ascii="Arial" w:cs="Arial" w:eastAsia="Arial" w:hAnsi="Arial"/>
          <w:sz w:val="32"/>
          <w:szCs w:val="32"/>
          <w:b w:val="1"/>
          <w:bCs w:val="1"/>
          <w:color w:val="auto"/>
        </w:rPr>
        <w:t>SCHEDULE 14A INFORMATION</w:t>
      </w:r>
    </w:p>
    <w:p>
      <w:pPr>
        <w:spacing w:after="0" w:line="236"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spacing w:after="0" w:line="207" w:lineRule="exact"/>
        <w:tabs>
          <w:tab w:leader="none" w:pos="33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96"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TICC CAPITAL CORP.</w:t>
      </w:r>
    </w:p>
    <w:p>
      <w:pPr>
        <w:spacing w:after="0" w:line="5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4"/>
          <w:szCs w:val="24"/>
          <w:color w:val="auto"/>
        </w:rPr>
      </w:pPr>
    </w:p>
    <w:p>
      <w:pPr>
        <w:ind w:left="35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9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00" w:lineRule="exact"/>
        <w:rPr>
          <w:sz w:val="24"/>
          <w:szCs w:val="24"/>
          <w:color w:val="auto"/>
        </w:rPr>
      </w:pPr>
    </w:p>
    <w:p>
      <w:pPr>
        <w:spacing w:after="0" w:line="268"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not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-1614170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-1167765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368" w:right="479" w:bottom="1440" w:gutter="0" w:footer="0" w:header="0"/>
        </w:sectPr>
      </w:pPr>
    </w:p>
    <w:bookmarkStart w:id="1" w:name="page2"/>
    <w:bookmarkEnd w:id="1"/>
    <w:p>
      <w:pPr>
        <w:ind w:left="480" w:hanging="472"/>
        <w:spacing w:after="0"/>
        <w:tabs>
          <w:tab w:leader="none" w:pos="48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Fee paid previously with preliminary materials.</w:t>
      </w:r>
    </w:p>
    <w:p>
      <w:pPr>
        <w:spacing w:after="0" w:line="333" w:lineRule="exact"/>
        <w:rPr>
          <w:rFonts w:ascii="MS PGothic" w:cs="MS PGothic" w:eastAsia="MS PGothic" w:hAnsi="MS PGothic"/>
          <w:sz w:val="18"/>
          <w:szCs w:val="18"/>
          <w:color w:val="auto"/>
        </w:rPr>
      </w:pPr>
    </w:p>
    <w:p>
      <w:pPr>
        <w:ind w:left="480" w:right="220" w:hanging="472"/>
        <w:spacing w:after="0" w:line="308" w:lineRule="auto"/>
        <w:tabs>
          <w:tab w:leader="none" w:pos="480"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-1030605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On July 25, 2016, TPG Specialty Lending, Inc. issued the following press release: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 Inc. Questions TICC Capital Corp.’s Troubling Corporate Governance Practices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Describes TICC’s Long Track Record that Appears to Prioritize the Personal Interests of Management at the Expense of its Stockholders</w:t>
      </w:r>
    </w:p>
    <w:p>
      <w:pPr>
        <w:spacing w:after="0" w:line="23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Questions TICC’s Reasons for the Unprecedented Change in its Traditional Annual Meeting Scheduling Amid Significant Share Purchases by TICC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Reminds TICC Stockholders That They Have the Right to Terminate the External Adviser’s Contract AT NO COST To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Urges TICC Stockholders to Vote the GOLD Proxy Card to Terminate TICC’s External Adviser’s Contract and Elect T. Kelley Millet to the TICC Board</w:t>
      </w:r>
    </w:p>
    <w:p>
      <w:pPr>
        <w:spacing w:after="0" w:line="26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NEW YORK—(</w:t>
      </w:r>
      <w:r>
        <w:rPr>
          <w:rFonts w:ascii="Arial" w:cs="Arial" w:eastAsia="Arial" w:hAnsi="Arial"/>
          <w:sz w:val="17"/>
          <w:szCs w:val="17"/>
          <w:u w:val="single" w:color="auto"/>
          <w:color w:val="auto"/>
        </w:rPr>
        <w:t>BUSINESS WIRE</w:t>
      </w:r>
      <w:r>
        <w:rPr>
          <w:rFonts w:ascii="Arial" w:cs="Arial" w:eastAsia="Arial" w:hAnsi="Arial"/>
          <w:sz w:val="17"/>
          <w:szCs w:val="17"/>
          <w:color w:val="auto"/>
        </w:rPr>
        <w:t xml:space="preserve">)—TPG Specialty Lending, Inc. (“TSLX”; NYSE:TSLX), a specialty finance company focused on lending to middle-market companies, today issued a letter to TICC Capital Corp. (“TICC”) stockholders highlighting TICC’s long track record of troubling corporate governance practices that appear to prioritize the personal interests of management at the expense of stockholders. Please click here to view the full letter: </w:t>
      </w:r>
      <w:r>
        <w:rPr>
          <w:rFonts w:ascii="Arial" w:cs="Arial" w:eastAsia="Arial" w:hAnsi="Arial"/>
          <w:sz w:val="17"/>
          <w:szCs w:val="17"/>
          <w:u w:val="single" w:color="auto"/>
          <w:color w:val="auto"/>
        </w:rPr>
        <w:t>http://www.changeticcnow.com/content/uploads/2016/07/TSLX-Questions-TICC-Governance-Practices.pdf</w:t>
      </w:r>
      <w:r>
        <w:rPr>
          <w:rFonts w:ascii="Arial" w:cs="Arial" w:eastAsia="Arial" w:hAnsi="Arial"/>
          <w:sz w:val="17"/>
          <w:szCs w:val="17"/>
          <w:color w:val="auto"/>
        </w:rPr>
        <w:t>.</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TSLX presents a timeline outlining how TICC insiders accumulated shares of TICC between May 5 and June 27, 2016, amid an unprecedented departure from TICC’s traditional annual meeting schedule.</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TSLX further explains that TICC has failed to take sufficient remedial action to implement meaningful reforms despite clear requests for change from stockholders, respected proxy advisors and independent analysts.</w:t>
      </w:r>
    </w:p>
    <w:p>
      <w:pPr>
        <w:spacing w:after="0" w:line="166" w:lineRule="exact"/>
        <w:rPr>
          <w:sz w:val="20"/>
          <w:szCs w:val="20"/>
          <w:color w:val="auto"/>
        </w:rPr>
      </w:pPr>
    </w:p>
    <w:p>
      <w:pPr>
        <w:jc w:val="both"/>
        <w:ind w:right="240"/>
        <w:spacing w:after="0" w:line="266" w:lineRule="auto"/>
        <w:rPr>
          <w:sz w:val="20"/>
          <w:szCs w:val="20"/>
          <w:color w:val="auto"/>
        </w:rPr>
      </w:pPr>
      <w:r>
        <w:rPr>
          <w:rFonts w:ascii="Arial" w:cs="Arial" w:eastAsia="Arial" w:hAnsi="Arial"/>
          <w:sz w:val="18"/>
          <w:szCs w:val="18"/>
          <w:color w:val="auto"/>
        </w:rPr>
        <w:t xml:space="preserve">The letter also urges stockholders to protect their investment in TICC by signing and returning the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voting FOR the termination of the investment advisory agreement between TICC and its external adviser and the election of TSLX’s highly-qualified and independent nominee, T. Kelley Millet, to TICC’s Board of Directors at TICC’s 2016 Annual Meeting, scheduled for September 2, 2016.</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TSLX’s proxy materials are also available through the SEC’s website and at </w:t>
      </w:r>
      <w:r>
        <w:rPr>
          <w:rFonts w:ascii="Arial" w:cs="Arial" w:eastAsia="Arial" w:hAnsi="Arial"/>
          <w:sz w:val="18"/>
          <w:szCs w:val="18"/>
          <w:u w:val="single" w:color="auto"/>
          <w:color w:val="auto"/>
        </w:rPr>
        <w:t>www.changeTICCnow.com</w:t>
      </w:r>
      <w:r>
        <w:rPr>
          <w:rFonts w:ascii="Arial" w:cs="Arial" w:eastAsia="Arial" w:hAnsi="Arial"/>
          <w:sz w:val="18"/>
          <w:szCs w:val="18"/>
          <w:color w:val="auto"/>
        </w:rPr>
        <w:t>.</w:t>
      </w:r>
    </w:p>
    <w:p>
      <w:pPr>
        <w:sectPr>
          <w:pgSz w:w="11900" w:h="16838" w:orient="portrait"/>
          <w:cols w:equalWidth="0" w:num="1">
            <w:col w:w="11220"/>
          </w:cols>
          <w:pgMar w:left="240" w:top="598"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TPG Specialty Lending</w:t>
      </w:r>
    </w:p>
    <w:p>
      <w:pPr>
        <w:spacing w:after="0" w:line="12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 xml:space="preserve">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BDC, under the Investment Company Act of 1940 and the rules and regulations promulgated thereunder. TSLX is externally managed by TSL Advisers, LLC, a Securities and Exchange Commission registered investment adviser. TSLX leverages the deep investment, sector, and operating resources of TPG Special Situations Partners, the dedicated special situations and credit platform of TPG, with approximately $16 billion of assets under management as of March 31, 2016, and the broader TPG platform, a global private investment firm with approximately $74 billion of assets under management as of March 31, 2016. For more information, visit the Company’s website at </w:t>
      </w:r>
      <w:r>
        <w:rPr>
          <w:rFonts w:ascii="Arial" w:cs="Arial" w:eastAsia="Arial" w:hAnsi="Arial"/>
          <w:sz w:val="16"/>
          <w:szCs w:val="16"/>
          <w:u w:val="single" w:color="auto"/>
          <w:color w:val="auto"/>
        </w:rPr>
        <w:t>www.tpgspecialtylending.com</w:t>
      </w:r>
      <w:r>
        <w:rPr>
          <w:rFonts w:ascii="Arial" w:cs="Arial" w:eastAsia="Arial" w:hAnsi="Arial"/>
          <w:sz w:val="16"/>
          <w:szCs w:val="16"/>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Information set forth herein may contain forward-looking statements, including, but not limited to, statements with regard to the expected future financial position, results of operations, cash flows, dividends, portfolio, financing plans, business strategy, budgets, capital expenditures, competitive positions, growth opportunities, plans and objectives of management of TICC Capital Corp. (“TICC”), statements with regard to the expected future financial position, results of operations, cash flows, dividends, portfolio, financing plans, business strategy, budgets, capital expenditures, competitive positions, growth opportunities, plans and objectives of management of TPG Specialty Lending, Inc. (“TSLX”), and statements with regard to TSLX’s proposed business combination transaction with TICC (including any financing required in connection with a possible transaction and the benefits, results, effects and timing of a possible transaction). Statements set forth herein concerning the business outlook or future economic performance, anticipated profitability, revenues, expenses, dividends or other financial items, and product or services line growth of TSLX, TICC and/or the combined businesses of TSLX and TICC, including, but not limited to, statements containing words such as “anticipate,” “approximate,” “believe,” “plan,” “estimate,” “expect,” “project,” “could,” “would,” “should,” “will,” “intend,” “may,” “potential,” “upside” and other similar expressions, together with other statements that are not historical facts, are forward-looking statements that are estimates reflecting the best judgment of TSLX based upon currently available information.</w:t>
      </w:r>
    </w:p>
    <w:p>
      <w:pPr>
        <w:sectPr>
          <w:pgSz w:w="11900" w:h="16838" w:orient="portrait"/>
          <w:cols w:equalWidth="0" w:num="1">
            <w:col w:w="11420"/>
          </w:cols>
          <w:pgMar w:left="240" w:top="270" w:right="239" w:bottom="1440" w:gutter="0" w:footer="0" w:header="0"/>
        </w:sectPr>
      </w:pPr>
    </w:p>
    <w:bookmarkStart w:id="3" w:name="page4"/>
    <w:bookmarkEnd w:id="3"/>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TSLX’s current expectations and include known and unknown risks, uncertainties and other factors, many of which TSLX is unable to predict or control, that may cause TSLX’s plans with respect to TICC or the actual results or performance of TICC, TSLX or TICC and TSLX on a combined basis to differ materially from any plans, future results or performance expressed or implied by such forward-looking statements. These statements involve risks, uncertainties and other factors discussed below and detailed from time to time in TSLX’s filings with the Securities and Exchange Commission (“SEC”).</w:t>
      </w:r>
    </w:p>
    <w:p>
      <w:pPr>
        <w:spacing w:after="0" w:line="16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Risks and uncertainties related to a possible transaction include, among others, uncertainty as to whether TSLX will further pursue, enter into or consummate a transaction on the terms set forth in its proposal or on other terms, uncertainty as to whether TICC’s board of directors will engage in good faith, substantive discussions or negotiations with TSLX concerning its proposal or any other possible transaction, potential adverse reactions or changes to business relationships resulting from the announcement or completion of a transaction, uncertainties as to the timing of a transaction, adverse effects on TSLX’s stock price resulting from the announcement or consummation of a transaction or any failure to complete a transaction, competitive responses to the announcement or consummation of a transaction, the risk that regulatory or other approvals and any financing required in connection with the consummation of a transaction are not obtained or are obtained subject to terms and conditions that are not anticipated, costs and difficulties related to a potential integration of TICC’s businesses and operations with TSLX’s businesses and operations, the inability to obtain, or delays in obtaining, cost savings and synergies from a transaction, unexpected costs, liabilities, charges or expenses resulting from a transaction, litigation relating to a transaction, the inability to retain key personnel, and any changes in general economic and/or industry specific conditions.</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addition to these factors, other factors that may affect TSLX’s plans, results or stock price are set forth in TSLX’s Annual Report on Form 10-K and in its reports on Forms 10-Q and 8-K.</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Party-Sourced Statements and Information</w:t>
      </w:r>
    </w:p>
    <w:p>
      <w:pPr>
        <w:spacing w:after="0" w:line="121"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Certain statements and information included herein have been sourced from third parties. TSLX does not make any representations regarding the accuracy, completeness or timeliness of such third party statements or information. Except as expressly set forth herein, permission to cite such statements or information has neither been sought nor obtained from such third parties. Any such statements or information should not be viewed as an indication of support from such third parties for the views expressed herein. All information in this communication regarding</w:t>
      </w:r>
    </w:p>
    <w:p>
      <w:pPr>
        <w:sectPr>
          <w:pgSz w:w="11900" w:h="16838" w:orient="portrait"/>
          <w:cols w:equalWidth="0" w:num="1">
            <w:col w:w="11400"/>
          </w:cols>
          <w:pgMar w:left="240" w:top="274" w:right="259" w:bottom="1440" w:gutter="0" w:footer="0" w:header="0"/>
        </w:sectPr>
      </w:pPr>
    </w:p>
    <w:bookmarkStart w:id="4" w:name="page5"/>
    <w:bookmarkEnd w:id="4"/>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TICC, including its businesses, operations and financial results, was obtained from public sources. While TSLX has no knowledge that any such information is inaccurate or incomplete, TSLX has not verified any of that information. TSLX reserves the right to change any of its opinions expressed herein at any time as it deems appropriate. TSLX disclaims any obligation to update the data, information or opinions contained herein.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 Information</w:t>
      </w:r>
    </w:p>
    <w:p>
      <w:pPr>
        <w:spacing w:after="0" w:line="12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 xml:space="preserve">In connection with TSLX’s solicitation of proxies for the 2016 annual meeting of TICC stockholders in favor of (a) the election of TSLX’s nominee to serve as a director of TICC and (b) TSLX’s proposal to terminate the Investment Advisory Agreement, dated as of July 1, 2011, by and between TICC and TICC Management, LLC, as contemplated by Section 15(a) of the Investment Company Act of 1940, as amended, TSLX filed an amended definitive proxy statement in connection therewith on Schedule 14A with the SEC on July 14, 2016 (the “TSLX Proxy Statement”). TSLX has mailed the TSLX Proxy Statement and accompanying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to stockholders of TICC. This communication is not a substitute for the TSLX Proxy Statement.</w:t>
      </w:r>
    </w:p>
    <w:p>
      <w:pPr>
        <w:spacing w:after="0" w:line="1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TSLX STRONGLY ADVISES ALL STOCKHOLDERS OF TICC TO READ THE TSLX PROXY STATEMENT AND THE OTHER PROXY MATERIALS AS THEY BECOME AVAILABLE BECAUSE THEY CONTAIN IMPORTANT INFORMATION. SUCH TSLX PROXY MATERIALS ARE AND WILL BECOME AVAILABLE AT NO CHARGE ON THE SEC’S WEB 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 xml:space="preserve"> AND ON TSLX’S WEBSITE</w:t>
      </w:r>
    </w:p>
    <w:p>
      <w:pPr>
        <w:ind w:right="820"/>
        <w:spacing w:after="0" w:line="255" w:lineRule="auto"/>
        <w:rPr>
          <w:sz w:val="20"/>
          <w:szCs w:val="20"/>
          <w:color w:val="auto"/>
        </w:rPr>
      </w:pPr>
      <w:r>
        <w:rPr>
          <w:rFonts w:ascii="Arial" w:cs="Arial" w:eastAsia="Arial" w:hAnsi="Arial"/>
          <w:sz w:val="18"/>
          <w:szCs w:val="18"/>
          <w:color w:val="auto"/>
        </w:rPr>
        <w:t xml:space="preserve">AT </w:t>
      </w:r>
      <w:r>
        <w:rPr>
          <w:rFonts w:ascii="Arial" w:cs="Arial" w:eastAsia="Arial" w:hAnsi="Arial"/>
          <w:sz w:val="18"/>
          <w:szCs w:val="18"/>
          <w:u w:val="single" w:color="auto"/>
          <w:color w:val="auto"/>
        </w:rPr>
        <w:t>HTTP://WWW.TPGSPECIALTYLENDING.COM</w:t>
      </w:r>
      <w:r>
        <w:rPr>
          <w:rFonts w:ascii="Arial" w:cs="Arial" w:eastAsia="Arial" w:hAnsi="Arial"/>
          <w:sz w:val="18"/>
          <w:szCs w:val="18"/>
          <w:color w:val="auto"/>
        </w:rPr>
        <w:t xml:space="preserve">. IN ADDITION, TSLX WILL PROVIDE COPIES OF THE TSLX PROXY STATEMENT WITHOUT CHARGE UPON REQUEST. REQUESTS FOR COPIES SHOULD BE DIRECTED TO TSLX’S PROXY SOLICITOR AT </w:t>
      </w:r>
      <w:r>
        <w:rPr>
          <w:rFonts w:ascii="Arial" w:cs="Arial" w:eastAsia="Arial" w:hAnsi="Arial"/>
          <w:sz w:val="18"/>
          <w:szCs w:val="18"/>
          <w:u w:val="single" w:color="auto"/>
          <w:color w:val="auto"/>
        </w:rPr>
        <w:t>TPG@MACKENZIEPARTNERS.COM</w:t>
      </w:r>
      <w:r>
        <w:rPr>
          <w:rFonts w:ascii="Arial" w:cs="Arial" w:eastAsia="Arial" w:hAnsi="Arial"/>
          <w:sz w:val="18"/>
          <w:szCs w:val="18"/>
          <w:color w:val="auto"/>
        </w:rPr>
        <w:t>.</w:t>
      </w:r>
    </w:p>
    <w:p>
      <w:pPr>
        <w:spacing w:after="0" w:line="19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participants in the solicitation are TSLX and T. Kelley Millet, and certain of TSLX’s directors and executive officers may also be deemed to be participants in the solicitation. As of the date hereof, TSLX beneficially owned 1,633,719 shares of common stock of TICC. As of the date hereof, Mr. Millet did not directly or indirectly beneficially own any shares of common stock of TICC.</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Security holders may obtain information regarding the names, affiliations and interests of TSLX’s directors and executive officers in TSLX’s Annual Report on Form 10-K for the year ended December 31, 2015, which was filed with the SEC on February 24, 2016, its proxy statement for the 2016 annual meeting of TSLX stockholders, which was filed with the SEC on April 8, 2016, and certain of its Current Reports on Form 8-K. These documents can be obtained free of charge from the sources indicated above. Additional information regarding the interests of these participants in the proxy solicitation and a description of their direct and indirect interests, by security holdings or otherwise, is available in the TSLX Proxy Statement and other relevant materials to be filed with the SEC (if and when available).</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document shall not constitute an offer to sell, buy or exchange or the solicitation of an offer to sell, buy or exchange any securities, nor shall there be any sale of securities in any jurisdiction in which such offer, solicitation or sale would be unlawful prior to registration or qualification under the securities laws of any such jurisdiction. No</w:t>
      </w:r>
    </w:p>
    <w:p>
      <w:pPr>
        <w:sectPr>
          <w:pgSz w:w="11900" w:h="16838" w:orient="portrait"/>
          <w:cols w:equalWidth="0" w:num="1">
            <w:col w:w="11400"/>
          </w:cols>
          <w:pgMar w:left="240" w:top="274" w:right="25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offering of securities shall be made except by means of a prospectus meeting the requirements of Section 10 of the Securities Act of 1933, as amended.</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Lucy Lu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212-601-4753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llu@tpg.com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Charlie Koons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MacKenzie Partners,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800-322-2885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tpg@mackenziepartners.com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Luke Barrett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lbarrett@tpg.com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Tom Johnson or Pat Tucker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Abernathy MacGregor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212-371-5999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tbj@abmac.com</w:t>
      </w:r>
      <w:r>
        <w:rPr>
          <w:rFonts w:ascii="Arial" w:cs="Arial" w:eastAsia="Arial" w:hAnsi="Arial"/>
          <w:sz w:val="18"/>
          <w:szCs w:val="18"/>
          <w:color w:val="auto"/>
        </w:rPr>
        <w:t xml:space="preserve"> /</w:t>
      </w:r>
      <w:r>
        <w:rPr>
          <w:rFonts w:ascii="Arial" w:cs="Arial" w:eastAsia="Arial" w:hAnsi="Arial"/>
          <w:sz w:val="18"/>
          <w:szCs w:val="18"/>
          <w:u w:val="single" w:color="auto"/>
          <w:color w:val="auto"/>
        </w:rPr>
        <w:t>pct@abmac.com</w:t>
      </w:r>
    </w:p>
    <w:p>
      <w:pPr>
        <w:sectPr>
          <w:pgSz w:w="11900" w:h="16838" w:orient="portrait"/>
          <w:cols w:equalWidth="0" w:num="1">
            <w:col w:w="10900"/>
          </w:cols>
          <w:pgMar w:left="240" w:top="274" w:right="759" w:bottom="1440"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2019-12-20T23:17:10Z</dcterms:created>
  <dcterms:modified xsi:type="dcterms:W3CDTF">2019-12-20T23:17:10Z</dcterms:modified>
</cp:coreProperties>
</file>