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July 25, 2014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Act File No. 333-196969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N-2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tbl>
      <w:tblPr>
        <w:tblLayout w:type="fixed"/>
        <w:tblInd w:w="4200" w:type="dxa"/>
        <w:tblCellMar>
          <w:top w:w="0" w:type="dxa"/>
          <w:left w:w="0" w:type="dxa"/>
          <w:bottom w:w="0" w:type="dxa"/>
          <w:right w:w="0" w:type="dxa"/>
        </w:tblCellMar>
      </w:tblPr>
      <w:tr>
        <w:trPr>
          <w:trHeight w:val="210"/>
        </w:trPr>
        <w:tc>
          <w:tcPr>
            <w:tcW w:w="4940" w:type="dxa"/>
            <w:vAlign w:val="bottom"/>
          </w:tcPr>
          <w:p>
            <w:pPr>
              <w:jc w:val="center"/>
              <w:ind w:right="2001"/>
              <w:spacing w:after="0" w:line="210" w:lineRule="exact"/>
              <w:rPr>
                <w:sz w:val="20"/>
                <w:szCs w:val="20"/>
                <w:color w:val="auto"/>
              </w:rPr>
            </w:pPr>
            <w:r>
              <w:rPr>
                <w:rFonts w:ascii="Arial" w:cs="Arial" w:eastAsia="Arial" w:hAnsi="Arial"/>
                <w:sz w:val="20"/>
                <w:szCs w:val="20"/>
                <w:b w:val="1"/>
                <w:bCs w:val="1"/>
                <w:i w:val="1"/>
                <w:iCs w:val="1"/>
                <w:color w:val="auto"/>
                <w:w w:val="96"/>
              </w:rPr>
              <w:t>THE SECURITIES ACT OF 1933</w:t>
            </w:r>
          </w:p>
        </w:tc>
        <w:tc>
          <w:tcPr>
            <w:tcW w:w="2280" w:type="dxa"/>
            <w:vAlign w:val="bottom"/>
          </w:tcPr>
          <w:p>
            <w:pPr>
              <w:jc w:val="right"/>
              <w:spacing w:after="0" w:line="201" w:lineRule="exact"/>
              <w:rPr>
                <w:sz w:val="20"/>
                <w:szCs w:val="20"/>
                <w:color w:val="auto"/>
              </w:rPr>
            </w:pPr>
            <w:r>
              <w:rPr>
                <w:rFonts w:ascii="MS PGothic" w:cs="MS PGothic" w:eastAsia="MS PGothic" w:hAnsi="MS PGothic"/>
                <w:sz w:val="20"/>
                <w:szCs w:val="20"/>
                <w:color w:val="auto"/>
              </w:rPr>
              <w:t>☐</w:t>
            </w:r>
          </w:p>
        </w:tc>
      </w:tr>
      <w:tr>
        <w:trPr>
          <w:trHeight w:val="237"/>
        </w:trPr>
        <w:tc>
          <w:tcPr>
            <w:tcW w:w="4940" w:type="dxa"/>
            <w:vAlign w:val="bottom"/>
          </w:tcPr>
          <w:p>
            <w:pPr>
              <w:jc w:val="center"/>
              <w:ind w:right="2001"/>
              <w:spacing w:after="0"/>
              <w:rPr>
                <w:sz w:val="20"/>
                <w:szCs w:val="20"/>
                <w:color w:val="auto"/>
              </w:rPr>
            </w:pPr>
            <w:r>
              <w:rPr>
                <w:rFonts w:ascii="Arial" w:cs="Arial" w:eastAsia="Arial" w:hAnsi="Arial"/>
                <w:sz w:val="20"/>
                <w:szCs w:val="20"/>
                <w:b w:val="1"/>
                <w:bCs w:val="1"/>
                <w:color w:val="auto"/>
                <w:w w:val="89"/>
              </w:rPr>
              <w:t>Pre-Effective Amendment No. 1</w:t>
            </w:r>
          </w:p>
        </w:tc>
        <w:tc>
          <w:tcPr>
            <w:tcW w:w="2280" w:type="dxa"/>
            <w:vAlign w:val="bottom"/>
          </w:tcPr>
          <w:p>
            <w:pPr>
              <w:jc w:val="right"/>
              <w:spacing w:after="0" w:line="201" w:lineRule="exact"/>
              <w:rPr>
                <w:sz w:val="20"/>
                <w:szCs w:val="20"/>
                <w:color w:val="auto"/>
              </w:rPr>
            </w:pPr>
            <w:r>
              <w:rPr>
                <w:rFonts w:ascii="MS PGothic" w:cs="MS PGothic" w:eastAsia="MS PGothic" w:hAnsi="MS PGothic"/>
                <w:sz w:val="20"/>
                <w:szCs w:val="20"/>
                <w:color w:val="auto"/>
              </w:rPr>
              <w:t>☒</w:t>
            </w:r>
          </w:p>
        </w:tc>
      </w:tr>
      <w:tr>
        <w:trPr>
          <w:trHeight w:val="283"/>
        </w:trPr>
        <w:tc>
          <w:tcPr>
            <w:tcW w:w="4940" w:type="dxa"/>
            <w:vAlign w:val="bottom"/>
          </w:tcPr>
          <w:p>
            <w:pPr>
              <w:jc w:val="center"/>
              <w:ind w:right="2001"/>
              <w:spacing w:after="0"/>
              <w:rPr>
                <w:sz w:val="20"/>
                <w:szCs w:val="20"/>
                <w:color w:val="auto"/>
              </w:rPr>
            </w:pPr>
            <w:r>
              <w:rPr>
                <w:rFonts w:ascii="Arial" w:cs="Arial" w:eastAsia="Arial" w:hAnsi="Arial"/>
                <w:sz w:val="20"/>
                <w:szCs w:val="20"/>
                <w:b w:val="1"/>
                <w:bCs w:val="1"/>
                <w:color w:val="auto"/>
                <w:w w:val="88"/>
              </w:rPr>
              <w:t>Post-Effective Amendment No.</w:t>
            </w:r>
          </w:p>
        </w:tc>
        <w:tc>
          <w:tcPr>
            <w:tcW w:w="22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301 Commerce Street, Suite 3300</w:t>
      </w:r>
    </w:p>
    <w:p>
      <w:pPr>
        <w:jc w:val="center"/>
        <w:spacing w:after="0" w:line="216" w:lineRule="auto"/>
        <w:rPr>
          <w:sz w:val="20"/>
          <w:szCs w:val="20"/>
          <w:color w:val="auto"/>
        </w:rPr>
      </w:pPr>
      <w:r>
        <w:rPr>
          <w:rFonts w:ascii="Arial" w:cs="Arial" w:eastAsia="Arial" w:hAnsi="Arial"/>
          <w:sz w:val="13"/>
          <w:szCs w:val="13"/>
          <w:b w:val="1"/>
          <w:bCs w:val="1"/>
          <w:color w:val="auto"/>
        </w:rPr>
        <w:t>Fort Worth, TX 76102</w:t>
      </w:r>
    </w:p>
    <w:p>
      <w:pPr>
        <w:jc w:val="center"/>
        <w:spacing w:after="0" w:line="217" w:lineRule="auto"/>
        <w:rPr>
          <w:sz w:val="20"/>
          <w:szCs w:val="20"/>
          <w:color w:val="auto"/>
        </w:rPr>
      </w:pPr>
      <w:r>
        <w:rPr>
          <w:rFonts w:ascii="Arial" w:cs="Arial" w:eastAsia="Arial" w:hAnsi="Arial"/>
          <w:sz w:val="13"/>
          <w:szCs w:val="13"/>
          <w:b w:val="1"/>
          <w:bCs w:val="1"/>
          <w:color w:val="auto"/>
        </w:rPr>
        <w:t>(Address of Principal Executive Offices)</w:t>
      </w:r>
    </w:p>
    <w:p>
      <w:pPr>
        <w:jc w:val="center"/>
        <w:spacing w:after="0" w:line="217" w:lineRule="auto"/>
        <w:rPr>
          <w:sz w:val="20"/>
          <w:szCs w:val="20"/>
          <w:color w:val="auto"/>
        </w:rPr>
      </w:pPr>
      <w:r>
        <w:rPr>
          <w:rFonts w:ascii="Arial" w:cs="Arial" w:eastAsia="Arial" w:hAnsi="Arial"/>
          <w:sz w:val="13"/>
          <w:szCs w:val="13"/>
          <w:b w:val="1"/>
          <w:bCs w:val="1"/>
          <w:color w:val="auto"/>
        </w:rPr>
        <w:t>(817) 871-4000</w:t>
      </w: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David Stiepleman</w:t>
      </w:r>
    </w:p>
    <w:p>
      <w:pPr>
        <w:jc w:val="center"/>
        <w:spacing w:after="0" w:line="216" w:lineRule="auto"/>
        <w:rPr>
          <w:sz w:val="20"/>
          <w:szCs w:val="20"/>
          <w:color w:val="auto"/>
        </w:rPr>
      </w:pPr>
      <w:r>
        <w:rPr>
          <w:rFonts w:ascii="Arial" w:cs="Arial" w:eastAsia="Arial" w:hAnsi="Arial"/>
          <w:sz w:val="13"/>
          <w:szCs w:val="13"/>
          <w:b w:val="1"/>
          <w:bCs w:val="1"/>
          <w:color w:val="auto"/>
        </w:rPr>
        <w:t>c/o TPG Specialty Lending, Inc.</w:t>
      </w:r>
    </w:p>
    <w:p>
      <w:pPr>
        <w:jc w:val="center"/>
        <w:spacing w:after="0" w:line="217" w:lineRule="auto"/>
        <w:rPr>
          <w:sz w:val="20"/>
          <w:szCs w:val="20"/>
          <w:color w:val="auto"/>
        </w:rPr>
      </w:pPr>
      <w:r>
        <w:rPr>
          <w:rFonts w:ascii="Arial" w:cs="Arial" w:eastAsia="Arial" w:hAnsi="Arial"/>
          <w:sz w:val="13"/>
          <w:szCs w:val="13"/>
          <w:b w:val="1"/>
          <w:bCs w:val="1"/>
          <w:color w:val="auto"/>
        </w:rPr>
        <w:t>345 California Street, Suite 3300</w:t>
      </w:r>
    </w:p>
    <w:p>
      <w:pPr>
        <w:jc w:val="center"/>
        <w:spacing w:after="0" w:line="217" w:lineRule="auto"/>
        <w:rPr>
          <w:sz w:val="20"/>
          <w:szCs w:val="20"/>
          <w:color w:val="auto"/>
        </w:rPr>
      </w:pPr>
      <w:r>
        <w:rPr>
          <w:rFonts w:ascii="Arial" w:cs="Arial" w:eastAsia="Arial" w:hAnsi="Arial"/>
          <w:sz w:val="13"/>
          <w:szCs w:val="13"/>
          <w:b w:val="1"/>
          <w:bCs w:val="1"/>
          <w:color w:val="auto"/>
        </w:rPr>
        <w:t>San Francisco, CA 94104</w:t>
      </w:r>
    </w:p>
    <w:p>
      <w:pPr>
        <w:jc w:val="center"/>
        <w:spacing w:after="0"/>
        <w:rPr>
          <w:sz w:val="20"/>
          <w:szCs w:val="20"/>
          <w:color w:val="auto"/>
        </w:rPr>
      </w:pPr>
      <w:r>
        <w:rPr>
          <w:rFonts w:ascii="Arial" w:cs="Arial" w:eastAsia="Arial" w:hAnsi="Arial"/>
          <w:sz w:val="13"/>
          <w:szCs w:val="13"/>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WITH COPIES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Michael A. Gerstenzang, Esq.</w:t>
      </w:r>
    </w:p>
    <w:p>
      <w:pPr>
        <w:jc w:val="center"/>
        <w:spacing w:after="0" w:line="216" w:lineRule="auto"/>
        <w:rPr>
          <w:sz w:val="20"/>
          <w:szCs w:val="20"/>
          <w:color w:val="auto"/>
        </w:rPr>
      </w:pPr>
      <w:r>
        <w:rPr>
          <w:rFonts w:ascii="Arial" w:cs="Arial" w:eastAsia="Arial" w:hAnsi="Arial"/>
          <w:sz w:val="13"/>
          <w:szCs w:val="13"/>
          <w:b w:val="1"/>
          <w:bCs w:val="1"/>
          <w:color w:val="auto"/>
        </w:rPr>
        <w:t>Adam E. Fleisher, Esq.</w:t>
      </w:r>
    </w:p>
    <w:p>
      <w:pPr>
        <w:jc w:val="center"/>
        <w:spacing w:after="0" w:line="217" w:lineRule="auto"/>
        <w:rPr>
          <w:sz w:val="20"/>
          <w:szCs w:val="20"/>
          <w:color w:val="auto"/>
        </w:rPr>
      </w:pPr>
      <w:r>
        <w:rPr>
          <w:rFonts w:ascii="Arial" w:cs="Arial" w:eastAsia="Arial" w:hAnsi="Arial"/>
          <w:sz w:val="13"/>
          <w:szCs w:val="13"/>
          <w:b w:val="1"/>
          <w:bCs w:val="1"/>
          <w:color w:val="auto"/>
        </w:rPr>
        <w:t>Helena K. Grannis, Esq.</w:t>
      </w:r>
    </w:p>
    <w:p>
      <w:pPr>
        <w:jc w:val="center"/>
        <w:spacing w:after="0" w:line="217" w:lineRule="auto"/>
        <w:rPr>
          <w:sz w:val="20"/>
          <w:szCs w:val="20"/>
          <w:color w:val="auto"/>
        </w:rPr>
      </w:pPr>
      <w:r>
        <w:rPr>
          <w:rFonts w:ascii="Arial" w:cs="Arial" w:eastAsia="Arial" w:hAnsi="Arial"/>
          <w:sz w:val="13"/>
          <w:szCs w:val="13"/>
          <w:b w:val="1"/>
          <w:bCs w:val="1"/>
          <w:color w:val="auto"/>
        </w:rPr>
        <w:t>Cleary Gottlieb Steen &amp; Hamilton LLP</w:t>
      </w:r>
    </w:p>
    <w:p>
      <w:pPr>
        <w:jc w:val="center"/>
        <w:spacing w:after="0" w:line="217" w:lineRule="auto"/>
        <w:rPr>
          <w:sz w:val="20"/>
          <w:szCs w:val="20"/>
          <w:color w:val="auto"/>
        </w:rPr>
      </w:pPr>
      <w:r>
        <w:rPr>
          <w:rFonts w:ascii="Arial" w:cs="Arial" w:eastAsia="Arial" w:hAnsi="Arial"/>
          <w:sz w:val="13"/>
          <w:szCs w:val="13"/>
          <w:b w:val="1"/>
          <w:bCs w:val="1"/>
          <w:color w:val="auto"/>
        </w:rPr>
        <w:t>One Liberty Plaza</w:t>
      </w:r>
    </w:p>
    <w:p>
      <w:pPr>
        <w:jc w:val="center"/>
        <w:spacing w:after="0" w:line="217" w:lineRule="auto"/>
        <w:rPr>
          <w:sz w:val="20"/>
          <w:szCs w:val="20"/>
          <w:color w:val="auto"/>
        </w:rPr>
      </w:pPr>
      <w:r>
        <w:rPr>
          <w:rFonts w:ascii="Arial" w:cs="Arial" w:eastAsia="Arial" w:hAnsi="Arial"/>
          <w:sz w:val="13"/>
          <w:szCs w:val="13"/>
          <w:b w:val="1"/>
          <w:bCs w:val="1"/>
          <w:color w:val="auto"/>
        </w:rPr>
        <w:t>New York, NY 10006</w:t>
      </w:r>
    </w:p>
    <w:p>
      <w:pPr>
        <w:jc w:val="center"/>
        <w:spacing w:after="0" w:line="216" w:lineRule="auto"/>
        <w:rPr>
          <w:sz w:val="20"/>
          <w:szCs w:val="20"/>
          <w:color w:val="auto"/>
        </w:rPr>
      </w:pPr>
      <w:r>
        <w:rPr>
          <w:rFonts w:ascii="Arial" w:cs="Arial" w:eastAsia="Arial" w:hAnsi="Arial"/>
          <w:sz w:val="13"/>
          <w:szCs w:val="13"/>
          <w:b w:val="1"/>
          <w:bCs w:val="1"/>
          <w:color w:val="auto"/>
        </w:rPr>
        <w:t>Telephone: (212) 225-2000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proposed public offering: </w:t>
      </w:r>
      <w:r>
        <w:rPr>
          <w:rFonts w:ascii="Arial" w:cs="Arial" w:eastAsia="Arial" w:hAnsi="Arial"/>
          <w:sz w:val="13"/>
          <w:szCs w:val="13"/>
          <w:color w:val="auto"/>
        </w:rPr>
        <w:t>From time to time after the effective date of this Registration Statement.</w:t>
      </w:r>
    </w:p>
    <w:p>
      <w:pPr>
        <w:spacing w:after="0" w:line="17"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It is proposed that this filing will become effective (check appropriate box):</w:t>
      </w:r>
    </w:p>
    <w:p>
      <w:pPr>
        <w:spacing w:after="0" w:line="2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 UNDER THE SECURITIES ACT OF 1933</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6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6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ind w:left="39"/>
              <w:spacing w:after="0" w:line="97" w:lineRule="exact"/>
              <w:rPr>
                <w:sz w:val="20"/>
                <w:szCs w:val="20"/>
                <w:color w:val="auto"/>
              </w:rPr>
            </w:pPr>
            <w:r>
              <w:rPr>
                <w:rFonts w:ascii="Arial" w:cs="Arial" w:eastAsia="Arial" w:hAnsi="Arial"/>
                <w:sz w:val="11"/>
                <w:szCs w:val="11"/>
                <w:b w:val="1"/>
                <w:bCs w:val="1"/>
                <w:color w:val="auto"/>
                <w:w w:val="98"/>
              </w:rPr>
              <w:t>Proposed</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Title of Securities</w:t>
            </w:r>
          </w:p>
        </w:tc>
        <w:tc>
          <w:tcPr>
            <w:tcW w:w="1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600" w:type="dxa"/>
            <w:vAlign w:val="bottom"/>
            <w:tcBorders>
              <w:right w:val="single" w:sz="8" w:color="auto"/>
            </w:tcBorders>
          </w:tcPr>
          <w:p>
            <w:pPr>
              <w:jc w:val="center"/>
              <w:ind w:left="19"/>
              <w:spacing w:after="0" w:line="135" w:lineRule="exact"/>
              <w:rPr>
                <w:sz w:val="20"/>
                <w:szCs w:val="20"/>
                <w:color w:val="auto"/>
              </w:rPr>
            </w:pPr>
            <w:r>
              <w:rPr>
                <w:rFonts w:ascii="Arial" w:cs="Arial" w:eastAsia="Arial" w:hAnsi="Arial"/>
                <w:sz w:val="13"/>
                <w:szCs w:val="13"/>
                <w:b w:val="1"/>
                <w:bCs w:val="1"/>
                <w:color w:val="auto"/>
                <w:w w:val="93"/>
              </w:rPr>
              <w:t>Maximum</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6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8"/>
              </w:rPr>
              <w:t>Being</w:t>
            </w:r>
          </w:p>
        </w:tc>
        <w:tc>
          <w:tcPr>
            <w:tcW w:w="1600" w:type="dxa"/>
            <w:vAlign w:val="bottom"/>
            <w:tcBorders>
              <w:right w:val="single" w:sz="8" w:color="auto"/>
            </w:tcBorders>
          </w:tcPr>
          <w:p>
            <w:pPr>
              <w:jc w:val="center"/>
              <w:ind w:left="19"/>
              <w:spacing w:after="0" w:line="126" w:lineRule="exact"/>
              <w:rPr>
                <w:sz w:val="20"/>
                <w:szCs w:val="20"/>
                <w:color w:val="auto"/>
              </w:rPr>
            </w:pPr>
            <w:r>
              <w:rPr>
                <w:rFonts w:ascii="Arial" w:cs="Arial" w:eastAsia="Arial" w:hAnsi="Arial"/>
                <w:sz w:val="13"/>
                <w:szCs w:val="13"/>
                <w:b w:val="1"/>
                <w:bCs w:val="1"/>
                <w:color w:val="auto"/>
                <w:w w:val="87"/>
              </w:rPr>
              <w:t>Aggregate</w:t>
            </w:r>
          </w:p>
        </w:tc>
        <w:tc>
          <w:tcPr>
            <w:tcW w:w="1560" w:type="dxa"/>
            <w:vAlign w:val="bottom"/>
          </w:tcPr>
          <w:p>
            <w:pPr>
              <w:jc w:val="center"/>
              <w:ind w:left="37"/>
              <w:spacing w:after="0" w:line="126"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Being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Registered</w:t>
            </w:r>
          </w:p>
        </w:tc>
        <w:tc>
          <w:tcPr>
            <w:tcW w:w="160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3"/>
                <w:szCs w:val="13"/>
                <w:b w:val="1"/>
                <w:bCs w:val="1"/>
                <w:color w:val="auto"/>
                <w:w w:val="90"/>
              </w:rPr>
              <w:t>Offering Price</w:t>
            </w:r>
          </w:p>
        </w:tc>
        <w:tc>
          <w:tcPr>
            <w:tcW w:w="156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66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Common Stock, $0.01 par value per share (1)(2)</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Arial" w:cs="Arial" w:eastAsia="Arial" w:hAnsi="Arial"/>
                <w:sz w:val="13"/>
                <w:szCs w:val="13"/>
                <w:color w:val="auto"/>
              </w:rPr>
              <w:t>Preferred Stock, $0.01 par value per share (1)(2)</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Arial" w:cs="Arial" w:eastAsia="Arial" w:hAnsi="Arial"/>
                <w:sz w:val="13"/>
                <w:szCs w:val="13"/>
                <w:color w:val="auto"/>
              </w:rPr>
              <w:t>Subscription Rights (1)</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Arial" w:cs="Arial" w:eastAsia="Arial" w:hAnsi="Arial"/>
                <w:sz w:val="13"/>
                <w:szCs w:val="13"/>
                <w:color w:val="auto"/>
              </w:rPr>
              <w:t>Warrants (3)</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Arial" w:cs="Arial" w:eastAsia="Arial" w:hAnsi="Arial"/>
                <w:sz w:val="13"/>
                <w:szCs w:val="13"/>
                <w:color w:val="auto"/>
              </w:rPr>
              <w:t>Debt Securities (2)(4)</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Arial" w:cs="Arial" w:eastAsia="Arial" w:hAnsi="Arial"/>
                <w:sz w:val="13"/>
                <w:szCs w:val="13"/>
                <w:color w:val="auto"/>
              </w:rPr>
              <w:t>Total (5)</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center"/>
              <w:ind w:left="19"/>
              <w:spacing w:after="0" w:line="143" w:lineRule="exact"/>
              <w:rPr>
                <w:sz w:val="20"/>
                <w:szCs w:val="20"/>
                <w:color w:val="auto"/>
              </w:rPr>
            </w:pPr>
            <w:r>
              <w:rPr>
                <w:rFonts w:ascii="Arial" w:cs="Arial" w:eastAsia="Arial" w:hAnsi="Arial"/>
                <w:sz w:val="13"/>
                <w:szCs w:val="13"/>
                <w:color w:val="auto"/>
                <w:w w:val="88"/>
              </w:rPr>
              <w:t>$500,000,000.00(6)</w:t>
            </w:r>
          </w:p>
        </w:tc>
        <w:tc>
          <w:tcPr>
            <w:tcW w:w="1560" w:type="dxa"/>
            <w:vAlign w:val="bottom"/>
            <w:tcBorders>
              <w:bottom w:val="single" w:sz="8" w:color="auto"/>
            </w:tcBorders>
          </w:tcPr>
          <w:p>
            <w:pPr>
              <w:jc w:val="center"/>
              <w:ind w:left="17"/>
              <w:spacing w:after="0" w:line="143" w:lineRule="exact"/>
              <w:rPr>
                <w:sz w:val="20"/>
                <w:szCs w:val="20"/>
                <w:color w:val="auto"/>
              </w:rPr>
            </w:pPr>
            <w:r>
              <w:rPr>
                <w:rFonts w:ascii="Arial" w:cs="Arial" w:eastAsia="Arial" w:hAnsi="Arial"/>
                <w:sz w:val="13"/>
                <w:szCs w:val="13"/>
                <w:color w:val="auto"/>
                <w:w w:val="88"/>
              </w:rPr>
              <w:t>$64,400.00(9)</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Arial" w:cs="Arial" w:eastAsia="Arial" w:hAnsi="Arial"/>
                <w:sz w:val="13"/>
                <w:szCs w:val="13"/>
                <w:color w:val="auto"/>
              </w:rPr>
              <w:t>Common Stock, $0.01 par value per share (7)</w:t>
            </w:r>
          </w:p>
        </w:tc>
        <w:tc>
          <w:tcPr>
            <w:tcW w:w="158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6"/>
              </w:rPr>
              <w:t>42,040,525</w:t>
            </w:r>
          </w:p>
        </w:tc>
        <w:tc>
          <w:tcPr>
            <w:tcW w:w="1600" w:type="dxa"/>
            <w:vAlign w:val="bottom"/>
            <w:tcBorders>
              <w:bottom w:val="single" w:sz="8" w:color="auto"/>
              <w:right w:val="single" w:sz="8" w:color="auto"/>
            </w:tcBorders>
          </w:tcPr>
          <w:p>
            <w:pPr>
              <w:jc w:val="center"/>
              <w:ind w:left="19"/>
              <w:spacing w:after="0" w:line="143" w:lineRule="exact"/>
              <w:rPr>
                <w:sz w:val="20"/>
                <w:szCs w:val="20"/>
                <w:color w:val="auto"/>
              </w:rPr>
            </w:pPr>
            <w:r>
              <w:rPr>
                <w:rFonts w:ascii="Arial" w:cs="Arial" w:eastAsia="Arial" w:hAnsi="Arial"/>
                <w:sz w:val="13"/>
                <w:szCs w:val="13"/>
                <w:color w:val="auto"/>
                <w:w w:val="88"/>
              </w:rPr>
              <w:t>$779,010,928.25(8)</w:t>
            </w:r>
          </w:p>
        </w:tc>
        <w:tc>
          <w:tcPr>
            <w:tcW w:w="1560" w:type="dxa"/>
            <w:vAlign w:val="bottom"/>
            <w:tcBorders>
              <w:bottom w:val="single" w:sz="8" w:color="auto"/>
            </w:tcBorders>
          </w:tcPr>
          <w:p>
            <w:pPr>
              <w:jc w:val="center"/>
              <w:ind w:left="37"/>
              <w:spacing w:after="0" w:line="143" w:lineRule="exact"/>
              <w:rPr>
                <w:sz w:val="20"/>
                <w:szCs w:val="20"/>
                <w:color w:val="auto"/>
              </w:rPr>
            </w:pPr>
            <w:r>
              <w:rPr>
                <w:rFonts w:ascii="Arial" w:cs="Arial" w:eastAsia="Arial" w:hAnsi="Arial"/>
                <w:sz w:val="13"/>
                <w:szCs w:val="13"/>
                <w:color w:val="auto"/>
                <w:w w:val="88"/>
              </w:rPr>
              <w:t>$100,336.61(9)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66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Total</w:t>
            </w:r>
          </w:p>
        </w:tc>
        <w:tc>
          <w:tcPr>
            <w:tcW w:w="15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jc w:val="center"/>
              <w:ind w:left="37"/>
              <w:spacing w:after="0" w:line="129" w:lineRule="exact"/>
              <w:rPr>
                <w:sz w:val="20"/>
                <w:szCs w:val="20"/>
                <w:color w:val="auto"/>
              </w:rPr>
            </w:pPr>
            <w:r>
              <w:rPr>
                <w:rFonts w:ascii="Arial" w:cs="Arial" w:eastAsia="Arial" w:hAnsi="Arial"/>
                <w:sz w:val="13"/>
                <w:szCs w:val="13"/>
                <w:color w:val="auto"/>
                <w:w w:val="88"/>
              </w:rPr>
              <w:t>$164,736.61(9)</w:t>
            </w:r>
          </w:p>
        </w:tc>
        <w:tc>
          <w:tcPr>
            <w:tcW w:w="0" w:type="dxa"/>
            <w:vAlign w:val="bottom"/>
          </w:tcPr>
          <w:p>
            <w:pPr>
              <w:spacing w:after="0"/>
              <w:rPr>
                <w:sz w:val="1"/>
                <w:szCs w:val="1"/>
                <w:color w:val="auto"/>
              </w:rPr>
            </w:pPr>
          </w:p>
        </w:tc>
      </w:tr>
    </w:tbl>
    <w:p>
      <w:pPr>
        <w:ind w:left="340" w:right="120" w:hanging="332"/>
        <w:spacing w:after="0" w:line="224"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10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1"/>
          <w:szCs w:val="11"/>
          <w:color w:val="auto"/>
        </w:rPr>
      </w:pPr>
      <w:r>
        <w:rPr>
          <w:rFonts w:ascii="Arial" w:cs="Arial" w:eastAsia="Arial" w:hAnsi="Arial"/>
          <w:sz w:val="11"/>
          <w:szCs w:val="11"/>
          <w:color w:val="auto"/>
        </w:rPr>
        <w:t>Subject to Note 6 below, there is being registered hereunder an indeterminate number of warrants as may be sold, from time to time, representing rights to purchase common stock, preferred stock or debt securities.</w:t>
      </w:r>
    </w:p>
    <w:p>
      <w:pPr>
        <w:spacing w:after="0" w:line="8" w:lineRule="exact"/>
        <w:rPr>
          <w:rFonts w:ascii="Arial" w:cs="Arial" w:eastAsia="Arial" w:hAnsi="Arial"/>
          <w:sz w:val="11"/>
          <w:szCs w:val="11"/>
          <w:color w:val="auto"/>
        </w:rPr>
      </w:pPr>
    </w:p>
    <w:p>
      <w:pPr>
        <w:ind w:left="340" w:right="12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no event will the aggregate offering price of all securities issued from time to time pursuant to this registration statement by the Registrant exceed $500,000,000.</w:t>
      </w:r>
    </w:p>
    <w:p>
      <w:pPr>
        <w:ind w:left="340" w:right="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These shares are being registered on behalf of selling stockholders.</w:t>
      </w:r>
    </w:p>
    <w:p>
      <w:pPr>
        <w:ind w:left="340" w:right="600" w:hanging="332"/>
        <w:spacing w:after="0" w:line="234"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457(c) of the Securities Act of 1933, as amended, the proposed maximum aggregate offering amount and the amount of the registration fee have been determined on the basis of the high and low market prices of the Registrant’s common stock reported on the New York Stock Exchange on June 20, 2014.</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62230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4" w:lineRule="exact"/>
        <w:rPr>
          <w:sz w:val="24"/>
          <w:szCs w:val="24"/>
          <w:color w:val="auto"/>
        </w:rPr>
      </w:pPr>
    </w:p>
    <w:p>
      <w:pPr>
        <w:ind w:right="22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July 25,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326390</wp:posOffset>
            </wp:positionV>
            <wp:extent cx="134620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157480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2014, our investment portfolio consisted of investments in 30 portfolio companies with an aggregate fair value of $1,195.5 million. We intend to continue to pursue an investment strategy focused on direct origination of loans to middle-market companies principally domiciled in the United States.</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$9 billion of assets under management as of March 31, 2014. TPG Special Situations Partners is the special situations and credit platform of TPG, a leading global private investment firm founded in 1992 with over $59 billion of assets under management as of March 31, 2014.</w:t>
      </w:r>
    </w:p>
    <w:p>
      <w:pPr>
        <w:spacing w:after="0" w:line="7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5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5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selling stockholders identified under “Selling Stockholders” acquired their respective shares of our common stock either (i) through subscription agreements prior to our initial public offering, or IPO, or (ii) in the concurrent private placement to certain of our existing investors in connection with our IPO. Each sale by the selling stockholders of their shares of our common stock pursuant to this registration statement through agents, underwriters or dealers will be accompanied by a prospectus supplement that will identify the selling stockholders that are participating in such offering. We will not receive any proceeds from the sale of shares of our common stock by any of the selling stockholders.</w:t>
      </w:r>
    </w:p>
    <w:p>
      <w:pPr>
        <w:spacing w:after="0" w:line="6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common stock is traded on the New York Stock Exchange, or NYSE, under the symbol “TSLX.” On July 24, 2014 the last reported sales price of our common stock on the NYSE was $20.48 per share. The net asset value per share of our common stock at March 31, 2014 (the last date prior to the date of this prospectus on which we determined net asset value) was $15.51. Based on this last reported sales price of our common stock, the aggregate market value of the shares of our common stock held by the selling stockholders identified under “Selling Stockholders” is approximately $761.4 million.</w:t>
      </w:r>
    </w:p>
    <w:p>
      <w:pPr>
        <w:spacing w:after="0" w:line="33" w:lineRule="exact"/>
        <w:rPr>
          <w:sz w:val="20"/>
          <w:szCs w:val="20"/>
          <w:color w:val="auto"/>
        </w:rPr>
      </w:pPr>
    </w:p>
    <w:p>
      <w:pPr>
        <w:ind w:right="60" w:firstLine="571"/>
        <w:spacing w:after="0" w:line="284"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22 of this prospectus.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5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0" w:lineRule="exact"/>
        <w:rPr>
          <w:sz w:val="20"/>
          <w:szCs w:val="20"/>
          <w:color w:val="auto"/>
        </w:rPr>
      </w:pPr>
    </w:p>
    <w:tbl>
      <w:tblPr>
        <w:tblLayout w:type="fixed"/>
        <w:tblInd w:w="40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2014</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CROSS 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ITEM</w:t>
            </w:r>
          </w:p>
        </w:tc>
        <w:tc>
          <w:tcPr>
            <w:tcW w:w="2880" w:type="dxa"/>
            <w:vAlign w:val="bottom"/>
          </w:tcPr>
          <w:p>
            <w:pPr>
              <w:spacing w:after="0"/>
              <w:rPr>
                <w:sz w:val="14"/>
                <w:szCs w:val="14"/>
                <w:color w:val="auto"/>
              </w:rPr>
            </w:pPr>
          </w:p>
        </w:tc>
        <w:tc>
          <w:tcPr>
            <w:tcW w:w="3240" w:type="dxa"/>
            <w:vAlign w:val="bottom"/>
            <w:gridSpan w:val="2"/>
            <w:vMerge w:val="restart"/>
          </w:tcPr>
          <w:p>
            <w:pPr>
              <w:jc w:val="center"/>
              <w:ind w:right="2490"/>
              <w:spacing w:after="0"/>
              <w:rPr>
                <w:sz w:val="20"/>
                <w:szCs w:val="20"/>
                <w:color w:val="auto"/>
              </w:rPr>
            </w:pPr>
            <w:r>
              <w:rPr>
                <w:rFonts w:ascii="Arial" w:cs="Arial" w:eastAsia="Arial" w:hAnsi="Arial"/>
                <w:sz w:val="14"/>
                <w:szCs w:val="14"/>
                <w:b w:val="1"/>
                <w:bCs w:val="1"/>
                <w:color w:val="auto"/>
              </w:rPr>
              <w:t>CAPTION</w:t>
            </w:r>
          </w:p>
        </w:tc>
        <w:tc>
          <w:tcPr>
            <w:tcW w:w="1500" w:type="dxa"/>
            <w:vAlign w:val="bottom"/>
          </w:tcPr>
          <w:p>
            <w:pPr>
              <w:spacing w:after="0"/>
              <w:rPr>
                <w:sz w:val="14"/>
                <w:szCs w:val="14"/>
                <w:color w:val="auto"/>
              </w:rPr>
            </w:pPr>
          </w:p>
        </w:tc>
        <w:tc>
          <w:tcPr>
            <w:tcW w:w="302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88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80" w:type="dxa"/>
            <w:vAlign w:val="bottom"/>
            <w:vMerge w:val="restart"/>
          </w:tcPr>
          <w:p>
            <w:pPr>
              <w:spacing w:after="0" w:line="198" w:lineRule="exact"/>
              <w:rPr>
                <w:sz w:val="20"/>
                <w:szCs w:val="20"/>
                <w:color w:val="auto"/>
              </w:rPr>
            </w:pPr>
            <w:r>
              <w:rPr>
                <w:rFonts w:ascii="Arial" w:cs="Arial" w:eastAsia="Arial" w:hAnsi="Arial"/>
                <w:sz w:val="18"/>
                <w:szCs w:val="18"/>
                <w:color w:val="auto"/>
              </w:rPr>
              <w:t>Cover</w:t>
            </w:r>
          </w:p>
        </w:tc>
        <w:tc>
          <w:tcPr>
            <w:tcW w:w="15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40" w:type="dxa"/>
            <w:vAlign w:val="bottom"/>
          </w:tcPr>
          <w:p>
            <w:pPr>
              <w:spacing w:after="0" w:line="178" w:lineRule="exact"/>
              <w:rPr>
                <w:sz w:val="20"/>
                <w:szCs w:val="20"/>
                <w:color w:val="auto"/>
              </w:rPr>
            </w:pPr>
            <w:r>
              <w:rPr>
                <w:rFonts w:ascii="Arial" w:cs="Arial" w:eastAsia="Arial" w:hAnsi="Arial"/>
                <w:sz w:val="18"/>
                <w:szCs w:val="18"/>
                <w:b w:val="1"/>
                <w:bCs w:val="1"/>
                <w:color w:val="auto"/>
              </w:rPr>
              <w:t>1</w:t>
            </w:r>
          </w:p>
        </w:tc>
        <w:tc>
          <w:tcPr>
            <w:tcW w:w="3540" w:type="dxa"/>
            <w:vAlign w:val="bottom"/>
            <w:gridSpan w:val="2"/>
          </w:tcPr>
          <w:p>
            <w:pPr>
              <w:ind w:left="2480"/>
              <w:spacing w:after="0" w:line="178" w:lineRule="exact"/>
              <w:rPr>
                <w:sz w:val="20"/>
                <w:szCs w:val="20"/>
                <w:color w:val="auto"/>
              </w:rPr>
            </w:pPr>
            <w:r>
              <w:rPr>
                <w:rFonts w:ascii="Arial" w:cs="Arial" w:eastAsia="Arial" w:hAnsi="Arial"/>
                <w:sz w:val="18"/>
                <w:szCs w:val="18"/>
                <w:color w:val="auto"/>
                <w:w w:val="95"/>
              </w:rPr>
              <w:t>Outside Front</w:t>
            </w:r>
          </w:p>
        </w:tc>
        <w:tc>
          <w:tcPr>
            <w:tcW w:w="25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3020" w:type="dxa"/>
            <w:vAlign w:val="bottom"/>
            <w:gridSpan w:val="2"/>
          </w:tcPr>
          <w:p>
            <w:pPr>
              <w:jc w:val="center"/>
              <w:ind w:right="1060"/>
              <w:spacing w:after="0" w:line="178"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Pages; Other Offering Information</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7"/>
              </w:rPr>
              <w:t>Fee Table and Synopsis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5"/>
              </w:rPr>
              <w:t>Fees and Expenses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Financial Highlights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Selected Financial Data and Other Information; Selected</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Quarterly Financial Data;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Plan of Distribution</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Selling Shareholders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Selling Stockholders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Use of Proceeds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General Description of the Registrant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Outside Front Cover Page; Prospectus Summary; Risk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Factors; Management’s Discussion and Analysis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Financial Condition and Results of Operations;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Company; Portfolio Companies; Regulation;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Eligible for Future Sale; Price Range of Common Stock</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and Distributions</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 Custodian, Transfer and Dividend Paying</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Agent and Registrar</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Capital Stock, Long-Term Debt, and Other Securities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Description of Our Capital Stock; Description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Preferred Stock; Description of Our Subscription 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Description of Our Warrants; Description of Our Debt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Securities; Dividend Reinvestment Plan; Management’s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Discussion and Analysis of Financial Condition and</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Results of Operations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Defaults and Arrears on Senior Securities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Legal Proceedings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Legal Matters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Table of Contents of the Statement of Additional Information, or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 of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15</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Table of Contents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General Information and History</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Objective and Policies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Management’s Discussion and Analysis of Financial</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1500" w:type="dxa"/>
            <w:vAlign w:val="bottom"/>
          </w:tcPr>
          <w:p>
            <w:pPr>
              <w:spacing w:after="0"/>
              <w:rPr>
                <w:sz w:val="18"/>
                <w:szCs w:val="18"/>
                <w:color w:val="auto"/>
              </w:rPr>
            </w:pPr>
          </w:p>
        </w:tc>
        <w:tc>
          <w:tcPr>
            <w:tcW w:w="30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Management</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19</w:t>
            </w:r>
          </w:p>
        </w:tc>
        <w:tc>
          <w:tcPr>
            <w:tcW w:w="612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Control Persons and Principal Holders of Securities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Advisory and Other Services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21</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Portfolio Managers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Brokerage Allocation and Other Practices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5"/>
              </w:rPr>
              <w:t>Tax Status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Financial Statements</w:t>
            </w:r>
          </w:p>
        </w:tc>
        <w:tc>
          <w:tcPr>
            <w:tcW w:w="1500" w:type="dxa"/>
            <w:vAlign w:val="bottom"/>
          </w:tcPr>
          <w:p>
            <w:pPr>
              <w:spacing w:after="0"/>
              <w:rPr>
                <w:sz w:val="20"/>
                <w:szCs w:val="20"/>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as of the dates on their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PROSPECTUS SUMMARY</w:t>
              </w:r>
            </w:hyperlink>
          </w:p>
        </w:tc>
        <w:tc>
          <w:tcPr>
            <w:tcW w:w="68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FEES AND EXPENSES</w:t>
              </w:r>
            </w:hyperlink>
          </w:p>
        </w:tc>
        <w:tc>
          <w:tcPr>
            <w:tcW w:w="712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80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RISK FACTORS</w:t>
              </w:r>
            </w:hyperlink>
          </w:p>
        </w:tc>
        <w:tc>
          <w:tcPr>
            <w:tcW w:w="7640" w:type="dxa"/>
            <w:vAlign w:val="bottom"/>
            <w:gridSpan w:val="2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5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THE COMPANY</w:t>
              </w:r>
            </w:hyperlink>
          </w:p>
        </w:tc>
        <w:tc>
          <w:tcPr>
            <w:tcW w:w="720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PORTFOLIO COMPANIES</w:t>
              </w:r>
            </w:hyperlink>
          </w:p>
        </w:tc>
        <w:tc>
          <w:tcPr>
            <w:tcW w:w="686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129">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SELLING STOCKHOLDERS</w:t>
              </w:r>
            </w:hyperlink>
          </w:p>
        </w:tc>
        <w:tc>
          <w:tcPr>
            <w:tcW w:w="2320" w:type="dxa"/>
            <w:vAlign w:val="bottom"/>
            <w:tcBorders>
              <w:top w:val="single" w:sz="8" w:color="0000EE"/>
            </w:tcBorders>
            <w:gridSpan w:val="14"/>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3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37">
              <w:r>
                <w:rPr>
                  <w:rFonts w:ascii="Arial" w:cs="Arial" w:eastAsia="Arial" w:hAnsi="Arial"/>
                  <w:sz w:val="18"/>
                  <w:szCs w:val="18"/>
                  <w:color w:val="0000EE"/>
                  <w:w w:val="96"/>
                </w:rPr>
                <w:t>DETERMINATION OF NET ASSET VALUE</w:t>
              </w:r>
            </w:hyperlink>
          </w:p>
        </w:tc>
        <w:tc>
          <w:tcPr>
            <w:tcW w:w="554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140">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53">
              <w:r>
                <w:rPr>
                  <w:rFonts w:ascii="Arial" w:cs="Arial" w:eastAsia="Arial" w:hAnsi="Arial"/>
                  <w:sz w:val="18"/>
                  <w:szCs w:val="18"/>
                  <w:color w:val="0000EE"/>
                  <w:w w:val="94"/>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196"/>
        </w:trPr>
        <w:tc>
          <w:tcPr>
            <w:tcW w:w="39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58">
              <w:r>
                <w:rPr>
                  <w:rFonts w:ascii="Arial" w:cs="Arial" w:eastAsia="Arial" w:hAnsi="Arial"/>
                  <w:sz w:val="18"/>
                  <w:szCs w:val="18"/>
                  <w:color w:val="0000EE"/>
                  <w:w w:val="94"/>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31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6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179">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4"/>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81">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46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181">
              <w:r>
                <w:rPr>
                  <w:rFonts w:ascii="Arial" w:cs="Arial" w:eastAsia="Arial" w:hAnsi="Arial"/>
                  <w:sz w:val="18"/>
                  <w:szCs w:val="18"/>
                  <w:color w:val="0000EE"/>
                  <w:w w:val="99"/>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$500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this prospectus relates to 42,040,525 shares of our common stock that may be sold by the selling stockholders identified under “Selling Stockholders.”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Please carefully read this prospectus and any such supplements together with any exhibits and the additional information described under “Available Information” and in the “Summary” and “Risk Factors” sections before you make an investment decision.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96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796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200" w:right="300" w:firstLine="443"/>
        <w:spacing w:after="0" w:line="286"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 used in the prospectus, except where the context suggests otherwise, references to:</w:t>
      </w:r>
    </w:p>
    <w:p>
      <w:pPr>
        <w:spacing w:after="0" w:line="131" w:lineRule="exact"/>
        <w:rPr>
          <w:sz w:val="20"/>
          <w:szCs w:val="20"/>
          <w:color w:val="auto"/>
        </w:rPr>
      </w:pPr>
    </w:p>
    <w:p>
      <w:pPr>
        <w:ind w:left="1060" w:right="52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78" w:lineRule="exact"/>
        <w:rPr>
          <w:sz w:val="20"/>
          <w:szCs w:val="20"/>
          <w:color w:val="auto"/>
        </w:rPr>
      </w:pPr>
    </w:p>
    <w:p>
      <w:pPr>
        <w:ind w:left="200" w:right="12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include secured loans, and, to a lesser extent, secured corporate bonds, with a secondary priority behind first-lien debt. Based on fair value as of</w:t>
      </w:r>
    </w:p>
    <w:p>
      <w:pPr>
        <w:spacing w:after="0" w:line="35"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w:t>
      </w:r>
    </w:p>
    <w:p>
      <w:pPr>
        <w:spacing w:after="0" w:line="190" w:lineRule="exact"/>
        <w:rPr>
          <w:sz w:val="20"/>
          <w:szCs w:val="20"/>
          <w:color w:val="auto"/>
        </w:rPr>
      </w:pPr>
    </w:p>
    <w:p>
      <w:pPr>
        <w:ind w:left="200" w:right="280" w:firstLine="443"/>
        <w:spacing w:after="0" w:line="291" w:lineRule="auto"/>
        <w:rPr>
          <w:sz w:val="20"/>
          <w:szCs w:val="20"/>
          <w:color w:val="auto"/>
        </w:rPr>
      </w:pPr>
      <w:r>
        <w:rPr>
          <w:rFonts w:ascii="Arial" w:cs="Arial" w:eastAsia="Arial" w:hAnsi="Arial"/>
          <w:sz w:val="16"/>
          <w:szCs w:val="16"/>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w:t>
      </w:r>
    </w:p>
    <w:p>
      <w:pPr>
        <w:ind w:left="200" w:right="80"/>
        <w:spacing w:after="0" w:line="261" w:lineRule="auto"/>
        <w:rPr>
          <w:sz w:val="20"/>
          <w:szCs w:val="20"/>
          <w:color w:val="auto"/>
        </w:rPr>
      </w:pPr>
      <w:r>
        <w:rPr>
          <w:rFonts w:ascii="Arial" w:cs="Arial" w:eastAsia="Arial" w:hAnsi="Arial"/>
          <w:sz w:val="18"/>
          <w:szCs w:val="18"/>
          <w:color w:val="auto"/>
        </w:rPr>
        <w:t>11.6%, 11.2%, and 9.2%, respectively. We expect that no single investment will represent more than 15% of our total investment portfolio, based on fair value. See “Portfolio Companies” for more information on our portfolio as of March 31, 2014.</w:t>
      </w:r>
    </w:p>
    <w:p>
      <w:pPr>
        <w:spacing w:after="0" w:line="184"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As of March 31, 2014, we had investments in 30 portfolio companies with an aggregate fair value of $1,195.5 million. 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net portfolio growth of $187.0 million aggregate principal amount.</w:t>
      </w:r>
    </w:p>
    <w:p>
      <w:pPr>
        <w:spacing w:after="0" w:line="18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As of December 31, 2013, we had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87"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Since we began investing in 2011 through March 31, 2014, our exited investments have resulted in an aggregate cash flow realized gross internal rate of return to us of approximately 15.3% (based on cash invested of approximately $459 million and total proceeds from these exited investments of approximately $528 million). Seventy-eight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8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78" w:lineRule="exact"/>
        <w:rPr>
          <w:sz w:val="20"/>
          <w:szCs w:val="20"/>
          <w:color w:val="auto"/>
        </w:rPr>
      </w:pPr>
    </w:p>
    <w:p>
      <w:pPr>
        <w:ind w:left="200" w:right="100" w:firstLine="443"/>
        <w:spacing w:after="0" w:line="270" w:lineRule="auto"/>
        <w:rPr>
          <w:sz w:val="20"/>
          <w:szCs w:val="20"/>
          <w:color w:val="auto"/>
        </w:rPr>
      </w:pPr>
      <w:r>
        <w:rPr>
          <w:rFonts w:ascii="Arial" w:cs="Arial" w:eastAsia="Arial" w:hAnsi="Arial"/>
          <w:sz w:val="17"/>
          <w:szCs w:val="17"/>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78"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87"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80" w:firstLine="443"/>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47"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left="200" w:firstLine="443"/>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attractive financing structures, including unitranche loans and</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6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20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70"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58"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9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right="10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from investing in assets other than qualifying assets unless, at the time of the investment and after giving effect to it, at least 70% of our total assets are qualifying assets. Qualifying assets generally include securities of “eligible portfolio companies,” cash, cash equivalents,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U.S. government securities and high-quality debt instruments maturing in one year or less from the time of investment. Under the rules of the 1940 Act, “eligible portfolio companies” include:</w:t>
      </w:r>
    </w:p>
    <w:p>
      <w:pPr>
        <w:spacing w:after="0" w:line="76" w:lineRule="exact"/>
        <w:rPr>
          <w:sz w:val="20"/>
          <w:szCs w:val="20"/>
          <w:color w:val="auto"/>
        </w:rPr>
      </w:pPr>
    </w:p>
    <w:p>
      <w:pPr>
        <w:ind w:left="1620" w:hanging="437"/>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NYSE Amex Equities and The NASDAQ Global Market) or registered under the Exchange Act; and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260" w:firstLine="443"/>
        <w:spacing w:after="0" w:line="312"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58"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121"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65"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In March 2013, we completed our IPO, pursuant to which we sold 7,000,000 shares of common stock at a price of $16.00 per share to the participating underwriters. Concurrently with the IPO, we sold 3,124,984 shares of our common stock to certain existing investors, including our Adviser, through a separate private placement at the initial public offering price per share. Total proceeds from the IPO and the concurrent private placement, net of estimated offering expenses payable by us, were approximately $151.6 million. These issuances are reflected in the number of shares issued for the three months ended March 31, 2014 as disclosed in this prospectus and the unaudited interim consolidated financial statements for the three months ended March 31, 2014.</w:t>
      </w:r>
    </w:p>
    <w:p>
      <w:pPr>
        <w:spacing w:after="0" w:line="193"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In April 2014, we issued a total of 1,050,000 shares of our common stock pursuant to the exercise of the underwriters’ over-allotment option in connection with our IPO. Net of underwriting fees and offering costs, we</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received additional total cash proceeds of $15.4 million. On May 1, 2014, pursuant to our dividend reinvestment plan, we issued 410,183 shares of our common stock in connection with the dividend that was paid on April 30, 2014. This dividend was declared on March 26, 2014 for shareholders of record on March 31, 2014. Neither of these issuances of our common stock is reflected in the number of shares issued for the three months ended March 31, 2014 as disclosed in this prospectus or the unaudited interim consolidated financial statements for the three months ended March 31, 2014.</w:t>
      </w:r>
    </w:p>
    <w:p>
      <w:pPr>
        <w:spacing w:after="0" w:line="154"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On May 6, 2014, our Board declared a quarterly dividend of $0.38 per share for its second fiscal quarter of 2014, which will be payable on or about July 31, 2014 to stockholders of record as of June 30, 2014.</w:t>
      </w:r>
    </w:p>
    <w:p>
      <w:pPr>
        <w:spacing w:after="0" w:line="170"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On May 30, 2014, we entered into agreements with various financial institutions pursuant to which each of the institutions agreed to provide commitments through the accordion feature in our second amended and restated senior secured revolving credit facility, dated February 27, 2014, which we refer to as the Revolving Credit Facility, increasing the aggregate commitments under the Revolving Credit Facility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88"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On June 10, 2014, we issued in a private offering $115 million aggregate principal amount of 4.50% Convertible Senior Notes due 2019, or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our liabilities with our investment portfolio, which consists of predominately floating rate loans. As a result of the swap, our effective interest rate on the Convertible Senior Notes is three-month LIBOR plus 252.9 basis points.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8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3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1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can resign on not more than 60 days’ notice and we may not be able to find a suitable replacement within that time, resulting in a disruption in our operations and a loss of the benefits from our relationship with TSSP and TPG;</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jc w:val="both"/>
        <w:ind w:left="1060" w:right="2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75"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10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1410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is a risk that investors in our common stock may not receive dividends or that our dividends may not grow over time; and</w:t>
      </w:r>
    </w:p>
    <w:p>
      <w:pPr>
        <w:spacing w:after="0" w:line="142" w:lineRule="exact"/>
        <w:rPr>
          <w:rFonts w:ascii="Arial" w:cs="Arial" w:eastAsia="Arial" w:hAnsi="Arial"/>
          <w:sz w:val="17"/>
          <w:szCs w:val="17"/>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w:t>
      </w:r>
    </w:p>
    <w:p>
      <w:pPr>
        <w:spacing w:after="0" w:line="46"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4000. Our corporate website is located at http://www.tpgspecialtylending.com. Information on our website is not incorporated into or a part of this prospectus.</w:t>
      </w:r>
    </w:p>
    <w:p>
      <w:pPr>
        <w:spacing w:after="0" w:line="29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6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420" w:hanging="3"/>
        <w:spacing w:after="0" w:line="255"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Relating to Offerings Pursuant to this Prospectus.”</w:t>
      </w:r>
    </w:p>
    <w:p>
      <w:pPr>
        <w:spacing w:after="0" w:line="190" w:lineRule="exact"/>
        <w:rPr>
          <w:sz w:val="20"/>
          <w:szCs w:val="20"/>
          <w:color w:val="auto"/>
        </w:rPr>
      </w:pPr>
    </w:p>
    <w:p>
      <w:pPr>
        <w:ind w:left="200" w:right="220" w:firstLine="443"/>
        <w:spacing w:after="0" w:line="286" w:lineRule="auto"/>
        <w:rPr>
          <w:sz w:val="20"/>
          <w:szCs w:val="20"/>
          <w:color w:val="auto"/>
        </w:rPr>
      </w:pPr>
      <w:r>
        <w:rPr>
          <w:rFonts w:ascii="Arial" w:cs="Arial" w:eastAsia="Arial" w:hAnsi="Arial"/>
          <w:sz w:val="17"/>
          <w:szCs w:val="17"/>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166" w:lineRule="exact"/>
        <w:rPr>
          <w:sz w:val="20"/>
          <w:szCs w:val="20"/>
          <w:color w:val="auto"/>
        </w:rPr>
      </w:pPr>
    </w:p>
    <w:p>
      <w:pPr>
        <w:ind w:left="200" w:right="240" w:firstLine="443"/>
        <w:spacing w:after="0" w:line="272" w:lineRule="auto"/>
        <w:rPr>
          <w:sz w:val="20"/>
          <w:szCs w:val="20"/>
          <w:color w:val="auto"/>
        </w:rPr>
      </w:pPr>
      <w:r>
        <w:rPr>
          <w:rFonts w:ascii="Arial" w:cs="Arial" w:eastAsia="Arial" w:hAnsi="Arial"/>
          <w:sz w:val="17"/>
          <w:szCs w:val="17"/>
          <w:color w:val="auto"/>
        </w:rPr>
        <w:t>We or the selling stockholders may offer our securities directly to one or more purchasers, including existing stockholders in a rights offering by us, through agents that we or the selling stockholders, as applicable,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or the selling stockholders, as applicable,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340" w:type="dxa"/>
            <w:vAlign w:val="bottom"/>
          </w:tcPr>
          <w:p>
            <w:pPr>
              <w:ind w:left="1280"/>
              <w:spacing w:after="0"/>
              <w:rPr>
                <w:sz w:val="20"/>
                <w:szCs w:val="20"/>
                <w:color w:val="auto"/>
              </w:rPr>
            </w:pPr>
            <w:r>
              <w:rPr>
                <w:rFonts w:ascii="Arial" w:cs="Arial" w:eastAsia="Arial" w:hAnsi="Arial"/>
                <w:sz w:val="18"/>
                <w:szCs w:val="18"/>
                <w:color w:val="auto"/>
                <w:w w:val="92"/>
              </w:rPr>
              <w:t>Unless otherwise specified in a prospectus supplement, we intend to use the net proceeds from</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the sale of our securities for general corporate purposes, which may include, among other</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things, investing in portfolio companies in accordance with our investment objective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repaying indebtedness (which will be subject to reborrowing).</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 of</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the proceeds from such offering. See “Use of Proceeds.”</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6"/>
              </w:rPr>
              <w:t>We will not receive any proceeds from any sale of common stock by the selling stockholders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identified under “Selling Stockholders.”</w:t>
            </w:r>
          </w:p>
        </w:tc>
      </w:tr>
      <w:tr>
        <w:trPr>
          <w:trHeight w:val="459"/>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Symbol on the NYSE</w:t>
            </w:r>
          </w:p>
        </w:tc>
        <w:tc>
          <w:tcPr>
            <w:tcW w:w="8340" w:type="dxa"/>
            <w:vAlign w:val="bottom"/>
          </w:tcPr>
          <w:p>
            <w:pPr>
              <w:ind w:left="1280"/>
              <w:spacing w:after="0"/>
              <w:rPr>
                <w:sz w:val="20"/>
                <w:szCs w:val="20"/>
                <w:color w:val="auto"/>
              </w:rPr>
            </w:pPr>
            <w:r>
              <w:rPr>
                <w:rFonts w:ascii="Arial" w:cs="Arial" w:eastAsia="Arial" w:hAnsi="Arial"/>
                <w:sz w:val="18"/>
                <w:szCs w:val="18"/>
                <w:color w:val="auto"/>
              </w:rPr>
              <w:t>“TSLX”</w:t>
            </w:r>
          </w:p>
        </w:tc>
      </w:tr>
      <w:tr>
        <w:trPr>
          <w:trHeight w:val="458"/>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Distributions</w:t>
            </w: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quarterly dividends to our stockholders. The specific tax characteristics of our distributions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will be reported to</w:t>
            </w:r>
          </w:p>
        </w:tc>
      </w:tr>
      <w:tr>
        <w:trPr>
          <w:trHeight w:val="159"/>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280" w:type="dxa"/>
            <w:vAlign w:val="bottom"/>
            <w:tcBorders>
              <w:top w:val="single" w:sz="8" w:color="auto"/>
              <w:left w:val="single" w:sz="8" w:color="auto"/>
            </w:tcBorders>
          </w:tcPr>
          <w:p>
            <w:pPr>
              <w:spacing w:after="0"/>
              <w:rPr>
                <w:sz w:val="24"/>
                <w:szCs w:val="24"/>
                <w:color w:val="auto"/>
              </w:rPr>
            </w:pPr>
          </w:p>
        </w:tc>
        <w:tc>
          <w:tcPr>
            <w:tcW w:w="81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99"/>
              </w:rPr>
              <w:t>stockholders after the end of the calendar year. Future quarterly dividends, if any, will be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determined by our Board. See “Price Range of Common Stock and Distributions.”</w:t>
            </w:r>
          </w:p>
        </w:tc>
      </w:tr>
      <w:tr>
        <w:trPr>
          <w:trHeight w:val="45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Federal Income Tax Considerations—Regulated Investment Company Classification.”</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Anti-Takeover Provisions</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Our Board is divided into three classes of directors serving staggered three-year terms. This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structure is intended to provide us with a greater likelihood of continuity of management,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which may be necessary for us to realize the full value of our investments. A staggered board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of directors also may serve to deter hostile takeovers or proxy contests, as may certain other</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measures adopted by us. See “Description of Our Capital Stock—Anti-Takeover Provisions.”</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Taxation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have elected to be treated as a RIC for U.S. federal income tax purposes. Our status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RIC will enable us to deduct qualifying distributions to our stockholders, so that we will be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subject to corporate-level U.S. federal income taxation only in respect of earnings that we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To maintain our status as a RIC and to avoid being subject to corporate-level U.S. federal</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w w:val="98"/>
              </w:rPr>
              <w:t>• derive in each taxable year at least 90% of our gross income from dividends, interest,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gains from the sale or other disposition of stock or securities and other specified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categories of investment income; and</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tax purposes equal to at least 90% of our investment company taxable income and net tax-</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exempt income for that taxable year.</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carry forward investment company taxable income in excess of current year distributions into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the next tax year and pay a 4% excise tax on such income. We elected to retain a small portion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of income and capital gains for the calendar years ended December 31, 2013 and 2012 and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three months ended March 31, 2014 and we recorded a net expense of $0.2 million,</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$0.1 million and $9 thousand, respectively, for U.S. federal excise tax</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400" w:type="dxa"/>
            <w:vAlign w:val="bottom"/>
            <w:tcBorders>
              <w:top w:val="single" w:sz="8" w:color="auto"/>
              <w:left w:val="single" w:sz="8" w:color="auto"/>
            </w:tcBorders>
          </w:tcPr>
          <w:p>
            <w:pPr>
              <w:spacing w:after="0"/>
              <w:rPr>
                <w:sz w:val="24"/>
                <w:szCs w:val="24"/>
                <w:color w:val="auto"/>
              </w:rPr>
            </w:pPr>
          </w:p>
        </w:tc>
        <w:tc>
          <w:tcPr>
            <w:tcW w:w="806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4"/>
              </w:rPr>
              <w:t>as a result. Any carryover of investment company taxable income or net capital gains must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timely declared and distributed as a dividend in the taxable year following the taxable year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the income or gains were earned. See “Price Range of Common Stock and</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Distributions” and “Material U.S. Federal Income Tax Considerations.”</w:t>
            </w:r>
          </w:p>
        </w:tc>
      </w:tr>
      <w:tr>
        <w:trPr>
          <w:trHeight w:val="458"/>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finance a portion of our investments. As a result, we are exposed to the risks of leverage,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Leverage increases the potential for gain and loss on amounts invested and, as a result,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increases the risks associated with investing in our securities. With certain limited exceptions,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currently are only allowed to borrow amounts, including by issuing debt securities or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preferred stock, where our asset coverage, as defined in the 1940 Act, equals at least 200%</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after the borrowing. The costs associated with our borrowings, including any increase in the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fees payable to the Adviser, are borne by our stockholders. See “Regulation.”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Dividend Reinvestment Plan</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distribution, our stockholders who have not elected to “opt out” of our dividend reinvestment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plan will have their cash distribution automatically reinvested in additional shares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common stock, rather than receiving the cash distribution. If a stockholder elects to “opt out”,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that stockholder will receive cash dividends or other distributions.</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stock generally are subject to the same U.S. federal tax consequences as stockholders who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elect to receive their distributions in cash; however, since their cash dividends will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reinvested, those stockholders will not receive cash with which to pay any applicable taxes on</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reinvested dividends. See “Dividend Reinvestment Plan.”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Management Arrangements</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Our Adviser serves as our investment adviser and our administrator. For a description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Adviser and TPG and our contractual arrangements with these companies, see “Management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and Other Agreements.”</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Trading at a Discount</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below our net asset value per share except (a) in connection with a rights offering to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existing stockholders, (b) with the prior approval of the majority of our outstanding voting</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securities or (c) under such other circumstances as the SEC may permit. The risk that our</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shares</w:t>
            </w:r>
          </w:p>
        </w:tc>
      </w:tr>
      <w:tr>
        <w:trPr>
          <w:trHeight w:val="159"/>
        </w:trPr>
        <w:tc>
          <w:tcPr>
            <w:tcW w:w="3400" w:type="dxa"/>
            <w:vAlign w:val="bottom"/>
            <w:tcBorders>
              <w:left w:val="single" w:sz="8" w:color="auto"/>
              <w:bottom w:val="single" w:sz="8" w:color="auto"/>
            </w:tcBorders>
          </w:tcPr>
          <w:p>
            <w:pPr>
              <w:spacing w:after="0"/>
              <w:rPr>
                <w:sz w:val="13"/>
                <w:szCs w:val="13"/>
                <w:color w:val="auto"/>
              </w:rPr>
            </w:pPr>
          </w:p>
        </w:tc>
        <w:tc>
          <w:tcPr>
            <w:tcW w:w="8060" w:type="dxa"/>
            <w:vAlign w:val="bottom"/>
            <w:tcBorders>
              <w:bottom w:val="single" w:sz="8" w:color="auto"/>
              <w:right w:val="single" w:sz="8" w:color="auto"/>
            </w:tcBorders>
          </w:tcPr>
          <w:p>
            <w:pPr>
              <w:spacing w:after="0"/>
              <w:rPr>
                <w:sz w:val="13"/>
                <w:szCs w:val="13"/>
                <w:color w:val="auto"/>
              </w:rPr>
            </w:pPr>
          </w:p>
        </w:tc>
      </w:tr>
      <w:tr>
        <w:trPr>
          <w:trHeight w:val="361"/>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4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below net asset value. See “Risk Factors–Risks Related to Offerings Pursuant to This</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Prospectus.”</w:t>
            </w:r>
          </w:p>
        </w:tc>
      </w:tr>
      <w:tr>
        <w:trPr>
          <w:trHeight w:val="458"/>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Available Information</w:t>
            </w: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9"/>
              </w:rPr>
              <w:t>part, under the Securities Act. This registration statement contains additional information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about us and the securities being offered by this prospectus. We are also required to file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periodic reports, current reports, proxy statements and other information with the SEC. This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5"/>
              </w:rPr>
              <w:t>D.C. 20549 and on the SEC’s website at http://www.sec.gov</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Information on the operation of</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the SEC’s public reference room may be obtained by calling the SEC at 1 (800) SEC-0330.</w:t>
            </w:r>
          </w:p>
        </w:tc>
      </w:tr>
      <w:tr>
        <w:trPr>
          <w:trHeight w:val="445"/>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Street, Suite 3300, San Francisco, CA 94104, Attention: TSL Investor Relations, or by</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xml:space="preserve">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tc>
      </w:tr>
      <w:tr>
        <w:trPr>
          <w:trHeight w:val="159"/>
        </w:trPr>
        <w:tc>
          <w:tcPr>
            <w:tcW w:w="3140" w:type="dxa"/>
            <w:vAlign w:val="bottom"/>
            <w:tcBorders>
              <w:left w:val="single" w:sz="8" w:color="auto"/>
              <w:bottom w:val="single" w:sz="8" w:color="auto"/>
            </w:tcBorders>
          </w:tcPr>
          <w:p>
            <w:pPr>
              <w:spacing w:after="0"/>
              <w:rPr>
                <w:sz w:val="13"/>
                <w:szCs w:val="13"/>
                <w:color w:val="auto"/>
              </w:rPr>
            </w:pPr>
          </w:p>
        </w:tc>
        <w:tc>
          <w:tcPr>
            <w:tcW w:w="8320" w:type="dxa"/>
            <w:vAlign w:val="bottom"/>
            <w:tcBorders>
              <w:bottom w:val="single" w:sz="8" w:color="auto"/>
              <w:right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0.70x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Sales load</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None</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2.11%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8"/>
              </w:rPr>
              <w:t>Incentive Fee payable under the Investment Advisory Agreement (17.5% of net investment income and capital gains)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2.24%</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1.86%</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1.07%</w:t>
            </w:r>
            <w:r>
              <w:rPr>
                <w:rFonts w:ascii="Arial" w:cs="Arial" w:eastAsia="Arial" w:hAnsi="Arial"/>
                <w:sz w:val="15"/>
                <w:szCs w:val="15"/>
                <w:color w:val="auto"/>
                <w:w w:val="95"/>
              </w:rPr>
              <w:t>(8)(9)</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vMerge w:val="continue"/>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7.28%</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right="360" w:hanging="423"/>
        <w:spacing w:after="0" w:line="258"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80" w:hanging="423"/>
        <w:spacing w:after="0" w:line="250"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related prospectus supplement, including each underwritten offering by any of the selling stockholders identified under “Selling Stockholders,” will disclose the estimated amount of offering expenses, the offering price and the offering expenses borne by us as a percentage of the offering price.</w:t>
      </w:r>
    </w:p>
    <w:p>
      <w:pPr>
        <w:spacing w:after="0" w:line="1" w:lineRule="exact"/>
        <w:rPr>
          <w:rFonts w:ascii="Arial" w:cs="Arial" w:eastAsia="Arial" w:hAnsi="Arial"/>
          <w:sz w:val="18"/>
          <w:szCs w:val="18"/>
          <w:color w:val="auto"/>
        </w:rPr>
      </w:pPr>
    </w:p>
    <w:p>
      <w:pPr>
        <w:ind w:left="620" w:right="380" w:hanging="423"/>
        <w:spacing w:after="0" w:line="250"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ind w:left="620" w:right="180" w:hanging="423"/>
        <w:spacing w:after="0" w:line="250"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$804.8 million as of March 31, 2014.</w:t>
      </w:r>
    </w:p>
    <w:p>
      <w:pPr>
        <w:ind w:left="620" w:right="20" w:hanging="423"/>
        <w:spacing w:after="0" w:line="265"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1" w:lineRule="exact"/>
        <w:rPr>
          <w:rFonts w:ascii="Arial" w:cs="Arial" w:eastAsia="Arial" w:hAnsi="Arial"/>
          <w:sz w:val="17"/>
          <w:szCs w:val="17"/>
          <w:color w:val="auto"/>
        </w:rPr>
      </w:pPr>
    </w:p>
    <w:p>
      <w:pPr>
        <w:jc w:val="both"/>
        <w:ind w:left="620" w:right="220"/>
        <w:spacing w:after="0" w:line="281" w:lineRule="auto"/>
        <w:rPr>
          <w:rFonts w:ascii="Arial" w:cs="Arial" w:eastAsia="Arial" w:hAnsi="Arial"/>
          <w:sz w:val="17"/>
          <w:szCs w:val="17"/>
          <w:color w:val="auto"/>
        </w:rPr>
      </w:pPr>
      <w:r>
        <w:rPr>
          <w:rFonts w:ascii="Arial" w:cs="Arial" w:eastAsia="Arial" w:hAnsi="Arial"/>
          <w:sz w:val="16"/>
          <w:szCs w:val="16"/>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amounts) as of December 31, 2013 and March 31, 2014.</w:t>
      </w:r>
    </w:p>
    <w:p>
      <w:pPr>
        <w:spacing w:after="0" w:line="2" w:lineRule="exact"/>
        <w:rPr>
          <w:rFonts w:ascii="Arial" w:cs="Arial" w:eastAsia="Arial" w:hAnsi="Arial"/>
          <w:sz w:val="17"/>
          <w:szCs w:val="17"/>
          <w:color w:val="auto"/>
        </w:rPr>
      </w:pPr>
    </w:p>
    <w:p>
      <w:pPr>
        <w:ind w:left="620" w:right="240" w:hanging="423"/>
        <w:spacing w:after="0" w:line="261"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20" w:right="460"/>
        <w:spacing w:after="0" w:line="264" w:lineRule="auto"/>
        <w:rPr>
          <w:sz w:val="20"/>
          <w:szCs w:val="20"/>
          <w:color w:val="auto"/>
        </w:rPr>
      </w:pPr>
      <w:r>
        <w:rPr>
          <w:rFonts w:ascii="Arial" w:cs="Arial" w:eastAsia="Arial" w:hAnsi="Arial"/>
          <w:sz w:val="18"/>
          <w:szCs w:val="18"/>
          <w:color w:val="auto"/>
        </w:rPr>
        <w:t>below is based upon our actual results for the quarter ended March 31, 2014 annualized as if they had occurred following the IPO, and assumes that the Incentive Fee is 17.5% for all relevant periods. However, the Incentive Fee payable to the Adviser is based on our performance and will not be paid unless we achieve certain goals.</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Incentive Fee consists of two parts:</w:t>
      </w:r>
    </w:p>
    <w:p>
      <w:pPr>
        <w:spacing w:after="0" w:line="77" w:lineRule="exact"/>
        <w:rPr>
          <w:sz w:val="20"/>
          <w:szCs w:val="20"/>
          <w:color w:val="auto"/>
        </w:rPr>
      </w:pPr>
    </w:p>
    <w:p>
      <w:pPr>
        <w:ind w:left="620" w:right="240"/>
        <w:spacing w:after="0" w:line="259" w:lineRule="auto"/>
        <w:rPr>
          <w:sz w:val="20"/>
          <w:szCs w:val="20"/>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38" w:lineRule="exact"/>
        <w:rPr>
          <w:sz w:val="20"/>
          <w:szCs w:val="20"/>
          <w:color w:val="auto"/>
        </w:rPr>
      </w:pPr>
    </w:p>
    <w:p>
      <w:pPr>
        <w:ind w:left="620" w:right="280"/>
        <w:spacing w:after="0" w:line="255" w:lineRule="auto"/>
        <w:rPr>
          <w:sz w:val="20"/>
          <w:szCs w:val="20"/>
          <w:color w:val="auto"/>
        </w:rPr>
      </w:pPr>
      <w:r>
        <w:rPr>
          <w:rFonts w:ascii="Arial" w:cs="Arial" w:eastAsia="Arial" w:hAnsi="Arial"/>
          <w:sz w:val="18"/>
          <w:szCs w:val="18"/>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77" w:lineRule="exact"/>
        <w:rPr>
          <w:sz w:val="20"/>
          <w:szCs w:val="20"/>
          <w:color w:val="auto"/>
        </w:rPr>
      </w:pPr>
    </w:p>
    <w:p>
      <w:pPr>
        <w:ind w:left="620" w:right="320" w:hanging="423"/>
        <w:spacing w:after="0" w:line="268"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payments on borrowed funds represents an estimate of our annualized interest expenses, based on our interest expense for the quarter ended March 31, 2014, under our credit facilities, and including the swap-adjusted interest expense related to our Convertible Senior Notes, based on assumed total borrowings outstanding equal to 0.70x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Arial" w:cs="Arial" w:eastAsia="Arial" w:hAnsi="Arial"/>
          <w:sz w:val="17"/>
          <w:szCs w:val="17"/>
          <w:color w:val="auto"/>
        </w:rPr>
      </w:pPr>
    </w:p>
    <w:p>
      <w:pPr>
        <w:ind w:left="620" w:right="800" w:hanging="423"/>
        <w:spacing w:after="0" w:line="281"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our overhead expenses, such as payments under the Administration Agreement for certain expenses incurred by the Adviser. See “Management and Other Agreements—Investment Advisory Agreement; Administration Agreement; License Agreement.” We based these expenses on estimated amounts for the current fiscal year by annualizing expenses from the quarter ending March 31, 2014.</w:t>
      </w:r>
    </w:p>
    <w:p>
      <w:pPr>
        <w:spacing w:after="0" w:line="2" w:lineRule="exact"/>
        <w:rPr>
          <w:rFonts w:ascii="Arial" w:cs="Arial" w:eastAsia="Arial" w:hAnsi="Arial"/>
          <w:sz w:val="16"/>
          <w:szCs w:val="16"/>
          <w:color w:val="auto"/>
        </w:rPr>
      </w:pPr>
    </w:p>
    <w:p>
      <w:pPr>
        <w:ind w:left="620" w:hanging="42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5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640" w:type="dxa"/>
            <w:vAlign w:val="bottom"/>
          </w:tcPr>
          <w:p>
            <w:pPr>
              <w:spacing w:after="0"/>
              <w:rPr>
                <w:sz w:val="15"/>
                <w:szCs w:val="15"/>
                <w:color w:val="auto"/>
              </w:rPr>
            </w:pPr>
          </w:p>
        </w:tc>
        <w:tc>
          <w:tcPr>
            <w:tcW w:w="6160" w:type="dxa"/>
            <w:vAlign w:val="bottom"/>
            <w:tcBorders>
              <w:top w:val="single" w:sz="8" w:color="CCEEFF"/>
            </w:tcBorders>
            <w:shd w:val="clear" w:color="auto" w:fill="CCEEFF"/>
          </w:tcPr>
          <w:p>
            <w:pPr>
              <w:jc w:val="right"/>
              <w:ind w:right="410"/>
              <w:spacing w:after="0" w:line="182" w:lineRule="exact"/>
              <w:rPr>
                <w:sz w:val="20"/>
                <w:szCs w:val="20"/>
                <w:color w:val="auto"/>
              </w:rPr>
            </w:pPr>
            <w:r>
              <w:rPr>
                <w:rFonts w:ascii="Arial" w:cs="Arial" w:eastAsia="Arial" w:hAnsi="Arial"/>
                <w:sz w:val="18"/>
                <w:szCs w:val="18"/>
                <w:color w:val="auto"/>
                <w:w w:val="90"/>
              </w:rPr>
              <w:t>You would pay the following expenses on a $1,000 common stock investment,</w:t>
            </w:r>
          </w:p>
        </w:tc>
        <w:tc>
          <w:tcPr>
            <w:tcW w:w="5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640" w:type="dxa"/>
            <w:vAlign w:val="bottom"/>
          </w:tcPr>
          <w:p>
            <w:pPr>
              <w:spacing w:after="0"/>
              <w:rPr>
                <w:sz w:val="20"/>
                <w:szCs w:val="20"/>
                <w:color w:val="auto"/>
              </w:rPr>
            </w:pPr>
          </w:p>
        </w:tc>
        <w:tc>
          <w:tcPr>
            <w:tcW w:w="616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w w:val="93"/>
              </w:rPr>
              <w:t>assuming a 5% annual return from realized capital gains</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  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$ 348</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  658</w:t>
            </w:r>
          </w:p>
        </w:tc>
        <w:tc>
          <w:tcPr>
            <w:tcW w:w="8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6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800" w:type="dxa"/>
            <w:vAlign w:val="bottom"/>
            <w:gridSpan w:val="2"/>
          </w:tcPr>
          <w:p>
            <w:pPr>
              <w:jc w:val="right"/>
              <w:ind w:right="91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56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3"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180" w:right="160" w:firstLine="443"/>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left="180" w:right="120" w:firstLine="443"/>
        <w:spacing w:after="0" w:line="279" w:lineRule="auto"/>
        <w:rPr>
          <w:sz w:val="20"/>
          <w:szCs w:val="20"/>
          <w:color w:val="auto"/>
        </w:rPr>
      </w:pPr>
      <w:r>
        <w:rPr>
          <w:rFonts w:ascii="Arial" w:cs="Arial" w:eastAsia="Arial" w:hAnsi="Arial"/>
          <w:sz w:val="17"/>
          <w:szCs w:val="17"/>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 We derived the selected consolidated financial data for the three months ended March 31, 2014 and March 31, 2013 from our unaudited interim consolidated financial statements and related notes, which are included elsewhere in this prospectus.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0"/>
                <w:szCs w:val="10"/>
                <w:color w:val="auto"/>
              </w:rPr>
            </w:pPr>
          </w:p>
        </w:tc>
        <w:tc>
          <w:tcPr>
            <w:tcW w:w="6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w:t>
            </w:r>
          </w:p>
        </w:tc>
        <w:tc>
          <w:tcPr>
            <w:tcW w:w="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92.6</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Arial" w:cs="Arial" w:eastAsia="Arial" w:hAnsi="Arial"/>
                <w:sz w:val="18"/>
                <w:szCs w:val="18"/>
                <w:color w:val="auto"/>
                <w:w w:val="99"/>
              </w:rPr>
              <w:t>Net Investment Income (Loss) Before Income Taxes</w:t>
            </w: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4"/>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5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3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Change in Net Unrealized Gains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Realized Gains (Losses)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Earnings per common share—basic and diluted</w:t>
            </w:r>
            <w:r>
              <w:rPr>
                <w:rFonts w:ascii="Arial" w:cs="Arial" w:eastAsia="Arial" w:hAnsi="Arial"/>
                <w:sz w:val="15"/>
                <w:szCs w:val="15"/>
                <w:color w:val="auto"/>
                <w:w w:val="99"/>
              </w:rPr>
              <w:t>(1)(2)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Balance Sheet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5"/>
              </w:rPr>
              <w:t>28.8</w:t>
            </w: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143.7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1,251.5</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1,039.2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8"/>
              </w:rPr>
              <w:t>402.1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ind w:left="560"/>
              <w:spacing w:after="0"/>
              <w:rPr>
                <w:sz w:val="20"/>
                <w:szCs w:val="20"/>
                <w:color w:val="auto"/>
              </w:rPr>
            </w:pPr>
            <w:r>
              <w:rPr>
                <w:rFonts w:ascii="Arial" w:cs="Arial" w:eastAsia="Arial" w:hAnsi="Arial"/>
                <w:sz w:val="18"/>
                <w:szCs w:val="18"/>
                <w:color w:val="auto"/>
                <w:w w:val="88"/>
              </w:rPr>
              <w:t>446.7</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8"/>
              </w:rPr>
              <w:t>804.8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3"/>
          </w:tcPr>
          <w:p>
            <w:pPr>
              <w:ind w:left="560"/>
              <w:spacing w:after="0"/>
              <w:rPr>
                <w:sz w:val="20"/>
                <w:szCs w:val="20"/>
                <w:color w:val="auto"/>
              </w:rPr>
            </w:pPr>
            <w:r>
              <w:rPr>
                <w:rFonts w:ascii="Arial" w:cs="Arial" w:eastAsia="Arial" w:hAnsi="Arial"/>
                <w:sz w:val="18"/>
                <w:szCs w:val="18"/>
                <w:color w:val="auto"/>
                <w:w w:val="88"/>
              </w:rPr>
              <w:t>15.51</w:t>
            </w:r>
          </w:p>
        </w:tc>
        <w:tc>
          <w:tcPr>
            <w:tcW w:w="220" w:type="dxa"/>
            <w:vAlign w:val="bottom"/>
          </w:tcPr>
          <w:p>
            <w:pPr>
              <w:spacing w:after="0"/>
              <w:rPr>
                <w:sz w:val="20"/>
                <w:szCs w:val="20"/>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4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 except per share amounts)</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Data:</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Number of portfolio companies at period end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0.38</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 at fair value</w:t>
            </w:r>
            <w:r>
              <w:rPr>
                <w:rFonts w:ascii="Arial" w:cs="Arial" w:eastAsia="Arial" w:hAnsi="Arial"/>
                <w:sz w:val="15"/>
                <w:szCs w:val="15"/>
                <w:color w:val="auto"/>
              </w:rPr>
              <w:t>(4)</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producing securities at amortized cost</w:t>
            </w:r>
            <w:r>
              <w:rPr>
                <w:rFonts w:ascii="Arial" w:cs="Arial" w:eastAsia="Arial" w:hAnsi="Arial"/>
                <w:sz w:val="15"/>
                <w:szCs w:val="15"/>
                <w:color w:val="auto"/>
              </w:rPr>
              <w:t>(4)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 percentage of</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w w:val="97"/>
              </w:rPr>
              <w:t>Weighted average fair value of debt investments as a</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percentage of call price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94.9%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93.9%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96.6%</w:t>
            </w:r>
          </w:p>
        </w:tc>
      </w:tr>
    </w:tbl>
    <w:p>
      <w:pPr>
        <w:spacing w:after="0" w:line="229" w:lineRule="exact"/>
        <w:rPr>
          <w:sz w:val="20"/>
          <w:szCs w:val="20"/>
          <w:color w:val="auto"/>
        </w:rPr>
      </w:pPr>
    </w:p>
    <w:p>
      <w:pPr>
        <w:ind w:left="620" w:right="20" w:hanging="441"/>
        <w:spacing w:after="0" w:line="258"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this prospectus.</w:t>
      </w:r>
    </w:p>
    <w:p>
      <w:pPr>
        <w:spacing w:after="0" w:line="1" w:lineRule="exact"/>
        <w:rPr>
          <w:rFonts w:ascii="Arial" w:cs="Arial" w:eastAsia="Arial" w:hAnsi="Arial"/>
          <w:sz w:val="18"/>
          <w:szCs w:val="18"/>
          <w:color w:val="auto"/>
        </w:rPr>
      </w:pPr>
    </w:p>
    <w:p>
      <w:pPr>
        <w:ind w:left="620" w:hanging="441"/>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w:t>
      </w:r>
    </w:p>
    <w:p>
      <w:pPr>
        <w:spacing w:after="0" w:line="9" w:lineRule="exact"/>
        <w:rPr>
          <w:rFonts w:ascii="Arial" w:cs="Arial" w:eastAsia="Arial" w:hAnsi="Arial"/>
          <w:sz w:val="18"/>
          <w:szCs w:val="18"/>
          <w:color w:val="auto"/>
        </w:rPr>
      </w:pPr>
    </w:p>
    <w:p>
      <w:pPr>
        <w:ind w:left="620" w:right="60" w:hanging="441"/>
        <w:spacing w:after="0" w:line="265"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2013, December 31, 2012 and December 31,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$13.4 million, $8.9 million and $1.6 million for the years ended December 31, 2013, December 31, 2012 and December 31, 2011, respectively.</w:t>
      </w:r>
    </w:p>
    <w:p>
      <w:pPr>
        <w:spacing w:after="0" w:line="2" w:lineRule="exact"/>
        <w:rPr>
          <w:rFonts w:ascii="Arial" w:cs="Arial" w:eastAsia="Arial" w:hAnsi="Arial"/>
          <w:sz w:val="17"/>
          <w:szCs w:val="17"/>
          <w:color w:val="auto"/>
        </w:rPr>
      </w:pPr>
    </w:p>
    <w:p>
      <w:pPr>
        <w:ind w:left="620" w:right="80" w:hanging="441"/>
        <w:spacing w:after="0" w:line="269"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33,481</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12,230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21,242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4,106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25,348</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r>
      <w:tr>
        <w:trPr>
          <w:trHeight w:val="350"/>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10,576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8,123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16,993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12,817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13,106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21,056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16,259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15,461</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15.29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50"/>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7,277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6,637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4,711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10,892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1,568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3,169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12,460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13,581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5,786</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15.19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r>
              <w:rPr>
                <w:rFonts w:ascii="Arial" w:cs="Arial" w:eastAsia="Arial" w:hAnsi="Arial"/>
                <w:sz w:val="15"/>
                <w:szCs w:val="15"/>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14.92</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14.88</w:t>
            </w:r>
            <w:r>
              <w:rPr>
                <w:rFonts w:ascii="Arial" w:cs="Arial" w:eastAsia="Arial" w:hAnsi="Arial"/>
                <w:sz w:val="15"/>
                <w:szCs w:val="15"/>
                <w:color w:val="auto"/>
              </w:rPr>
              <w:t>(1)</w:t>
            </w:r>
          </w:p>
        </w:tc>
      </w:tr>
    </w:tbl>
    <w:p>
      <w:pPr>
        <w:spacing w:after="0" w:line="93" w:lineRule="exact"/>
        <w:rPr>
          <w:sz w:val="20"/>
          <w:szCs w:val="20"/>
          <w:color w:val="auto"/>
        </w:rPr>
      </w:pPr>
    </w:p>
    <w:p>
      <w:pPr>
        <w:ind w:left="620" w:right="260" w:hanging="441"/>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further described in Note 9 to our audited financial statements, the indicated amounts for periods prior to December 3, 2013 have been retroactively adjusted for the stock split which was effected in the form of a stock dividend.</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240" w:top="459" w:right="8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not more than 60 days’ written notice to the other party. The holders of a majority of our outstanding voting securities may also terminate the Investment Advisory Agreement without penalty on not more than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7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March 31, 2014,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As of March 31, 2014, we had $402.1 million of outstanding indebtedness, which would have an annualized interest cost of 2.5% under the terms of our credit facilities, excluding fees (such as fees on undrawn amounts and amortization of upfront fees), to the extent the amount remains outstanding. The interest rate on our Convertible Senior Notes, as adjusted to give effect to the interest rate swap, is three-month LIBOR plus 252.9 basis points. For us to cover these annualized interest payments on indebtedness, we must achieve annual returns on our investments of at least 0.9%. Since we generally pay interest at a floating rate on our credit facilities, an increase in interest rates will generally increase our borrowing costs. We expect that our annualized interest cost and returns required to cover interest will increase after we issue debt securities.</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90"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56"/>
        </w:trPr>
        <w:tc>
          <w:tcPr>
            <w:tcW w:w="66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-10%</w:t>
            </w:r>
          </w:p>
        </w:tc>
        <w:tc>
          <w:tcPr>
            <w:tcW w:w="5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tcPr>
          <w:p>
            <w:pPr>
              <w:spacing w:after="0"/>
              <w:rPr>
                <w:sz w:val="13"/>
                <w:szCs w:val="13"/>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stockholder</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-16.65%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-8.87%</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-1.10%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6.68%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14.45%</w:t>
            </w:r>
          </w:p>
        </w:tc>
      </w:tr>
    </w:tbl>
    <w:p>
      <w:pPr>
        <w:spacing w:after="0" w:line="229" w:lineRule="exact"/>
        <w:rPr>
          <w:sz w:val="20"/>
          <w:szCs w:val="20"/>
          <w:color w:val="auto"/>
        </w:rPr>
      </w:pPr>
    </w:p>
    <w:p>
      <w:pPr>
        <w:ind w:left="460" w:right="4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as of March 31, 2014, (i) $1,251.5 million in total assets, (ii) $402.1 million in outstanding indebtedness, (iii) $804.8 million in net assets and (iv) average cost of funds of 2.2%, under our credit facilities.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To maintain our status as a RIC for U.S. federal income tax purposes, we must distribute (or be treated as distributing) in each taxable year dividends for tax purposes equal to at least 90% of our investment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3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2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8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4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40" w:hanging="325"/>
        <w:spacing w:after="0" w:line="31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calendar years ended December 31, 2013 and 2012 and the three months ended March 31, 2014, we elected to retain a small portion of income and capital gains in order to provide us with additional liquidity,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recorded a net expense of $0.2 million, $0.1 million and $9 thousand,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Adviser can resign on not more than 60 days’ notice. We may not be able to find a suitable replacement within that time, resulting in a disruption in our operations and a loss of the benefits from our relationship with TSSP and TPG.</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not more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decrease our operating flexibility. In addition, failure to comply with the requirements imposed on BDCs by the 1940 Act could cause the SEC to bring an enforcement action against us.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securities less attractive to investors.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or the Sarbanes-Oxley Act. Although we expect to become a large accelerated filer at the end of this fiscal year, we currently are a “non-accelerated filer” under the Exchange Act, which has exempted us from compliance with these auditor attestation requirements. We cannot predict if investors will find our securities less attractive because we will rely on these exemptions. If some investors find our securities less attractive as a result, there may be a less active trading market for our securities and the price of our securities may be more volatile.</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After we cease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default rates on our investments. As a result of these and other possible factors, results for any period should not be relied upon as being indicative of performance in future periods.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2013, certain dividend distributions we make to certain non-U.S. stockholders will be subject to U.S. withholding tax.”</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impact our operations, cash flows or financial condition, impose additional costs on us, intensify the regulatory supervision of us or otherwise adversely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Also, to the extent uncertainty regarding any economic recovery in Europe continues to negatively impact consumer confidence and consumer credit factors, our business and results of operations could be significantly and adversely affected.</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When we make a first-lien loan, we generally take a security interest in the available assets of the portfolio company,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 When we invest in first-lien debt, second-lien debt or mezzanine debt, we may acquire equity securities, such as warrants,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To the extent we invest in preferred securities, we may incur particular risks, including:</w:t>
      </w:r>
    </w:p>
    <w:p>
      <w:pPr>
        <w:spacing w:after="0" w:line="131" w:lineRule="exact"/>
        <w:rPr>
          <w:sz w:val="20"/>
          <w:szCs w:val="20"/>
          <w:color w:val="auto"/>
        </w:rPr>
      </w:pPr>
    </w:p>
    <w:p>
      <w:pPr>
        <w:ind w:left="900" w:right="10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security holders may elect a number of directors to the issuer’s board; generally, once all the arrearages have been paid, the preferred security holders no longer have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4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29" w:lineRule="exact"/>
        <w:rPr>
          <w:rFonts w:ascii="Arial" w:cs="Arial" w:eastAsia="Arial" w:hAnsi="Arial"/>
          <w:sz w:val="16"/>
          <w:szCs w:val="16"/>
          <w:color w:val="auto"/>
        </w:rPr>
      </w:pPr>
    </w:p>
    <w:p>
      <w:pPr>
        <w:ind w:left="900" w:right="12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SPV Asset Facility, to form a CLO or other securitization vehicle in the future.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3"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79"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obligations of our borrowers and result in challenges to their financial performance and ability to repay their obligations.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 party credit risk. To the extent we have non-U.S. investments, particularly investments denominated in non-U.S. currencies, our hedging costs will increase.</w:t>
      </w:r>
    </w:p>
    <w:p>
      <w:pPr>
        <w:spacing w:after="0" w:line="1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54" w:lineRule="exact"/>
        <w:rPr>
          <w:sz w:val="20"/>
          <w:szCs w:val="20"/>
          <w:color w:val="auto"/>
        </w:rPr>
      </w:pPr>
    </w:p>
    <w:p>
      <w:pPr>
        <w:jc w:val="both"/>
        <w:ind w:right="220" w:firstLine="456"/>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we entered into an interest rate swap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hedging strategy and price movements in the portfolio positions being hedged may vary, as may the time period in which the hedge is effective relative to the time period of the related exposure.</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7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recent years, Congress has renewed the rules under which certain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29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Holders of our Common Stock—Potential Limitation with respect to Certain U.S. Stockholders on Deductions for Certain Fees and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6"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PIK.”</w:t>
      </w:r>
    </w:p>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you that a market for our common stock will be sustained or that the market price of shares of our common stock will not decline.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dilution for other stockholders. Stockholders that opt out of our dividend reinvestment plan will experience dilution in their ownership percentage of our common stock over time.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of our common stock in the aggregate during the period beginning April 24, 2014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w:t>
      </w:r>
    </w:p>
    <w:p>
      <w:pPr>
        <w:spacing w:after="0" w:line="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Section 21E(b)(2)(B) and (D) of the Exchange Act, the “safe harbor” provisions of the Private Securities Litigation Reform Act of 1995 do not apply to statements made in connection with any offering of securities pursuant to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any sale of common stock by the selling stockholders identified under “Selling Stockholders.”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above our net asset value per share. It is not possible to predict whether our common stock will trade at, above or below net asset value. See “Risk Factors—Risks Related to Offerings Pursuant to This Prospectus.”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for each fiscal quarter since our IPO, the net asset value per share of our common stock, the range of high and low closing sales prices of our common stock, the closing sales price as a premium (discount) to net asset value and the dividends or distributions declared by us. On July 24, 2014, the last reported closing sales price of our common stock on the NYSE was $20.48 per share, which represented a premium of approximately 32.0% to the net asset value per share reported by us as of March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Price Range</w:t>
            </w:r>
          </w:p>
        </w:tc>
        <w:tc>
          <w:tcPr>
            <w:tcW w:w="240" w:type="dxa"/>
            <w:vAlign w:val="bottom"/>
            <w:vMerge w:val="restart"/>
          </w:tcPr>
          <w:p>
            <w:pPr>
              <w:spacing w:after="0"/>
              <w:rPr>
                <w:sz w:val="14"/>
                <w:szCs w:val="14"/>
                <w:color w:val="auto"/>
              </w:rPr>
            </w:pPr>
          </w:p>
        </w:tc>
        <w:tc>
          <w:tcPr>
            <w:tcW w:w="132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High Sales</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Low Sales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320" w:type="dxa"/>
            <w:vAlign w:val="bottom"/>
          </w:tcPr>
          <w:p>
            <w:pPr>
              <w:jc w:val="center"/>
              <w:ind w:right="43"/>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Price to</w:t>
            </w:r>
          </w:p>
        </w:tc>
        <w:tc>
          <w:tcPr>
            <w:tcW w:w="220" w:type="dxa"/>
            <w:vAlign w:val="bottom"/>
          </w:tcPr>
          <w:p>
            <w:pPr>
              <w:spacing w:after="0"/>
              <w:rPr>
                <w:sz w:val="13"/>
                <w:szCs w:val="13"/>
                <w:color w:val="auto"/>
              </w:rPr>
            </w:pPr>
          </w:p>
        </w:tc>
        <w:tc>
          <w:tcPr>
            <w:tcW w:w="6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Asset</w:t>
            </w:r>
          </w:p>
        </w:tc>
        <w:tc>
          <w:tcPr>
            <w:tcW w:w="220" w:type="dxa"/>
            <w:vAlign w:val="bottom"/>
          </w:tcPr>
          <w:p>
            <w:pPr>
              <w:spacing w:after="0"/>
              <w:rPr>
                <w:sz w:val="10"/>
                <w:szCs w:val="10"/>
                <w:color w:val="auto"/>
              </w:rPr>
            </w:pPr>
          </w:p>
        </w:tc>
        <w:tc>
          <w:tcPr>
            <w:tcW w:w="7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High</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Low</w:t>
            </w:r>
          </w:p>
        </w:tc>
        <w:tc>
          <w:tcPr>
            <w:tcW w:w="132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w w:val="90"/>
              </w:rPr>
              <w:t>Asset</w:t>
            </w:r>
          </w:p>
        </w:tc>
        <w:tc>
          <w:tcPr>
            <w:tcW w:w="11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Net Asset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5"/>
              </w:rPr>
              <w:t>Per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(1)</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32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2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$15.51</w:t>
            </w:r>
          </w:p>
        </w:tc>
        <w:tc>
          <w:tcPr>
            <w:tcW w:w="2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$16.70</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$16.00</w:t>
            </w:r>
          </w:p>
        </w:tc>
        <w:tc>
          <w:tcPr>
            <w:tcW w:w="1320" w:type="dxa"/>
            <w:vAlign w:val="bottom"/>
          </w:tcPr>
          <w:p>
            <w:pPr>
              <w:jc w:val="right"/>
              <w:ind w:right="123"/>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$24.41</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$16.60</w:t>
            </w:r>
          </w:p>
        </w:tc>
        <w:tc>
          <w:tcPr>
            <w:tcW w:w="1320" w:type="dxa"/>
            <w:vAlign w:val="bottom"/>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4"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May 6, 2014, our Board declared a dividend of $0.38 per share for the quarter ending June 30, 2014 to stockholders of record as of June 30, 2014. The dividend is expected to be paid on or about July 31, 2014. We anticipate that this dividend will be paid from income generated primarily by interest earned on our investment portfolio.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2014 and the years ended December 31, 2013 and 2012:</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4"/>
              </w:rPr>
              <w:t>March 31, 2014</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0"/>
                <w:szCs w:val="10"/>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 Date</w:t>
            </w:r>
          </w:p>
        </w:tc>
        <w:tc>
          <w:tcPr>
            <w:tcW w:w="6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March 31, 2014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3"/>
              </w:rPr>
              <w:t>April 30, 2014</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51</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5"/>
              </w:rPr>
              <w:t>December 31, 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w w:val="98"/>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12, 2013</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2013</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July 31, 2013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September 30, 2013</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October 31, 2013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December 31, 2013</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30, 2014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for dates prior to December 3, 2013 have been retroactively adjusted for the stock split which was effected in the form of a stock dividend.</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5"/>
              </w:rPr>
              <w:t>December 31, 2012</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w w:val="98"/>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20, 2012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2012</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August 3, 2012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September 30, 2012</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October 30, 2012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5"/>
                <w:szCs w:val="15"/>
                <w:color w:val="auto"/>
              </w:rPr>
              <w:t>(1)</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December 31, 2012</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31, 2013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23"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have been retroactively adjusted for the stock split which was effected in the form of a stock dividend.</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dividends declared during the three months ended March 31, 2014 were derived from net investment income determined on a tax basis. The dividends declared during the years ended December 31, 2013 and December 31, 2012, were derived from net investment income and long-term capital gains, determined on a tax basis.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and the three months ended March 31, 2014 for purposes of additional liquidity and we recorded a net expense of</w:t>
      </w:r>
    </w:p>
    <w:p>
      <w:pPr>
        <w:spacing w:after="0" w:line="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$0.2 million, $0.1 million and $9 thousand,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March 2014, we completed our IPO, issuing 7,000,000 shares at $16.00 per share, and our concurrent private placement, issuing 3,124,984 shares at $16.00 per share. Net of underwriting fees and offering costs, we received total cash proceeds of $151.6 million.</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our effective interest rate on the Convertible Senior Notes is three-month LIBOR plus 252.9 basis points.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2014, based on fair value, our borrowers had weighted average annual revenue of $169 million and weighted average annual EBITDA of $33 million.</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our average investment size in our portfolio companies was $40 million.</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no industry represented more than 11.6% of our total investment portfolio.</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As of March 31, 2014,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99.4% of our portfolio at fair value was invested in secured debt, including 82.4%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medium term, between two to six years after origination. For the three months ended March 31, 2014, the weighted average term on new investment commitments in new portfolio companies was 4.7 years.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Risk Mitigation</w:t>
      </w:r>
      <w:r>
        <w:rPr>
          <w:rFonts w:ascii="Arial" w:cs="Arial" w:eastAsia="Arial" w:hAnsi="Arial"/>
          <w:sz w:val="16"/>
          <w:szCs w:val="16"/>
          <w:color w:val="auto"/>
        </w:rPr>
        <w:t>. We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As of March 31, 2014, we had call protection on 95.0% of our debt investments, with weighted average call prices of 107.0% for the first year, 103.3% for the second year and 101.3% for the third year, in each case from the date of the initial investment. As of March 31, 2014, 98.6% of our debt investments bore interest at floating rates, subject to interest rate floors, which we believe helps act as a portfolio-wide hedge against inflation.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services to us are not impaired. Under the terms of the Investment Advisory Agreement, we will pay the Adviser the Management Fee and may also pay the Incentive Fee.</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March 31, 2014, 98.6% bear interest at a floating rate, subject to interest rate floors. Interest on debt securities is generally payable quarterly or semiannually. Some of our investments provide for deferred interest payments or PIK interest. For the three months ended March 31, 2014, 2.0% of our total investment income was comprised of PIK interest income.</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2"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our SPV Asset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and Investment Activity</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Based on fair value as of March 31, 2014, our portfolio consisted of 82.4% first-lien debt investments, 17.0% second-lien debt investments, 0.4% mezzanine debt investments, and 0.2% equity investments.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Based on fair value as of December 31, 2013, our portfolio consisted of 86.3% first-lien debt investments, 13.5% second-lien debt investments, and 0.2% equity investments.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March 31, 2014 and December 31, 2013, our weighted average total yield of debt and income-producing securities at fair value (which includes interest income and amortization of fees and discounts) was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10.2% and 10.4%, respectively, and our weighted average total yield of debt and income-producing securities at amortized cost (which includes interest income and amortization of fees and discounts) was 10.4% and 10.6%, respectively.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March 31, 2014 and December 31, 2013, we had investments in 30 and 27 portfolio companies, respectively, with an aggregate fair value of $1,195.5 million and $1,016.5 million, respectively.</w:t>
      </w:r>
    </w:p>
    <w:p>
      <w:pPr>
        <w:spacing w:after="0" w:line="170"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During the three months ended March 31, 2014, we made new investment commitments of $314.6 million, $303.8 million in six new portfolio companies and $10.8 million in two existing portfolio companies. During this period, we had $101.2 million aggregate principal amount in exits and repayments, resulting in net portfolio growth of $187.0 million aggregate principal amount.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three months ended March 31, 2013, we made new investment commitments of $58.5 million, $58.0 million in two new portfolio companies and $0.5 million in one existing portfolio company. During this period, we had $84.5 million aggregate principal amount in exits and repayments, resulting in a net portfolio decrease of $26.0 million aggregate principal amount.</w:t>
      </w:r>
    </w:p>
    <w:p>
      <w:pPr>
        <w:spacing w:after="0" w:line="18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During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 During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5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investment activity for the three months ended March 31, 2014 and for the years ended December 31, 2013 and 2012 is presented below (information presented herein is at par value unless otherwise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90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369.6</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92.5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897.5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291.3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218.0</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48.0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497.9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101.2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81.5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4420" w:type="dxa"/>
            <w:vAlign w:val="bottom"/>
          </w:tcPr>
          <w:p>
            <w:pPr>
              <w:ind w:left="7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420" w:type="dxa"/>
            <w:vAlign w:val="bottom"/>
          </w:tcPr>
          <w:p>
            <w:pPr>
              <w:spacing w:after="0"/>
              <w:rPr>
                <w:sz w:val="24"/>
                <w:szCs w:val="24"/>
                <w:color w:val="auto"/>
              </w:rPr>
            </w:pPr>
          </w:p>
        </w:tc>
        <w:tc>
          <w:tcPr>
            <w:tcW w:w="1020" w:type="dxa"/>
            <w:vAlign w:val="bottom"/>
            <w:gridSpan w:val="2"/>
          </w:tcPr>
          <w:p>
            <w:pPr>
              <w:jc w:val="right"/>
              <w:ind w:right="16"/>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900"/>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900" w:type="dxa"/>
            <w:vAlign w:val="bottom"/>
          </w:tcPr>
          <w:p>
            <w:pPr>
              <w:spacing w:after="0"/>
              <w:rPr>
                <w:sz w:val="10"/>
                <w:szCs w:val="10"/>
                <w:color w:val="auto"/>
              </w:rPr>
            </w:pPr>
          </w:p>
        </w:tc>
        <w:tc>
          <w:tcPr>
            <w:tcW w:w="1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106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9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Number of new investment commitments in new</w:t>
            </w:r>
          </w:p>
        </w:tc>
        <w:tc>
          <w:tcPr>
            <w:tcW w:w="4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portfolio companies</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new portfolio companies</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   50.6</w:t>
            </w: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   29.0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88"/>
              <w:spacing w:after="0"/>
              <w:rPr>
                <w:sz w:val="20"/>
                <w:szCs w:val="20"/>
                <w:color w:val="auto"/>
              </w:rPr>
            </w:pPr>
            <w:r>
              <w:rPr>
                <w:rFonts w:ascii="Arial" w:cs="Arial" w:eastAsia="Arial" w:hAnsi="Arial"/>
                <w:sz w:val="18"/>
                <w:szCs w:val="18"/>
                <w:color w:val="auto"/>
              </w:rPr>
              <w:t>38.3</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 in new portfolio companies</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 years)</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4.7</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Percentage of new debt investment commitments</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at floating rates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98.5%</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Percentage of new debt investment commitments</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at fixed rates</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1.5%</w:t>
            </w:r>
          </w:p>
        </w:tc>
        <w:tc>
          <w:tcPr>
            <w:tcW w:w="1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Weighted average interest rate of new investment</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9.1%</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floating rate investment commitments</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on investments</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sold or paid down</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9.4%</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December 31, 2013 and December 31, 2012, our investments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 2013</w:t>
            </w: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19"/>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Fair</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320" w:type="dxa"/>
            <w:vAlign w:val="bottom"/>
          </w:tcPr>
          <w:p>
            <w:pPr>
              <w:spacing w:after="0"/>
              <w:rPr>
                <w:sz w:val="10"/>
                <w:szCs w:val="10"/>
                <w:color w:val="auto"/>
              </w:rPr>
            </w:pPr>
          </w:p>
        </w:tc>
        <w:tc>
          <w:tcPr>
            <w:tcW w:w="64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131.1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Equity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1,195.5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1,172.4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1,016.5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997.3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amortized cost of our performing and non-accrual investments as of March 31, 2014, December 31,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March 31, 2014</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2013</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00" w:type="dxa"/>
            <w:vAlign w:val="bottom"/>
          </w:tcPr>
          <w:p>
            <w:pPr>
              <w:spacing w:after="0"/>
              <w:rPr>
                <w:sz w:val="10"/>
                <w:szCs w:val="10"/>
                <w:color w:val="auto"/>
              </w:rPr>
            </w:pPr>
          </w:p>
        </w:tc>
        <w:tc>
          <w:tcPr>
            <w:tcW w:w="11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580" w:type="dxa"/>
            <w:vAlign w:val="bottom"/>
            <w:vMerge w:val="restart"/>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3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Amortized</w:t>
            </w:r>
          </w:p>
        </w:tc>
        <w:tc>
          <w:tcPr>
            <w:tcW w:w="46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Percentage</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vMerge w:val="continue"/>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$ 1,172.4</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3"/>
              </w:rPr>
              <w:t>997.3</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5"/>
                <w:szCs w:val="15"/>
                <w:color w:val="auto"/>
              </w:rPr>
              <w:t>(1)</w:t>
            </w:r>
          </w:p>
        </w:tc>
        <w:tc>
          <w:tcPr>
            <w:tcW w:w="18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center"/>
              <w:ind w:left="57"/>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9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87"/>
              </w:rPr>
              <w:t>$ 1,172.4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997.3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60" w:hanging="452"/>
        <w:spacing w:after="0" w:line="30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weighted average yields and interest rates of our debt investments at fair value as of March 31, 2014, December 31, 2013 and December 31, 2012 were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5"/>
              </w:rPr>
              <w:t>March 31,</w:t>
            </w:r>
          </w:p>
        </w:tc>
        <w:tc>
          <w:tcPr>
            <w:tcW w:w="18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82"/>
        </w:trPr>
        <w:tc>
          <w:tcPr>
            <w:tcW w:w="5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10.2%</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02"/>
        </w:trPr>
        <w:tc>
          <w:tcPr>
            <w:tcW w:w="502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 income-</w:t>
            </w: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9.8%</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 floating rate</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8.5%</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0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97"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328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4"/>
                <w:szCs w:val="14"/>
                <w:color w:val="auto"/>
              </w:rPr>
            </w:pPr>
          </w:p>
        </w:tc>
        <w:tc>
          <w:tcPr>
            <w:tcW w:w="26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5"/>
        </w:trPr>
        <w:tc>
          <w:tcPr>
            <w:tcW w:w="4360" w:type="dxa"/>
            <w:vAlign w:val="bottom"/>
            <w:gridSpan w:val="2"/>
            <w:vMerge w:val="continue"/>
          </w:tcPr>
          <w:p>
            <w:pPr>
              <w:spacing w:after="0"/>
              <w:rPr>
                <w:sz w:val="10"/>
                <w:szCs w:val="10"/>
                <w:color w:val="auto"/>
              </w:rPr>
            </w:pPr>
          </w:p>
        </w:tc>
        <w:tc>
          <w:tcPr>
            <w:tcW w:w="1720" w:type="dxa"/>
            <w:vAlign w:val="bottom"/>
            <w:tcBorders>
              <w:top w:val="single" w:sz="8" w:color="auto"/>
            </w:tcBorders>
            <w:gridSpan w:val="4"/>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8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5"/>
              </w:rPr>
              <w:t>Percentage of</w:t>
            </w:r>
          </w:p>
        </w:tc>
        <w:tc>
          <w:tcPr>
            <w:tcW w:w="840" w:type="dxa"/>
            <w:vAlign w:val="bottom"/>
          </w:tcPr>
          <w:p>
            <w:pPr>
              <w:spacing w:after="0"/>
              <w:rPr>
                <w:sz w:val="10"/>
                <w:szCs w:val="10"/>
                <w:color w:val="auto"/>
              </w:rPr>
            </w:pPr>
          </w:p>
        </w:tc>
        <w:tc>
          <w:tcPr>
            <w:tcW w:w="172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8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62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7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 in millions)</w:t>
            </w:r>
          </w:p>
        </w:tc>
        <w:tc>
          <w:tcPr>
            <w:tcW w:w="820" w:type="dxa"/>
            <w:vAlign w:val="bottom"/>
            <w:tcBorders>
              <w:bottom w:val="single" w:sz="8" w:color="CCEEFF"/>
            </w:tcBorders>
            <w:gridSpan w:val="2"/>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8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8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80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37.4</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8"/>
                <w:szCs w:val="18"/>
                <w:color w:val="auto"/>
              </w:rPr>
              <w:t>40.2</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1,195.</w:t>
            </w:r>
            <w:r>
              <w:rPr>
                <w:rFonts w:ascii="Arial" w:cs="Arial" w:eastAsia="Arial" w:hAnsi="Arial"/>
                <w:sz w:val="18"/>
                <w:szCs w:val="18"/>
                <w:u w:val="single" w:color="auto"/>
                <w:color w:val="auto"/>
              </w:rPr>
              <w:t>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w:t>
            </w:r>
            <w:r>
              <w:rPr>
                <w:rFonts w:ascii="Arial" w:cs="Arial" w:eastAsia="Arial" w:hAnsi="Arial"/>
                <w:sz w:val="18"/>
                <w:szCs w:val="18"/>
                <w:u w:val="single" w:color="auto"/>
                <w:color w:val="auto"/>
              </w:rPr>
              <w:t>5</w:t>
            </w:r>
          </w:p>
        </w:tc>
        <w:tc>
          <w:tcPr>
            <w:tcW w:w="8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results for the three months ended March 31, 2014 and 2013 and the years ended December 31, 2013, and 2012 were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$92.6</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expenses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34.9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Income taxes, including excise taxes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0.2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realized gains (losses) on investments, including foreign exchange forward contracts</w:t>
            </w:r>
            <w:r>
              <w:rPr>
                <w:rFonts w:ascii="Arial" w:cs="Arial" w:eastAsia="Arial" w:hAnsi="Arial"/>
                <w:sz w:val="15"/>
                <w:szCs w:val="15"/>
                <w:color w:val="auto"/>
              </w:rPr>
              <w:t>(1)</w:t>
            </w:r>
          </w:p>
        </w:tc>
        <w:tc>
          <w:tcPr>
            <w:tcW w:w="820" w:type="dxa"/>
            <w:vAlign w:val="bottom"/>
            <w:gridSpan w:val="4"/>
          </w:tcPr>
          <w:p>
            <w:pPr>
              <w:jc w:val="right"/>
              <w:ind w:right="268"/>
              <w:spacing w:after="0"/>
              <w:rPr>
                <w:sz w:val="20"/>
                <w:szCs w:val="20"/>
                <w:color w:val="auto"/>
              </w:rPr>
            </w:pPr>
            <w:r>
              <w:rPr>
                <w:rFonts w:ascii="Arial" w:cs="Arial" w:eastAsia="Arial" w:hAnsi="Arial"/>
                <w:sz w:val="18"/>
                <w:szCs w:val="18"/>
                <w:color w:val="auto"/>
              </w:rPr>
              <w:t>(1.6)</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5"/>
                <w:szCs w:val="15"/>
                <w:color w:val="auto"/>
              </w:rPr>
              <w:t>(1)</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67.0</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402"/>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$90.4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Dividend income</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92.6</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$20.6 million for the three months ended March 31, 2013 to $31.1 million for the three months ended March 31, 2014, primarily due to the increase in the size of our portfolio. The average size of our total investment portfolio increased from $640 million during the three months ended March 31, 2013 to $1.1 billion during the three months ended</w:t>
      </w:r>
    </w:p>
    <w:p>
      <w:pPr>
        <w:spacing w:after="0" w:line="290" w:lineRule="auto"/>
        <w:rPr>
          <w:sz w:val="20"/>
          <w:szCs w:val="20"/>
          <w:color w:val="auto"/>
        </w:rPr>
      </w:pPr>
      <w:r>
        <w:rPr>
          <w:rFonts w:ascii="Arial" w:cs="Arial" w:eastAsia="Arial" w:hAnsi="Arial"/>
          <w:sz w:val="16"/>
          <w:szCs w:val="16"/>
          <w:color w:val="auto"/>
        </w:rPr>
        <w:t>March 31, 2014. In addition, accelerated amortization of upfront fees primarily from unscheduled paydowns decreased from $1.6 million for the three months ended March 31, 2013 to $1.2 million for the three months ended March 31, 2014; and prepayment fees decreased from $1.4 million for the three months ended March 31, 2013 to $1.0 million for the three months ended March 31, 2014. The accelerated amortization and prepayment fees primarily resulted from full paydowns on two portfolio investments during the three months ended March 31, 2013 and from full paydowns on three portfolio investments during the three months ended March 31, 2014. Other income increased from $0.2 million for the three months ended March 31, 2013 to $2.4 million for the three months ended March 31, 2014, primarily due to higher syndication, amendment and agency fees earned during the first quarter of 2014.</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months ended March 31, 2014 and the years ended December 31, 2013 and 2012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4"/>
                <w:szCs w:val="14"/>
                <w:color w:val="auto"/>
              </w:rPr>
            </w:pPr>
          </w:p>
        </w:tc>
        <w:tc>
          <w:tcPr>
            <w:tcW w:w="144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1.5</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4"/>
              </w:rPr>
              <w:t>Incentive fees related to Pre-incentive fee net investment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Directors’ fees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12.2</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34.9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0" w:type="dxa"/>
            <w:vAlign w:val="bottom"/>
            <w:vMerge w:val="restart"/>
          </w:tcPr>
          <w:p>
            <w:pPr>
              <w:jc w:val="right"/>
              <w:ind w:right="189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Interest, including other debt financing expenses, increased from $2.3 million for the three months ended March 31, 2013 to $3.8 million for the three months ended March 31, 2014. This increase was primarily due to an increase in the average debt outstanding from $188 million for the three months ended March 31, 2013 to $471 million for the three months ended March 31, 2014. The average stated interest rate on our debt outstanding decreased from 2.8% for the three months ended March 31, 2013 to 2.5% for the three months ended March 31, 2014.</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Management Fees (net of waivers) increased from $1.5 million for the three months ended March 31, 2013 to $1.7 million for the three months ended March 31, 2014. Management Fees increased from $3.0 million for the three months ended March 31, 2013 to $4.2 million for the three months ended March 31, 2014 due to the increase in total assets, which increased from an average of $819 million for the three months ended March 31, 2013 to an average of $1.1 billion for the three months ended March 31, 2014. Management Fees waived increased from $1.5 million for the three months ended March 31, 2013 to $2.5 million for the three months ended March 31, 2014 due to an increase in total assets.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w:t>
      </w:r>
    </w:p>
    <w:p>
      <w:pPr>
        <w:spacing w:after="0" w:line="18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 See “Management and Other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Incentive Fees related to pre-Incentive Fee net investment income increased from $2.4 million for the three months ended March 31, 2013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$3.8 million for the three months ended March 31, 2014. This increase resulted from the increase in the size of the portfolio and related increase in pre-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Incentive Fee net investment income. Incentive Fees related to capital gains increased from $0.3 million for the three months ended March 31, 2013 to</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$0.6 million for the three months ended March 31, 2014 due to changes in unrealized gains and losses on our investments, realized gains on our investments and realized losses on foreign currency forward contracts.</w:t>
      </w:r>
    </w:p>
    <w:p>
      <w:pPr>
        <w:spacing w:after="0" w:line="18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 and Other General and Administrative Expenses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Professional fees increased from $0.6 million for the three months ended March 31, 2013 to $1.2 million for the three months ended March 31, 2014 and other general and administrative fees increased from $0.5 million for the three months ended March 31, 2013 to $1.0 million for the three months ended March 31, 2014, both due to an increase in costs associated with servicing a growing investment portfolio.</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each of the three months ended March 31, 2014 and 2013, we recorded a net expense of $9 thousand and $4 thousand, respectively, for U.S. federal excise tax. For each of the calendar years ended December 31, 2013 and 2012, we recorded a net expense of $0.2 million and $0.1 million, respectively, for U.S. federal excise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11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During the three months ended March 31, 2014, we had $1.6 million of net realized losses on foreign currency forward contracts. During the three months ended March 31, 2013, we had $0.4 million of net realized gains.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had $1.1 million of net realized gains, including realized gains on foreign currency forward contracts.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2012, we had $4.4 million of net realized gains.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realized gains and losses on investments and foreign currency forward contracts during the three months ended March 31, 2014 and 2013 and the years ended December 31, 2013 and 2012 consisted of the following (certain gains (losses) have been rounded to zero):</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60" w:type="dxa"/>
            <w:vAlign w:val="bottom"/>
          </w:tcPr>
          <w:p>
            <w:pPr>
              <w:spacing w:after="0"/>
              <w:rPr>
                <w:sz w:val="14"/>
                <w:szCs w:val="14"/>
                <w:color w:val="auto"/>
              </w:rPr>
            </w:pPr>
          </w:p>
        </w:tc>
        <w:tc>
          <w:tcPr>
            <w:tcW w:w="13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800" w:type="dxa"/>
            <w:vAlign w:val="bottom"/>
            <w:gridSpan w:val="2"/>
          </w:tcPr>
          <w:p>
            <w:pPr>
              <w:jc w:val="center"/>
              <w:ind w:left="274"/>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3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152"/>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Attachmate</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5"/>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AFS Technologies,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The Newark Group,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SumTotal</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$ 1.1</w:t>
            </w:r>
          </w:p>
        </w:tc>
        <w:tc>
          <w:tcPr>
            <w:tcW w:w="7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$ 4.4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Realized Gains (losses)</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w:t>
            </w:r>
          </w:p>
        </w:tc>
        <w:tc>
          <w:tcPr>
            <w:tcW w:w="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$ 0.4</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$ 1.1</w:t>
            </w:r>
          </w:p>
        </w:tc>
        <w:tc>
          <w:tcPr>
            <w:tcW w:w="7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$ 4.4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Since we began investing in 2011 through March 31, 2014, our exited investments have resulted in an aggregate cash flow realized gross internal rate of return to us of 15.3% (based on cash invested of $459 million and total proceeds from these exited investments of $528 million). Seventy-eight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5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assumed to occur at time zero, and all cash flows are deemed to occur on the fifteenth of each month in which they occur.</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 “—Critical Accounting Policies— Investments at Fair Value.”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During the three months ended March 31, 2014 and 2013 and the years ended December 31, 2013 and 2012, the net change in unrealized gains and losses on our investment portfolio, including losses on foreign currency transactions, consisted of the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4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unrealized gains on investments</w:t>
            </w:r>
          </w:p>
        </w:tc>
        <w:tc>
          <w:tcPr>
            <w:tcW w:w="1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10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on investments</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Foreign currency borrowings</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on foreign currency transactions</w:t>
            </w:r>
          </w:p>
        </w:tc>
        <w:tc>
          <w:tcPr>
            <w:tcW w:w="10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$ 5.7</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the three months ended March 31, 2014, we had $8.6 million in unrealized appreciation on investments which was partially offset by $4.7 million in unrealized depreciation on investments. For the three months ended March 31, 2013, we had $4.7 million in unrealized appreciation on investments which was partially offset by $2.8 million in unrealized depreciation on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 the year ended December 31, 2013, we had $13.4 million in unrealized appreciation on investments, which was partially offset by $3.8 million in unrealized depreciation, excluding unrealized losses on foreign currency forward contracts. For the year ended December 31, 2012, we had $9.2 million in unrealized appreciation, which was partially offset by $2.0 million in unrealized depreciation.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During the three months ended March 31, 2014, we settled our foreign currency forward contracts related to our investments in Jeeves Information Systems AB and Soho House Bond Ltd., which in total generated a realized loss of $1.6 million. We did not enter into new foreign currency forward contracts related to these investments nor did we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5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capital commitments of our existing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2014 and December 31, 2013, our asset coverage ratio was 300.1% and 232.9%, respectively.</w:t>
      </w:r>
    </w:p>
    <w:p>
      <w:pPr>
        <w:spacing w:after="0" w:line="18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Cash and cash equivalents as of March 31, 2014, taken together with cash available under our credit facilities, is expected to be sufficient for our investing activities and to conduct our operations in the near term. On February 27, 2014, we terminated the Subscription Credit Facility, effective March 4, 2014. The outstanding balance under the Subscription Credit Facility was paid down prior to terminating the facility.</w:t>
      </w:r>
    </w:p>
    <w:p>
      <w:pPr>
        <w:spacing w:after="0" w:line="166"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As of March 31, 2014, we had $28.8 million in cash and cash equivalents, an increase of $25.3 million from December 31, 2013. The increase was primarily attributable to drawing cash from our credit facility for two existing investments for which we funded upsizes for immediately after the period ended, as well as cash received on March 31, 2014 from amortization and interest payments and a partial sell down for one investment. During the three months ended March 31, 2014, we used $151.5 million in cash for operating activities, primarily as a result of funding of portfolio investments of $325.3 million. This was partially offset by proceeds from investments of $50.0 million, repayments on investments of $103.6 million, an increase in net assets resulting from operations of $25.3 million and other operating activity of $5.1 million. Lastly, cash provided by financing activities was $176.9 million during the period, primarily due to proceeds from issuance of common stock of $216.6 million partially offset by net repayments on debt of $29.6 million, debt issuance costs of $3.1 million and dividends paid of $7.0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3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March 31, 2014, we had $8.5 million of restricted cash in our wholly owned subsidiary TPG SL SPV, an increase of $2.2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1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March 31,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March 31, 2014 no longer remain in effect.</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three months ended March 31, 2014 and 2013, we received fundings from drawdown notices to our investors relating to the issuance of 4,234,501 shares and 2,079,224 shares, respectively, of our common stock for aggregate proceeds of $65 million and $32 million, respectively. During the years ended December 31, 2013 and 2012, we received fundings from drawdown notices to our investors relating to the issuance of 3,713,053 shares and 19,199,421 shares, respectively, of our common stock for aggregate proceeds of $57 million and $288 million, respectively. Proceeds from the issuances were used in investing activities and for other general corporate purposes.</w:t>
      </w:r>
    </w:p>
    <w:p>
      <w:pPr>
        <w:spacing w:after="0" w:line="18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addition to the drawdowns noted above, during the three months ended March 31, 2014 and the years ended December 31, 2013 and 2012, we issued 502,200 shares, 1,730,042 shares and 613,020 shares of our common stock, respectively, to shareholders who have not opted out of our dividend reinvestment plan for proceeds of $7.8 million, $26.4 million and $9.2 million, respectively.</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May 1, 2014, pursuant to our dividend reinvestment plan, we issued 410,183 shares in connection with the dividend that was paid on April 30, 2014 to shareholders who opted out of the dividend reinvestment plan. This dividend was declared on March 26, 2014 for shareholders of record on March 31,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2014, December 31, 2013 and December 31,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$175.0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4"/>
              </w:rPr>
              <w:t>153.2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480" w:type="dxa"/>
            <w:vAlign w:val="bottom"/>
          </w:tcPr>
          <w:p>
            <w:pPr>
              <w:jc w:val="right"/>
              <w:spacing w:after="0"/>
              <w:rPr>
                <w:sz w:val="20"/>
                <w:szCs w:val="20"/>
                <w:color w:val="auto"/>
              </w:rPr>
            </w:pPr>
            <w:r>
              <w:rPr>
                <w:rFonts w:ascii="Arial" w:cs="Arial" w:eastAsia="Arial" w:hAnsi="Arial"/>
                <w:sz w:val="18"/>
                <w:szCs w:val="18"/>
                <w:color w:val="auto"/>
              </w:rPr>
              <w:t>581.3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w w:val="88"/>
              </w:rPr>
              <w:t>248.9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7"/>
        </w:trPr>
        <w:tc>
          <w:tcPr>
            <w:tcW w:w="59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Debt Obligations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756.3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402.1</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432.3</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December 31, 2012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550.0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331.</w:t>
            </w:r>
            <w:r>
              <w:rPr>
                <w:rFonts w:ascii="Arial" w:cs="Arial" w:eastAsia="Arial" w:hAnsi="Arial"/>
                <w:sz w:val="18"/>
                <w:szCs w:val="18"/>
                <w:u w:val="single" w:color="auto"/>
                <w:color w:val="auto"/>
              </w:rPr>
              <w:t>8</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January 21, 2014, we amended the SPV Asset Facility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to increase the size of the facility to $581.3 million.</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of March 31, 2014, December 31, 2013 and December 31, 2012,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Net proceeds received from the closing of our IPO and concurrent private placement were used to pay down borrowings on the Revolving Credit Facility.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May 30, 2014, we exercised our right under the accordion feature and increased the size of the Revolving Credit Facility to $781.3 million. The Revolving Credit Facility continues to include the accordion feature, which would allow us, under certain circumstances, to increase the size of the Revolving Credit Facility further to a maximum of $956.3 million.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Net proceeds received from the offering of our Convertible Senior Notes on June 10, 2014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borrow amounts in U.S. dollars or certain other permitted currencies. In connection with settling our foreign currency forward contracts related to our investments in Jeeves Information Systems AB and Soho House Bond Ltd., during the three months ended March 31, 2014 we borrowed in foreign currencies from our Revolving Credit Facility. As of March 31, 2014, we have outstanding debt denominated in Swedish Krona of 218,379,000 and outstanding debt denominated in Pound Sterling of 7,000,000 on our Revolving Credit Facility, included in the Borrowings Outstanding amount in the table above.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Revolving Credit Facility is guaranteed by TC Lending, LLC and certain of our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SPV Asset Facility</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9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six-month period (pursuant to an extension right exercisable by the borrower) so that the reinvestment period will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 TPG SL SPV had $8.5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of TPG SL SPV are considered our borrowings for purposes of complying with the asset coverage requirements of the 1940 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Credit Facility</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The Convertible Senior Notes were issued under an indenture between us and Wells Fargo Bank, National Association, as trustee, under which 25% of the principal amount of the Convertible Senior Notes is generally necessary to require the trustee to take action.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the effective interest rate on the Convertible Senior Notes is three-month LIBOR plus 252.9 basis points.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2014 and December 31, 2013 and 2012, we had the following commitments to fund investments: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18.4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These unfunded commitments terminated upon the completion of our IPO, and hence as of March 31, 2014 no longer remain in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2014, December 31, 2013 and 2012, we had outstanding commitments to fund investments totaling $55.7 million, $55.0 million and $32.0 million, respectively.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500" w:firstLine="456"/>
        <w:spacing w:after="0" w:line="273"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2014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4"/>
              </w:rPr>
              <w:t>Payments Due by Period</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2"/>
              </w:rPr>
              <w:t>Less than</w:t>
            </w:r>
          </w:p>
        </w:tc>
        <w:tc>
          <w:tcPr>
            <w:tcW w:w="92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3-</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4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(1)</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248.9</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248.9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36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June 10, 2014, we issued in a private offering $115 million aggregate principal amount of the Convertible Senior Notes due 2019. Net proceeds received from the offering were used to pay down borrowings on the Revolving Credit Facility.</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summary of our contractual payment obligations as of December 31, 2013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2"/>
              </w:rPr>
              <w:t>Payments Due by Period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0"/>
                <w:szCs w:val="10"/>
                <w:color w:val="auto"/>
              </w:rPr>
            </w:pPr>
          </w:p>
        </w:tc>
        <w:tc>
          <w:tcPr>
            <w:tcW w:w="3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1-</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3-</w:t>
            </w:r>
          </w:p>
        </w:tc>
        <w:tc>
          <w:tcPr>
            <w:tcW w:w="500" w:type="dxa"/>
            <w:vAlign w:val="bottom"/>
          </w:tcPr>
          <w:p>
            <w:pPr>
              <w:spacing w:after="0"/>
              <w:rPr>
                <w:sz w:val="10"/>
                <w:szCs w:val="10"/>
                <w:color w:val="auto"/>
              </w:rPr>
            </w:pPr>
          </w:p>
        </w:tc>
        <w:tc>
          <w:tcPr>
            <w:tcW w:w="4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5 years</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77.8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322.5</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322.5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2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under the Subscription Credit Facility was paid down prior to terminating the facility.</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subject to financial market risks, including valuation risk, interest rate risk and currency risk. See “—Results of Operations—Hedging.”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financial statements included elsewhere in this prospectus for more details on estimates and judgments made by us in connection with the valuation of our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March 31, 2014, 98.6% of our debt investments bore interest at floating rates, subject to interest rate floors. Our credit facilities also bear interest at floating rates.</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Assuming that our consolidated balance sheet as of March 31,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Interest</w:t>
            </w:r>
          </w:p>
        </w:tc>
        <w:tc>
          <w:tcPr>
            <w:tcW w:w="3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Net</w:t>
            </w:r>
          </w:p>
        </w:tc>
      </w:tr>
      <w:tr>
        <w:trPr>
          <w:trHeight w:val="176"/>
        </w:trPr>
        <w:tc>
          <w:tcPr>
            <w:tcW w:w="66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3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23.2</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Up 200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11.4</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Down 25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5620" w:right="1480" w:hanging="5045"/>
        <w:spacing w:after="0" w:line="449" w:lineRule="auto"/>
        <w:tabs>
          <w:tab w:leader="none" w:pos="89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 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See Note 6 to our audited consolidated financial statements included elsewhere in this prospectus for more information on the fair value of our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ind w:right="440"/>
        <w:spacing w:after="0" w:line="261" w:lineRule="auto"/>
        <w:rPr>
          <w:sz w:val="20"/>
          <w:szCs w:val="20"/>
          <w:color w:val="auto"/>
        </w:rPr>
      </w:pPr>
      <w:r>
        <w:rPr>
          <w:rFonts w:ascii="Arial" w:cs="Arial" w:eastAsia="Arial" w:hAnsi="Arial"/>
          <w:sz w:val="18"/>
          <w:szCs w:val="18"/>
          <w:color w:val="auto"/>
        </w:rPr>
        <w:t>Conclusions regarding tax positions are subject to review and may be adjusted at a later date based on factors including on-going analyses of tax laws, regulations and interpretations thereof.</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80"/>
          </w:cols>
          <w:pgMar w:left="240" w:top="459" w:right="3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2013, 2012 and 2011 and as of March 31, 2014. The report of our independent registered public accounting firm, KPMG LLP, on the senior securities table as of December 31, 2013 is attached as an exhibit to the registration statement of which this prospectus is a part.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Involuntary</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1"/>
              </w:rPr>
              <w:t>Treasury</w:t>
            </w:r>
          </w:p>
        </w:tc>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17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Liquidating</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800" w:type="dxa"/>
            <w:vAlign w:val="bottom"/>
            <w:gridSpan w:val="3"/>
            <w:vMerge w:val="continue"/>
          </w:tcPr>
          <w:p>
            <w:pPr>
              <w:spacing w:after="0"/>
              <w:rPr>
                <w:sz w:val="12"/>
                <w:szCs w:val="12"/>
                <w:color w:val="auto"/>
              </w:rPr>
            </w:pPr>
          </w:p>
        </w:tc>
        <w:tc>
          <w:tcPr>
            <w:tcW w:w="17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Preference Per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17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Value Per Unit</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December 31, 2014 (as of March 31, 2014) (Unaudited)</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3,001.5</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2012</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2,445.9</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2014 (as of March 31, 2014) (Unaudited)</w:t>
            </w:r>
            <w:r>
              <w:rPr>
                <w:rFonts w:ascii="Arial" w:cs="Arial" w:eastAsia="Arial" w:hAnsi="Arial"/>
                <w:sz w:val="15"/>
                <w:szCs w:val="15"/>
                <w:color w:val="auto"/>
                <w:w w:val="93"/>
              </w:rPr>
              <w:t>(5)</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$115 million aggregate principal amount of Convertible Senior Notes due 2019 were issued in June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6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 As of March 31, 2014 and December 31, 2013, we had investments in 30 and 27 portfolio companies, respectively. As of March 31, 2014, our average investment size in our portfolio companies was $40 million.</w:t>
      </w:r>
    </w:p>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 11.6%, 11.2% and 9.2%, respectively. We expect that no single investment will represent more than 15% of our total investment portfolio, based on fair value. See “Portfolio Companies” for more information on our portfolio as of March 31, 2014.</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8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an “emerging growth company” under the JOBS Act and will be subject to reduced public company reporting requirements. Further,</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7(a) (2)(B)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On May 19, 2014, we formed another wholly owned subsidiary, TSL MR, LLC, a Delaware limited liability company, to hold certain of our investments.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right="26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9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4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169545</wp:posOffset>
            </wp:positionV>
            <wp:extent cx="2512695" cy="1775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1269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2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hanging="446"/>
        <w:spacing w:after="0" w:line="276" w:lineRule="auto"/>
        <w:tabs>
          <w:tab w:leader="none" w:pos="1480"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Business and sector selection</w:t>
      </w:r>
      <w:r>
        <w:rPr>
          <w:rFonts w:ascii="Arial" w:cs="Arial" w:eastAsia="Arial" w:hAnsi="Arial"/>
          <w:sz w:val="17"/>
          <w:szCs w:val="17"/>
          <w:color w:val="auto"/>
        </w:rPr>
        <w:t>. 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20" w:hanging="446"/>
        <w:spacing w:after="0" w:line="255"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jc w:val="both"/>
        <w:ind w:left="1480" w:right="220" w:hanging="446"/>
        <w:spacing w:after="0" w:line="312" w:lineRule="auto"/>
        <w:tabs>
          <w:tab w:leader="none" w:pos="1480"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Deal dynamics</w:t>
      </w:r>
      <w:r>
        <w:rPr>
          <w:rFonts w:ascii="Arial" w:cs="Arial" w:eastAsia="Arial" w:hAnsi="Arial"/>
          <w:sz w:val="16"/>
          <w:szCs w:val="16"/>
          <w:color w:val="auto"/>
        </w:rPr>
        <w:t>. 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480" w:right="60" w:hanging="446"/>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Carefully constructed, existing, wide-ranging portfolio consisting of predominantly senior, floating rate loans</w:t>
      </w:r>
      <w:r>
        <w:rPr>
          <w:rFonts w:ascii="Arial" w:cs="Arial" w:eastAsia="Arial" w:hAnsi="Arial"/>
          <w:sz w:val="17"/>
          <w:szCs w:val="17"/>
          <w:color w:val="auto"/>
        </w:rPr>
        <w:t>. Since we began investing in 2011,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Experienced management team. The eight managing directors of TSSP on the Adviser’s team have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0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80"/>
        <w:spacing w:after="0" w:line="286" w:lineRule="auto"/>
        <w:rPr>
          <w:sz w:val="20"/>
          <w:szCs w:val="20"/>
          <w:color w:val="auto"/>
        </w:rPr>
      </w:pPr>
      <w:r>
        <w:rPr>
          <w:rFonts w:ascii="Arial" w:cs="Arial" w:eastAsia="Arial" w:hAnsi="Arial"/>
          <w:sz w:val="17"/>
          <w:szCs w:val="17"/>
          <w:color w:val="auto"/>
        </w:rPr>
        <w:t>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71" w:lineRule="exact"/>
        <w:rPr>
          <w:sz w:val="20"/>
          <w:szCs w:val="20"/>
          <w:color w:val="auto"/>
        </w:rPr>
      </w:pPr>
    </w:p>
    <w:p>
      <w:pPr>
        <w:ind w:left="900" w:right="6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middle-market companies through direct originations of senior secured loans and, to a lesser extent, originations of mezzanine loans and investments in corporate bonds and equity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92"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66"/>
        </w:numPr>
        <w:rPr>
          <w:rFonts w:ascii="Arial" w:cs="Arial" w:eastAsia="Arial" w:hAnsi="Arial"/>
          <w:sz w:val="15"/>
          <w:szCs w:val="15"/>
          <w:color w:val="auto"/>
        </w:rPr>
      </w:pPr>
      <w:r>
        <w:rPr>
          <w:rFonts w:ascii="Arial" w:cs="Arial" w:eastAsia="Arial" w:hAnsi="Arial"/>
          <w:sz w:val="18"/>
          <w:szCs w:val="18"/>
          <w:i w:val="1"/>
          <w:iCs w:val="1"/>
          <w:color w:val="auto"/>
        </w:rPr>
        <w:t>Stand-alone first-lien loans</w:t>
      </w:r>
      <w:r>
        <w:rPr>
          <w:rFonts w:ascii="Arial" w:cs="Arial" w:eastAsia="Arial" w:hAnsi="Arial"/>
          <w:sz w:val="18"/>
          <w:szCs w:val="18"/>
          <w:color w:val="auto"/>
        </w:rPr>
        <w:t>. 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75" w:lineRule="exact"/>
        <w:rPr>
          <w:rFonts w:ascii="Arial" w:cs="Arial" w:eastAsia="Arial" w:hAnsi="Arial"/>
          <w:sz w:val="15"/>
          <w:szCs w:val="15"/>
          <w:color w:val="auto"/>
        </w:rPr>
      </w:pPr>
    </w:p>
    <w:p>
      <w:pPr>
        <w:ind w:left="1480" w:right="40" w:hanging="446"/>
        <w:spacing w:after="0" w:line="257" w:lineRule="auto"/>
        <w:tabs>
          <w:tab w:leader="none" w:pos="1480" w:val="left"/>
        </w:tabs>
        <w:numPr>
          <w:ilvl w:val="1"/>
          <w:numId w:val="66"/>
        </w:numPr>
        <w:rPr>
          <w:rFonts w:ascii="Arial" w:cs="Arial" w:eastAsia="Arial" w:hAnsi="Arial"/>
          <w:sz w:val="15"/>
          <w:szCs w:val="15"/>
          <w:color w:val="auto"/>
        </w:rPr>
      </w:pPr>
      <w:r>
        <w:rPr>
          <w:rFonts w:ascii="Arial" w:cs="Arial" w:eastAsia="Arial" w:hAnsi="Arial"/>
          <w:sz w:val="18"/>
          <w:szCs w:val="18"/>
          <w:i w:val="1"/>
          <w:iCs w:val="1"/>
          <w:color w:val="auto"/>
        </w:rPr>
        <w:t>“Last out” first-lien loans</w:t>
      </w:r>
      <w:r>
        <w:rPr>
          <w:rFonts w:ascii="Arial" w:cs="Arial" w:eastAsia="Arial" w:hAnsi="Arial"/>
          <w:sz w:val="18"/>
          <w:szCs w:val="18"/>
          <w:color w:val="auto"/>
        </w:rPr>
        <w:t>. “Last out” first-lien loans have a secondary priority behind super-senior “first out” first-lien loans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59" w:lineRule="auto"/>
        <w:rPr>
          <w:sz w:val="20"/>
          <w:szCs w:val="20"/>
          <w:color w:val="auto"/>
        </w:rPr>
      </w:pPr>
      <w:r>
        <w:rPr>
          <w:rFonts w:ascii="Arial" w:cs="Arial" w:eastAsia="Arial" w:hAnsi="Arial"/>
          <w:sz w:val="18"/>
          <w:szCs w:val="18"/>
          <w:color w:val="auto"/>
        </w:rPr>
        <w:t>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2" w:lineRule="exact"/>
        <w:rPr>
          <w:sz w:val="20"/>
          <w:szCs w:val="20"/>
          <w:color w:val="auto"/>
        </w:rPr>
      </w:pPr>
    </w:p>
    <w:p>
      <w:pPr>
        <w:ind w:left="1480" w:hanging="446"/>
        <w:spacing w:after="0" w:line="312" w:lineRule="auto"/>
        <w:tabs>
          <w:tab w:leader="none" w:pos="1480" w:val="left"/>
        </w:tabs>
        <w:numPr>
          <w:ilvl w:val="1"/>
          <w:numId w:val="67"/>
        </w:numPr>
        <w:rPr>
          <w:rFonts w:ascii="Arial" w:cs="Arial" w:eastAsia="Arial" w:hAnsi="Arial"/>
          <w:sz w:val="14"/>
          <w:szCs w:val="14"/>
          <w:color w:val="auto"/>
        </w:rPr>
      </w:pPr>
      <w:r>
        <w:rPr>
          <w:rFonts w:ascii="Arial" w:cs="Arial" w:eastAsia="Arial" w:hAnsi="Arial"/>
          <w:sz w:val="16"/>
          <w:szCs w:val="16"/>
          <w:i w:val="1"/>
          <w:iCs w:val="1"/>
          <w:color w:val="auto"/>
        </w:rPr>
        <w:t>“Unitranche” loans</w:t>
      </w:r>
      <w:r>
        <w:rPr>
          <w:rFonts w:ascii="Arial" w:cs="Arial" w:eastAsia="Arial" w:hAnsi="Arial"/>
          <w:sz w:val="16"/>
          <w:szCs w:val="16"/>
          <w:color w:val="auto"/>
        </w:rPr>
        <w:t>. 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4"/>
          <w:szCs w:val="14"/>
          <w:color w:val="auto"/>
        </w:rPr>
      </w:pPr>
    </w:p>
    <w:p>
      <w:pPr>
        <w:ind w:left="900" w:hanging="325"/>
        <w:spacing w:after="0" w:line="25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Second-lien debt</w:t>
      </w:r>
      <w:r>
        <w:rPr>
          <w:rFonts w:ascii="Arial" w:cs="Arial" w:eastAsia="Arial" w:hAnsi="Arial"/>
          <w:sz w:val="18"/>
          <w:szCs w:val="18"/>
          <w:color w:val="auto"/>
        </w:rPr>
        <w:t>. 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Structurally, mezzanine debt usually ranks subordinate in priority of payment to first-lien and second-lien debt, is often</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8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March 31, 2014 and December 31, 2013, we had made investments with an aggregate fair value of $1,195.5 million and $1,016.5 million, respectively, in 30 and 27 portfolio companies, respectively. See “Portfolio Companies” for more information on these investments, including a list of companies and type and amount of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0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Cost</w:t>
            </w:r>
            <w:r>
              <w:rPr>
                <w:rFonts w:ascii="Arial" w:cs="Arial" w:eastAsia="Arial" w:hAnsi="Arial"/>
                <w:sz w:val="12"/>
                <w:szCs w:val="12"/>
                <w:b w:val="1"/>
                <w:bCs w:val="1"/>
                <w:color w:val="auto"/>
                <w:w w:val="87"/>
              </w:rPr>
              <w:t>(1)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194.1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5"/>
              </w:rPr>
              <w:t>$ 1,172.4</w:t>
            </w:r>
          </w:p>
        </w:tc>
        <w:tc>
          <w:tcPr>
            <w:tcW w:w="166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1,195.5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0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1,016.5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4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March 31, 2014 and December 31,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March 31, 2014</w:t>
            </w:r>
            <w:r>
              <w:rPr>
                <w:rFonts w:ascii="Arial" w:cs="Arial" w:eastAsia="Arial" w:hAnsi="Arial"/>
                <w:sz w:val="12"/>
                <w:szCs w:val="12"/>
                <w:b w:val="1"/>
                <w:bCs w:val="1"/>
                <w:color w:val="auto"/>
                <w:w w:val="96"/>
              </w:rPr>
              <w:t>(1)</w:t>
            </w:r>
          </w:p>
        </w:tc>
        <w:tc>
          <w:tcPr>
            <w:tcW w:w="7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2013</w:t>
            </w:r>
            <w:r>
              <w:rPr>
                <w:rFonts w:ascii="Arial" w:cs="Arial" w:eastAsia="Arial" w:hAnsi="Arial"/>
                <w:sz w:val="12"/>
                <w:szCs w:val="12"/>
                <w:b w:val="1"/>
                <w:bCs w:val="1"/>
                <w:color w:val="auto"/>
                <w:w w:val="90"/>
              </w:rPr>
              <w:t>(1)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Automotive</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Business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11.6%</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3.9%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Electronics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9.2%</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11.2%</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4.5%</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Internet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Metals and mining</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2.9%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8.9%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4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60" w:type="dxa"/>
            <w:vAlign w:val="bottom"/>
            <w:vMerge w:val="restart"/>
          </w:tcPr>
          <w:p>
            <w:pPr>
              <w:jc w:val="right"/>
              <w:ind w:right="270"/>
              <w:spacing w:after="0"/>
              <w:rPr>
                <w:sz w:val="20"/>
                <w:szCs w:val="20"/>
                <w:color w:val="auto"/>
              </w:rPr>
            </w:pPr>
            <w:r>
              <w:rPr>
                <w:rFonts w:ascii="Arial" w:cs="Arial" w:eastAsia="Arial" w:hAnsi="Arial"/>
                <w:sz w:val="18"/>
                <w:szCs w:val="18"/>
                <w:color w:val="auto"/>
              </w:rPr>
              <w:t>94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459" w:right="8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hanging="452"/>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geographic composition of investments at fair value at March 31, 2014 and December 31, 2013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6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12.5%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South</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17.7%</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Europe</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8.1%</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we had the following commitments to fund investments: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24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table set forth below contains certain information as of March 31, 2014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March 31, 2014,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Investment</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vMerge w:val="continue"/>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176"/>
        </w:trPr>
        <w:tc>
          <w:tcPr>
            <w:tcW w:w="4360" w:type="dxa"/>
            <w:vAlign w:val="bottom"/>
            <w:gridSpan w:val="2"/>
            <w:vMerge w:val="continue"/>
          </w:tcPr>
          <w:p>
            <w:pPr>
              <w:spacing w:after="0"/>
              <w:rPr>
                <w:sz w:val="15"/>
                <w:szCs w:val="15"/>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thousands)</w:t>
            </w:r>
          </w:p>
        </w:tc>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Debt Investments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Aerospace and defense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w:t>
            </w:r>
            <w:r>
              <w:rPr>
                <w:rFonts w:ascii="Arial" w:cs="Arial" w:eastAsia="Arial" w:hAnsi="Arial"/>
                <w:sz w:val="15"/>
                <w:szCs w:val="15"/>
                <w:color w:val="auto"/>
              </w:rPr>
              <w:t>(3)(4)(6)</w:t>
            </w:r>
          </w:p>
        </w:tc>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 due</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12/23/2011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53,720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5"/>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4340" w:val="left"/>
        </w:tabs>
        <w:rPr>
          <w:sz w:val="20"/>
          <w:szCs w:val="20"/>
          <w:color w:val="auto"/>
        </w:rPr>
      </w:pPr>
      <w:r>
        <w:rPr>
          <w:rFonts w:ascii="Arial" w:cs="Arial" w:eastAsia="Arial" w:hAnsi="Arial"/>
          <w:sz w:val="18"/>
          <w:szCs w:val="18"/>
          <w:color w:val="auto"/>
        </w:rPr>
        <w:t>Heartland Automotive Holdings,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($33,910 par, due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6/2017)</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First-lien revolving</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loan ($4,611 par, due</w:t>
      </w:r>
    </w:p>
    <w:p>
      <w:pPr>
        <w:spacing w:after="0" w:line="4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6/2017)</w:t>
      </w:r>
    </w:p>
    <w:p>
      <w:pPr>
        <w:spacing w:after="0" w:line="8"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Sage Automotive Interiors,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($21,330 par, due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Beverage, food and tobacco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9.75%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8/28/2012</w:t>
            </w:r>
          </w:p>
        </w:tc>
        <w:tc>
          <w:tcPr>
            <w:tcW w:w="860" w:type="dxa"/>
            <w:vAlign w:val="bottom"/>
          </w:tcPr>
          <w:p>
            <w:pPr>
              <w:jc w:val="right"/>
              <w:spacing w:after="0"/>
              <w:rPr>
                <w:sz w:val="20"/>
                <w:szCs w:val="20"/>
                <w:color w:val="auto"/>
              </w:rPr>
            </w:pPr>
            <w:r>
              <w:rPr>
                <w:rFonts w:ascii="Arial" w:cs="Arial" w:eastAsia="Arial" w:hAnsi="Arial"/>
                <w:sz w:val="18"/>
                <w:szCs w:val="18"/>
                <w:color w:val="auto"/>
              </w:rPr>
              <w:t>33,281</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32,977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w w:val="88"/>
              </w:rPr>
              <w:t>10.75%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8/28/2012</w:t>
            </w:r>
          </w:p>
        </w:tc>
        <w:tc>
          <w:tcPr>
            <w:tcW w:w="860" w:type="dxa"/>
            <w:vAlign w:val="bottom"/>
          </w:tcPr>
          <w:p>
            <w:pPr>
              <w:jc w:val="right"/>
              <w:spacing w:after="0"/>
              <w:rPr>
                <w:sz w:val="20"/>
                <w:szCs w:val="20"/>
                <w:color w:val="auto"/>
              </w:rPr>
            </w:pPr>
            <w:r>
              <w:rPr>
                <w:rFonts w:ascii="Arial" w:cs="Arial" w:eastAsia="Arial" w:hAnsi="Arial"/>
                <w:sz w:val="18"/>
                <w:szCs w:val="18"/>
                <w:color w:val="auto"/>
              </w:rPr>
              <w:t>4,508</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4,458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8.50%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12/31/2012</w:t>
            </w:r>
          </w:p>
        </w:tc>
        <w:tc>
          <w:tcPr>
            <w:tcW w:w="860" w:type="dxa"/>
            <w:vAlign w:val="bottom"/>
          </w:tcPr>
          <w:p>
            <w:pPr>
              <w:jc w:val="right"/>
              <w:spacing w:after="0"/>
              <w:rPr>
                <w:sz w:val="20"/>
                <w:szCs w:val="20"/>
                <w:color w:val="auto"/>
              </w:rPr>
            </w:pPr>
            <w:r>
              <w:rPr>
                <w:rFonts w:ascii="Arial" w:cs="Arial" w:eastAsia="Arial" w:hAnsi="Arial"/>
                <w:sz w:val="18"/>
                <w:szCs w:val="18"/>
                <w:color w:val="auto"/>
              </w:rPr>
              <w:t>21,130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21,437</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58,919</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58,872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ectPr>
          <w:pgSz w:w="11900" w:h="16838" w:orient="portrait"/>
          <w:cols w:equalWidth="0" w:num="2">
            <w:col w:w="5880" w:space="300"/>
            <w:col w:w="52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(3)(4)(6)</w:t>
            </w:r>
          </w:p>
        </w:tc>
        <w:tc>
          <w:tcPr>
            <w:tcW w:w="1680" w:type="dxa"/>
            <w:vAlign w:val="bottom"/>
          </w:tcPr>
          <w:p>
            <w:pPr>
              <w:ind w:left="420"/>
              <w:spacing w:after="0"/>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($65,000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3/2020)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3/3/2014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63,551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63,538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(3)(4)(6)</w:t>
            </w:r>
          </w:p>
        </w:tc>
        <w:tc>
          <w:tcPr>
            <w:tcW w:w="1680" w:type="dxa"/>
            <w:vAlign w:val="bottom"/>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($66,933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4/2018)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4/11/2013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64,891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66,933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Beyond Trust Software Holding Group, Inc.</w:t>
            </w:r>
            <w:r>
              <w:rPr>
                <w:rFonts w:ascii="Arial" w:cs="Arial" w:eastAsia="Arial" w:hAnsi="Arial"/>
                <w:sz w:val="15"/>
                <w:szCs w:val="15"/>
                <w:color w:val="auto"/>
              </w:rPr>
              <w:t>(3)(6)</w:t>
            </w:r>
          </w:p>
        </w:tc>
        <w:tc>
          <w:tcPr>
            <w:tcW w:w="16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($42,234 par, due</w:t>
            </w: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3940" w:type="dxa"/>
            <w:vAlign w:val="bottom"/>
            <w:shd w:val="clear" w:color="auto" w:fill="CCEEFF"/>
          </w:tcPr>
          <w:p>
            <w:pPr>
              <w:spacing w:after="0"/>
              <w:rPr>
                <w:sz w:val="21"/>
                <w:szCs w:val="21"/>
                <w:color w:val="auto"/>
              </w:rPr>
            </w:pP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12/2019)</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12/18/2013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41,268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(3)(4)</w:t>
            </w:r>
          </w:p>
        </w:tc>
        <w:tc>
          <w:tcPr>
            <w:tcW w:w="1680" w:type="dxa"/>
            <w:vAlign w:val="bottom"/>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($29,659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9/2018)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9/12/2013</w:t>
            </w:r>
          </w:p>
        </w:tc>
        <w:tc>
          <w:tcPr>
            <w:tcW w:w="860" w:type="dxa"/>
            <w:vAlign w:val="bottom"/>
          </w:tcPr>
          <w:p>
            <w:pPr>
              <w:jc w:val="right"/>
              <w:spacing w:after="0"/>
              <w:rPr>
                <w:sz w:val="20"/>
                <w:szCs w:val="20"/>
                <w:color w:val="auto"/>
              </w:rPr>
            </w:pPr>
            <w:r>
              <w:rPr>
                <w:rFonts w:ascii="Arial" w:cs="Arial" w:eastAsia="Arial" w:hAnsi="Arial"/>
                <w:sz w:val="18"/>
                <w:szCs w:val="18"/>
                <w:color w:val="auto"/>
              </w:rPr>
              <w:t>29,129</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29,354</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372"/>
        </w:trPr>
        <w:tc>
          <w:tcPr>
            <w:tcW w:w="3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jc w:val="right"/>
              <w:ind w:right="1010"/>
              <w:spacing w:after="0"/>
              <w:rPr>
                <w:sz w:val="20"/>
                <w:szCs w:val="20"/>
                <w:color w:val="auto"/>
              </w:rPr>
            </w:pPr>
            <w:r>
              <w:rPr>
                <w:rFonts w:ascii="Arial" w:cs="Arial" w:eastAsia="Arial" w:hAnsi="Arial"/>
                <w:sz w:val="18"/>
                <w:szCs w:val="18"/>
                <w:color w:val="auto"/>
                <w:w w:val="79"/>
              </w:rPr>
              <w:t>97</w:t>
            </w:r>
          </w:p>
        </w:tc>
        <w:tc>
          <w:tcPr>
            <w:tcW w:w="1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0" w:type="dxa"/>
            <w:vAlign w:val="bottom"/>
          </w:tcPr>
          <w:p>
            <w:pPr>
              <w:spacing w:after="0"/>
              <w:rPr>
                <w:sz w:val="1"/>
                <w:szCs w:val="1"/>
                <w:color w:val="auto"/>
              </w:rPr>
            </w:pPr>
          </w:p>
        </w:tc>
      </w:tr>
      <w:tr>
        <w:trPr>
          <w:trHeight w:val="185"/>
        </w:trPr>
        <w:tc>
          <w:tcPr>
            <w:tcW w:w="4040" w:type="dxa"/>
            <w:vAlign w:val="bottom"/>
            <w:gridSpan w:val="3"/>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Construction and building</w:t>
            </w: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Mannington Mills, Inc.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Second-lien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($47,366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Containers and packaging</w:t>
            </w:r>
          </w:p>
        </w:tc>
        <w:tc>
          <w:tcPr>
            <w:tcW w:w="1700" w:type="dxa"/>
            <w:vAlign w:val="bottom"/>
          </w:tcPr>
          <w:p>
            <w:pPr>
              <w:spacing w:after="0"/>
              <w:rPr>
                <w:sz w:val="20"/>
                <w:szCs w:val="20"/>
                <w:color w:val="auto"/>
              </w:rPr>
            </w:pPr>
            <w:r>
              <w:rPr>
                <w:rFonts w:ascii="Arial" w:cs="Arial" w:eastAsia="Arial" w:hAnsi="Arial"/>
                <w:sz w:val="18"/>
                <w:szCs w:val="18"/>
                <w:color w:val="auto"/>
              </w:rPr>
              <w:t>3/2017)</w:t>
            </w:r>
          </w:p>
        </w:tc>
        <w:tc>
          <w:tcPr>
            <w:tcW w:w="0" w:type="dxa"/>
            <w:vAlign w:val="bottom"/>
          </w:tcPr>
          <w:p>
            <w:pPr>
              <w:spacing w:after="0"/>
              <w:rPr>
                <w:sz w:val="1"/>
                <w:szCs w:val="1"/>
                <w:color w:val="auto"/>
              </w:rPr>
            </w:pPr>
          </w:p>
        </w:tc>
      </w:tr>
      <w:tr>
        <w:trPr>
          <w:trHeight w:val="202"/>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The Newark Group, Inc.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($46,080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Education</w:t>
            </w:r>
          </w:p>
        </w:tc>
        <w:tc>
          <w:tcPr>
            <w:tcW w:w="1700" w:type="dxa"/>
            <w:vAlign w:val="bottom"/>
          </w:tcPr>
          <w:p>
            <w:pPr>
              <w:spacing w:after="0"/>
              <w:rPr>
                <w:sz w:val="20"/>
                <w:szCs w:val="20"/>
                <w:color w:val="auto"/>
              </w:rPr>
            </w:pPr>
            <w:r>
              <w:rPr>
                <w:rFonts w:ascii="Arial" w:cs="Arial" w:eastAsia="Arial" w:hAnsi="Arial"/>
                <w:sz w:val="18"/>
                <w:szCs w:val="18"/>
                <w:color w:val="auto"/>
              </w:rPr>
              <w:t>2/2018)</w:t>
            </w:r>
          </w:p>
        </w:tc>
        <w:tc>
          <w:tcPr>
            <w:tcW w:w="0" w:type="dxa"/>
            <w:vAlign w:val="bottom"/>
          </w:tcPr>
          <w:p>
            <w:pPr>
              <w:spacing w:after="0"/>
              <w:rPr>
                <w:sz w:val="1"/>
                <w:szCs w:val="1"/>
                <w:color w:val="auto"/>
              </w:rPr>
            </w:pPr>
          </w:p>
        </w:tc>
      </w:tr>
      <w:tr>
        <w:trPr>
          <w:trHeight w:val="202"/>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Campus Management, Inc.</w:t>
            </w:r>
            <w:r>
              <w:rPr>
                <w:rFonts w:ascii="Arial" w:cs="Arial" w:eastAsia="Arial" w:hAnsi="Arial"/>
                <w:sz w:val="15"/>
                <w:szCs w:val="15"/>
                <w:color w:val="auto"/>
              </w:rPr>
              <w:t>(3)(4)(6)</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($29,250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Electronics</w:t>
            </w:r>
          </w:p>
        </w:tc>
        <w:tc>
          <w:tcPr>
            <w:tcW w:w="1700" w:type="dxa"/>
            <w:vAlign w:val="bottom"/>
          </w:tcPr>
          <w:p>
            <w:pPr>
              <w:spacing w:after="0"/>
              <w:rPr>
                <w:sz w:val="20"/>
                <w:szCs w:val="20"/>
                <w:color w:val="auto"/>
              </w:rPr>
            </w:pPr>
            <w:r>
              <w:rPr>
                <w:rFonts w:ascii="Arial" w:cs="Arial" w:eastAsia="Arial" w:hAnsi="Arial"/>
                <w:sz w:val="18"/>
                <w:szCs w:val="18"/>
                <w:color w:val="auto"/>
              </w:rPr>
              <w:t>9/2018)</w:t>
            </w:r>
          </w:p>
        </w:tc>
        <w:tc>
          <w:tcPr>
            <w:tcW w:w="0" w:type="dxa"/>
            <w:vAlign w:val="bottom"/>
          </w:tcPr>
          <w:p>
            <w:pPr>
              <w:spacing w:after="0"/>
              <w:rPr>
                <w:sz w:val="1"/>
                <w:szCs w:val="1"/>
                <w:color w:val="auto"/>
              </w:rPr>
            </w:pPr>
          </w:p>
        </w:tc>
      </w:tr>
      <w:tr>
        <w:trPr>
          <w:trHeight w:val="215"/>
        </w:trPr>
        <w:tc>
          <w:tcPr>
            <w:tcW w:w="404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My Alarm Center, LLC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($52,550 par, due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2466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44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(incl. 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3/2/2012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46,540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51,156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64"/>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45,708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46,771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878"/>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28,594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28,811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862"/>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51,514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51,743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40" w:space="40"/>
            <w:col w:w="5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520" w:type="dxa"/>
            <w:vAlign w:val="bottom"/>
            <w:shd w:val="clear" w:color="auto" w:fill="CCEEFF"/>
          </w:tcPr>
          <w:p>
            <w:pPr>
              <w:ind w:left="4040"/>
              <w:spacing w:after="0" w:line="204" w:lineRule="exact"/>
              <w:rPr>
                <w:sz w:val="20"/>
                <w:szCs w:val="20"/>
                <w:color w:val="auto"/>
              </w:rPr>
            </w:pPr>
            <w:r>
              <w:rPr>
                <w:rFonts w:ascii="Arial" w:cs="Arial" w:eastAsia="Arial" w:hAnsi="Arial"/>
                <w:sz w:val="18"/>
                <w:szCs w:val="18"/>
                <w:color w:val="auto"/>
              </w:rPr>
              <w:t>Mezzanine loan</w:t>
            </w:r>
          </w:p>
        </w:tc>
        <w:tc>
          <w:tcPr>
            <w:tcW w:w="1480" w:type="dxa"/>
            <w:vAlign w:val="bottom"/>
            <w:shd w:val="clear" w:color="auto" w:fill="CCEEFF"/>
          </w:tcPr>
          <w:p>
            <w:pPr>
              <w:jc w:val="right"/>
              <w:ind w:right="170"/>
              <w:spacing w:after="0" w:line="204" w:lineRule="exact"/>
              <w:rPr>
                <w:sz w:val="20"/>
                <w:szCs w:val="20"/>
                <w:color w:val="auto"/>
              </w:rPr>
            </w:pPr>
            <w:r>
              <w:rPr>
                <w:rFonts w:ascii="Arial" w:cs="Arial" w:eastAsia="Arial" w:hAnsi="Arial"/>
                <w:sz w:val="18"/>
                <w:szCs w:val="18"/>
                <w:color w:val="auto"/>
              </w:rPr>
              <w:t>16.25%</w:t>
            </w: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520" w:type="dxa"/>
            <w:vAlign w:val="bottom"/>
            <w:shd w:val="clear" w:color="auto" w:fill="CCEEFF"/>
          </w:tcPr>
          <w:p>
            <w:pPr>
              <w:ind w:left="4040"/>
              <w:spacing w:after="0"/>
              <w:rPr>
                <w:sz w:val="20"/>
                <w:szCs w:val="20"/>
                <w:color w:val="auto"/>
              </w:rPr>
            </w:pPr>
            <w:r>
              <w:rPr>
                <w:rFonts w:ascii="Arial" w:cs="Arial" w:eastAsia="Arial" w:hAnsi="Arial"/>
                <w:sz w:val="18"/>
                <w:szCs w:val="18"/>
                <w:color w:val="auto"/>
              </w:rPr>
              <w:t>($4,688 par, due</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(incl. 4.25%</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520" w:type="dxa"/>
            <w:vAlign w:val="bottom"/>
            <w:shd w:val="clear" w:color="auto" w:fill="CCEEFF"/>
          </w:tcPr>
          <w:p>
            <w:pPr>
              <w:ind w:left="4040"/>
              <w:spacing w:after="0"/>
              <w:rPr>
                <w:sz w:val="20"/>
                <w:szCs w:val="20"/>
                <w:color w:val="auto"/>
              </w:rPr>
            </w:pPr>
            <w:r>
              <w:rPr>
                <w:rFonts w:ascii="Arial" w:cs="Arial" w:eastAsia="Arial" w:hAnsi="Arial"/>
                <w:sz w:val="18"/>
                <w:szCs w:val="18"/>
                <w:color w:val="auto"/>
              </w:rPr>
              <w:t>7/2018)</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PIK)</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0"/>
        </w:trPr>
        <w:tc>
          <w:tcPr>
            <w:tcW w:w="5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Embarcadero Technologies,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1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($42,479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Rogue Wave Holdings,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($68,174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and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Global Healthcare Exchange,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term loan</w:t>
      </w:r>
    </w:p>
    <w:p>
      <w:pPr>
        <w:spacing w:after="0" w:line="1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($25,000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3/2020)</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Mediware Information Systems,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($70,975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5/2018)</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loan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($35,156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First-lien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8"/>
          <w:szCs w:val="18"/>
          <w:color w:val="auto"/>
        </w:rPr>
        <w:t>loan ($2,000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56,157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56,407</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41,641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42,478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7.23%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11/21/2012</w:t>
            </w:r>
          </w:p>
        </w:tc>
        <w:tc>
          <w:tcPr>
            <w:tcW w:w="860" w:type="dxa"/>
            <w:vAlign w:val="bottom"/>
          </w:tcPr>
          <w:p>
            <w:pPr>
              <w:jc w:val="right"/>
              <w:spacing w:after="0"/>
              <w:rPr>
                <w:sz w:val="20"/>
                <w:szCs w:val="20"/>
                <w:color w:val="auto"/>
              </w:rPr>
            </w:pPr>
            <w:r>
              <w:rPr>
                <w:rFonts w:ascii="Arial" w:cs="Arial" w:eastAsia="Arial" w:hAnsi="Arial"/>
                <w:sz w:val="18"/>
                <w:szCs w:val="18"/>
                <w:color w:val="auto"/>
              </w:rPr>
              <w:t>66,820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67,663</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108,461</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110,141</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Arial" w:cs="Arial" w:eastAsia="Arial" w:hAnsi="Arial"/>
                <w:sz w:val="18"/>
                <w:szCs w:val="18"/>
                <w:color w:val="auto"/>
                <w:w w:val="88"/>
              </w:rPr>
              <w:t>10.00%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24,442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24,438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11/9/2012</w:t>
            </w:r>
          </w:p>
        </w:tc>
        <w:tc>
          <w:tcPr>
            <w:tcW w:w="860" w:type="dxa"/>
            <w:vAlign w:val="bottom"/>
          </w:tcPr>
          <w:p>
            <w:pPr>
              <w:jc w:val="right"/>
              <w:spacing w:after="0"/>
              <w:rPr>
                <w:sz w:val="20"/>
                <w:szCs w:val="20"/>
                <w:color w:val="auto"/>
              </w:rPr>
            </w:pPr>
            <w:r>
              <w:rPr>
                <w:rFonts w:ascii="Arial" w:cs="Arial" w:eastAsia="Arial" w:hAnsi="Arial"/>
                <w:sz w:val="18"/>
                <w:szCs w:val="18"/>
                <w:color w:val="auto"/>
              </w:rPr>
              <w:t>69,543</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70,975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34,452</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35,244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1,916</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2,005</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130,353</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132,662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800" w:space="380"/>
            <w:col w:w="524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Investment</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Acquisition</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040" w:type="dxa"/>
            <w:vAlign w:val="bottom"/>
            <w:gridSpan w:val="3"/>
            <w:vMerge w:val="continue"/>
          </w:tcPr>
          <w:p>
            <w:pPr>
              <w:spacing w:after="0"/>
              <w:rPr>
                <w:sz w:val="15"/>
                <w:szCs w:val="15"/>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thousands)</w:t>
            </w:r>
          </w:p>
        </w:tc>
        <w:tc>
          <w:tcPr>
            <w:tcW w:w="120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Hotel, gaming, and leisure</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AMF Bowling Worldwide, Inc.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($14,719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6/2018)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13,651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14,676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Centaur, LLC</w:t>
            </w:r>
            <w:r>
              <w:rPr>
                <w:rFonts w:ascii="Arial" w:cs="Arial" w:eastAsia="Arial" w:hAnsi="Arial"/>
                <w:sz w:val="15"/>
                <w:szCs w:val="15"/>
                <w:color w:val="auto"/>
              </w:rPr>
              <w:t>(3)</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2/2020)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Mandalay Baseball Properties, LLC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12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($35,279 par, due</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(incl. 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3/2017)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4/12/2012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34,734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36,601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(5)</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Second-lien bond</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(GBP 7,000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10/2018)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69,509</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73,821</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Human resource support services</w:t>
            </w: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($34,413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33,696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34,118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 Total Systems, LLC</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 ($7,463</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 due 11/2018)</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Second-lien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($12,000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5/2019)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860" w:type="dxa"/>
            <w:vAlign w:val="bottom"/>
          </w:tcPr>
          <w:p>
            <w:pPr>
              <w:jc w:val="right"/>
              <w:spacing w:after="0"/>
              <w:rPr>
                <w:sz w:val="20"/>
                <w:szCs w:val="20"/>
                <w:color w:val="auto"/>
              </w:rPr>
            </w:pPr>
            <w:r>
              <w:rPr>
                <w:rFonts w:ascii="Arial" w:cs="Arial" w:eastAsia="Arial" w:hAnsi="Arial"/>
                <w:sz w:val="18"/>
                <w:szCs w:val="18"/>
                <w:color w:val="auto"/>
              </w:rPr>
              <w:t>11,943</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11,895</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Internet Services</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($29,000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28,698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Infogix, Inc. </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($36,900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36,372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revolving</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loan ($650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6/2017)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6/1/2012</w:t>
            </w:r>
          </w:p>
        </w:tc>
        <w:tc>
          <w:tcPr>
            <w:tcW w:w="86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w:t>
            </w:r>
            <w:r>
              <w:rPr>
                <w:rFonts w:ascii="Arial" w:cs="Arial" w:eastAsia="Arial" w:hAnsi="Arial"/>
                <w:sz w:val="15"/>
                <w:szCs w:val="15"/>
                <w:color w:val="auto"/>
              </w:rPr>
              <w:t>(3)(5)(6)</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 (SEK</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211,066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6/2018)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31,440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w:t>
            </w:r>
            <w:r>
              <w:rPr>
                <w:rFonts w:ascii="Arial" w:cs="Arial" w:eastAsia="Arial" w:hAnsi="Arial"/>
                <w:sz w:val="15"/>
                <w:szCs w:val="15"/>
                <w:color w:val="auto"/>
              </w:rPr>
              <w:t>(3)(4)(6)</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($35,435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11/2019)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33,391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1580"/>
              <w:spacing w:after="0"/>
              <w:rPr>
                <w:sz w:val="20"/>
                <w:szCs w:val="20"/>
                <w:color w:val="auto"/>
              </w:rPr>
            </w:pPr>
            <w:r>
              <w:rPr>
                <w:rFonts w:ascii="Arial" w:cs="Arial" w:eastAsia="Arial" w:hAnsi="Arial"/>
                <w:sz w:val="18"/>
                <w:szCs w:val="18"/>
                <w:color w:val="auto"/>
                <w:w w:val="89"/>
              </w:rPr>
              <w:t>99</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products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Ecommerce Industries, Inc.</w:t>
      </w:r>
      <w:r>
        <w:rPr>
          <w:rFonts w:ascii="Arial" w:cs="Arial" w:eastAsia="Arial" w:hAnsi="Arial"/>
          <w:sz w:val="15"/>
          <w:szCs w:val="15"/>
          <w:color w:val="auto"/>
        </w:rPr>
        <w:t>(3)(4)</w:t>
      </w:r>
    </w:p>
    <w:p>
      <w:pPr>
        <w:spacing w:after="0" w:line="222" w:lineRule="exact"/>
        <w:rPr>
          <w:sz w:val="20"/>
          <w:szCs w:val="20"/>
          <w:color w:val="auto"/>
        </w:rPr>
      </w:pPr>
    </w:p>
    <w:p>
      <w:pPr>
        <w:ind w:right="1100"/>
        <w:spacing w:after="0" w:line="313" w:lineRule="auto"/>
        <w:rPr>
          <w:sz w:val="20"/>
          <w:szCs w:val="20"/>
          <w:color w:val="auto"/>
        </w:rPr>
      </w:pPr>
      <w:r>
        <w:rPr>
          <w:rFonts w:ascii="Arial" w:cs="Arial" w:eastAsia="Arial" w:hAnsi="Arial"/>
          <w:sz w:val="17"/>
          <w:szCs w:val="17"/>
          <w:b w:val="1"/>
          <w:bCs w:val="1"/>
          <w:color w:val="auto"/>
        </w:rPr>
        <w:t xml:space="preserve">Oil, gas and consumable fuels </w:t>
      </w:r>
      <w:r>
        <w:rPr>
          <w:rFonts w:ascii="Arial" w:cs="Arial" w:eastAsia="Arial" w:hAnsi="Arial"/>
          <w:sz w:val="17"/>
          <w:szCs w:val="17"/>
          <w:color w:val="auto"/>
        </w:rPr>
        <w:t>Global Geophysical</w:t>
      </w:r>
      <w:r>
        <w:rPr>
          <w:rFonts w:ascii="Arial" w:cs="Arial" w:eastAsia="Arial" w:hAnsi="Arial"/>
          <w:sz w:val="14"/>
          <w:szCs w:val="14"/>
          <w:color w:val="auto"/>
        </w:rPr>
        <w:t>(3)(4)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Trident Exploration Corp.</w:t>
      </w:r>
      <w:r>
        <w:rPr>
          <w:rFonts w:ascii="Arial" w:cs="Arial" w:eastAsia="Arial" w:hAnsi="Arial"/>
          <w:sz w:val="15"/>
          <w:szCs w:val="15"/>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Kewill, Ltd</w:t>
      </w:r>
      <w:r>
        <w:rPr>
          <w:rFonts w:ascii="Arial" w:cs="Arial" w:eastAsia="Arial" w:hAnsi="Arial"/>
          <w:sz w:val="15"/>
          <w:szCs w:val="15"/>
          <w:color w:val="auto"/>
        </w:rPr>
        <w:t>.(3)(5)</w:t>
      </w: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Debt Investments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Investments Business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Network Merchants, Inc</w:t>
      </w:r>
    </w:p>
    <w:p>
      <w:pPr>
        <w:spacing w:after="0" w:line="207" w:lineRule="exact"/>
        <w:rPr>
          <w:sz w:val="20"/>
          <w:szCs w:val="20"/>
          <w:color w:val="auto"/>
        </w:rPr>
      </w:pPr>
    </w:p>
    <w:p>
      <w:pPr>
        <w:ind w:right="880"/>
        <w:spacing w:after="0" w:line="347" w:lineRule="auto"/>
        <w:rPr>
          <w:sz w:val="20"/>
          <w:szCs w:val="20"/>
          <w:color w:val="auto"/>
        </w:rPr>
      </w:pPr>
      <w:r>
        <w:rPr>
          <w:rFonts w:ascii="Arial" w:cs="Arial" w:eastAsia="Arial" w:hAnsi="Arial"/>
          <w:sz w:val="16"/>
          <w:szCs w:val="16"/>
          <w:b w:val="1"/>
          <w:bCs w:val="1"/>
          <w:color w:val="auto"/>
        </w:rPr>
        <w:t xml:space="preserve">Healthcare and pharmaceuticals </w:t>
      </w:r>
      <w:r>
        <w:rPr>
          <w:rFonts w:ascii="Arial" w:cs="Arial" w:eastAsia="Arial" w:hAnsi="Arial"/>
          <w:sz w:val="16"/>
          <w:szCs w:val="16"/>
          <w:color w:val="auto"/>
        </w:rPr>
        <w:t>Global Healthcare Exchange, LLC</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SRS Parent Corp.</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w:t>
            </w:r>
          </w:p>
        </w:tc>
        <w:tc>
          <w:tcPr>
            <w:tcW w:w="42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2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2020" w:type="dxa"/>
            <w:vAlign w:val="bottom"/>
            <w:gridSpan w:val="2"/>
          </w:tcPr>
          <w:p>
            <w:pPr>
              <w:spacing w:after="0"/>
              <w:rPr>
                <w:sz w:val="20"/>
                <w:szCs w:val="20"/>
                <w:color w:val="auto"/>
              </w:rPr>
            </w:pPr>
            <w:r>
              <w:rPr>
                <w:rFonts w:ascii="Arial" w:cs="Arial" w:eastAsia="Arial" w:hAnsi="Arial"/>
                <w:sz w:val="18"/>
                <w:szCs w:val="18"/>
                <w:color w:val="auto"/>
              </w:rPr>
              <w:t>First-lien loan ($35,657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20" w:type="dxa"/>
            <w:vAlign w:val="bottom"/>
            <w:gridSpan w:val="2"/>
          </w:tcPr>
          <w:p>
            <w:pPr>
              <w:spacing w:after="0"/>
              <w:rPr>
                <w:sz w:val="20"/>
                <w:szCs w:val="20"/>
                <w:color w:val="auto"/>
              </w:rPr>
            </w:pPr>
            <w:r>
              <w:rPr>
                <w:rFonts w:ascii="Arial" w:cs="Arial" w:eastAsia="Arial" w:hAnsi="Arial"/>
                <w:sz w:val="18"/>
                <w:szCs w:val="18"/>
                <w:color w:val="auto"/>
              </w:rPr>
              <w:t>par, due 3/2019)</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35,309</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35,059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8"/>
        </w:trPr>
        <w:tc>
          <w:tcPr>
            <w:tcW w:w="2020" w:type="dxa"/>
            <w:vAlign w:val="bottom"/>
            <w:gridSpan w:val="2"/>
          </w:tcPr>
          <w:p>
            <w:pPr>
              <w:spacing w:after="0"/>
              <w:rPr>
                <w:sz w:val="20"/>
                <w:szCs w:val="20"/>
                <w:color w:val="auto"/>
              </w:rPr>
            </w:pPr>
            <w:r>
              <w:rPr>
                <w:rFonts w:ascii="Arial" w:cs="Arial" w:eastAsia="Arial" w:hAnsi="Arial"/>
                <w:sz w:val="18"/>
                <w:szCs w:val="18"/>
                <w:color w:val="auto"/>
              </w:rPr>
              <w:t>First-lien loan ($40,883</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par, due 9/2016)</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39,916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40,269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($64,838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10/2017)</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2/5/2014</w:t>
            </w:r>
          </w:p>
        </w:tc>
        <w:tc>
          <w:tcPr>
            <w:tcW w:w="860" w:type="dxa"/>
            <w:vAlign w:val="bottom"/>
          </w:tcPr>
          <w:p>
            <w:pPr>
              <w:jc w:val="right"/>
              <w:spacing w:after="0"/>
              <w:rPr>
                <w:sz w:val="20"/>
                <w:szCs w:val="20"/>
                <w:color w:val="auto"/>
              </w:rPr>
            </w:pPr>
            <w:r>
              <w:rPr>
                <w:rFonts w:ascii="Arial" w:cs="Arial" w:eastAsia="Arial" w:hAnsi="Arial"/>
                <w:sz w:val="18"/>
                <w:szCs w:val="18"/>
                <w:color w:val="auto"/>
              </w:rPr>
              <w:t>62,960</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66,296</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102,876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106,565</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25"/>
        </w:trPr>
        <w:tc>
          <w:tcPr>
            <w:tcW w:w="20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($52,500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10/2019)</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10/2/2013</w:t>
            </w:r>
          </w:p>
        </w:tc>
        <w:tc>
          <w:tcPr>
            <w:tcW w:w="860" w:type="dxa"/>
            <w:vAlign w:val="bottom"/>
          </w:tcPr>
          <w:p>
            <w:pPr>
              <w:jc w:val="right"/>
              <w:spacing w:after="0"/>
              <w:rPr>
                <w:sz w:val="20"/>
                <w:szCs w:val="20"/>
                <w:color w:val="auto"/>
              </w:rPr>
            </w:pPr>
            <w:r>
              <w:rPr>
                <w:rFonts w:ascii="Arial" w:cs="Arial" w:eastAsia="Arial" w:hAnsi="Arial"/>
                <w:sz w:val="18"/>
                <w:szCs w:val="18"/>
                <w:color w:val="auto"/>
              </w:rPr>
              <w:t>51,516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51,974</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1,169,162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1,193,199</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425"/>
        </w:trPr>
        <w:tc>
          <w:tcPr>
            <w:tcW w:w="2020" w:type="dxa"/>
            <w:vAlign w:val="bottom"/>
            <w:gridSpan w:val="2"/>
          </w:tcPr>
          <w:p>
            <w:pPr>
              <w:spacing w:after="0"/>
              <w:rPr>
                <w:sz w:val="20"/>
                <w:szCs w:val="20"/>
                <w:color w:val="auto"/>
              </w:rPr>
            </w:pPr>
            <w:r>
              <w:rPr>
                <w:rFonts w:ascii="Arial" w:cs="Arial" w:eastAsia="Arial" w:hAnsi="Arial"/>
                <w:sz w:val="18"/>
                <w:szCs w:val="18"/>
                <w:color w:val="auto"/>
              </w:rPr>
              <w:t>Non-Voting Preferred</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9/12/2013</w:t>
            </w:r>
          </w:p>
        </w:tc>
        <w:tc>
          <w:tcPr>
            <w:tcW w:w="860" w:type="dxa"/>
            <w:vAlign w:val="bottom"/>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8"/>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A</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(495 shares)</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(187.5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1,980</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(2,953,020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-3369945</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-2957830</wp:posOffset>
            </wp:positionV>
            <wp:extent cx="7246620" cy="411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-2374900</wp:posOffset>
            </wp:positionV>
            <wp:extent cx="72466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-1809115</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-1517015</wp:posOffset>
            </wp:positionV>
            <wp:extent cx="7246620"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-1105535</wp:posOffset>
            </wp:positionV>
            <wp:extent cx="7246620" cy="283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-548005</wp:posOffset>
            </wp:positionV>
            <wp:extent cx="7246620"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-3798570</wp:posOffset>
            </wp:positionV>
            <wp:extent cx="72466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720"/>
            <w:col w:w="73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Equity Investments</w:t>
            </w: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3,280</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2,340</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$ 1,172,442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$ 1,195,539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As of March 31, 2014, we do not “control” any of the portfolio companies nor are any of our portfolio companies considered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40"/>
        <w:spacing w:after="0" w:line="258" w:lineRule="auto"/>
        <w:rPr>
          <w:sz w:val="20"/>
          <w:szCs w:val="20"/>
          <w:color w:val="auto"/>
        </w:rPr>
      </w:pPr>
      <w:r>
        <w:rPr>
          <w:rFonts w:ascii="Arial" w:cs="Arial" w:eastAsia="Arial" w:hAnsi="Arial"/>
          <w:sz w:val="18"/>
          <w:szCs w:val="18"/>
          <w:color w:val="auto"/>
        </w:rPr>
        <w:t>to be “affiliates”—see Note 4 to our unaudited interim consolidated financial statements. Certain portfolio company investments are subject to contractual restrictions on sales.</w:t>
      </w:r>
    </w:p>
    <w:p>
      <w:pPr>
        <w:spacing w:after="0" w:line="1" w:lineRule="exact"/>
        <w:rPr>
          <w:sz w:val="20"/>
          <w:szCs w:val="20"/>
          <w:color w:val="auto"/>
        </w:rPr>
      </w:pPr>
    </w:p>
    <w:p>
      <w:pPr>
        <w:ind w:left="460" w:right="18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520" w:hanging="452"/>
        <w:spacing w:after="0" w:line="265"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investment, or a portion thereof, is held within TPG SL SPV, LLC, our wholly owned subsidiary, and is pledged as collateral supporting the amounts outstanding under the SPV Asset Facility (see Note 7 to our unaudited interim consolidated financial statements).</w:t>
      </w:r>
    </w:p>
    <w:p>
      <w:pPr>
        <w:ind w:left="460" w:hanging="452"/>
        <w:spacing w:after="0" w:line="281"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00" w:hanging="452"/>
        <w:spacing w:after="0" w:line="261"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our arrangement with other lenders in a syndication.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expire at the 2017 annual meeting of stockholders.</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36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Position</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Expiration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6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Chairman, Director and Co-Chief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 and Co-Chief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Richard Higginbotham </w:t>
      </w:r>
      <w:r>
        <w:rPr>
          <w:rFonts w:ascii="Arial" w:cs="Arial" w:eastAsia="Arial" w:hAnsi="Arial"/>
          <w:sz w:val="17"/>
          <w:szCs w:val="17"/>
          <w:color w:val="auto"/>
        </w:rPr>
        <w:t>was elected a director of TSL in March 2011. From 2010 to 2013, he was a director of Healthcare Finance Group LLC.</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w:t>
      </w:r>
      <w:r>
        <w:rPr>
          <w:rFonts w:ascii="Arial" w:cs="Arial" w:eastAsia="Arial" w:hAnsi="Arial"/>
          <w:sz w:val="16"/>
          <w:szCs w:val="16"/>
          <w:b w:val="1"/>
          <w:bCs w:val="1"/>
          <w:color w:val="auto"/>
        </w:rPr>
        <w:t xml:space="preserve"> </w:t>
      </w:r>
      <w:r>
        <w:rPr>
          <w:rFonts w:ascii="Arial" w:cs="Arial" w:eastAsia="Arial" w:hAnsi="Arial"/>
          <w:sz w:val="16"/>
          <w:szCs w:val="16"/>
          <w:color w:val="auto"/>
        </w:rPr>
        <w:t>or 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6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2013. 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vMerge w:val="restart"/>
          </w:tcPr>
          <w:p>
            <w:pPr>
              <w:spacing w:after="0"/>
              <w:rPr>
                <w:sz w:val="14"/>
                <w:szCs w:val="14"/>
                <w:color w:val="auto"/>
              </w:rPr>
            </w:pPr>
          </w:p>
        </w:tc>
        <w:tc>
          <w:tcPr>
            <w:tcW w:w="6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20" w:type="dxa"/>
            <w:vAlign w:val="bottom"/>
            <w:vMerge w:val="restart"/>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Cami</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Vice President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Ollwerther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Chief Operating Officer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Chief Compliance Officer, Vice President and Secretary</w:t>
            </w:r>
          </w:p>
        </w:tc>
        <w:tc>
          <w:tcPr>
            <w:tcW w:w="4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Ronald Cami </w:t>
      </w:r>
      <w:r>
        <w:rPr>
          <w:rFonts w:ascii="Arial" w:cs="Arial" w:eastAsia="Arial" w:hAnsi="Arial"/>
          <w:sz w:val="17"/>
          <w:szCs w:val="17"/>
          <w:color w:val="auto"/>
        </w:rPr>
        <w:t>is a Vice President of TSL. Mr. Cami joined TPG as Partner and General Counsel in June 2010. From 2000 until he joined TPG in 2010,</w:t>
      </w:r>
      <w:r>
        <w:rPr>
          <w:rFonts w:ascii="Arial" w:cs="Arial" w:eastAsia="Arial" w:hAnsi="Arial"/>
          <w:sz w:val="17"/>
          <w:szCs w:val="17"/>
          <w:b w:val="1"/>
          <w:bCs w:val="1"/>
          <w:color w:val="auto"/>
        </w:rPr>
        <w:t xml:space="preserve"> </w:t>
      </w:r>
      <w:r>
        <w:rPr>
          <w:rFonts w:ascii="Arial" w:cs="Arial" w:eastAsia="Arial" w:hAnsi="Arial"/>
          <w:sz w:val="17"/>
          <w:szCs w:val="17"/>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74" w:lineRule="exact"/>
        <w:rPr>
          <w:sz w:val="20"/>
          <w:szCs w:val="20"/>
          <w:color w:val="auto"/>
        </w:rPr>
      </w:pPr>
    </w:p>
    <w:p>
      <w:pPr>
        <w:ind w:right="360" w:firstLine="456"/>
        <w:spacing w:after="0" w:line="276" w:lineRule="auto"/>
        <w:rPr>
          <w:sz w:val="20"/>
          <w:szCs w:val="20"/>
          <w:color w:val="auto"/>
        </w:rPr>
      </w:pPr>
      <w:r>
        <w:rPr>
          <w:rFonts w:ascii="Arial" w:cs="Arial" w:eastAsia="Arial" w:hAnsi="Arial"/>
          <w:sz w:val="17"/>
          <w:szCs w:val="17"/>
          <w:b w:val="1"/>
          <w:bCs w:val="1"/>
          <w:color w:val="auto"/>
        </w:rPr>
        <w:t xml:space="preserve">Alan Kirshenbaum </w:t>
      </w:r>
      <w:r>
        <w:rPr>
          <w:rFonts w:ascii="Arial" w:cs="Arial" w:eastAsia="Arial" w:hAnsi="Arial"/>
          <w:sz w:val="17"/>
          <w:szCs w:val="17"/>
          <w:color w:val="auto"/>
        </w:rPr>
        <w:t>is Chief Financial Officer of TSL. Prior to being named Chief Financial Officer, Mr. Kirshenbaum was a Vice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in 1994 and an M.B.A. from New York University’s Stern School of Business in 2003.</w:t>
      </w:r>
    </w:p>
    <w:p>
      <w:pPr>
        <w:spacing w:after="0" w:line="18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the Chief Operating Officer of TSL.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b w:val="1"/>
          <w:bCs w:val="1"/>
          <w:color w:val="auto"/>
        </w:rPr>
        <w:t xml:space="preserve">Jennifer Mello </w:t>
      </w:r>
      <w:r>
        <w:rPr>
          <w:rFonts w:ascii="Arial" w:cs="Arial" w:eastAsia="Arial" w:hAnsi="Arial"/>
          <w:sz w:val="18"/>
          <w:szCs w:val="18"/>
          <w:color w:val="auto"/>
        </w:rPr>
        <w:t>is Chief Compliance Officer, Vice President and Secretary of TSL. Since 2012, Ms. Mello has been the General Counsel and a</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80"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b w:val="1"/>
          <w:bCs w:val="1"/>
          <w:color w:val="auto"/>
        </w:rPr>
        <w:t xml:space="preserve">Steven Pluss </w:t>
      </w:r>
      <w:r>
        <w:rPr>
          <w:rFonts w:ascii="Arial" w:cs="Arial" w:eastAsia="Arial" w:hAnsi="Arial"/>
          <w:sz w:val="17"/>
          <w:szCs w:val="17"/>
          <w:color w:val="auto"/>
        </w:rPr>
        <w:t>is a Vice President of TSL. He is also a TPG and TSSP Partner and has been the Chief Financial Officer and Chief Risk Officer of TSSP</w:t>
      </w:r>
      <w:r>
        <w:rPr>
          <w:rFonts w:ascii="Arial" w:cs="Arial" w:eastAsia="Arial" w:hAnsi="Arial"/>
          <w:sz w:val="17"/>
          <w:szCs w:val="17"/>
          <w:b w:val="1"/>
          <w:bCs w:val="1"/>
          <w:color w:val="auto"/>
        </w:rPr>
        <w:t xml:space="preserve"> </w:t>
      </w:r>
      <w:r>
        <w:rPr>
          <w:rFonts w:ascii="Arial" w:cs="Arial" w:eastAsia="Arial" w:hAnsi="Arial"/>
          <w:sz w:val="17"/>
          <w:szCs w:val="17"/>
          <w:color w:val="auto"/>
        </w:rPr>
        <w:t>since 2013. Prior to joining TSSP, Mr. Pluss was a Managing Director and co-head of the Goldman Sachs Specialty Lending Group at Goldman, Sachs &amp; Co., where he worked from 2004 to 2013. From 1999 to 2004, Mr. Pluss was a Partner, Founder and Managing Member of</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RTV Ventures, a special situations lending joint venture with Goldman, Sachs &amp; Co. Mr. Pluss received a B.B.A from Texas A&amp;M University and an M.B.A from Southern Methodist University.</w:t>
      </w:r>
    </w:p>
    <w:p>
      <w:pPr>
        <w:spacing w:after="0" w:line="16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 Mr. Waxman is a TPG Partner and is a member of the TPG’s Executive Committee. He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since both of them are employed by the Adviser. See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Board has met twice in 2014, met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580" w:right="2380" w:hanging="5005"/>
        <w:spacing w:after="0" w:line="44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106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four times in 2014, held eight meetings in 2013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4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the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IPO Committee, which was dissolved after our IPO, held one meeting in 2013. Messrs. Easterly, Fishman and Tanemura were members of the IPO Committee. Mr. Easterly served as Chairman.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at 345 California Street, Suite 3300, San Francisco, CA 94104, Attention: TSL Investor Relations, or by emailing us at IRTSL@tpg.com:</w:t>
      </w:r>
    </w:p>
    <w:p>
      <w:pPr>
        <w:spacing w:after="0" w:line="94"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$100,000 annual retainer (which was $75,000 prior to the IPO);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22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ind w:left="240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6"/>
              </w:rPr>
              <w:t>or Paid</w:t>
            </w:r>
          </w:p>
        </w:tc>
        <w:tc>
          <w:tcPr>
            <w:tcW w:w="740" w:type="dxa"/>
            <w:vAlign w:val="bottom"/>
          </w:tcPr>
          <w:p>
            <w:pPr>
              <w:spacing w:after="0"/>
              <w:rPr>
                <w:sz w:val="12"/>
                <w:szCs w:val="12"/>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in Cash</w:t>
            </w:r>
          </w:p>
        </w:tc>
        <w:tc>
          <w:tcPr>
            <w:tcW w:w="7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20" w:type="dxa"/>
            <w:vAlign w:val="bottom"/>
            <w:gridSpan w:val="2"/>
          </w:tcPr>
          <w:p>
            <w:pPr>
              <w:ind w:left="24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98,000</w:t>
            </w:r>
          </w:p>
        </w:tc>
        <w:tc>
          <w:tcPr>
            <w:tcW w:w="134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2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92"/>
              </w:rPr>
              <w:t>$94,000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TSSP is TPG’s special situations and credit platform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8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TPG is a leading global private investment firm founded in 1992 with over $59 billion of assets under management, as of March 31, 2014, and offices in San Francisco, Fort Worth, Austin, New York and throughout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2,799,517 shares, or 5.2%, of our common stock. See “Related-Party Transactions and Certain Relationships” and “Control Persons and Principal Stockholders.”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Adviser has also entered into an agreement with Goldman, Sachs &amp; Co.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Agreement; Administration Agreement; License Agreement</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the year ended December 31, 2013, Management Fees were $13.4 million, of which $7.1 million were waived (see below). For the three months ended March 31, 2014, Management Fees were $4.2 million, of which $1.8 million were payable at March 31, 2014 and $2.5 million were waived.</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Until the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does not intend to waive its right to receive the full Management Fee and accordingly, we will be required to pay the full amount of the Management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equaled 100% of the pre-Incentive Fee net investment income in excess of a 1.5% quarterly “hurdle rate,”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was the rate at which catch-up is achieved. Once the “hurdle rate” was reached and catch-up was achieved, 15% of any pre-Incentive Fee net investment income in excess of 1.76% in any quarter was payable to the Adviser.</w:t>
      </w:r>
    </w:p>
    <w:p>
      <w:pPr>
        <w:spacing w:after="0" w:line="70" w:lineRule="exact"/>
        <w:rPr>
          <w:sz w:val="20"/>
          <w:szCs w:val="20"/>
          <w:color w:val="auto"/>
        </w:rPr>
      </w:pPr>
    </w:p>
    <w:p>
      <w:pPr>
        <w:ind w:left="900" w:right="20"/>
        <w:spacing w:after="0" w:line="254" w:lineRule="auto"/>
        <w:rPr>
          <w:sz w:val="20"/>
          <w:szCs w:val="20"/>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98" w:lineRule="exact"/>
        <w:rPr>
          <w:sz w:val="20"/>
          <w:szCs w:val="20"/>
          <w:color w:val="auto"/>
        </w:rPr>
      </w:pPr>
    </w:p>
    <w:p>
      <w:pPr>
        <w:ind w:left="90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89"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through March 31, 2014, equaled 15%,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will be subject to an Incentive Fee rate of 15% and the portion of our realized capital gains that accrued beginning April 1, 2014 will be subject to an Incentive Fee rate of 17.5%.</w:t>
      </w:r>
    </w:p>
    <w:p>
      <w:pPr>
        <w:spacing w:after="0" w:line="16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7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three months ended March 31, 2014, Incentive Fees were $4.5 million, of which $3.7 million were realized and payable to the Adviser.</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For the year ended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December 31, 2013, we incurred expenses of $1.4 million for administrative services payable under the terms of the Administration Agreement. For the three months ended March 31, 2014, we incurred expenses of $0.6 million for administrative services payable to the Adviser under the terms of the Administration Agreement.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 Expenses incurred by the Adviser on behalf of the Company for the year ended December 31, 2013 were $5.0 million. Expenses incurred by the Adviser on our behalf of for the three months ended March 31, 2014 were $1.5 million.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45405" cy="943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5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8" w:lineRule="auto"/>
        <w:rPr>
          <w:sz w:val="20"/>
          <w:szCs w:val="20"/>
          <w:color w:val="auto"/>
        </w:rPr>
      </w:pPr>
      <w:r>
        <w:rPr>
          <w:rFonts w:ascii="Arial" w:cs="Arial" w:eastAsia="Arial" w:hAnsi="Arial"/>
          <w:sz w:val="18"/>
          <w:szCs w:val="18"/>
          <w:color w:val="auto"/>
        </w:rPr>
        <w:t>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2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60" w:hanging="325"/>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hanging="325"/>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4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6</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$16 million</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$15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(sale price)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7</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$8 million (sale</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price)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8</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$36 million</w:t>
            </w:r>
          </w:p>
        </w:tc>
      </w:tr>
      <w:tr>
        <w:trPr>
          <w:trHeight w:val="182"/>
        </w:trPr>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920" w:right="94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920" w:right="60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920" w:right="50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920" w:right="42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20"/>
          </w:cols>
          <w:pgMar w:left="24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2"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not more than 60 days’ written notice to the other party. The holders of a majority of our outstanding voting securities may also terminate each agreement without penalty on not more than 60 days’ written notice. See “Risk Factors—Risks Related to Our Business and Structure—We are dependent upon management personnel of the Adviser for our future success.”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2,799,517 shares, or 5.2%, of our common stock as of May 7, 2014.</w:t>
      </w:r>
    </w:p>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Adviser has entered into the 10b5-1 Plan under which Goldman, Sachs &amp; Co., as agent for the Adviser, will buy up to $25 million in the aggregate of our common stock during the period beginning April 23, 2014 and ending on the earlier of the date on which all the capital committed to the 10b5-1 Plan has been exhausted or December 31, 2014, subject to certain conditions. The 10b5-1 Plan will require Goldman, Sachs &amp; Co. to purchase for the</w:t>
      </w:r>
    </w:p>
    <w:p>
      <w:pPr>
        <w:ind w:right="40"/>
        <w:spacing w:after="0" w:line="281" w:lineRule="auto"/>
        <w:rPr>
          <w:sz w:val="20"/>
          <w:szCs w:val="20"/>
          <w:color w:val="auto"/>
        </w:rPr>
      </w:pPr>
      <w:r>
        <w:rPr>
          <w:rFonts w:ascii="Arial" w:cs="Arial" w:eastAsia="Arial" w:hAnsi="Arial"/>
          <w:sz w:val="16"/>
          <w:szCs w:val="16"/>
          <w:color w:val="auto"/>
        </w:rPr>
        <w:t>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of our IPO, meaning the shares purchased will be locked-up until March 20, 2015. Under the 10b5-1 Plan, Goldman, Sachs &amp; Co. will increase the volume of purchases made as the price of our common stock declines, subject to volume restrictions.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8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Certain 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7, 2014,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 and other information known to us.</w:t>
      </w:r>
    </w:p>
    <w:p>
      <w:pPr>
        <w:spacing w:after="0" w:line="16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percentage ownership is based on 53,347,891 shares of common stock outstanding as of May 7, 2014.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2"/>
              </w:rPr>
              <w:t>Number of Shares of</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 Common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0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25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250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(3)</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6,995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Michael Fishman</w:t>
            </w:r>
            <w:r>
              <w:rPr>
                <w:rFonts w:ascii="Arial" w:cs="Arial" w:eastAsia="Arial" w:hAnsi="Arial"/>
                <w:sz w:val="15"/>
                <w:szCs w:val="15"/>
                <w:color w:val="auto"/>
              </w:rPr>
              <w:t>(4)</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36,362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25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16,575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31,091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5"/>
                <w:szCs w:val="15"/>
                <w:color w:val="auto"/>
              </w:rPr>
              <w:t>(5)</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4,181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r>
              <w:rPr>
                <w:rFonts w:ascii="Arial" w:cs="Arial" w:eastAsia="Arial" w:hAnsi="Arial"/>
                <w:sz w:val="15"/>
                <w:szCs w:val="15"/>
                <w:color w:val="auto"/>
              </w:rPr>
              <w:t>(6)(7)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2,897,520</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Jersey Common Pension Fund E</w:t>
            </w: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7,102,217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5"/>
                <w:szCs w:val="15"/>
                <w:color w:val="auto"/>
              </w:rPr>
              <w:t>(9)</w:t>
            </w:r>
          </w:p>
        </w:tc>
        <w:tc>
          <w:tcPr>
            <w:tcW w:w="1280" w:type="dxa"/>
            <w:vAlign w:val="bottom"/>
          </w:tcPr>
          <w:p>
            <w:pPr>
              <w:jc w:val="right"/>
              <w:spacing w:after="0"/>
              <w:rPr>
                <w:sz w:val="20"/>
                <w:szCs w:val="20"/>
                <w:color w:val="auto"/>
              </w:rPr>
            </w:pPr>
            <w:r>
              <w:rPr>
                <w:rFonts w:ascii="Arial" w:cs="Arial" w:eastAsia="Arial" w:hAnsi="Arial"/>
                <w:sz w:val="18"/>
                <w:szCs w:val="18"/>
                <w:color w:val="auto"/>
              </w:rPr>
              <w:t>5,994,646</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5"/>
                <w:szCs w:val="15"/>
                <w:color w:val="auto"/>
              </w:rPr>
              <w:t>(10)</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3,911,472</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5"/>
                <w:szCs w:val="15"/>
                <w:color w:val="auto"/>
              </w:rPr>
              <w:t>(11)</w:t>
            </w:r>
          </w:p>
        </w:tc>
        <w:tc>
          <w:tcPr>
            <w:tcW w:w="1280" w:type="dxa"/>
            <w:vAlign w:val="bottom"/>
          </w:tcPr>
          <w:p>
            <w:pPr>
              <w:jc w:val="right"/>
              <w:spacing w:after="0"/>
              <w:rPr>
                <w:sz w:val="20"/>
                <w:szCs w:val="20"/>
                <w:color w:val="auto"/>
              </w:rPr>
            </w:pPr>
            <w:r>
              <w:rPr>
                <w:rFonts w:ascii="Arial" w:cs="Arial" w:eastAsia="Arial" w:hAnsi="Arial"/>
                <w:sz w:val="18"/>
                <w:szCs w:val="18"/>
                <w:color w:val="auto"/>
              </w:rPr>
              <w:t>3,571,124</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5"/>
                <w:szCs w:val="15"/>
                <w:color w:val="auto"/>
              </w:rPr>
              <w:t>(7)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3,234,929</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5"/>
                <w:szCs w:val="15"/>
                <w:color w:val="auto"/>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3,178,051</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5"/>
                <w:szCs w:val="15"/>
                <w:color w:val="auto"/>
              </w:rPr>
              <w:t>(13)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3,013,977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right="20" w:hanging="452"/>
        <w:spacing w:after="0" w:line="268"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60" w:hanging="452"/>
        <w:spacing w:after="0" w:line="25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in this column do not reflect any shares issued through our dividend reinvestment plan in connection with the dividend that was paid on April 30, 2014.</w:t>
      </w:r>
    </w:p>
    <w:p>
      <w:pPr>
        <w:spacing w:after="0" w:line="1"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ind w:left="460" w:right="300" w:hanging="452"/>
        <w:spacing w:after="0" w:line="265"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Mr. Fishman is employed by TSL Advisers, LLC (“TSL Advisers”), our Adviser, which is affiliated with Tarrant and Group Advisors. Mr. Fishman disclaims beneficial ownership of the shares that are or may be beneficially owned by Tarrant, Group Advisors or any of its affiliates.</w:t>
      </w:r>
    </w:p>
    <w:p>
      <w:pPr>
        <w:ind w:left="460" w:right="14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right="54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w:t>
      </w:r>
    </w:p>
    <w:p>
      <w:pPr>
        <w:ind w:left="460" w:right="100" w:hanging="452"/>
        <w:spacing w:after="0" w:line="254"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common stock held by the TPG Funds (as defined below) includes (i) 2,799,517 shares of common stock, or the TSL Shares, held by TSL Advisers; (ii) 435,346 shares of common stock, or the TSL FOF Shares, held by TSL FOF, L.P., a Delaware limited partnership, or TSL FOF; and (iii) 66 shares of common stock held by Tarrant Advisors, Inc., a Delaware corporation, or Tarrant, and, together with TSL Advisers and TSL FOF, the TPG Funds.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business and affairs of TSL Advisers are managed by its board of managers, whose sole members are Messrs. Bonderman, Coulter and Waxman.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decision or determination by the board of managers requires the approval of each of Messrs. Bonderman, Coulter and Waxman.</w:t>
      </w:r>
    </w:p>
    <w:p>
      <w:pPr>
        <w:spacing w:after="0" w:line="7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54"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2,374,970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2" w:lineRule="exact"/>
        <w:rPr>
          <w:sz w:val="20"/>
          <w:szCs w:val="20"/>
          <w:color w:val="auto"/>
        </w:rPr>
      </w:pPr>
    </w:p>
    <w:p>
      <w:pPr>
        <w:ind w:left="460" w:right="140"/>
        <w:spacing w:after="0" w:line="27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37"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w:t>
      </w:r>
    </w:p>
    <w:p>
      <w:pPr>
        <w:ind w:left="460" w:right="220"/>
        <w:spacing w:after="0" w:line="281" w:lineRule="auto"/>
        <w:rPr>
          <w:sz w:val="20"/>
          <w:szCs w:val="20"/>
          <w:color w:val="auto"/>
        </w:rPr>
      </w:pPr>
      <w:r>
        <w:rPr>
          <w:rFonts w:ascii="Arial" w:cs="Arial" w:eastAsia="Arial" w:hAnsi="Arial"/>
          <w:sz w:val="16"/>
          <w:szCs w:val="16"/>
          <w:color w:val="auto"/>
        </w:rPr>
        <w:t>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1" w:lineRule="exact"/>
        <w:rPr>
          <w:sz w:val="20"/>
          <w:szCs w:val="20"/>
          <w:color w:val="auto"/>
        </w:rPr>
      </w:pPr>
    </w:p>
    <w:p>
      <w:pPr>
        <w:ind w:left="460" w:right="340" w:hanging="452"/>
        <w:spacing w:after="0" w:line="250"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of the State of New Jersey Common Pension Fund E is New Jersey Division of Investment 50 West State Street, 9th Floor Trenton, NJ 08608.</w:t>
      </w:r>
    </w:p>
    <w:p>
      <w:pPr>
        <w:ind w:left="460" w:hanging="452"/>
        <w:spacing w:after="0" w:line="281"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Master Fund, L.P. and Silver Creek Credit Opportunities III Fund B Master Fund, L.P. (collectively, the Silver Creek Group) and other information known to us.</w:t>
      </w:r>
    </w:p>
    <w:p>
      <w:pPr>
        <w:spacing w:after="0" w:line="1"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of beneficially owned by each director as of May 7, 2014. We are not part of a “family of investment companies,” as that term is defined in the 1940 Act.</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Dollar Range of</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our Common</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6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May 7, 2014, multiplied by the closing sale price of our common stock as reported on the NYSE as of May 7, 2014.</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This prospectus also relates to 42,040,525 shares of our common stock that may be offered for resale on behalf of the stockholders identified below. The stockholders acquired their respective shares of our common stock either (i) through subscription agreements prior to our IPO or (ii) in the concurrent private placement to certain of our existing investors in connection with our IPO. We are registering the shares to permit the stockholders and their pledgees, donees, transferees and other successors-in-interest that receive their shares from a stockholder as a gift, partnership distribution or other non-sale related transfer after the date of this prospectus to resell the shares when and as they deem appropriate. We do not know how long the stockholders will hold the shares before selling them, if at all, or how many shares they will sell, if any, and we currently have no agreements, arrangements or understandings with any of the stockholders regarding the sale of any of the resale shares.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name of the stockholders;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number and percent of shares of our common stock that the stockholders beneficially owned prior to the offering for resale of the shares under this prospectus;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number of shares of our common stock that may be offered for resale for the account of the stockholders under this prospectus; and</w:t>
      </w:r>
    </w:p>
    <w:p>
      <w:pPr>
        <w:spacing w:after="0" w:line="142" w:lineRule="exact"/>
        <w:rPr>
          <w:rFonts w:ascii="Arial" w:cs="Arial" w:eastAsia="Arial" w:hAnsi="Arial"/>
          <w:sz w:val="17"/>
          <w:szCs w:val="17"/>
          <w:color w:val="auto"/>
        </w:rPr>
      </w:pPr>
    </w:p>
    <w:p>
      <w:pPr>
        <w:ind w:left="900" w:right="62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number and percent of shares of our common stock to be beneficially owned by the stockholders after the offering of the resale shares (assuming all of the offered resale shares are sold by the stockholders).</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number of shares in the column “Number of Shares Being Offered” represents all of the shares that each stockholder may offer under this prospectus. The shares offered by this prospectus may be offered from time to time by the stockholders listed below.</w:t>
      </w:r>
    </w:p>
    <w:p>
      <w:pPr>
        <w:spacing w:after="0" w:line="170"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This table is prepared solely based on information supplied to us by the listed stockholders and any public documents filed with the SEC, and assumes the sale of all of the resale shares. The applicable percentages of beneficial ownership are based on an aggregate of 53,347,891 shares of our common stock issued and outstanding on May 7, 2014, adjusted as may be required by rules promulgated by the SEC.</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Beneficial ownership has been determined in accordance with the rules and regulations of the SEC and includes voting or investment power (including the power to dispose) with respect to the securities and assumes no other purchases or sales of securities since the most recently available SEC filings. This assumption has been made under the rules and regulations of the SEC and does not reflect any knowledge that we have with respect to the present intent of the beneficial owners of the securities listed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4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w w:val="91"/>
              </w:rPr>
              <w:t>Shares Beneficially Owned</w:t>
            </w: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Number of</w:t>
            </w:r>
          </w:p>
        </w:tc>
        <w:tc>
          <w:tcPr>
            <w:tcW w:w="30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Shares Beneficially Owned</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Stockholders</w:t>
            </w:r>
          </w:p>
        </w:tc>
        <w:tc>
          <w:tcPr>
            <w:tcW w:w="2440" w:type="dxa"/>
            <w:vAlign w:val="bottom"/>
            <w:gridSpan w:val="3"/>
          </w:tcPr>
          <w:p>
            <w:pPr>
              <w:jc w:val="center"/>
              <w:ind w:left="648"/>
              <w:spacing w:after="0" w:line="129" w:lineRule="exact"/>
              <w:rPr>
                <w:sz w:val="20"/>
                <w:szCs w:val="20"/>
                <w:color w:val="auto"/>
              </w:rPr>
            </w:pPr>
            <w:r>
              <w:rPr>
                <w:rFonts w:ascii="Arial" w:cs="Arial" w:eastAsia="Arial" w:hAnsi="Arial"/>
                <w:sz w:val="14"/>
                <w:szCs w:val="14"/>
                <w:b w:val="1"/>
                <w:bCs w:val="1"/>
                <w:color w:val="auto"/>
                <w:w w:val="96"/>
              </w:rPr>
              <w:t>Prior to Offering</w:t>
            </w: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Shares Being</w:t>
            </w:r>
          </w:p>
        </w:tc>
        <w:tc>
          <w:tcPr>
            <w:tcW w:w="740" w:type="dxa"/>
            <w:vAlign w:val="bottom"/>
          </w:tcPr>
          <w:p>
            <w:pPr>
              <w:spacing w:after="0"/>
              <w:rPr>
                <w:sz w:val="12"/>
                <w:szCs w:val="12"/>
                <w:color w:val="auto"/>
              </w:rPr>
            </w:pPr>
          </w:p>
        </w:tc>
        <w:tc>
          <w:tcPr>
            <w:tcW w:w="2280" w:type="dxa"/>
            <w:vAlign w:val="bottom"/>
            <w:gridSpan w:val="3"/>
          </w:tcPr>
          <w:p>
            <w:pPr>
              <w:jc w:val="center"/>
              <w:ind w:right="1300"/>
              <w:spacing w:after="0" w:line="129" w:lineRule="exact"/>
              <w:rPr>
                <w:sz w:val="20"/>
                <w:szCs w:val="20"/>
                <w:color w:val="auto"/>
              </w:rPr>
            </w:pPr>
            <w:r>
              <w:rPr>
                <w:rFonts w:ascii="Arial" w:cs="Arial" w:eastAsia="Arial" w:hAnsi="Arial"/>
                <w:sz w:val="14"/>
                <w:szCs w:val="14"/>
                <w:b w:val="1"/>
                <w:bCs w:val="1"/>
                <w:color w:val="auto"/>
                <w:w w:val="98"/>
              </w:rPr>
              <w:t>After Offering</w:t>
            </w: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2440" w:type="dxa"/>
            <w:vAlign w:val="bottom"/>
            <w:tcBorders>
              <w:top w:val="single" w:sz="8" w:color="auto"/>
            </w:tcBorders>
            <w:gridSpan w:val="3"/>
          </w:tcPr>
          <w:p>
            <w:pPr>
              <w:ind w:left="700"/>
              <w:spacing w:after="0" w:line="155"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w w:val="89"/>
              </w:rPr>
              <w:t>Percent</w:t>
            </w:r>
          </w:p>
        </w:tc>
        <w:tc>
          <w:tcPr>
            <w:tcW w:w="900" w:type="dxa"/>
            <w:vAlign w:val="bottom"/>
          </w:tcPr>
          <w:p>
            <w:pPr>
              <w:spacing w:after="0"/>
              <w:rPr>
                <w:sz w:val="13"/>
                <w:szCs w:val="13"/>
                <w:color w:val="auto"/>
              </w:rPr>
            </w:pPr>
          </w:p>
        </w:tc>
        <w:tc>
          <w:tcPr>
            <w:tcW w:w="124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6"/>
              </w:rPr>
              <w:t>Offered</w:t>
            </w:r>
          </w:p>
        </w:tc>
        <w:tc>
          <w:tcPr>
            <w:tcW w:w="74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Number</w:t>
            </w:r>
          </w:p>
        </w:tc>
        <w:tc>
          <w:tcPr>
            <w:tcW w:w="10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2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34"/>
              <w:spacing w:after="0"/>
              <w:rPr>
                <w:sz w:val="20"/>
                <w:szCs w:val="20"/>
                <w:color w:val="auto"/>
              </w:rPr>
            </w:pPr>
            <w:r>
              <w:rPr>
                <w:rFonts w:ascii="Arial" w:cs="Arial" w:eastAsia="Arial" w:hAnsi="Arial"/>
                <w:sz w:val="18"/>
                <w:szCs w:val="18"/>
                <w:color w:val="auto"/>
                <w:w w:val="93"/>
              </w:rPr>
              <w:t>130</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80"/>
          </w:cols>
          <w:pgMar w:left="240" w:top="459" w:right="3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that or preferred stock that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April 1, 2014 may be eligible for look-through tax treatment if Congress extends certain rules to apply to such taxable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900" w:right="180" w:hanging="325"/>
        <w:spacing w:after="0" w:line="286"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70" w:lineRule="exact"/>
        <w:rPr>
          <w:rFonts w:ascii="Arial" w:cs="Arial" w:eastAsia="Arial" w:hAnsi="Arial"/>
          <w:sz w:val="17"/>
          <w:szCs w:val="17"/>
          <w:color w:val="auto"/>
        </w:rPr>
      </w:pPr>
    </w:p>
    <w:p>
      <w:pPr>
        <w:ind w:left="900" w:right="30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We generally expect to distribute substantially all of our earnings on a quarterly basis, but will reinvest dividends on behalf of those investors that do not elect to receive their dividends in cash. See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900" w:right="100" w:hanging="325"/>
        <w:spacing w:after="0" w:line="31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75"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rules expired for taxable years beginning after December 31, 2013. Further legislation is required to make the exemption available with respect to taxable years that commence after December 31, 2013. We cannot assure you that Congress will enact an extension or that any such extension will apply to all dividends that we distribute with respect to taxable years commencing after December 31, 2013. If Congress does extend the exemption, dividends that we designate as “interest-related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or preferred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53,347,891 shares are outstanding as of May 7, 2014, and 100,000,000 shares of preferred stock, par value $0.01 per share, of which no shares are outstanding as of May 7, 2014.</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May 7,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 Held by Us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Exclusive of Amount Held by</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or for Our 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5"/>
              </w:rPr>
              <w:t>Us or for 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999</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53,347,891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included a $100 million capital commitment by our Adviser. Our existing investors’ obligations to purchase additional shares from the undrawn portion of their capital commitments terminated upon the completion of the IPO.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amended and restated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w:t>
      </w:r>
    </w:p>
    <w:p>
      <w:pPr>
        <w:spacing w:after="0" w:line="87"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purposes of calculating “a majority of the outstanding voting securities” under our certificate of incorporation, each class and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shares will vote together as a single class, except to the extent required by the 1940 Act or our certificate of incorporation, with respect to any class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of shares. If a separate class vote is required, the applicable proportion of shares of the class or series, voting as a separate class or series, also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211"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Subscription Rights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60" w:right="2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Dilutive Effects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25.0% of our outstanding voting securities.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40"/>
          </w:cols>
          <w:pgMar w:left="240" w:top="459" w:right="3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they will receive payments on their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On the last business day of each of twenty-four consecutive calendar months, we have an asset coverage of less than 100%, giving effect to any exemptive relief granted to us by the SEC.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 if an Event of Default Occurs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5580" w:hanging="5005"/>
        <w:spacing w:after="0" w:line="44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 159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80" w:hanging="325"/>
        <w:spacing w:after="0" w:line="259"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foreign exchange controls and potential illiquidity in the secondary market. These risks will vary depending upon the currency or currencies involved and will be more fully described in the applicable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More information about DTC can be found at </w:t>
      </w:r>
      <w:r>
        <w:rPr>
          <w:rFonts w:ascii="Arial" w:cs="Arial" w:eastAsia="Arial" w:hAnsi="Arial"/>
          <w:sz w:val="18"/>
          <w:szCs w:val="18"/>
          <w:i w:val="1"/>
          <w:iCs w:val="1"/>
          <w:color w:val="auto"/>
        </w:rPr>
        <w:t>www.dtcc.com</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connection with our IPO on March 20, 2014, we, the Adviser, our directors, executive officers and substantially all of our existing stockholders agreed with the underwriters in the IPO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 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 in the IPO.</w:t>
      </w:r>
    </w:p>
    <w:p>
      <w:pPr>
        <w:spacing w:after="0" w:line="17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case of the Company, the lock-up period in the previous paragraph is the period ending 180 days after the date of the IPO. In the case of our Adviser, including shares of common stock beneficially owned by our executive officers through the Adviser, the lock-up period is the period ending 365 days after the date of the IPO. In the case of our directors and existing stockholders, the lock-up period in the previous paragraph is 180 days after the date of the IPO for all shares of common stock held by those stockholders and 270 days after the date of the IPO for 50% of the shares of common stock held by those stockholders. Each lock-up period is subject to extension in certain circumstances.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our asset coverage was 300.1% and 232.9%,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7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76" w:lineRule="exact"/>
        <w:rPr>
          <w:sz w:val="20"/>
          <w:szCs w:val="20"/>
          <w:color w:val="auto"/>
        </w:rPr>
      </w:pPr>
    </w:p>
    <w:p>
      <w:pPr>
        <w:ind w:left="90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cannot assure you, however, when or whether the SEC will grant our exemptive relief request or that, if granted, it will be on the terms set forth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39"/>
        </w:numPr>
        <w:rPr>
          <w:rFonts w:ascii="Arial" w:cs="Arial" w:eastAsia="Arial" w:hAnsi="Arial"/>
          <w:sz w:val="15"/>
          <w:szCs w:val="15"/>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75" w:lineRule="exact"/>
        <w:rPr>
          <w:rFonts w:ascii="Arial" w:cs="Arial" w:eastAsia="Arial" w:hAnsi="Arial"/>
          <w:sz w:val="15"/>
          <w:szCs w:val="15"/>
          <w:color w:val="auto"/>
        </w:rPr>
      </w:pPr>
    </w:p>
    <w:p>
      <w:pPr>
        <w:ind w:left="1480" w:right="180" w:hanging="446"/>
        <w:spacing w:after="0" w:line="264" w:lineRule="auto"/>
        <w:tabs>
          <w:tab w:leader="none" w:pos="1480" w:val="left"/>
        </w:tabs>
        <w:numPr>
          <w:ilvl w:val="1"/>
          <w:numId w:val="139"/>
        </w:numPr>
        <w:rPr>
          <w:rFonts w:ascii="Arial" w:cs="Arial" w:eastAsia="Arial" w:hAnsi="Arial"/>
          <w:sz w:val="15"/>
          <w:szCs w:val="15"/>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5"/>
          <w:szCs w:val="15"/>
          <w:color w:val="auto"/>
        </w:rPr>
      </w:pPr>
    </w:p>
    <w:p>
      <w:pPr>
        <w:ind w:left="1480" w:hanging="446"/>
        <w:spacing w:after="0"/>
        <w:tabs>
          <w:tab w:leader="none" w:pos="1480" w:val="left"/>
        </w:tabs>
        <w:numPr>
          <w:ilvl w:val="1"/>
          <w:numId w:val="139"/>
        </w:numPr>
        <w:rPr>
          <w:rFonts w:ascii="Arial" w:cs="Arial" w:eastAsia="Arial" w:hAnsi="Arial"/>
          <w:sz w:val="14"/>
          <w:szCs w:val="14"/>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42" w:lineRule="exact"/>
        <w:rPr>
          <w:rFonts w:ascii="Arial" w:cs="Arial" w:eastAsia="Arial" w:hAnsi="Arial"/>
          <w:sz w:val="14"/>
          <w:szCs w:val="14"/>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a code of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You may also obtain copies of the code of ethics, after paying a duplicating fee, by electronic request at the following e-mail address: publicinfo@sec.gov, or by writing the SEC’s Public Reference Section at 100 F Street, Room 1580 N.E. Washington, D.C. 20549. We also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Arial" w:cs="Arial" w:eastAsia="Arial" w:hAnsi="Arial"/>
          <w:sz w:val="17"/>
          <w:szCs w:val="17"/>
          <w:i w:val="1"/>
          <w:iCs w:val="1"/>
          <w:color w:val="auto"/>
        </w:rPr>
        <w:t>IRTSL@tpg.com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180" w:hanging="325"/>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70" w:lineRule="exact"/>
        <w:rPr>
          <w:rFonts w:ascii="Arial" w:cs="Arial" w:eastAsia="Arial" w:hAnsi="Arial"/>
          <w:sz w:val="17"/>
          <w:szCs w:val="17"/>
          <w:color w:val="auto"/>
        </w:rPr>
      </w:pPr>
    </w:p>
    <w:p>
      <w:pPr>
        <w:ind w:left="900" w:right="120" w:hanging="325"/>
        <w:spacing w:after="0" w:line="28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2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2" w:lineRule="exact"/>
        <w:rPr>
          <w:sz w:val="20"/>
          <w:szCs w:val="20"/>
          <w:color w:val="auto"/>
        </w:rPr>
      </w:pPr>
    </w:p>
    <w:p>
      <w:pPr>
        <w:ind w:left="900" w:right="580" w:hanging="325"/>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Although we expect to become a large accelerated filer at the end of this fiscal year, we currently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securities less attractive as a result of our taking advantage of exemptions available to emerging growth companies. The result may be a less active trading market for our securities and the price of our securities may be more volatile.</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NYSE has adopted corporate governance rules that listed companies must comply with. We are in compliance with these rules.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 345 California Street, Suite 3300 San Francisco, CA 94104, Attention: TSL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IRTSL@tpg.com.</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20"/>
          </w:cols>
          <w:pgMar w:left="24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 In addition, this prospectus relates to 42,040,525 shares of our common stock that may be sold by the selling stockholders identified under “Selling Stockholders.”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or the selling stockholders may sell the securities through underwriters or dealers, directly to one or more purchasers, including existing stockholders in a rights offering, through agents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or the selling stockholders will receive from the sale; any over-allotment options under which underwriters may purchase additional securities from us or the selling stockholders;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sale of the securities, underwriters or agents may receive compensation from us, the selling stockholders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or the selling stockholders and any profit realized by them on the resale of the securities may be deemed to be underwriting discounts and commissions under the Securities Act. Any such underwriter or agent will be identified and any such compensation received from us or the selling stockholders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or the selling stockholders, as applicable, may also reimburse the underwriter or agent for certain fees and legal expenses incurred by it.</w:t>
      </w:r>
    </w:p>
    <w:p>
      <w:pPr>
        <w:spacing w:after="0" w:line="16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the agent will act on a best-efforts basis for the period of its appointment.</w:t>
      </w:r>
    </w:p>
    <w:p>
      <w:pPr>
        <w:spacing w:after="0" w:line="166"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agreements that we or the selling stockholders may enter, underwriters, dealers and agents who participate in the distribution of the securities may be entitled to indemnification by us or the selling stockholders, as applicable,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so indicated in the applicable prospectus supplement, we or the selling stockholders will authorize underwriters or other persons acting as agents to solicit offers by certain institutions to purchase securities from us or the selling stockholders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or the selling stockholders, as applicable.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the selling stockholders or borrowed from us, the selling stockholders or others to settle those sales or to close out any related open borrowings of stock, and may use securities received from us or the selling stockholders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952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12"/>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445"/>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183">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Consolidated Balance Sheets as of December 31, 2013 and 2012</w:t>
              </w:r>
            </w:hyperlink>
          </w:p>
        </w:tc>
        <w:tc>
          <w:tcPr>
            <w:tcW w:w="48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Operations for the Years Ended December 31, 2013, 2012 and 2011</w:t>
              </w:r>
            </w:hyperlink>
          </w:p>
        </w:tc>
        <w:tc>
          <w:tcPr>
            <w:tcW w:w="262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Consolidated Schedules of Investments as of December 31,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Changes in Net Assets for the Years Ended December 31, 2013, 2012 and 2011</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Consolidated Statements of Cash Flows for the Years Ended December 31, 2013, 2012 and 2011</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95">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330"/>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219">
              <w:r>
                <w:rPr>
                  <w:rFonts w:ascii="Arial" w:cs="Arial" w:eastAsia="Arial" w:hAnsi="Arial"/>
                  <w:sz w:val="18"/>
                  <w:szCs w:val="18"/>
                  <w:color w:val="0000EE"/>
                </w:rPr>
                <w:t>Consolidated Balance Sheets as of March 31, 2014 and December 31, 2013</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F-38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Consolidated Statements of Operations for the Three Months Ended March 31, 2014 and 2013</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68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221">
              <w:r>
                <w:rPr>
                  <w:rFonts w:ascii="Arial" w:cs="Arial" w:eastAsia="Arial" w:hAnsi="Arial"/>
                  <w:sz w:val="18"/>
                  <w:szCs w:val="18"/>
                  <w:color w:val="0000EE"/>
                  <w:w w:val="98"/>
                </w:rPr>
                <w:t>Consolidated Schedules of Investments as of March 31, 2014 and December 31, 2013</w:t>
              </w:r>
            </w:hyperlink>
          </w:p>
        </w:tc>
        <w:tc>
          <w:tcPr>
            <w:tcW w:w="27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Consolidated Statements of Changes in Net Assets for the Three Months Ended March 31, 2014 and 2013</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F-49</w:t>
            </w:r>
          </w:p>
        </w:tc>
      </w:tr>
      <w:tr>
        <w:trPr>
          <w:trHeight w:val="196"/>
        </w:trPr>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Cash Flows for the Three Months Ended March 31, 2014 and 2013</w:t>
              </w:r>
            </w:hyperlink>
          </w:p>
        </w:tc>
        <w:tc>
          <w:tcPr>
            <w:tcW w:w="188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r>
      <w:tr>
        <w:trPr>
          <w:trHeight w:val="196"/>
        </w:trPr>
        <w:tc>
          <w:tcPr>
            <w:tcW w:w="6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Notes to Consolidated Financial Statements</w:t>
              </w:r>
            </w:hyperlink>
          </w:p>
        </w:tc>
        <w:tc>
          <w:tcPr>
            <w:tcW w:w="26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F-51</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8"/>
          </w:tcPr>
          <w:p>
            <w:pPr>
              <w:jc w:val="center"/>
              <w:ind w:right="354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1,016,451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3,471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432,267</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1,974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Common stock, $0.01 par value; 100,000,000 shares authorized, 37,027,022 and 31,583,953 shares issued,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respectively; and 37,026,023 and 31,582,954 shares outstanding, respectively (1)</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552,436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17,910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1,039,150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Income</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Investment income from non-controlled, non-affiliated investments: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90,374</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46,402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2,233</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630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cash and cash equivalents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Total investment income from non-controlled, non-affiliated</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60" w:type="dxa"/>
            <w:vAlign w:val="bottom"/>
          </w:tcPr>
          <w:p>
            <w:pPr>
              <w:ind w:left="80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92,610</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47,046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Investment income from non-controlled, affiliated investments: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Interest from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2,724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 income</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1,231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non-controlled, affiliated investments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b w:val="1"/>
                <w:bCs w:val="1"/>
                <w:color w:val="auto"/>
              </w:rPr>
              <w:t>Total Investment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92,610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51,011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10,469</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6,020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Initial organization</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Management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13,376</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8,892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Incentive fees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11,790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6,996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Professional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2,881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Directors’ fees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287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Other general and administrative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42,045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26,640</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80" w:type="dxa"/>
            <w:vAlign w:val="bottom"/>
            <w:gridSpan w:val="2"/>
          </w:tcPr>
          <w:p>
            <w:pPr>
              <w:spacing w:after="0"/>
              <w:rPr>
                <w:sz w:val="20"/>
                <w:szCs w:val="20"/>
                <w:color w:val="auto"/>
              </w:rPr>
            </w:pPr>
            <w:r>
              <w:rPr>
                <w:rFonts w:ascii="Arial" w:cs="Arial" w:eastAsia="Arial" w:hAnsi="Arial"/>
                <w:sz w:val="16"/>
                <w:szCs w:val="16"/>
                <w:color w:val="auto"/>
              </w:rPr>
              <w:t>Management fees waived (Note 3)</w:t>
            </w: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(7,135)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6"/>
                <w:szCs w:val="16"/>
                <w:color w:val="auto"/>
              </w:rPr>
              <w:t>(3,704)</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Net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34,910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22,936</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Net Investment Income (Loss) Before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57,700</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28,075</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Income taxes, including excise taxes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Net Investment Income (Loss)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57,501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28,029</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Unrealized and 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Net change in unrealized gains (losses):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7,372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Non-controlled, affiliated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forward contracts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(1,244)</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color w:val="auto"/>
              </w:rPr>
              <w:t>Total net change in unrealized gains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7,211</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4,255</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affiliated investments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Foreign currency forward contracts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realized gains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b w:val="1"/>
                <w:bCs w:val="1"/>
                <w:color w:val="auto"/>
              </w:rPr>
              <w:t>Total Unrealized and Realized Gains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11,566</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Increase in Net Assets Resulting from Operations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66,983</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39,595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Earnings per common share—basic and diluted </w:t>
            </w:r>
            <w:r>
              <w:rPr>
                <w:rFonts w:ascii="Arial" w:cs="Arial" w:eastAsia="Arial" w:hAnsi="Arial"/>
                <w:sz w:val="27"/>
                <w:szCs w:val="27"/>
                <w:color w:val="auto"/>
                <w:vertAlign w:val="superscript"/>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gridSpan w:val="2"/>
            <w:vMerge w:val="continue"/>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w:t>
            </w:r>
          </w:p>
        </w:tc>
        <w:tc>
          <w:tcPr>
            <w:tcW w:w="500" w:type="dxa"/>
            <w:vAlign w:val="bottom"/>
          </w:tcPr>
          <w:p>
            <w:pPr>
              <w:spacing w:after="0"/>
              <w:rPr>
                <w:sz w:val="17"/>
                <w:szCs w:val="17"/>
                <w:color w:val="auto"/>
              </w:rPr>
            </w:pP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Weighted average shares of common stock outstanding—basic and diluted </w:t>
            </w:r>
            <w:r>
              <w:rPr>
                <w:rFonts w:ascii="Arial" w:cs="Arial" w:eastAsia="Arial" w:hAnsi="Arial"/>
                <w:sz w:val="23"/>
                <w:szCs w:val="23"/>
                <w:color w:val="auto"/>
                <w:vertAlign w:val="superscript"/>
              </w:rPr>
              <w:t>(1)</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34,635,208</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20,541,475</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3,347,602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4"/>
                <w:szCs w:val="14"/>
                <w:color w:val="auto"/>
              </w:rPr>
            </w:pPr>
          </w:p>
        </w:tc>
        <w:tc>
          <w:tcPr>
            <w:tcW w:w="6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Aerospace and defense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MSC Software Corporation </w:t>
            </w:r>
            <w:r>
              <w:rPr>
                <w:rFonts w:ascii="Arial" w:cs="Arial" w:eastAsia="Arial" w:hAnsi="Arial"/>
                <w:sz w:val="23"/>
                <w:szCs w:val="23"/>
                <w:color w:val="auto"/>
                <w:vertAlign w:val="superscript"/>
              </w:rPr>
              <w:t>(3)(4)(6)</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($53,452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11/2017)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12/23/2011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52,828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$ 53,720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Automotive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Heartland Automotive Holdings,</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($36,733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6/2017)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8/28/2012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36,182</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revolving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loan ($4,611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6/2017)</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10.75%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8/28/2012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4,528</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Sage Automotive Interiors, Inc. </w:t>
            </w:r>
            <w:r>
              <w:rPr>
                <w:rFonts w:ascii="Arial" w:cs="Arial" w:eastAsia="Arial" w:hAnsi="Arial"/>
                <w:sz w:val="22"/>
                <w:szCs w:val="22"/>
                <w:color w:val="auto"/>
                <w:vertAlign w:val="superscript"/>
              </w:rPr>
              <w:t>(3)(4)(6)</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($21,553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12/2016)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12/31/2012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61,838</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62,155</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Beverage, food and tobacco</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AFS Technologies, Inc. </w:t>
            </w:r>
            <w:r>
              <w:rPr>
                <w:rFonts w:ascii="Arial" w:cs="Arial" w:eastAsia="Arial" w:hAnsi="Arial"/>
                <w:sz w:val="22"/>
                <w:szCs w:val="22"/>
                <w:color w:val="auto"/>
                <w:vertAlign w:val="superscript"/>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($44,394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8/2015)</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8/31/2011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43,837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45,837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Business services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Actian Corporation </w:t>
            </w:r>
            <w:r>
              <w:rPr>
                <w:rFonts w:ascii="Arial" w:cs="Arial" w:eastAsia="Arial" w:hAnsi="Arial"/>
                <w:sz w:val="22"/>
                <w:szCs w:val="22"/>
                <w:color w:val="auto"/>
                <w:vertAlign w:val="superscript"/>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($67,933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4/2018)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4/11/2013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65,762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66,405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Aptean Holdings, Inc. f/k/a Consona Holdings, Inc. </w:t>
            </w:r>
            <w:r>
              <w:rPr>
                <w:rFonts w:ascii="Arial" w:cs="Arial" w:eastAsia="Arial" w:hAnsi="Arial"/>
                <w:sz w:val="22"/>
                <w:szCs w:val="22"/>
                <w:color w:val="auto"/>
                <w:vertAlign w:val="superscript"/>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($29,625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8/2018)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8/13/2012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29,477</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97"/>
        </w:trPr>
        <w:tc>
          <w:tcPr>
            <w:tcW w:w="4460" w:type="dxa"/>
            <w:vAlign w:val="bottom"/>
            <w:gridSpan w:val="3"/>
          </w:tcPr>
          <w:p>
            <w:pPr>
              <w:spacing w:after="0"/>
              <w:rPr>
                <w:sz w:val="20"/>
                <w:szCs w:val="20"/>
                <w:color w:val="auto"/>
              </w:rPr>
            </w:pPr>
            <w:r>
              <w:rPr>
                <w:rFonts w:ascii="Arial" w:cs="Arial" w:eastAsia="Arial" w:hAnsi="Arial"/>
                <w:sz w:val="16"/>
                <w:szCs w:val="16"/>
                <w:color w:val="auto"/>
              </w:rPr>
              <w:t>Beyond Trust Software Holding</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tcPr>
          <w:p>
            <w:pPr>
              <w:ind w:left="160"/>
              <w:spacing w:after="0" w:line="205" w:lineRule="exact"/>
              <w:rPr>
                <w:sz w:val="20"/>
                <w:szCs w:val="20"/>
                <w:color w:val="auto"/>
              </w:rPr>
            </w:pPr>
            <w:r>
              <w:rPr>
                <w:rFonts w:ascii="Arial" w:cs="Arial" w:eastAsia="Arial" w:hAnsi="Arial"/>
                <w:sz w:val="14"/>
                <w:szCs w:val="14"/>
                <w:color w:val="auto"/>
              </w:rPr>
              <w:t xml:space="preserve">Group, Inc. </w:t>
            </w:r>
            <w:r>
              <w:rPr>
                <w:rFonts w:ascii="Arial" w:cs="Arial" w:eastAsia="Arial" w:hAnsi="Arial"/>
                <w:sz w:val="23"/>
                <w:szCs w:val="23"/>
                <w:color w:val="auto"/>
                <w:vertAlign w:val="superscript"/>
              </w:rPr>
              <w:t>(3)(6)</w:t>
            </w:r>
          </w:p>
        </w:tc>
        <w:tc>
          <w:tcPr>
            <w:tcW w:w="1740" w:type="dxa"/>
            <w:vAlign w:val="bottom"/>
            <w:gridSpan w:val="2"/>
          </w:tcPr>
          <w:p>
            <w:pPr>
              <w:spacing w:after="0"/>
              <w:rPr>
                <w:sz w:val="20"/>
                <w:szCs w:val="20"/>
                <w:color w:val="auto"/>
              </w:rPr>
            </w:pPr>
            <w:r>
              <w:rPr>
                <w:rFonts w:ascii="Arial" w:cs="Arial" w:eastAsia="Arial" w:hAnsi="Arial"/>
                <w:sz w:val="16"/>
                <w:szCs w:val="16"/>
                <w:color w:val="auto"/>
              </w:rPr>
              <w:t>($42,500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12/2019)</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7.25%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12/18/2013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41,462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41,437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Network Merchants, Inc </w:t>
            </w:r>
            <w:r>
              <w:rPr>
                <w:rFonts w:ascii="Arial" w:cs="Arial" w:eastAsia="Arial" w:hAnsi="Arial"/>
                <w:sz w:val="22"/>
                <w:szCs w:val="22"/>
                <w:color w:val="auto"/>
                <w:vertAlign w:val="superscript"/>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($29,659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9/2018)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9/12/2013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165,608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166,521</w:t>
            </w: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Construction and building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Mannington Mills, Inc. </w:t>
            </w:r>
            <w:r>
              <w:rPr>
                <w:rFonts w:ascii="Arial" w:cs="Arial" w:eastAsia="Arial" w:hAnsi="Arial"/>
                <w:sz w:val="22"/>
                <w:szCs w:val="22"/>
                <w:color w:val="auto"/>
                <w:vertAlign w:val="superscript"/>
              </w:rPr>
              <w:t>(3)(4)</w:t>
            </w:r>
          </w:p>
        </w:tc>
        <w:tc>
          <w:tcPr>
            <w:tcW w:w="174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14.00%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($47,430 par,</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(incl. 2.00%</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3/2017)</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PIK)</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3/2/2012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46,545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51,817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Containers and packaging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The Newark Group, Inc. </w:t>
            </w:r>
            <w:r>
              <w:rPr>
                <w:rFonts w:ascii="Arial" w:cs="Arial" w:eastAsia="Arial" w:hAnsi="Arial"/>
                <w:sz w:val="22"/>
                <w:szCs w:val="22"/>
                <w:color w:val="auto"/>
                <w:vertAlign w:val="superscript"/>
              </w:rPr>
              <w:t>(3)(4)</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($46,560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2/2018)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2/8/2013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46,164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47,142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Education</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Arial" w:cs="Arial" w:eastAsia="Arial" w:hAnsi="Arial"/>
                <w:sz w:val="16"/>
                <w:szCs w:val="16"/>
                <w:color w:val="auto"/>
              </w:rPr>
              <w:t>Campus Management,</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tcPr>
          <w:p>
            <w:pPr>
              <w:ind w:left="16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($29,625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9/2018)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9/30/2013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28,931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29,032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Amortized</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8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Interest</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Financial services</w:t>
            </w: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Embarcadero Technologies, Inc. </w:t>
            </w:r>
            <w:r>
              <w:rPr>
                <w:rFonts w:ascii="Arial" w:cs="Arial" w:eastAsia="Arial" w:hAnsi="Arial"/>
                <w:sz w:val="22"/>
                <w:szCs w:val="22"/>
                <w:color w:val="auto"/>
                <w:vertAlign w:val="superscript"/>
              </w:rPr>
              <w:t>(3)(4)(6)</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($42,479</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12/2017)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41,597</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42,372</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Rogue Wave Holdings, Inc. </w:t>
            </w:r>
            <w:r>
              <w:rPr>
                <w:rFonts w:ascii="Arial" w:cs="Arial" w:eastAsia="Arial" w:hAnsi="Arial"/>
                <w:sz w:val="22"/>
                <w:szCs w:val="22"/>
                <w:color w:val="auto"/>
                <w:vertAlign w:val="superscript"/>
              </w:rPr>
              <w:t>(3)(4)(6)</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($76,337</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11/21/2012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75,764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116,349</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118,136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Healthcare and pharmaceuticals</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Mediware Information Systems, Inc. </w:t>
            </w:r>
            <w:r>
              <w:rPr>
                <w:rFonts w:ascii="Arial" w:cs="Arial" w:eastAsia="Arial" w:hAnsi="Arial"/>
                <w:sz w:val="22"/>
                <w:szCs w:val="22"/>
                <w:color w:val="auto"/>
                <w:vertAlign w:val="superscript"/>
              </w:rPr>
              <w:t>(3)(4)(6)</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($71,634</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5/2018)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11/9/2012</w:t>
            </w:r>
          </w:p>
        </w:tc>
        <w:tc>
          <w:tcPr>
            <w:tcW w:w="660" w:type="dxa"/>
            <w:vAlign w:val="bottom"/>
          </w:tcPr>
          <w:p>
            <w:pPr>
              <w:jc w:val="right"/>
              <w:spacing w:after="0"/>
              <w:rPr>
                <w:sz w:val="20"/>
                <w:szCs w:val="20"/>
                <w:color w:val="auto"/>
              </w:rPr>
            </w:pPr>
            <w:r>
              <w:rPr>
                <w:rFonts w:ascii="Arial" w:cs="Arial" w:eastAsia="Arial" w:hAnsi="Arial"/>
                <w:sz w:val="16"/>
                <w:szCs w:val="16"/>
                <w:color w:val="auto"/>
              </w:rPr>
              <w:t>70,120</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71,097</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SRS Software, LLC </w:t>
            </w:r>
            <w:r>
              <w:rPr>
                <w:rFonts w:ascii="Arial" w:cs="Arial" w:eastAsia="Arial" w:hAnsi="Arial"/>
                <w:sz w:val="22"/>
                <w:szCs w:val="22"/>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($35,625</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revolving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($2,000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due 12/2017)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106,902</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Arial" w:cs="Arial" w:eastAsia="Arial" w:hAnsi="Arial"/>
                <w:sz w:val="16"/>
                <w:szCs w:val="16"/>
                <w:b w:val="1"/>
                <w:bCs w:val="1"/>
                <w:color w:val="auto"/>
              </w:rPr>
              <w:t>Hotel, gaming, and leisure</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AMF Bowling Worldwide,</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($14,813</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6/2018)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7/2/2013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Centaur, LLC </w:t>
            </w:r>
            <w:r>
              <w:rPr>
                <w:rFonts w:ascii="Arial" w:cs="Arial" w:eastAsia="Arial" w:hAnsi="Arial"/>
                <w:sz w:val="27"/>
                <w:szCs w:val="27"/>
                <w:color w:val="auto"/>
                <w:vertAlign w:val="superscript"/>
              </w:rPr>
              <w:t>(3)</w:t>
            </w:r>
          </w:p>
        </w:tc>
        <w:tc>
          <w:tcPr>
            <w:tcW w:w="182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($10,000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due 2/2020)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2/15/2013</w:t>
            </w:r>
          </w:p>
        </w:tc>
        <w:tc>
          <w:tcPr>
            <w:tcW w:w="660" w:type="dxa"/>
            <w:vAlign w:val="bottom"/>
          </w:tcPr>
          <w:p>
            <w:pPr>
              <w:jc w:val="right"/>
              <w:spacing w:after="0"/>
              <w:rPr>
                <w:sz w:val="20"/>
                <w:szCs w:val="20"/>
                <w:color w:val="auto"/>
              </w:rPr>
            </w:pPr>
            <w:r>
              <w:rPr>
                <w:rFonts w:ascii="Arial" w:cs="Arial" w:eastAsia="Arial" w:hAnsi="Arial"/>
                <w:sz w:val="16"/>
                <w:szCs w:val="16"/>
                <w:color w:val="auto"/>
              </w:rPr>
              <w:t>9,923</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10,250</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Mandalay Baseball Properties, LLC </w:t>
            </w:r>
            <w:r>
              <w:rPr>
                <w:rFonts w:ascii="Arial" w:cs="Arial" w:eastAsia="Arial" w:hAnsi="Arial"/>
                <w:sz w:val="22"/>
                <w:szCs w:val="22"/>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($34,886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12.00%</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(incl. 4.50%</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PIK)</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4/12/2012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Soho House </w:t>
            </w:r>
            <w:r>
              <w:rPr>
                <w:rFonts w:ascii="Arial" w:cs="Arial" w:eastAsia="Arial" w:hAnsi="Arial"/>
                <w:sz w:val="27"/>
                <w:szCs w:val="27"/>
                <w:color w:val="auto"/>
                <w:vertAlign w:val="superscript"/>
              </w:rPr>
              <w:t>(5)</w:t>
            </w:r>
          </w:p>
        </w:tc>
        <w:tc>
          <w:tcPr>
            <w:tcW w:w="1820" w:type="dxa"/>
            <w:vAlign w:val="bottom"/>
            <w:gridSpan w:val="2"/>
          </w:tcPr>
          <w:p>
            <w:pPr>
              <w:spacing w:after="0"/>
              <w:rPr>
                <w:sz w:val="20"/>
                <w:szCs w:val="20"/>
                <w:color w:val="auto"/>
              </w:rPr>
            </w:pPr>
            <w:r>
              <w:rPr>
                <w:rFonts w:ascii="Arial" w:cs="Arial" w:eastAsia="Arial" w:hAnsi="Arial"/>
                <w:sz w:val="16"/>
                <w:szCs w:val="16"/>
                <w:color w:val="auto"/>
              </w:rPr>
              <w:t>Second-lien bond (GBP</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7,000 par, due 10/2018)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9.13%</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9/20/2013</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11,200</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11,913</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69,113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Arial" w:cs="Arial" w:eastAsia="Arial" w:hAnsi="Arial"/>
                <w:sz w:val="16"/>
                <w:szCs w:val="16"/>
                <w:b w:val="1"/>
                <w:bCs w:val="1"/>
                <w:color w:val="auto"/>
              </w:rPr>
              <w:t>Human resource support services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Pai Group, Inc. </w:t>
            </w:r>
            <w:r>
              <w:rPr>
                <w:rFonts w:ascii="Arial" w:cs="Arial" w:eastAsia="Arial" w:hAnsi="Arial"/>
                <w:sz w:val="23"/>
                <w:szCs w:val="23"/>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($34,737</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5/2018)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SumTotal Systems, LLC </w:t>
            </w:r>
            <w:r>
              <w:rPr>
                <w:rFonts w:ascii="Arial" w:cs="Arial" w:eastAsia="Arial" w:hAnsi="Arial"/>
                <w:sz w:val="27"/>
                <w:szCs w:val="27"/>
                <w:color w:val="auto"/>
                <w:vertAlign w:val="superscript"/>
              </w:rPr>
              <w:t>(3)(4)</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($7,483</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11/2018)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6.25%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11/16/2012</w:t>
            </w:r>
          </w:p>
        </w:tc>
        <w:tc>
          <w:tcPr>
            <w:tcW w:w="660" w:type="dxa"/>
            <w:vAlign w:val="bottom"/>
          </w:tcPr>
          <w:p>
            <w:pPr>
              <w:jc w:val="right"/>
              <w:spacing w:after="0"/>
              <w:rPr>
                <w:sz w:val="20"/>
                <w:szCs w:val="20"/>
                <w:color w:val="auto"/>
              </w:rPr>
            </w:pPr>
            <w:r>
              <w:rPr>
                <w:rFonts w:ascii="Arial" w:cs="Arial" w:eastAsia="Arial" w:hAnsi="Arial"/>
                <w:sz w:val="16"/>
                <w:szCs w:val="16"/>
                <w:color w:val="auto"/>
              </w:rPr>
              <w:t>7,405</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7,371</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loan</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($12,000 par,</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5/2019)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11/16/2012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11,932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11,790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53,316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53,302</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780" w:type="dxa"/>
            <w:vAlign w:val="bottom"/>
          </w:tcPr>
          <w:p>
            <w:pPr>
              <w:spacing w:after="0"/>
              <w:rPr>
                <w:sz w:val="12"/>
                <w:szCs w:val="12"/>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Interest</w:t>
            </w:r>
          </w:p>
        </w:tc>
        <w:tc>
          <w:tcPr>
            <w:tcW w:w="18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right"/>
              <w:ind w:right="2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Insurance</w:t>
            </w:r>
          </w:p>
        </w:tc>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Infogix, Inc. </w:t>
            </w:r>
            <w:r>
              <w:rPr>
                <w:rFonts w:ascii="Arial" w:cs="Arial" w:eastAsia="Arial" w:hAnsi="Arial"/>
                <w:sz w:val="22"/>
                <w:szCs w:val="22"/>
                <w:color w:val="auto"/>
                <w:vertAlign w:val="superscript"/>
              </w:rPr>
              <w:t>(3)(4)</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($31,888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6/2017)</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6/1/2012</w:t>
            </w:r>
          </w:p>
        </w:tc>
        <w:tc>
          <w:tcPr>
            <w:tcW w:w="660" w:type="dxa"/>
            <w:vAlign w:val="bottom"/>
          </w:tcPr>
          <w:p>
            <w:pPr>
              <w:jc w:val="right"/>
              <w:spacing w:after="0"/>
              <w:rPr>
                <w:sz w:val="20"/>
                <w:szCs w:val="20"/>
                <w:color w:val="auto"/>
              </w:rPr>
            </w:pPr>
            <w:r>
              <w:rPr>
                <w:rFonts w:ascii="Arial" w:cs="Arial" w:eastAsia="Arial" w:hAnsi="Arial"/>
                <w:sz w:val="16"/>
                <w:szCs w:val="16"/>
                <w:color w:val="auto"/>
              </w:rPr>
              <w:t>31,433</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31,808</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First-lien revolving</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loan ($850 par,</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due 6/2017)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180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32,215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32,646</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Manufacturing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Jeeves Information</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 (SEK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180"/>
              <w:spacing w:after="0" w:line="205" w:lineRule="exact"/>
              <w:rPr>
                <w:sz w:val="20"/>
                <w:szCs w:val="20"/>
                <w:color w:val="auto"/>
              </w:rPr>
            </w:pPr>
            <w:r>
              <w:rPr>
                <w:rFonts w:ascii="Arial" w:cs="Arial" w:eastAsia="Arial" w:hAnsi="Arial"/>
                <w:sz w:val="14"/>
                <w:szCs w:val="14"/>
                <w:color w:val="auto"/>
              </w:rPr>
              <w:t xml:space="preserve">Systems AB </w:t>
            </w:r>
            <w:r>
              <w:rPr>
                <w:rFonts w:ascii="Arial" w:cs="Arial" w:eastAsia="Arial" w:hAnsi="Arial"/>
                <w:sz w:val="23"/>
                <w:szCs w:val="23"/>
                <w:color w:val="auto"/>
                <w:vertAlign w:val="superscript"/>
              </w:rPr>
              <w:t>(3)(5)</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177,161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6/2018)</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9.25%</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6/5/2013</w:t>
            </w:r>
          </w:p>
        </w:tc>
        <w:tc>
          <w:tcPr>
            <w:tcW w:w="660" w:type="dxa"/>
            <w:vAlign w:val="bottom"/>
          </w:tcPr>
          <w:p>
            <w:pPr>
              <w:jc w:val="right"/>
              <w:spacing w:after="0"/>
              <w:rPr>
                <w:sz w:val="20"/>
                <w:szCs w:val="20"/>
                <w:color w:val="auto"/>
              </w:rPr>
            </w:pPr>
            <w:r>
              <w:rPr>
                <w:rFonts w:ascii="Arial" w:cs="Arial" w:eastAsia="Arial" w:hAnsi="Arial"/>
                <w:sz w:val="16"/>
                <w:szCs w:val="16"/>
                <w:color w:val="auto"/>
              </w:rPr>
              <w:t>26,486</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27,170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Metals and mining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Metalico, Inc. </w:t>
            </w:r>
            <w:r>
              <w:rPr>
                <w:rFonts w:ascii="Arial" w:cs="Arial" w:eastAsia="Arial" w:hAnsi="Arial"/>
                <w:sz w:val="22"/>
                <w:szCs w:val="22"/>
                <w:color w:val="auto"/>
                <w:vertAlign w:val="superscript"/>
              </w:rPr>
              <w:t>(3)(6)</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($35,650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11/2019)</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9.50%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w w:val="94"/>
              </w:rPr>
              <w:t>11/21/2013</w:t>
            </w:r>
          </w:p>
        </w:tc>
        <w:tc>
          <w:tcPr>
            <w:tcW w:w="660" w:type="dxa"/>
            <w:vAlign w:val="bottom"/>
          </w:tcPr>
          <w:p>
            <w:pPr>
              <w:jc w:val="right"/>
              <w:spacing w:after="0"/>
              <w:rPr>
                <w:sz w:val="20"/>
                <w:szCs w:val="20"/>
                <w:color w:val="auto"/>
              </w:rPr>
            </w:pPr>
            <w:r>
              <w:rPr>
                <w:rFonts w:ascii="Arial" w:cs="Arial" w:eastAsia="Arial" w:hAnsi="Arial"/>
                <w:sz w:val="16"/>
                <w:szCs w:val="16"/>
                <w:color w:val="auto"/>
              </w:rPr>
              <w:t>33,523</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33,841</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Office products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Ecommerce Industries, Inc. </w:t>
            </w:r>
            <w:r>
              <w:rPr>
                <w:rFonts w:ascii="Arial" w:cs="Arial" w:eastAsia="Arial" w:hAnsi="Arial"/>
                <w:sz w:val="22"/>
                <w:szCs w:val="22"/>
                <w:color w:val="auto"/>
                <w:vertAlign w:val="superscript"/>
              </w:rPr>
              <w:t>(3)(4)(6)</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($19,936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10/2016)</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10/17/2011</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19,764</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20,086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Oil, gas and consumable fuels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Global Geophysical </w:t>
            </w:r>
            <w:r>
              <w:rPr>
                <w:rFonts w:ascii="Arial" w:cs="Arial" w:eastAsia="Arial" w:hAnsi="Arial"/>
                <w:sz w:val="22"/>
                <w:szCs w:val="22"/>
                <w:color w:val="auto"/>
                <w:vertAlign w:val="superscript"/>
              </w:rPr>
              <w:t>(3)(4)</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($40,883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9/2016)</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10.75%</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9/30/2013</w:t>
            </w:r>
          </w:p>
        </w:tc>
        <w:tc>
          <w:tcPr>
            <w:tcW w:w="660" w:type="dxa"/>
            <w:vAlign w:val="bottom"/>
          </w:tcPr>
          <w:p>
            <w:pPr>
              <w:jc w:val="right"/>
              <w:spacing w:after="0"/>
              <w:rPr>
                <w:sz w:val="20"/>
                <w:szCs w:val="20"/>
                <w:color w:val="auto"/>
              </w:rPr>
            </w:pPr>
            <w:r>
              <w:rPr>
                <w:rFonts w:ascii="Arial" w:cs="Arial" w:eastAsia="Arial" w:hAnsi="Arial"/>
                <w:sz w:val="16"/>
                <w:szCs w:val="16"/>
                <w:color w:val="auto"/>
              </w:rPr>
              <w:t>39,617</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40,065</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Transportation</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Kewill, Ltd. </w:t>
            </w:r>
            <w:r>
              <w:rPr>
                <w:rFonts w:ascii="Arial" w:cs="Arial" w:eastAsia="Arial" w:hAnsi="Arial"/>
                <w:sz w:val="22"/>
                <w:szCs w:val="22"/>
                <w:color w:val="auto"/>
                <w:vertAlign w:val="superscript"/>
              </w:rPr>
              <w:t>(3)(5)</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Second-lien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($52,500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10/2019)</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9.50%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10/2/2013</w:t>
            </w:r>
          </w:p>
        </w:tc>
        <w:tc>
          <w:tcPr>
            <w:tcW w:w="660" w:type="dxa"/>
            <w:vAlign w:val="bottom"/>
          </w:tcPr>
          <w:p>
            <w:pPr>
              <w:jc w:val="right"/>
              <w:spacing w:after="0"/>
              <w:rPr>
                <w:sz w:val="20"/>
                <w:szCs w:val="20"/>
                <w:color w:val="auto"/>
              </w:rPr>
            </w:pPr>
            <w:r>
              <w:rPr>
                <w:rFonts w:ascii="Arial" w:cs="Arial" w:eastAsia="Arial" w:hAnsi="Arial"/>
                <w:sz w:val="16"/>
                <w:szCs w:val="16"/>
                <w:color w:val="auto"/>
              </w:rPr>
              <w:t>51,482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51,713</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Total Debt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994,518</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1,014,647</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15"/>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Equity Investments</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Arial" w:cs="Arial" w:eastAsia="Arial" w:hAnsi="Arial"/>
                <w:sz w:val="16"/>
                <w:szCs w:val="16"/>
                <w:color w:val="auto"/>
              </w:rPr>
              <w:t>Network Merchants, Inc</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Non-Voting Preferred</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Units (774,099 units)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9/12/2013</w:t>
            </w:r>
          </w:p>
        </w:tc>
        <w:tc>
          <w:tcPr>
            <w:tcW w:w="660" w:type="dxa"/>
            <w:vAlign w:val="bottom"/>
          </w:tcPr>
          <w:p>
            <w:pPr>
              <w:jc w:val="right"/>
              <w:spacing w:after="0"/>
              <w:rPr>
                <w:sz w:val="20"/>
                <w:szCs w:val="20"/>
                <w:color w:val="auto"/>
              </w:rPr>
            </w:pPr>
            <w:r>
              <w:rPr>
                <w:rFonts w:ascii="Arial" w:cs="Arial" w:eastAsia="Arial" w:hAnsi="Arial"/>
                <w:sz w:val="16"/>
                <w:szCs w:val="16"/>
                <w:color w:val="auto"/>
              </w:rPr>
              <w:t>780</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780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Healthcare and pharmaceuticals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Arial" w:cs="Arial" w:eastAsia="Arial" w:hAnsi="Arial"/>
                <w:sz w:val="16"/>
                <w:szCs w:val="16"/>
                <w:color w:val="auto"/>
              </w:rPr>
              <w:t>SRS Parent Corp.</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Common Shares</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Class A (1,980 shares)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1,980</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Common Shares</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Class B</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(2,953,020 shares)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w w:val="94"/>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1,024</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Total Equity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Total Investments</w:t>
            </w: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9"/>
              </w:rPr>
              <w:t>$ 997,298</w:t>
            </w:r>
          </w:p>
        </w:tc>
        <w:tc>
          <w:tcPr>
            <w:tcW w:w="28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1,016,451</w:t>
            </w:r>
          </w:p>
        </w:tc>
        <w:tc>
          <w:tcPr>
            <w:tcW w:w="280" w:type="dxa"/>
            <w:vAlign w:val="bottom"/>
            <w:vMerge w:val="continue"/>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240" w:hanging="452"/>
        <w:spacing w:after="0" w:line="261"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hanging="452"/>
        <w:spacing w:after="0" w:line="256"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right="560" w:hanging="452"/>
        <w:spacing w:after="0" w:line="250"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hanging="452"/>
        <w:spacing w:after="0" w:line="281" w:lineRule="auto"/>
        <w:tabs>
          <w:tab w:leader="none" w:pos="4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20" w:hanging="452"/>
        <w:spacing w:after="0" w:line="261"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gridSpan w:val="3"/>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w:t>
            </w: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Arial" w:cs="Arial" w:eastAsia="Arial" w:hAnsi="Arial"/>
                <w:sz w:val="16"/>
                <w:szCs w:val="16"/>
                <w:b w:val="1"/>
                <w:bCs w:val="1"/>
                <w:color w:val="auto"/>
              </w:rPr>
              <w:t>Aerospace and defense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MSC.Software Corporation </w:t>
            </w:r>
            <w:r>
              <w:rPr>
                <w:rFonts w:ascii="Arial" w:cs="Arial" w:eastAsia="Arial" w:hAnsi="Arial"/>
                <w:sz w:val="23"/>
                <w:szCs w:val="23"/>
                <w:color w:val="auto"/>
                <w:vertAlign w:val="superscript"/>
              </w:rPr>
              <w:t>(3)(4)(5)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($56,266</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12/23/2011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5"/>
              </w:rPr>
              <w:t>$  55,423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55,984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Arial" w:cs="Arial" w:eastAsia="Arial" w:hAnsi="Arial"/>
                <w:sz w:val="16"/>
                <w:szCs w:val="16"/>
                <w:b w:val="1"/>
                <w:bCs w:val="1"/>
                <w:color w:val="auto"/>
              </w:rPr>
              <w:t>Automotive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Heartland Automotive Holdings, LLC </w:t>
            </w:r>
            <w:r>
              <w:rPr>
                <w:rFonts w:ascii="Arial" w:cs="Arial" w:eastAsia="Arial" w:hAnsi="Arial"/>
                <w:sz w:val="23"/>
                <w:szCs w:val="23"/>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($38,951</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6/2017)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37,998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38,075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revolving loan ($555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6/2017)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8/28/2012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431</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Sage Automotive Interiors, Inc. </w:t>
            </w:r>
            <w:r>
              <w:rPr>
                <w:rFonts w:ascii="Arial" w:cs="Arial" w:eastAsia="Arial" w:hAnsi="Arial"/>
                <w:sz w:val="22"/>
                <w:szCs w:val="22"/>
                <w:color w:val="auto"/>
                <w:vertAlign w:val="superscript"/>
              </w:rPr>
              <w:t>(3)(4)(5)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($19,878</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12/31/2012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19,679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58,128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58,185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Beverage, food and tobacco</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AFS Technologies, Inc. </w:t>
            </w:r>
            <w:r>
              <w:rPr>
                <w:rFonts w:ascii="Arial" w:cs="Arial" w:eastAsia="Arial" w:hAnsi="Arial"/>
                <w:sz w:val="22"/>
                <w:szCs w:val="22"/>
                <w:color w:val="auto"/>
                <w:vertAlign w:val="superscript"/>
              </w:rPr>
              <w:t>(3)(4)(5)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($46,884</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8/2015)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7.75%</w:t>
            </w:r>
          </w:p>
        </w:tc>
        <w:tc>
          <w:tcPr>
            <w:tcW w:w="780" w:type="dxa"/>
            <w:vAlign w:val="bottom"/>
          </w:tcPr>
          <w:p>
            <w:pPr>
              <w:jc w:val="right"/>
              <w:spacing w:after="0"/>
              <w:rPr>
                <w:sz w:val="20"/>
                <w:szCs w:val="20"/>
                <w:color w:val="auto"/>
              </w:rPr>
            </w:pPr>
            <w:r>
              <w:rPr>
                <w:rFonts w:ascii="Arial" w:cs="Arial" w:eastAsia="Arial" w:hAnsi="Arial"/>
                <w:sz w:val="16"/>
                <w:szCs w:val="16"/>
                <w:color w:val="auto"/>
              </w:rPr>
              <w:t>8/31/2011</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45,987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46,532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Checkers Drive-In Restaurants, Inc. </w:t>
            </w:r>
            <w:r>
              <w:rPr>
                <w:rFonts w:ascii="Arial" w:cs="Arial" w:eastAsia="Arial" w:hAnsi="Arial"/>
                <w:sz w:val="22"/>
                <w:szCs w:val="22"/>
                <w:color w:val="auto"/>
                <w:vertAlign w:val="superscript"/>
              </w:rPr>
              <w:t>(5)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bond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($10,000 par,</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11/16/2012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10,025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56,004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56,557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Business services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Consona Holdings, Inc.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($29,925</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8/2018)</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8/13/2012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29,514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29,925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Attachmate Corporation </w:t>
            </w:r>
            <w:r>
              <w:rPr>
                <w:rFonts w:ascii="Arial" w:cs="Arial" w:eastAsia="Arial" w:hAnsi="Arial"/>
                <w:sz w:val="22"/>
                <w:szCs w:val="22"/>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($926</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6/25/2012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30,458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30,819</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Capital equipment</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Federal Signal Corporation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($41,608</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2/2017)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2/22/2012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40,897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43,064</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International Equipment Solutions, Inc. </w:t>
            </w:r>
            <w:r>
              <w:rPr>
                <w:rFonts w:ascii="Arial" w:cs="Arial" w:eastAsia="Arial" w:hAnsi="Arial"/>
                <w:sz w:val="22"/>
                <w:szCs w:val="22"/>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($29,391</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9/2016)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9/18/2012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28,732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28,876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69,629</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71,940</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Construction and building</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Mannington Mills, Inc.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($50,537 par,</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(incl. 2.00%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due 3/2017)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3/2/2012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49,551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53,190</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620" w:type="dxa"/>
            <w:vAlign w:val="bottom"/>
          </w:tcPr>
          <w:p>
            <w:pPr>
              <w:spacing w:after="0"/>
              <w:rPr>
                <w:sz w:val="12"/>
                <w:szCs w:val="12"/>
                <w:color w:val="auto"/>
              </w:rPr>
            </w:pP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Interest</w:t>
            </w:r>
          </w:p>
        </w:tc>
        <w:tc>
          <w:tcPr>
            <w:tcW w:w="17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(2)</w:t>
            </w:r>
          </w:p>
        </w:tc>
        <w:tc>
          <w:tcPr>
            <w:tcW w:w="90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Environmental Services</w:t>
            </w:r>
          </w:p>
        </w:tc>
        <w:tc>
          <w:tcPr>
            <w:tcW w:w="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Synagro Technologies, Inc. </w:t>
            </w:r>
            <w:r>
              <w:rPr>
                <w:rFonts w:ascii="Arial" w:cs="Arial" w:eastAsia="Arial" w:hAnsi="Arial"/>
                <w:sz w:val="22"/>
                <w:szCs w:val="22"/>
                <w:color w:val="auto"/>
                <w:vertAlign w:val="superscript"/>
              </w:rPr>
              <w:t>(3)</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 ($3,134</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par, due 10/2014)</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2.31%</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rPr>
              <w:t>11/8/2012</w:t>
            </w:r>
          </w:p>
        </w:tc>
        <w:tc>
          <w:tcPr>
            <w:tcW w:w="660" w:type="dxa"/>
            <w:vAlign w:val="bottom"/>
          </w:tcPr>
          <w:p>
            <w:pPr>
              <w:jc w:val="right"/>
              <w:spacing w:after="0"/>
              <w:rPr>
                <w:sz w:val="20"/>
                <w:szCs w:val="20"/>
                <w:color w:val="auto"/>
              </w:rPr>
            </w:pPr>
            <w:r>
              <w:rPr>
                <w:rFonts w:ascii="Arial" w:cs="Arial" w:eastAsia="Arial" w:hAnsi="Arial"/>
                <w:sz w:val="16"/>
                <w:szCs w:val="16"/>
                <w:color w:val="auto"/>
              </w:rPr>
              <w:t>2,759</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2,813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Second-lien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($5,670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10/2014)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9/14/2012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5,573</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Financial services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Embarcadero Technologies, Inc. </w:t>
            </w:r>
            <w:r>
              <w:rPr>
                <w:rFonts w:ascii="Arial" w:cs="Arial" w:eastAsia="Arial" w:hAnsi="Arial"/>
                <w:sz w:val="22"/>
                <w:szCs w:val="22"/>
                <w:color w:val="auto"/>
                <w:vertAlign w:val="superscript"/>
              </w:rPr>
              <w:t>(3)(4)(5)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($59,714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12/2017)</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58,223</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58,221</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Rogue Wave Holdings,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($40,000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11/2017)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11/21/2012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97,170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97,821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Healthcare and pharmaceuticals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eResearch Technology, Inc. </w:t>
            </w:r>
            <w:r>
              <w:rPr>
                <w:rFonts w:ascii="Arial" w:cs="Arial" w:eastAsia="Arial" w:hAnsi="Arial"/>
                <w:sz w:val="22"/>
                <w:szCs w:val="22"/>
                <w:color w:val="auto"/>
                <w:vertAlign w:val="superscript"/>
              </w:rPr>
              <w:t>(3)(5)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($24,937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rPr>
              <w:t>7/3/2012</w:t>
            </w:r>
          </w:p>
        </w:tc>
        <w:tc>
          <w:tcPr>
            <w:tcW w:w="660" w:type="dxa"/>
            <w:vAlign w:val="bottom"/>
          </w:tcPr>
          <w:p>
            <w:pPr>
              <w:jc w:val="right"/>
              <w:spacing w:after="0"/>
              <w:rPr>
                <w:sz w:val="20"/>
                <w:szCs w:val="20"/>
                <w:color w:val="auto"/>
              </w:rPr>
            </w:pPr>
            <w:r>
              <w:rPr>
                <w:rFonts w:ascii="Arial" w:cs="Arial" w:eastAsia="Arial" w:hAnsi="Arial"/>
                <w:sz w:val="16"/>
                <w:szCs w:val="16"/>
                <w:color w:val="auto"/>
              </w:rPr>
              <w:t>24,006</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24,626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Mediware Information Systems,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($50,500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11/9/2012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49,218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01"/>
        </w:trPr>
        <w:tc>
          <w:tcPr>
            <w:tcW w:w="354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SRS Software, LLC </w:t>
            </w:r>
            <w:r>
              <w:rPr>
                <w:rFonts w:ascii="Arial" w:cs="Arial" w:eastAsia="Arial" w:hAnsi="Arial"/>
                <w:sz w:val="27"/>
                <w:szCs w:val="27"/>
                <w:color w:val="auto"/>
                <w:vertAlign w:val="superscript"/>
              </w:rPr>
              <w:t>(3)(5)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($37,500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12/2017)</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8.75%</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36,439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36,563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109,675</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110,407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Hotel, gaming, and leisure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Mandalay Baseball Properties, LLC </w:t>
            </w:r>
            <w:r>
              <w:rPr>
                <w:rFonts w:ascii="Arial" w:cs="Arial" w:eastAsia="Arial" w:hAnsi="Arial"/>
                <w:sz w:val="23"/>
                <w:szCs w:val="23"/>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12.00%</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($28,414 par,</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(incl. 4.00%</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3/2017)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PIK)</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4/12/2012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28,556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Human resource support services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SumTotal Systems, LLC </w:t>
            </w:r>
            <w:r>
              <w:rPr>
                <w:rFonts w:ascii="Arial" w:cs="Arial" w:eastAsia="Arial" w:hAnsi="Arial"/>
                <w:sz w:val="23"/>
                <w:szCs w:val="23"/>
                <w:color w:val="auto"/>
                <w:vertAlign w:val="superscript"/>
              </w:rPr>
              <w:t>(3)</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($10,000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11/2018)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11/16/2012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9,925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Second-lien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($5,000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10.25%</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11/16/2012</w:t>
            </w:r>
          </w:p>
        </w:tc>
        <w:tc>
          <w:tcPr>
            <w:tcW w:w="660" w:type="dxa"/>
            <w:vAlign w:val="bottom"/>
          </w:tcPr>
          <w:p>
            <w:pPr>
              <w:jc w:val="right"/>
              <w:spacing w:after="0"/>
              <w:rPr>
                <w:sz w:val="20"/>
                <w:szCs w:val="20"/>
                <w:color w:val="auto"/>
              </w:rPr>
            </w:pPr>
            <w:r>
              <w:rPr>
                <w:rFonts w:ascii="Arial" w:cs="Arial" w:eastAsia="Arial" w:hAnsi="Arial"/>
                <w:sz w:val="16"/>
                <w:szCs w:val="16"/>
                <w:color w:val="auto"/>
              </w:rPr>
              <w:t>4,950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14,817</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Insurance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Infogix, Inc. </w:t>
            </w:r>
            <w:r>
              <w:rPr>
                <w:rFonts w:ascii="Arial" w:cs="Arial" w:eastAsia="Arial" w:hAnsi="Arial"/>
                <w:sz w:val="23"/>
                <w:szCs w:val="23"/>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($30,613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6/2017)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30,346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Office products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Ecommerce Industries, Inc. </w:t>
            </w:r>
            <w:r>
              <w:rPr>
                <w:rFonts w:ascii="Arial" w:cs="Arial" w:eastAsia="Arial" w:hAnsi="Arial"/>
                <w:sz w:val="23"/>
                <w:szCs w:val="23"/>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($21,562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10/2016)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10/17/2011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21,808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Transportation</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Teletrac,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($17,413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7/2017)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7/23/2012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Total Debt Investments</w:t>
            </w: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642,421</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651,944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Amortized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6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90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Equity Investments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340"/>
              <w:spacing w:after="0"/>
              <w:rPr>
                <w:sz w:val="20"/>
                <w:szCs w:val="20"/>
                <w:color w:val="auto"/>
              </w:rPr>
            </w:pPr>
            <w:r>
              <w:rPr>
                <w:rFonts w:ascii="Arial" w:cs="Arial" w:eastAsia="Arial" w:hAnsi="Arial"/>
                <w:sz w:val="16"/>
                <w:szCs w:val="16"/>
                <w:b w:val="1"/>
                <w:bCs w:val="1"/>
                <w:color w:val="auto"/>
              </w:rPr>
              <w:t>Healthcare and pharmaceuticals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SRS Parent Corp.</w:t>
            </w: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 (1,980 shares)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12/28/2012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1,980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1,980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01"/>
        </w:trPr>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Common Shares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Class B</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(2,953,020 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12/28/2012</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20</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Total Equity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2,000</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2,000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Investments</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$ 644,421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$ 653,944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53"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spacing w:after="0" w:line="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80" w:hanging="452"/>
        <w:spacing w:after="0" w:line="250"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460" w:hanging="452"/>
        <w:spacing w:after="0" w:line="265" w:lineRule="auto"/>
        <w:tabs>
          <w:tab w:leader="none" w:pos="4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ind w:left="460" w:right="600" w:hanging="452"/>
        <w:spacing w:after="0" w:line="261"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57,501</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28,029</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66,983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39,595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56,857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287,692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9,194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(48,301)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(26,997)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58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80" w:type="dxa"/>
            <w:vAlign w:val="bottom"/>
          </w:tcPr>
          <w:p>
            <w:pPr>
              <w:ind w:left="540"/>
              <w:spacing w:after="0"/>
              <w:rPr>
                <w:sz w:val="20"/>
                <w:szCs w:val="20"/>
                <w:color w:val="auto"/>
              </w:rPr>
            </w:pPr>
            <w:r>
              <w:rPr>
                <w:rFonts w:ascii="Arial" w:cs="Arial" w:eastAsia="Arial" w:hAnsi="Arial"/>
                <w:sz w:val="18"/>
                <w:szCs w:val="18"/>
                <w:b w:val="1"/>
                <w:bCs w:val="1"/>
                <w:color w:val="auto"/>
              </w:rPr>
              <w:t>Transactions</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94,893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306,711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574,696</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479,803</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End of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3,981</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(1,016)</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December 31, 2011</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66,983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39,595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increase in net assets resulting from operations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net cash used in operating activities: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change in unrealized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(9,630)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(7,211)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r>
      <w:tr>
        <w:trPr>
          <w:trHeight w:val="202"/>
        </w:trPr>
        <w:tc>
          <w:tcPr>
            <w:tcW w:w="56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change in unrealized loss on foreign currency forward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contracts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1,244</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(1,061)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(4,355)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gains on foreign currency forward contracts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amortization of discount on securities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(6,728)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(4,489)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Purchases of investments,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(602,988)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(760,668)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investments,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46,390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119,126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Repayments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214,293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190,594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Paid-in-kind interest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receivable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(6,292)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Management fees payable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Incentive fees payable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2,083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3,706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Payable to affiliate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1,324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(289,631)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(430,099)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r>
      <w:tr>
        <w:trPr>
          <w:trHeight w:val="223"/>
        </w:trPr>
        <w:tc>
          <w:tcPr>
            <w:tcW w:w="5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1,332,688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(801,569)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(1,155,852)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56,857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287,692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(24,396)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(10,968)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131,277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448,232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r>
      <w:tr>
        <w:trPr>
          <w:trHeight w:val="223"/>
        </w:trPr>
        <w:tc>
          <w:tcPr>
            <w:tcW w:w="5640" w:type="dxa"/>
            <w:vAlign w:val="bottom"/>
          </w:tcPr>
          <w:p>
            <w:pPr>
              <w:ind w:left="7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(158,354)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143,691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161,825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143,692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5640" w:type="dxa"/>
            <w:vAlign w:val="bottom"/>
          </w:tcPr>
          <w:p>
            <w:pPr>
              <w:ind w:left="7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8,792</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3,580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Excise taxes paid during the period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Dividends declared during the period</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55,385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29,770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Reinvestment of dividends during the period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26,438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9,194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Subscription receivable from common stockholders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1,870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 During this time the Company was devoting substantially all of its efforts to establishing the business and its planned principal operations had not commenced. All losses accumulated during the six months ended June 30, 2011, have been considered a part of the Company’s development stage activities.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February 18, 2014, we filed a registration statement on Form N-2 (File No. 333-193986) with the Securities and Exchange Commission related to an initial public offering of the Company’s common stock. The timing of the Company’s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66"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contractual life of the respective security using the effective yield method. The amortized cost of investments represents the original cost adjusted for the amortization of discounts and premiums, if any.</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2011, the Financial Accounting Standards Board (“FASB”) issued Accounting Standards Update No. 2011-11 (“ASU 2011-11”),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which requires entities to disclose information about offsetting and related arrangements to enable users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financial statements to understand the effect of those arrangements on the statement of assets and liabilities. In January 2013, the FASB issued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Update No. 2013-01 (“ASU 2013-01”),“</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types of instruments and transactions that are subject to the disclosure requirements established by ASU 2011-11. The Company’s adoption of ASU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 and ASU 2013-01 did not have a significant impact on the Company’s financial statements. See Note 5 for additional disclosure resulting from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adoption of ASU 2011-11 and ASU 2013-01.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2013, 2012 and 2011, Management Fees were $13.4 million, $8.9 million, and $1.6 million, respectively.</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of $7.1 million, $3.7 million, and $7 thousand, respectively, were waived.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spacing w:after="0" w:line="261" w:lineRule="auto"/>
        <w:rPr>
          <w:rFonts w:ascii="Arial" w:cs="Arial" w:eastAsia="Arial" w:hAnsi="Arial"/>
          <w:sz w:val="16"/>
          <w:szCs w:val="16"/>
          <w:color w:val="auto"/>
        </w:rPr>
      </w:pPr>
      <w:r>
        <w:rPr>
          <w:rFonts w:ascii="Arial" w:cs="Arial" w:eastAsia="Arial" w:hAnsi="Arial"/>
          <w:sz w:val="18"/>
          <w:szCs w:val="18"/>
          <w:color w:val="auto"/>
        </w:rPr>
        <w:t>1.5% quarterly “hurdle rate” the calculation of which is further explained below, until the Adviser has received 15% of the total pre-Incentive Fee net investment income for that quarter (17.5% subsequent to an IPO) and, for pre-Incentive Fee net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6" w:lineRule="auto"/>
        <w:rPr>
          <w:sz w:val="20"/>
          <w:szCs w:val="20"/>
          <w:color w:val="auto"/>
        </w:rPr>
      </w:pPr>
      <w:r>
        <w:rPr>
          <w:rFonts w:ascii="Arial" w:cs="Arial" w:eastAsia="Arial" w:hAnsi="Arial"/>
          <w:sz w:val="17"/>
          <w:szCs w:val="17"/>
          <w:color w:val="auto"/>
        </w:rPr>
        <w:t>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64"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88"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2013</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540" w:type="dxa"/>
            <w:vAlign w:val="bottom"/>
          </w:tcPr>
          <w:p>
            <w:pPr>
              <w:spacing w:after="0"/>
              <w:rPr>
                <w:sz w:val="10"/>
                <w:szCs w:val="10"/>
                <w:color w:val="auto"/>
              </w:rPr>
            </w:pPr>
          </w:p>
        </w:tc>
        <w:tc>
          <w:tcPr>
            <w:tcW w:w="12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877,164</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131,082</w:t>
            </w:r>
          </w:p>
        </w:tc>
        <w:tc>
          <w:tcPr>
            <w:tcW w:w="280" w:type="dxa"/>
            <w:vAlign w:val="bottom"/>
          </w:tcPr>
          <w:p>
            <w:pPr>
              <w:spacing w:after="0"/>
              <w:rPr>
                <w:sz w:val="18"/>
                <w:szCs w:val="18"/>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8"/>
                <w:szCs w:val="18"/>
                <w:color w:val="auto"/>
              </w:rPr>
              <w:t>137,482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1,805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28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3"/>
              </w:rPr>
              <w:t xml:space="preserve">Amortized Cost </w:t>
            </w:r>
            <w:r>
              <w:rPr>
                <w:rFonts w:ascii="Arial" w:cs="Arial" w:eastAsia="Arial" w:hAnsi="Arial"/>
                <w:sz w:val="12"/>
                <w:szCs w:val="12"/>
                <w:b w:val="1"/>
                <w:bCs w:val="1"/>
                <w:color w:val="auto"/>
                <w:w w:val="93"/>
              </w:rPr>
              <w:t>(1)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67,332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2,325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3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644,421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0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9,523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line="277" w:lineRule="auto"/>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2013</w:t>
            </w:r>
          </w:p>
        </w:tc>
        <w:tc>
          <w:tcPr>
            <w:tcW w:w="1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Automotive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6.1%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Business services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16.5%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5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5.1%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Education</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5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Financial services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10.8%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7.2%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Insurance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Metals and mining</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136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1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gridSpan w:val="4"/>
          </w:tcPr>
          <w:p>
            <w:pPr>
              <w:jc w:val="right"/>
              <w:ind w:right="1260"/>
              <w:spacing w:after="0"/>
              <w:rPr>
                <w:sz w:val="20"/>
                <w:szCs w:val="20"/>
                <w:color w:val="auto"/>
              </w:rPr>
            </w:pPr>
            <w:r>
              <w:rPr>
                <w:rFonts w:ascii="Arial" w:cs="Arial" w:eastAsia="Arial" w:hAnsi="Arial"/>
                <w:sz w:val="18"/>
                <w:szCs w:val="18"/>
                <w:color w:val="auto"/>
                <w:w w:val="90"/>
              </w:rPr>
              <w:t>The geographic composition of Investments at fair value at December 31, 2013 and 2012 is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50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8"/>
              </w:rPr>
              <w:t>December 31, 2013</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CCEEFF"/>
              <w:left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Midwest</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South</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Europe</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72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Amount (in ‘000s)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 Forward Contracts</w:t>
            </w:r>
          </w:p>
        </w:tc>
        <w:tc>
          <w:tcPr>
            <w:tcW w:w="1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 Date</w:t>
            </w:r>
          </w:p>
        </w:tc>
        <w:tc>
          <w:tcPr>
            <w:tcW w:w="15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Financial</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Transaction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Settlement Date</w:t>
            </w:r>
          </w:p>
        </w:tc>
        <w:tc>
          <w:tcPr>
            <w:tcW w:w="2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Swedish Kronor (SEK)</w:t>
            </w:r>
          </w:p>
        </w:tc>
        <w:tc>
          <w:tcPr>
            <w:tcW w:w="19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January 24, 2014</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(28,440)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0"/>
              </w:rPr>
              <w:t>(29,366)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7,000 sold</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(11,274)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(39,714)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(40,958)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81"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2013 and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11"/>
          </w:tcPr>
          <w:p>
            <w:pPr>
              <w:ind w:left="300"/>
              <w:spacing w:after="0"/>
              <w:rPr>
                <w:sz w:val="20"/>
                <w:szCs w:val="20"/>
                <w:color w:val="auto"/>
              </w:rPr>
            </w:pPr>
            <w:r>
              <w:rPr>
                <w:rFonts w:ascii="Arial" w:cs="Arial" w:eastAsia="Arial" w:hAnsi="Arial"/>
                <w:sz w:val="14"/>
                <w:szCs w:val="14"/>
                <w:b w:val="1"/>
                <w:bCs w:val="1"/>
                <w:color w:val="auto"/>
              </w:rPr>
              <w:t>Fair Value Hierarchy at December 31, 2013</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$854,972</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877,164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33,952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103,530</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4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9"/>
                <w:szCs w:val="19"/>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56,144</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1,016,451</w:t>
            </w:r>
          </w:p>
        </w:tc>
        <w:tc>
          <w:tcPr>
            <w:tcW w:w="8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30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(1,244)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20"/>
                <w:szCs w:val="20"/>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1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1,015,207</w:t>
            </w:r>
          </w:p>
        </w:tc>
        <w:tc>
          <w:tcPr>
            <w:tcW w:w="8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1"/>
          </w:tcPr>
          <w:p>
            <w:pPr>
              <w:ind w:left="300"/>
              <w:spacing w:after="0"/>
              <w:rPr>
                <w:sz w:val="20"/>
                <w:szCs w:val="20"/>
                <w:color w:val="auto"/>
              </w:rPr>
            </w:pPr>
            <w:r>
              <w:rPr>
                <w:rFonts w:ascii="Arial" w:cs="Arial" w:eastAsia="Arial" w:hAnsi="Arial"/>
                <w:sz w:val="14"/>
                <w:szCs w:val="14"/>
                <w:b w:val="1"/>
                <w:bCs w:val="1"/>
                <w:color w:val="auto"/>
              </w:rPr>
              <w:t>Fair Value Hierarchy at December 31, 2012</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$68,183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16,467</w:t>
            </w:r>
          </w:p>
        </w:tc>
        <w:tc>
          <w:tcPr>
            <w:tcW w:w="300" w:type="dxa"/>
            <w:vAlign w:val="bottom"/>
          </w:tcPr>
          <w:p>
            <w:pPr>
              <w:spacing w:after="0"/>
              <w:rPr>
                <w:sz w:val="18"/>
                <w:szCs w:val="18"/>
                <w:color w:val="auto"/>
              </w:rPr>
            </w:pPr>
          </w:p>
        </w:tc>
        <w:tc>
          <w:tcPr>
            <w:tcW w:w="1400" w:type="dxa"/>
            <w:vAlign w:val="bottom"/>
            <w:gridSpan w:val="4"/>
          </w:tcPr>
          <w:p>
            <w:pPr>
              <w:jc w:val="right"/>
              <w:ind w:right="440"/>
              <w:spacing w:after="0"/>
              <w:rPr>
                <w:sz w:val="20"/>
                <w:szCs w:val="20"/>
                <w:color w:val="auto"/>
              </w:rPr>
            </w:pPr>
            <w:r>
              <w:rPr>
                <w:rFonts w:ascii="Arial" w:cs="Arial" w:eastAsia="Arial" w:hAnsi="Arial"/>
                <w:sz w:val="18"/>
                <w:szCs w:val="18"/>
                <w:color w:val="auto"/>
              </w:rPr>
              <w:t>53,190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69,657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0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r>
      <w:tr>
        <w:trPr>
          <w:trHeight w:val="27"/>
        </w:trPr>
        <w:tc>
          <w:tcPr>
            <w:tcW w:w="3940" w:type="dxa"/>
            <w:vAlign w:val="bottom"/>
          </w:tcPr>
          <w:p>
            <w:pPr>
              <w:spacing w:after="0"/>
              <w:rPr>
                <w:sz w:val="2"/>
                <w:szCs w:val="2"/>
                <w:color w:val="auto"/>
              </w:rPr>
            </w:pPr>
          </w:p>
        </w:tc>
        <w:tc>
          <w:tcPr>
            <w:tcW w:w="2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84,650</w:t>
            </w:r>
          </w:p>
        </w:tc>
        <w:tc>
          <w:tcPr>
            <w:tcW w:w="3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569,294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740" w:type="dxa"/>
            <w:vAlign w:val="bottom"/>
            <w:gridSpan w:val="3"/>
          </w:tcPr>
          <w:p>
            <w:pPr>
              <w:ind w:left="1140"/>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780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(178,831)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(975)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29,925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$ 854,972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$ 103,530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$ 960,307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(179,800)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(10,000)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$ 514,104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4260" w:type="dxa"/>
            <w:vAlign w:val="bottom"/>
          </w:tcPr>
          <w:p>
            <w:pPr>
              <w:spacing w:after="0"/>
              <w:rPr>
                <w:sz w:val="12"/>
                <w:szCs w:val="12"/>
                <w:color w:val="auto"/>
              </w:rPr>
            </w:pPr>
          </w:p>
        </w:tc>
        <w:tc>
          <w:tcPr>
            <w:tcW w:w="342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1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4"/>
              </w:rPr>
              <w:t>for the Year Ended</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1"/>
              </w:rPr>
              <w:t>December 31, 2013 on</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 2012 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2012</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4"/>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3320" w:type="dxa"/>
            <w:vAlign w:val="bottom"/>
            <w:gridSpan w:val="2"/>
          </w:tcPr>
          <w:p>
            <w:pPr>
              <w:jc w:val="right"/>
              <w:ind w:right="160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8"/>
                <w:szCs w:val="18"/>
                <w:color w:val="auto"/>
              </w:rPr>
            </w:pPr>
          </w:p>
        </w:tc>
        <w:tc>
          <w:tcPr>
            <w:tcW w:w="1800" w:type="dxa"/>
            <w:vAlign w:val="bottom"/>
            <w:gridSpan w:val="2"/>
          </w:tcPr>
          <w:p>
            <w:pPr>
              <w:ind w:left="1300"/>
              <w:spacing w:after="0"/>
              <w:rPr>
                <w:sz w:val="20"/>
                <w:szCs w:val="20"/>
                <w:color w:val="auto"/>
              </w:rPr>
            </w:pPr>
            <w:r>
              <w:rPr>
                <w:rFonts w:ascii="Arial" w:cs="Arial" w:eastAsia="Arial" w:hAnsi="Arial"/>
                <w:sz w:val="18"/>
                <w:szCs w:val="18"/>
                <w:color w:val="auto"/>
              </w:rPr>
              <w:t>3,638</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3320" w:type="dxa"/>
            <w:vAlign w:val="bottom"/>
            <w:gridSpan w:val="2"/>
          </w:tcPr>
          <w:p>
            <w:pPr>
              <w:jc w:val="right"/>
              <w:ind w:right="154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7,918</w:t>
            </w:r>
          </w:p>
        </w:tc>
      </w:tr>
      <w:tr>
        <w:trPr>
          <w:trHeight w:val="20"/>
        </w:trPr>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0"/>
              </w:rPr>
              <w:t>December 31, 2013</w:t>
            </w:r>
          </w:p>
        </w:tc>
        <w:tc>
          <w:tcPr>
            <w:tcW w:w="1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Valuation</w:t>
            </w:r>
          </w:p>
        </w:tc>
        <w:tc>
          <w:tcPr>
            <w:tcW w:w="18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Unobservable</w:t>
            </w:r>
          </w:p>
        </w:tc>
        <w:tc>
          <w:tcPr>
            <w:tcW w:w="212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2"/>
              </w:rPr>
              <w:t>Range (Weighted</w:t>
            </w:r>
          </w:p>
        </w:tc>
        <w:tc>
          <w:tcPr>
            <w:tcW w:w="13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9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from an Increase to</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Technique</w:t>
            </w: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Input</w:t>
            </w:r>
          </w:p>
        </w:tc>
        <w:tc>
          <w:tcPr>
            <w:tcW w:w="212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3"/>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854,972</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Arial" w:cs="Arial" w:eastAsia="Arial" w:hAnsi="Arial"/>
                <w:sz w:val="15"/>
                <w:szCs w:val="15"/>
                <w:color w:val="auto"/>
              </w:rPr>
              <w:t>Income Approach</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8"/>
              </w:rPr>
              <w:t>5.50% — 13.12% (9.81%</w:t>
            </w:r>
          </w:p>
        </w:tc>
        <w:tc>
          <w:tcPr>
            <w:tcW w:w="440" w:type="dxa"/>
            <w:vAlign w:val="bottom"/>
            <w:tcBorders>
              <w:top w:val="single" w:sz="8" w:color="CCEEFF"/>
            </w:tcBorders>
            <w:shd w:val="clear" w:color="auto" w:fill="CCEEFF"/>
          </w:tcPr>
          <w:p>
            <w:pPr>
              <w:jc w:val="right"/>
              <w:ind w:right="303"/>
              <w:spacing w:after="0" w:line="156" w:lineRule="exact"/>
              <w:rPr>
                <w:sz w:val="20"/>
                <w:szCs w:val="20"/>
                <w:color w:val="auto"/>
              </w:rPr>
            </w:pPr>
            <w:r>
              <w:rPr>
                <w:rFonts w:ascii="Arial" w:cs="Arial" w:eastAsia="Arial" w:hAnsi="Arial"/>
                <w:sz w:val="15"/>
                <w:szCs w:val="15"/>
                <w:color w:val="auto"/>
                <w:w w:val="79"/>
              </w:rPr>
              <w:t>)</w:t>
            </w: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Second-lien debt investments</w:t>
            </w:r>
          </w:p>
        </w:tc>
        <w:tc>
          <w:tcPr>
            <w:tcW w:w="1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9"/>
              </w:rPr>
              <w:t>103,530</w:t>
            </w:r>
          </w:p>
        </w:tc>
        <w:tc>
          <w:tcPr>
            <w:tcW w:w="190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spacing w:after="0" w:line="162" w:lineRule="exact"/>
              <w:rPr>
                <w:sz w:val="20"/>
                <w:szCs w:val="20"/>
                <w:color w:val="auto"/>
              </w:rPr>
            </w:pPr>
            <w:r>
              <w:rPr>
                <w:rFonts w:ascii="Arial" w:cs="Arial" w:eastAsia="Arial" w:hAnsi="Arial"/>
                <w:sz w:val="15"/>
                <w:szCs w:val="15"/>
                <w:color w:val="auto"/>
              </w:rPr>
              <w:t>Market Yield</w:t>
            </w:r>
          </w:p>
        </w:tc>
        <w:tc>
          <w:tcPr>
            <w:tcW w:w="2120" w:type="dxa"/>
            <w:vAlign w:val="bottom"/>
            <w:gridSpan w:val="2"/>
          </w:tcPr>
          <w:p>
            <w:pPr>
              <w:jc w:val="right"/>
              <w:ind w:right="303"/>
              <w:spacing w:after="0" w:line="162" w:lineRule="exact"/>
              <w:rPr>
                <w:sz w:val="20"/>
                <w:szCs w:val="20"/>
                <w:color w:val="auto"/>
              </w:rPr>
            </w:pPr>
            <w:r>
              <w:rPr>
                <w:rFonts w:ascii="Arial" w:cs="Arial" w:eastAsia="Arial" w:hAnsi="Arial"/>
                <w:sz w:val="15"/>
                <w:szCs w:val="15"/>
                <w:color w:val="auto"/>
              </w:rPr>
              <w:t>9.32% —9.87% (9.59%)</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5"/>
                <w:szCs w:val="15"/>
                <w:color w:val="auto"/>
              </w:rPr>
              <w:t>Equity investments</w:t>
            </w:r>
          </w:p>
        </w:tc>
        <w:tc>
          <w:tcPr>
            <w:tcW w:w="140" w:type="dxa"/>
            <w:vAlign w:val="bottom"/>
          </w:tcPr>
          <w:p>
            <w:pPr>
              <w:spacing w:after="0" w:line="14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1,805</w:t>
            </w:r>
          </w:p>
        </w:tc>
        <w:tc>
          <w:tcPr>
            <w:tcW w:w="1900" w:type="dxa"/>
            <w:vAlign w:val="bottom"/>
            <w:gridSpan w:val="2"/>
          </w:tcPr>
          <w:p>
            <w:pPr>
              <w:ind w:left="40"/>
              <w:spacing w:after="0" w:line="149"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spacing w:after="0" w:line="149" w:lineRule="exact"/>
              <w:rPr>
                <w:sz w:val="20"/>
                <w:szCs w:val="20"/>
                <w:color w:val="auto"/>
              </w:rPr>
            </w:pPr>
            <w:r>
              <w:rPr>
                <w:rFonts w:ascii="Arial" w:cs="Arial" w:eastAsia="Arial" w:hAnsi="Arial"/>
                <w:sz w:val="15"/>
                <w:szCs w:val="15"/>
                <w:color w:val="auto"/>
              </w:rPr>
              <w:t>Weighted</w:t>
            </w:r>
          </w:p>
        </w:tc>
        <w:tc>
          <w:tcPr>
            <w:tcW w:w="2120" w:type="dxa"/>
            <w:vAlign w:val="bottom"/>
            <w:gridSpan w:val="2"/>
          </w:tcPr>
          <w:p>
            <w:pPr>
              <w:jc w:val="right"/>
              <w:ind w:right="363"/>
              <w:spacing w:after="0" w:line="149" w:lineRule="exact"/>
              <w:rPr>
                <w:sz w:val="20"/>
                <w:szCs w:val="20"/>
                <w:color w:val="auto"/>
              </w:rPr>
            </w:pPr>
            <w:r>
              <w:rPr>
                <w:rFonts w:ascii="Arial" w:cs="Arial" w:eastAsia="Arial" w:hAnsi="Arial"/>
                <w:sz w:val="15"/>
                <w:szCs w:val="15"/>
                <w:color w:val="auto"/>
              </w:rPr>
              <w:t>12.1% — 15.3% (14.0%)</w:t>
            </w: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2"/>
          </w:tcPr>
          <w:p>
            <w:pPr>
              <w:spacing w:after="0" w:line="162" w:lineRule="exact"/>
              <w:rPr>
                <w:sz w:val="20"/>
                <w:szCs w:val="20"/>
                <w:color w:val="auto"/>
              </w:rPr>
            </w:pPr>
            <w:r>
              <w:rPr>
                <w:rFonts w:ascii="Arial" w:cs="Arial" w:eastAsia="Arial" w:hAnsi="Arial"/>
                <w:sz w:val="15"/>
                <w:szCs w:val="15"/>
                <w:color w:val="auto"/>
              </w:rPr>
              <w:t>Average Cost of</w:t>
            </w: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5"/>
                <w:szCs w:val="15"/>
                <w:color w:val="auto"/>
              </w:rPr>
              <w:t>Capital (WACC)</w:t>
            </w: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gridSpan w:val="4"/>
            <w:shd w:val="clear" w:color="auto" w:fill="CCEEFF"/>
          </w:tcPr>
          <w:p>
            <w:pPr>
              <w:ind w:left="660"/>
              <w:spacing w:after="0" w:line="162" w:lineRule="exact"/>
              <w:rPr>
                <w:sz w:val="20"/>
                <w:szCs w:val="20"/>
                <w:color w:val="auto"/>
              </w:rPr>
            </w:pPr>
            <w:r>
              <w:rPr>
                <w:rFonts w:ascii="Arial" w:cs="Arial" w:eastAsia="Arial" w:hAnsi="Arial"/>
                <w:sz w:val="15"/>
                <w:szCs w:val="15"/>
                <w:b w:val="1"/>
                <w:bCs w:val="1"/>
                <w:color w:val="auto"/>
              </w:rPr>
              <w:t>December 31, 2012</w:t>
            </w:r>
          </w:p>
        </w:tc>
        <w:tc>
          <w:tcPr>
            <w:tcW w:w="13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0"/>
              </w:rPr>
              <w:t>Unobservable</w:t>
            </w:r>
          </w:p>
        </w:tc>
        <w:tc>
          <w:tcPr>
            <w:tcW w:w="1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right"/>
              <w:spacing w:after="0" w:line="138" w:lineRule="exact"/>
              <w:rPr>
                <w:sz w:val="20"/>
                <w:szCs w:val="20"/>
                <w:color w:val="auto"/>
              </w:rPr>
            </w:pPr>
            <w:r>
              <w:rPr>
                <w:rFonts w:ascii="Arial" w:cs="Arial" w:eastAsia="Arial" w:hAnsi="Arial"/>
                <w:sz w:val="15"/>
                <w:szCs w:val="15"/>
                <w:b w:val="1"/>
                <w:bCs w:val="1"/>
                <w:color w:val="auto"/>
                <w:w w:val="92"/>
              </w:rPr>
              <w:t>Impact to Valuation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540"/>
              <w:spacing w:after="0" w:line="152" w:lineRule="exact"/>
              <w:rPr>
                <w:sz w:val="20"/>
                <w:szCs w:val="20"/>
                <w:color w:val="auto"/>
              </w:rPr>
            </w:pPr>
            <w:r>
              <w:rPr>
                <w:rFonts w:ascii="Arial" w:cs="Arial" w:eastAsia="Arial" w:hAnsi="Arial"/>
                <w:sz w:val="15"/>
                <w:szCs w:val="15"/>
                <w:b w:val="1"/>
                <w:bCs w:val="1"/>
                <w:color w:val="auto"/>
                <w:w w:val="94"/>
              </w:rPr>
              <w:t>Valuation</w:t>
            </w:r>
          </w:p>
        </w:tc>
        <w:tc>
          <w:tcPr>
            <w:tcW w:w="1820" w:type="dxa"/>
            <w:vAlign w:val="bottom"/>
            <w:gridSpan w:val="2"/>
            <w:vMerge w:val="continue"/>
          </w:tcPr>
          <w:p>
            <w:pPr>
              <w:spacing w:after="0"/>
              <w:rPr>
                <w:sz w:val="13"/>
                <w:szCs w:val="13"/>
                <w:color w:val="auto"/>
              </w:rPr>
            </w:pPr>
          </w:p>
        </w:tc>
        <w:tc>
          <w:tcPr>
            <w:tcW w:w="2120" w:type="dxa"/>
            <w:vAlign w:val="bottom"/>
            <w:gridSpan w:val="2"/>
          </w:tcPr>
          <w:p>
            <w:pPr>
              <w:jc w:val="center"/>
              <w:ind w:right="363"/>
              <w:spacing w:after="0" w:line="152" w:lineRule="exact"/>
              <w:rPr>
                <w:sz w:val="20"/>
                <w:szCs w:val="20"/>
                <w:color w:val="auto"/>
              </w:rPr>
            </w:pPr>
            <w:r>
              <w:rPr>
                <w:rFonts w:ascii="Arial" w:cs="Arial" w:eastAsia="Arial" w:hAnsi="Arial"/>
                <w:sz w:val="15"/>
                <w:szCs w:val="15"/>
                <w:b w:val="1"/>
                <w:bCs w:val="1"/>
                <w:color w:val="auto"/>
                <w:w w:val="91"/>
              </w:rPr>
              <w:t>Range (Weighted</w:t>
            </w:r>
          </w:p>
        </w:tc>
        <w:tc>
          <w:tcPr>
            <w:tcW w:w="1400" w:type="dxa"/>
            <w:vAlign w:val="bottom"/>
            <w:gridSpan w:val="2"/>
          </w:tcPr>
          <w:p>
            <w:pPr>
              <w:jc w:val="right"/>
              <w:ind w:right="120"/>
              <w:spacing w:after="0" w:line="152" w:lineRule="exact"/>
              <w:rPr>
                <w:sz w:val="20"/>
                <w:szCs w:val="20"/>
                <w:color w:val="auto"/>
              </w:rPr>
            </w:pPr>
            <w:r>
              <w:rPr>
                <w:rFonts w:ascii="Arial" w:cs="Arial" w:eastAsia="Arial" w:hAnsi="Arial"/>
                <w:sz w:val="15"/>
                <w:szCs w:val="15"/>
                <w:b w:val="1"/>
                <w:bCs w:val="1"/>
                <w:color w:val="auto"/>
                <w:w w:val="91"/>
              </w:rPr>
              <w:t>from an Increase to</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5"/>
                <w:szCs w:val="15"/>
                <w:b w:val="1"/>
                <w:bCs w:val="1"/>
                <w:color w:val="auto"/>
              </w:rPr>
              <w:t>Fair Value</w:t>
            </w:r>
          </w:p>
        </w:tc>
        <w:tc>
          <w:tcPr>
            <w:tcW w:w="190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w w:val="90"/>
              </w:rPr>
              <w:t>Technique</w:t>
            </w:r>
          </w:p>
        </w:tc>
        <w:tc>
          <w:tcPr>
            <w:tcW w:w="18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8"/>
              </w:rPr>
              <w:t>Input</w:t>
            </w:r>
          </w:p>
        </w:tc>
        <w:tc>
          <w:tcPr>
            <w:tcW w:w="2120" w:type="dxa"/>
            <w:vAlign w:val="bottom"/>
            <w:gridSpan w:val="2"/>
          </w:tcPr>
          <w:p>
            <w:pPr>
              <w:jc w:val="center"/>
              <w:ind w:right="363"/>
              <w:spacing w:after="0"/>
              <w:rPr>
                <w:sz w:val="20"/>
                <w:szCs w:val="20"/>
                <w:color w:val="auto"/>
              </w:rPr>
            </w:pPr>
            <w:r>
              <w:rPr>
                <w:rFonts w:ascii="Arial" w:cs="Arial" w:eastAsia="Arial" w:hAnsi="Arial"/>
                <w:sz w:val="15"/>
                <w:szCs w:val="15"/>
                <w:b w:val="1"/>
                <w:bCs w:val="1"/>
                <w:color w:val="auto"/>
                <w:w w:val="93"/>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514,104</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Arial" w:cs="Arial" w:eastAsia="Arial" w:hAnsi="Arial"/>
                <w:sz w:val="15"/>
                <w:szCs w:val="15"/>
                <w:color w:val="auto"/>
                <w:w w:val="92"/>
              </w:rPr>
              <w:t>Income Approach (1)</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ind w:left="680"/>
              <w:spacing w:after="0" w:line="156" w:lineRule="exact"/>
              <w:rPr>
                <w:sz w:val="20"/>
                <w:szCs w:val="20"/>
                <w:color w:val="auto"/>
              </w:rPr>
            </w:pPr>
            <w:r>
              <w:rPr>
                <w:rFonts w:ascii="Arial" w:cs="Arial" w:eastAsia="Arial" w:hAnsi="Arial"/>
                <w:sz w:val="15"/>
                <w:szCs w:val="15"/>
                <w:color w:val="auto"/>
                <w:w w:val="93"/>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7.00% - 11.29% (9.71%)</w:t>
            </w:r>
          </w:p>
        </w:tc>
        <w:tc>
          <w:tcPr>
            <w:tcW w:w="44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Second-lien debt investments</w:t>
            </w:r>
          </w:p>
        </w:tc>
        <w:tc>
          <w:tcPr>
            <w:tcW w:w="1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53,190</w:t>
            </w:r>
          </w:p>
        </w:tc>
        <w:tc>
          <w:tcPr>
            <w:tcW w:w="190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ind w:left="680"/>
              <w:spacing w:after="0" w:line="162" w:lineRule="exact"/>
              <w:rPr>
                <w:sz w:val="20"/>
                <w:szCs w:val="20"/>
                <w:color w:val="auto"/>
              </w:rPr>
            </w:pPr>
            <w:r>
              <w:rPr>
                <w:rFonts w:ascii="Arial" w:cs="Arial" w:eastAsia="Arial" w:hAnsi="Arial"/>
                <w:sz w:val="15"/>
                <w:szCs w:val="15"/>
                <w:color w:val="auto"/>
              </w:rPr>
              <w:t>Market Yield</w:t>
            </w:r>
          </w:p>
        </w:tc>
        <w:tc>
          <w:tcPr>
            <w:tcW w:w="2120" w:type="dxa"/>
            <w:vAlign w:val="bottom"/>
            <w:gridSpan w:val="2"/>
          </w:tcPr>
          <w:p>
            <w:pPr>
              <w:jc w:val="right"/>
              <w:ind w:right="363"/>
              <w:spacing w:after="0" w:line="162" w:lineRule="exact"/>
              <w:rPr>
                <w:sz w:val="20"/>
                <w:szCs w:val="20"/>
                <w:color w:val="auto"/>
              </w:rPr>
            </w:pPr>
            <w:r>
              <w:rPr>
                <w:rFonts w:ascii="Arial" w:cs="Arial" w:eastAsia="Arial" w:hAnsi="Arial"/>
                <w:sz w:val="15"/>
                <w:szCs w:val="15"/>
                <w:color w:val="auto"/>
                <w:w w:val="94"/>
              </w:rPr>
              <w:t>10.78% -10.78% (10.78%)</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line="164" w:lineRule="exact"/>
              <w:rPr>
                <w:sz w:val="20"/>
                <w:szCs w:val="20"/>
                <w:color w:val="auto"/>
              </w:rPr>
            </w:pPr>
            <w:r>
              <w:rPr>
                <w:rFonts w:ascii="Arial" w:cs="Arial" w:eastAsia="Arial" w:hAnsi="Arial"/>
                <w:sz w:val="15"/>
                <w:szCs w:val="15"/>
                <w:color w:val="auto"/>
              </w:rPr>
              <w:t>Equity investments</w:t>
            </w:r>
          </w:p>
        </w:tc>
        <w:tc>
          <w:tcPr>
            <w:tcW w:w="140" w:type="dxa"/>
            <w:vAlign w:val="bottom"/>
          </w:tcPr>
          <w:p>
            <w:pPr>
              <w:spacing w:after="0" w:line="164"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4" w:lineRule="exact"/>
              <w:rPr>
                <w:sz w:val="20"/>
                <w:szCs w:val="20"/>
                <w:color w:val="auto"/>
              </w:rPr>
            </w:pPr>
            <w:r>
              <w:rPr>
                <w:rFonts w:ascii="Arial" w:cs="Arial" w:eastAsia="Arial" w:hAnsi="Arial"/>
                <w:sz w:val="15"/>
                <w:szCs w:val="15"/>
                <w:color w:val="auto"/>
              </w:rPr>
              <w:t>2,000</w:t>
            </w:r>
          </w:p>
        </w:tc>
        <w:tc>
          <w:tcPr>
            <w:tcW w:w="1900" w:type="dxa"/>
            <w:vAlign w:val="bottom"/>
            <w:gridSpan w:val="2"/>
          </w:tcPr>
          <w:p>
            <w:pPr>
              <w:ind w:left="120"/>
              <w:spacing w:after="0" w:line="164" w:lineRule="exact"/>
              <w:rPr>
                <w:sz w:val="20"/>
                <w:szCs w:val="20"/>
                <w:color w:val="auto"/>
              </w:rPr>
            </w:pPr>
            <w:r>
              <w:rPr>
                <w:rFonts w:ascii="Arial" w:cs="Arial" w:eastAsia="Arial" w:hAnsi="Arial"/>
                <w:sz w:val="15"/>
                <w:szCs w:val="15"/>
                <w:color w:val="auto"/>
              </w:rPr>
              <w:t>Market Approach (2)</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60" w:right="380" w:hanging="452"/>
        <w:spacing w:after="0" w:line="249"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66,836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100,000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331,836</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40" w:right="2380" w:hanging="4627"/>
        <w:spacing w:after="0" w:line="449" w:lineRule="auto"/>
        <w:tabs>
          <w:tab w:leader="none" w:pos="147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F-27</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2013, 2012 and 2011,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8"/>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8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1,496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1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78"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76" w:lineRule="exact"/>
        <w:rPr>
          <w:sz w:val="20"/>
          <w:szCs w:val="20"/>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Amounts drawn under the amended and restated Revolving Credit Facility (Natixis) and the original credit and security agreement bear interest at LIBOR plus a margin or base rate plus a margin or, in the case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amended and restated Revolving Credit Facility (Natixis), the lenders’ cost of funds plus a margin, in each case at TPG SL SPV’s option. TPG SL SPV’s ability to borrow at lenders’ cost of funds plus a margin lowers our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58"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8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0"/>
              </w:rPr>
              <w:t>December 31, 2013</w:t>
            </w:r>
          </w:p>
        </w:tc>
        <w:tc>
          <w:tcPr>
            <w:tcW w:w="5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2012</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36,600</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14,500</w:t>
            </w:r>
          </w:p>
        </w:tc>
      </w:tr>
      <w:tr>
        <w:trPr>
          <w:trHeight w:val="27"/>
        </w:trPr>
        <w:tc>
          <w:tcPr>
            <w:tcW w:w="5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32,000</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and 2012, the Company had $1.5 billion and $1.4 billion, respectively, in total capital commitments from investors ($1.0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billion and $0.9 billion unfunded, respectively). Of these amounts, $117.1 million and $114.1 million, respectively, is from the Adviser and its affiliates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($76.7 million and $76.6 million unfunded, respectively). These unfunded commitments will no longer remain in effect following the completion of an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of the Company’s common stock. See Note 1.</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89"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Year Ended</w:t>
      </w:r>
    </w:p>
    <w:p>
      <w:pPr>
        <w:jc w:val="center"/>
        <w:ind w:left="5300"/>
        <w:spacing w:after="0" w:line="236" w:lineRule="auto"/>
        <w:rPr>
          <w:sz w:val="20"/>
          <w:szCs w:val="20"/>
          <w:color w:val="auto"/>
        </w:rPr>
      </w:pPr>
      <w:r>
        <w:rPr>
          <w:rFonts w:ascii="Arial" w:cs="Arial" w:eastAsia="Arial" w:hAnsi="Arial"/>
          <w:sz w:val="14"/>
          <w:szCs w:val="14"/>
          <w:b w:val="1"/>
          <w:bCs w:val="1"/>
          <w:color w:val="auto"/>
        </w:rPr>
        <w:t>December 31, 2013</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(1)</w:t>
            </w:r>
          </w:p>
        </w:tc>
        <w:tc>
          <w:tcPr>
            <w:tcW w:w="21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2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September 26, 2013</w:t>
            </w:r>
          </w:p>
        </w:tc>
        <w:tc>
          <w:tcPr>
            <w:tcW w:w="2180" w:type="dxa"/>
            <w:vAlign w:val="bottom"/>
            <w:gridSpan w:val="2"/>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1,633,829</w:t>
            </w: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1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3,713,053</w:t>
            </w:r>
          </w:p>
        </w:tc>
        <w:tc>
          <w:tcPr>
            <w:tcW w:w="13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200" w:type="dxa"/>
            <w:vAlign w:val="bottom"/>
            <w:gridSpan w:val="3"/>
          </w:tcPr>
          <w:p>
            <w:pPr>
              <w:jc w:val="right"/>
              <w:ind w:right="1850"/>
              <w:spacing w:after="0"/>
              <w:rPr>
                <w:sz w:val="20"/>
                <w:szCs w:val="20"/>
                <w:color w:val="auto"/>
              </w:rPr>
            </w:pPr>
            <w:r>
              <w:rPr>
                <w:rFonts w:ascii="Arial" w:cs="Arial" w:eastAsia="Arial" w:hAnsi="Arial"/>
                <w:sz w:val="18"/>
                <w:szCs w:val="18"/>
                <w:color w:val="auto"/>
              </w:rPr>
              <w:t>F-31</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Year Ended</w:t>
      </w:r>
    </w:p>
    <w:p>
      <w:pPr>
        <w:jc w:val="center"/>
        <w:ind w:left="5400"/>
        <w:spacing w:after="0" w:line="236" w:lineRule="auto"/>
        <w:rPr>
          <w:sz w:val="20"/>
          <w:szCs w:val="20"/>
          <w:color w:val="auto"/>
        </w:rPr>
      </w:pPr>
      <w:r>
        <w:rPr>
          <w:rFonts w:ascii="Arial" w:cs="Arial" w:eastAsia="Arial" w:hAnsi="Arial"/>
          <w:sz w:val="14"/>
          <w:szCs w:val="14"/>
          <w:b w:val="1"/>
          <w:bCs w:val="1"/>
          <w:color w:val="auto"/>
        </w:rPr>
        <w:t>December 31, 2012</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(1)</w:t>
            </w:r>
          </w:p>
        </w:tc>
        <w:tc>
          <w:tcPr>
            <w:tcW w:w="206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15, 2012</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February 22,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2,368,398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May 31,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892,058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September 26,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1,496,143</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5"/>
                <w:szCs w:val="15"/>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19,199,421</w:t>
            </w:r>
          </w:p>
        </w:tc>
        <w:tc>
          <w:tcPr>
            <w:tcW w:w="9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920" w:hanging="440"/>
        <w:spacing w:after="0" w:line="258" w:lineRule="auto"/>
        <w:tabs>
          <w:tab w:leader="none" w:pos="1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 w:lineRule="exact"/>
        <w:rPr>
          <w:rFonts w:ascii="Arial" w:cs="Arial" w:eastAsia="Arial" w:hAnsi="Arial"/>
          <w:sz w:val="18"/>
          <w:szCs w:val="18"/>
          <w:color w:val="auto"/>
        </w:rPr>
      </w:pPr>
    </w:p>
    <w:p>
      <w:pPr>
        <w:ind w:left="1920" w:right="440" w:hanging="440"/>
        <w:spacing w:after="0" w:line="261" w:lineRule="auto"/>
        <w:tabs>
          <w:tab w:leader="none" w:pos="1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8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229"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Year Ended</w:t>
      </w:r>
    </w:p>
    <w:p>
      <w:pPr>
        <w:jc w:val="center"/>
        <w:ind w:left="3720"/>
        <w:spacing w:after="0" w:line="236" w:lineRule="auto"/>
        <w:rPr>
          <w:sz w:val="20"/>
          <w:szCs w:val="20"/>
          <w:color w:val="auto"/>
        </w:rPr>
      </w:pPr>
      <w:r>
        <w:rPr>
          <w:rFonts w:ascii="Arial" w:cs="Arial" w:eastAsia="Arial" w:hAnsi="Arial"/>
          <w:sz w:val="14"/>
          <w:szCs w:val="14"/>
          <w:b w:val="1"/>
          <w:bCs w:val="1"/>
          <w:color w:val="auto"/>
        </w:rPr>
        <w:t>December 31, 2013</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0"/>
                <w:szCs w:val="10"/>
                <w:color w:val="auto"/>
              </w:rPr>
            </w:pPr>
          </w:p>
        </w:tc>
        <w:tc>
          <w:tcPr>
            <w:tcW w:w="154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580" w:type="dxa"/>
            <w:vAlign w:val="bottom"/>
            <w:tcBorders>
              <w:top w:val="single" w:sz="8" w:color="auto"/>
            </w:tcBorders>
            <w:vMerge w:val="restart"/>
          </w:tcPr>
          <w:p>
            <w:pPr>
              <w:spacing w:after="0"/>
              <w:rPr>
                <w:sz w:val="10"/>
                <w:szCs w:val="10"/>
                <w:color w:val="auto"/>
              </w:rPr>
            </w:pPr>
          </w:p>
        </w:tc>
        <w:tc>
          <w:tcPr>
            <w:tcW w:w="2460" w:type="dxa"/>
            <w:vAlign w:val="bottom"/>
            <w:tcBorders>
              <w:top w:val="single" w:sz="8" w:color="auto"/>
            </w:tcBorders>
            <w:gridSpan w:val="2"/>
          </w:tcPr>
          <w:p>
            <w:pPr>
              <w:jc w:val="right"/>
              <w:ind w:right="1600"/>
              <w:spacing w:after="0" w:line="119" w:lineRule="exact"/>
              <w:rPr>
                <w:sz w:val="20"/>
                <w:szCs w:val="20"/>
                <w:color w:val="auto"/>
              </w:rPr>
            </w:pPr>
            <w:r>
              <w:rPr>
                <w:rFonts w:ascii="Arial" w:cs="Arial" w:eastAsia="Arial" w:hAnsi="Arial"/>
                <w:sz w:val="13"/>
                <w:szCs w:val="13"/>
                <w:b w:val="1"/>
                <w:bCs w:val="1"/>
                <w:color w:val="auto"/>
              </w:rPr>
              <w:t>Date</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 xml:space="preserve">Shares Issued </w:t>
            </w:r>
            <w:r>
              <w:rPr>
                <w:rFonts w:ascii="Arial" w:cs="Arial" w:eastAsia="Arial" w:hAnsi="Arial"/>
                <w:sz w:val="12"/>
                <w:szCs w:val="12"/>
                <w:b w:val="1"/>
                <w:bCs w:val="1"/>
                <w:color w:val="auto"/>
                <w:w w:val="89"/>
              </w:rPr>
              <w:t>(1)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CCEEFF"/>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 Issued</w:t>
            </w:r>
          </w:p>
        </w:tc>
        <w:tc>
          <w:tcPr>
            <w:tcW w:w="10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December 31, 2012</w:t>
            </w: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12, 2013</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12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460" w:type="dxa"/>
            <w:vAlign w:val="bottom"/>
            <w:gridSpan w:val="2"/>
          </w:tcPr>
          <w:p>
            <w:pPr>
              <w:jc w:val="right"/>
              <w:ind w:right="1020"/>
              <w:spacing w:after="0"/>
              <w:rPr>
                <w:sz w:val="20"/>
                <w:szCs w:val="20"/>
                <w:color w:val="auto"/>
              </w:rPr>
            </w:pPr>
            <w:r>
              <w:rPr>
                <w:rFonts w:ascii="Arial" w:cs="Arial" w:eastAsia="Arial" w:hAnsi="Arial"/>
                <w:sz w:val="18"/>
                <w:szCs w:val="18"/>
                <w:color w:val="auto"/>
              </w:rPr>
              <w:t>May 7, 2013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August 6, 2013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1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September 30, 2013</w:t>
            </w:r>
          </w:p>
        </w:tc>
        <w:tc>
          <w:tcPr>
            <w:tcW w:w="2460" w:type="dxa"/>
            <w:vAlign w:val="bottom"/>
            <w:gridSpan w:val="2"/>
          </w:tcPr>
          <w:p>
            <w:pPr>
              <w:jc w:val="right"/>
              <w:ind w:right="1020"/>
              <w:spacing w:after="0"/>
              <w:rPr>
                <w:sz w:val="20"/>
                <w:szCs w:val="20"/>
                <w:color w:val="auto"/>
              </w:rPr>
            </w:pPr>
            <w:r>
              <w:rPr>
                <w:rFonts w:ascii="Arial" w:cs="Arial" w:eastAsia="Arial" w:hAnsi="Arial"/>
                <w:sz w:val="18"/>
                <w:szCs w:val="18"/>
                <w:color w:val="auto"/>
                <w:w w:val="95"/>
              </w:rPr>
              <w:t>November 5, 2013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right="60" w:hanging="567"/>
        <w:spacing w:after="0" w:line="277" w:lineRule="auto"/>
        <w:tabs>
          <w:tab w:leader="none" w:pos="14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6"/>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93"/>
              </w:rPr>
              <w:t>December 31, 2012</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94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56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Date Shares Issued</w:t>
            </w:r>
          </w:p>
        </w:tc>
        <w:tc>
          <w:tcPr>
            <w:tcW w:w="10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December 31, 2011 </w:t>
            </w:r>
            <w:r>
              <w:rPr>
                <w:rFonts w:ascii="Arial" w:cs="Arial" w:eastAsia="Arial" w:hAnsi="Arial"/>
                <w:sz w:val="15"/>
                <w:szCs w:val="15"/>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2011</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 2012</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540" w:type="dxa"/>
            <w:vAlign w:val="bottom"/>
            <w:gridSpan w:val="2"/>
          </w:tcPr>
          <w:p>
            <w:pPr>
              <w:jc w:val="right"/>
              <w:ind w:right="1020"/>
              <w:spacing w:after="0"/>
              <w:rPr>
                <w:sz w:val="20"/>
                <w:szCs w:val="20"/>
                <w:color w:val="auto"/>
              </w:rPr>
            </w:pPr>
            <w:r>
              <w:rPr>
                <w:rFonts w:ascii="Arial" w:cs="Arial" w:eastAsia="Arial" w:hAnsi="Arial"/>
                <w:sz w:val="18"/>
                <w:szCs w:val="18"/>
                <w:color w:val="auto"/>
              </w:rPr>
              <w:t>May 16, 2012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5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August 7, 2012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September 30, 2012</w:t>
            </w:r>
          </w:p>
        </w:tc>
        <w:tc>
          <w:tcPr>
            <w:tcW w:w="2540" w:type="dxa"/>
            <w:vAlign w:val="bottom"/>
            <w:gridSpan w:val="2"/>
          </w:tcPr>
          <w:p>
            <w:pPr>
              <w:jc w:val="right"/>
              <w:ind w:right="1020"/>
              <w:spacing w:after="0"/>
              <w:rPr>
                <w:sz w:val="20"/>
                <w:szCs w:val="20"/>
                <w:color w:val="auto"/>
              </w:rPr>
            </w:pPr>
            <w:r>
              <w:rPr>
                <w:rFonts w:ascii="Arial" w:cs="Arial" w:eastAsia="Arial" w:hAnsi="Arial"/>
                <w:sz w:val="18"/>
                <w:szCs w:val="18"/>
                <w:color w:val="auto"/>
                <w:w w:val="94"/>
              </w:rPr>
              <w:t>November 13, 2012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46"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8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number of shares issued through the dividend reinvestment plan was determined by dividing the total dollar amount of the dividend payable to such investor by the net asset value per share of the Common Stock 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20"/>
          </w:cols>
          <w:pgMar w:left="240" w:top="460"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record date of the dividend. The Common Stock issued through the dividend reinvestment plan was rounded down to the nearest whole share to avoid the issuance of fractional shares, and fractional shares were paid in cash.</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2380" w:type="dxa"/>
            <w:vAlign w:val="bottom"/>
            <w:gridSpan w:val="3"/>
          </w:tcPr>
          <w:p>
            <w:pPr>
              <w:ind w:left="1220"/>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 xml:space="preserve">outstanding—basic and diluted </w:t>
            </w:r>
            <w:r>
              <w:rPr>
                <w:rFonts w:ascii="Arial" w:cs="Arial" w:eastAsia="Arial" w:hAnsi="Arial"/>
                <w:sz w:val="15"/>
                <w:szCs w:val="15"/>
                <w:color w:val="auto"/>
              </w:rPr>
              <w:t>(1)</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34,635,208</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20,541,475</w:t>
            </w:r>
          </w:p>
        </w:tc>
        <w:tc>
          <w:tcPr>
            <w:tcW w:w="10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5"/>
                <w:szCs w:val="15"/>
                <w:color w:val="auto"/>
              </w:rPr>
              <w:t>(1)</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1920" w:right="160" w:hanging="440"/>
        <w:spacing w:after="0" w:line="277" w:lineRule="auto"/>
        <w:tabs>
          <w:tab w:leader="none" w:pos="19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91"/>
              </w:rPr>
              <w:t>December 31, 2013</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2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 xml:space="preserve">Dividend per Share </w:t>
            </w:r>
            <w:r>
              <w:rPr>
                <w:rFonts w:ascii="Arial" w:cs="Arial" w:eastAsia="Arial" w:hAnsi="Arial"/>
                <w:sz w:val="12"/>
                <w:szCs w:val="12"/>
                <w:b w:val="1"/>
                <w:bCs w:val="1"/>
                <w:color w:val="auto"/>
                <w:w w:val="91"/>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June 30, 2013</w:t>
            </w: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July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September 30, 2013</w:t>
            </w:r>
          </w:p>
        </w:tc>
        <w:tc>
          <w:tcPr>
            <w:tcW w:w="24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w w:val="93"/>
              </w:rPr>
              <w:t>October 31, 2013</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5"/>
                <w:szCs w:val="15"/>
                <w:color w:val="auto"/>
              </w:rPr>
              <w:t>(1)</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December 31, 2013</w:t>
            </w: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w w:val="93"/>
              </w:rPr>
              <w:t>January 30, 2014</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1480" w:right="80" w:hanging="567"/>
        <w:spacing w:after="0" w:line="261"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60" w:right="3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40" w:type="dxa"/>
            <w:vAlign w:val="bottom"/>
            <w:vMerge w:val="restart"/>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December 31, 2012</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4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 xml:space="preserve">Dividend per Share </w:t>
            </w:r>
            <w:r>
              <w:rPr>
                <w:rFonts w:ascii="Arial" w:cs="Arial" w:eastAsia="Arial" w:hAnsi="Arial"/>
                <w:sz w:val="12"/>
                <w:szCs w:val="12"/>
                <w:b w:val="1"/>
                <w:bCs w:val="1"/>
                <w:color w:val="auto"/>
                <w:w w:val="91"/>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May 7, 2012</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June 30, 2012</w:t>
            </w:r>
          </w:p>
        </w:tc>
        <w:tc>
          <w:tcPr>
            <w:tcW w:w="2460" w:type="dxa"/>
            <w:vAlign w:val="bottom"/>
            <w:gridSpan w:val="2"/>
          </w:tcPr>
          <w:p>
            <w:pPr>
              <w:jc w:val="right"/>
              <w:ind w:right="1160"/>
              <w:spacing w:after="0"/>
              <w:rPr>
                <w:sz w:val="20"/>
                <w:szCs w:val="20"/>
                <w:color w:val="auto"/>
              </w:rPr>
            </w:pPr>
            <w:r>
              <w:rPr>
                <w:rFonts w:ascii="Arial" w:cs="Arial" w:eastAsia="Arial" w:hAnsi="Arial"/>
                <w:sz w:val="18"/>
                <w:szCs w:val="18"/>
                <w:color w:val="auto"/>
              </w:rPr>
              <w:t>August 3, 2012</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September 30, 2012</w:t>
            </w:r>
          </w:p>
        </w:tc>
        <w:tc>
          <w:tcPr>
            <w:tcW w:w="24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w w:val="91"/>
              </w:rPr>
              <w:t>October 30, 2012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5"/>
                <w:szCs w:val="15"/>
                <w:color w:val="auto"/>
              </w:rPr>
              <w:t>(1)</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December 31, 2012</w:t>
            </w:r>
          </w:p>
        </w:tc>
        <w:tc>
          <w:tcPr>
            <w:tcW w:w="2460" w:type="dxa"/>
            <w:vAlign w:val="bottom"/>
            <w:gridSpan w:val="2"/>
          </w:tcPr>
          <w:p>
            <w:pPr>
              <w:jc w:val="right"/>
              <w:ind w:right="1160"/>
              <w:spacing w:after="0"/>
              <w:rPr>
                <w:sz w:val="20"/>
                <w:szCs w:val="20"/>
                <w:color w:val="auto"/>
              </w:rPr>
            </w:pPr>
            <w:r>
              <w:rPr>
                <w:rFonts w:ascii="Arial" w:cs="Arial" w:eastAsia="Arial" w:hAnsi="Arial"/>
                <w:sz w:val="18"/>
                <w:szCs w:val="18"/>
                <w:color w:val="auto"/>
                <w:w w:val="91"/>
              </w:rPr>
              <w:t>January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23" w:lineRule="exact"/>
        <w:rPr>
          <w:rFonts w:ascii="Arial" w:cs="Arial" w:eastAsia="Arial" w:hAnsi="Arial"/>
          <w:sz w:val="18"/>
          <w:szCs w:val="18"/>
          <w:color w:val="auto"/>
        </w:rPr>
      </w:pPr>
    </w:p>
    <w:p>
      <w:pPr>
        <w:ind w:left="1480" w:right="140" w:hanging="567"/>
        <w:spacing w:after="0" w:line="261" w:lineRule="auto"/>
        <w:tabs>
          <w:tab w:leader="none" w:pos="14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8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12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3"/>
              </w:rPr>
              <w:t>Year Ended</w:t>
            </w:r>
          </w:p>
        </w:tc>
        <w:tc>
          <w:tcPr>
            <w:tcW w:w="21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180" w:type="dxa"/>
            <w:vAlign w:val="bottom"/>
          </w:tcPr>
          <w:p>
            <w:pPr>
              <w:spacing w:after="0"/>
              <w:rPr>
                <w:sz w:val="14"/>
                <w:szCs w:val="14"/>
                <w:color w:val="auto"/>
              </w:rPr>
            </w:pPr>
          </w:p>
        </w:tc>
        <w:tc>
          <w:tcPr>
            <w:tcW w:w="212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1"/>
              </w:rPr>
              <w:t>December 31, 2013</w:t>
            </w:r>
          </w:p>
        </w:tc>
        <w:tc>
          <w:tcPr>
            <w:tcW w:w="21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1"/>
              </w:rPr>
              <w:t>December 31, 2012</w:t>
            </w: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December 31, 2011</w:t>
            </w:r>
          </w:p>
        </w:tc>
      </w:tr>
      <w:tr>
        <w:trPr>
          <w:trHeight w:val="182"/>
        </w:trPr>
        <w:tc>
          <w:tcPr>
            <w:tcW w:w="4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$39,595</w:t>
            </w: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Adjustments: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 on investments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(8,386)</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(7,211)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(2,312)</w:t>
            </w:r>
          </w:p>
        </w:tc>
      </w:tr>
      <w:tr>
        <w:trPr>
          <w:trHeight w:val="202"/>
        </w:trPr>
        <w:tc>
          <w:tcPr>
            <w:tcW w:w="4180" w:type="dxa"/>
            <w:vAlign w:val="bottom"/>
          </w:tcPr>
          <w:p>
            <w:pPr>
              <w:ind w:left="180"/>
              <w:spacing w:after="0" w:line="201" w:lineRule="exact"/>
              <w:rPr>
                <w:sz w:val="20"/>
                <w:szCs w:val="20"/>
                <w:color w:val="auto"/>
              </w:rPr>
            </w:pPr>
            <w:r>
              <w:rPr>
                <w:rFonts w:ascii="Arial" w:cs="Arial" w:eastAsia="Arial" w:hAnsi="Arial"/>
                <w:sz w:val="18"/>
                <w:szCs w:val="18"/>
                <w:color w:val="auto"/>
              </w:rPr>
              <w:t>Other income (expense) for tax</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18"/>
                <w:szCs w:val="18"/>
                <w:color w:val="auto"/>
              </w:rPr>
              <w:t>purposes, not book</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(670)</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organization costs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1,425</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Other expenses not currently deductible</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book-tax differences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9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b w:val="1"/>
                <w:bCs w:val="1"/>
                <w:color w:val="auto"/>
              </w:rPr>
              <w:t>Undistributed Taxable Income</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31,755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8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9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(3)(4)</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14.71</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at prices above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 value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Total from investment operations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from net investment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increase in net assets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5"/>
                <w:szCs w:val="15"/>
                <w:b w:val="1"/>
                <w:bCs w:val="1"/>
                <w:color w:val="auto"/>
              </w:rPr>
              <w:t>(4)</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37,026,023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31,582,954</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11,770,514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5"/>
                <w:szCs w:val="15"/>
                <w:b w:val="1"/>
                <w:bCs w:val="1"/>
                <w:color w:val="auto"/>
              </w:rPr>
              <w:t>(1)</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net investment income (loss) to</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net assets</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574,696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479,803</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173,092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34,635,208</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20,541,475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3,347,602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5"/>
                <w:szCs w:val="15"/>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1,402,970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1,211,246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total contributed capital to total</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committed capital, end of period</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Year of formation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right="80" w:hanging="452"/>
        <w:spacing w:after="0" w:line="286" w:lineRule="auto"/>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1"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160" w:hanging="452"/>
        <w:spacing w:after="0" w:line="250"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60" w:hanging="452"/>
        <w:spacing w:after="0" w:line="261"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10,576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8,123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16,993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12,817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13,106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4,063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21,056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16,259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15,461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15.29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50"/>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7,277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6,637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4,711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10,892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3,169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12,460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13,581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r>
      <w:tr>
        <w:trPr>
          <w:trHeight w:val="350"/>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2,835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(1,554)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Unrealized Gains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(1,554)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(23.31)</w:t>
            </w:r>
          </w:p>
        </w:tc>
      </w:tr>
    </w:tbl>
    <w:p>
      <w:pPr>
        <w:spacing w:after="0" w:line="93" w:lineRule="exact"/>
        <w:rPr>
          <w:sz w:val="20"/>
          <w:szCs w:val="20"/>
          <w:color w:val="auto"/>
        </w:rPr>
      </w:pPr>
    </w:p>
    <w:p>
      <w:pPr>
        <w:ind w:left="900" w:hanging="446"/>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36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$1,172,442 and $997,298,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1,195,539</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28,804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1,251,464</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402,077</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1,772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7,526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19,717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446,709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464,454</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$0.01 par value; 400,000,000 shares authorized, 51,888,707 and 37,027,022 shares issued,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 and 51,887,708 and 37,026,023 shares outstanding, respectively</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776,706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2,620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804,755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1,251,464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15.51</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March 31, 2014</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2013</w:t>
            </w: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31,118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20,624</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2,363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3,824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Incentive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2,729</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Directors’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21,251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w:t>
            </w: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21,242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net change in unrealized gains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realized gains (losses)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Unrealized and Realized Gains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w:t>
            </w:r>
          </w:p>
        </w:tc>
      </w:tr>
      <w:tr>
        <w:trPr>
          <w:trHeight w:val="223"/>
        </w:trPr>
        <w:tc>
          <w:tcPr>
            <w:tcW w:w="20" w:type="dxa"/>
            <w:vAlign w:val="bottom"/>
          </w:tcPr>
          <w:p>
            <w:pPr>
              <w:spacing w:after="0"/>
              <w:rPr>
                <w:sz w:val="19"/>
                <w:szCs w:val="19"/>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 (1)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outstanding—basic and diluted (1)</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41,539,083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32,560,424</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460" w:right="280" w:hanging="452"/>
        <w:spacing w:after="0" w:line="277"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three months ended March 31, 2013 have been retroactively adjusted for the stock split which was effected in the form of a stock dividend.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Schedule of Investments as of March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440" w:type="dxa"/>
            <w:vAlign w:val="bottom"/>
          </w:tcPr>
          <w:p>
            <w:pPr>
              <w:spacing w:after="0"/>
              <w:rPr>
                <w:sz w:val="14"/>
                <w:szCs w:val="14"/>
                <w:color w:val="auto"/>
              </w:rPr>
            </w:pP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Cost (2)</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4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Aerospace and defense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 (3)(4)(6)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($53,452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11/2017)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12/23/2011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$ 52,875</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($33,910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33,281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32,977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loan ($4,611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6/2017)</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4,508</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4,458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 Inc. (3)(4)(6)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($21,330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12/2016)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12/31/2012</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58,919</w:t>
            </w:r>
          </w:p>
        </w:tc>
        <w:tc>
          <w:tcPr>
            <w:tcW w:w="1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58,872</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($65,000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3/3/2014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63,551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63,538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($66,933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4/2018)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64,891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66,933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Beyond Trust Software Holding Group, Inc. (3)(6)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($42,234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12/2019)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12/18/2013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41,268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41,390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 (3)(4)</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($29,659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29,354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137,677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Construction and building</w:t>
            </w: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Mannington Mills, Inc.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Second-lien loan</w:t>
            </w:r>
          </w:p>
        </w:tc>
        <w:tc>
          <w:tcPr>
            <w:tcW w:w="9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14.00%</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($47,366 par, due</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(incl.</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3/2017)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PIK)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3/2/2012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46,540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51,156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Containers and packaging</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Newark Group, Inc.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($46,080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2/2018)</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2/8/2013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45,708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46,771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gridSpan w:val="2"/>
          </w:tcPr>
          <w:p>
            <w:pPr>
              <w:ind w:left="1000"/>
              <w:spacing w:after="0"/>
              <w:rPr>
                <w:sz w:val="20"/>
                <w:szCs w:val="20"/>
                <w:color w:val="auto"/>
              </w:rPr>
            </w:pPr>
            <w:r>
              <w:rPr>
                <w:rFonts w:ascii="Arial" w:cs="Arial" w:eastAsia="Arial" w:hAnsi="Arial"/>
                <w:sz w:val="18"/>
                <w:szCs w:val="18"/>
                <w:color w:val="auto"/>
              </w:rPr>
              <w:t>F-40</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Acquisition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Cost (2)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Education</w:t>
            </w:r>
          </w:p>
        </w:tc>
        <w:tc>
          <w:tcPr>
            <w:tcW w:w="38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 (3)(4)(6)</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($29,250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28,594</w:t>
            </w:r>
          </w:p>
        </w:tc>
        <w:tc>
          <w:tcPr>
            <w:tcW w:w="640" w:type="dxa"/>
            <w:vAlign w:val="bottom"/>
          </w:tcPr>
          <w:p>
            <w:pPr>
              <w:jc w:val="right"/>
              <w:spacing w:after="0"/>
              <w:rPr>
                <w:sz w:val="20"/>
                <w:szCs w:val="20"/>
                <w:color w:val="auto"/>
              </w:rPr>
            </w:pPr>
            <w:r>
              <w:rPr>
                <w:rFonts w:ascii="Arial" w:cs="Arial" w:eastAsia="Arial" w:hAnsi="Arial"/>
                <w:sz w:val="18"/>
                <w:szCs w:val="18"/>
                <w:color w:val="auto"/>
              </w:rPr>
              <w:t>28,811</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Electronics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My Alarm Center,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($52,550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1/9/2014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51,514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51,743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Mezzanine loan</w:t>
            </w:r>
          </w:p>
        </w:tc>
        <w:tc>
          <w:tcPr>
            <w:tcW w:w="8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8"/>
              </w:rPr>
              <w:t>16.25%</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($4,688 par, due</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(incl.</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56,157</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56,407</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 Inc. (3)(4)(6)</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($42,479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41,641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42,478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 (3)(4)(6)</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($68,174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12/2018)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67,663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108,461</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110,141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term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($25,000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24,442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24,438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Mediware Information Systems, Inc. (3)(4)(6)</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($70,975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5/2018)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69,543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SRS Software,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($35,156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34,452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35,244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($2,000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12/2017)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130,353</w:t>
            </w:r>
          </w:p>
        </w:tc>
        <w:tc>
          <w:tcPr>
            <w:tcW w:w="2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132,662</w:t>
            </w:r>
          </w:p>
        </w:tc>
        <w:tc>
          <w:tcPr>
            <w:tcW w:w="30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gridSpan w:val="2"/>
          </w:tcPr>
          <w:p>
            <w:pPr>
              <w:ind w:left="880"/>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Acquisition</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Cost (2)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Hotel, gaming, and leisure</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AMF Bowling Worldwide,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($14,719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6/2018)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13,651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14,676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Centaur, LLC (3)</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2/2020)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Mandalay Baseball Properties, LLC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($35,279 par, due</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3/2017)</w:t>
            </w: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4/12/2012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34,734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36,601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 (5)</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bond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(GBP 7,000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10/2018)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69,509</w:t>
            </w:r>
          </w:p>
        </w:tc>
        <w:tc>
          <w:tcPr>
            <w:tcW w:w="30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73,821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Human resource support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($34,413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5/2018)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33,696</w:t>
            </w:r>
          </w:p>
        </w:tc>
        <w:tc>
          <w:tcPr>
            <w:tcW w:w="640" w:type="dxa"/>
            <w:vAlign w:val="bottom"/>
          </w:tcPr>
          <w:p>
            <w:pPr>
              <w:jc w:val="right"/>
              <w:spacing w:after="0"/>
              <w:rPr>
                <w:sz w:val="20"/>
                <w:szCs w:val="20"/>
                <w:color w:val="auto"/>
              </w:rPr>
            </w:pPr>
            <w:r>
              <w:rPr>
                <w:rFonts w:ascii="Arial" w:cs="Arial" w:eastAsia="Arial" w:hAnsi="Arial"/>
                <w:sz w:val="18"/>
                <w:szCs w:val="18"/>
                <w:color w:val="auto"/>
              </w:rPr>
              <w:t>34,118</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($7,463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11/2018)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11/16/2012</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($12,000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5/2019)</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10.25%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11/16/2012</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11,943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11,895</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Internet Services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28,698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($36,900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36,372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loan ($650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6/2017)</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6/1/2012</w:t>
            </w:r>
          </w:p>
        </w:tc>
        <w:tc>
          <w:tcPr>
            <w:tcW w:w="66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37,550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211,066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6/2018)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31,440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($35,435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11/2019)</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11/21/2013</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33,391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color w:val="auto"/>
              </w:rPr>
              <w:t>F-42</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Acquisition</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(2)</w:t>
            </w:r>
          </w:p>
        </w:tc>
        <w:tc>
          <w:tcPr>
            <w:tcW w:w="110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Office products</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Ecommerce Industries, Inc.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($35,657</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par, due 3/2019)</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35,309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35,059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 gas and consumable fuels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Global Geophysical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($40,883</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par, due 9/2016)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39,916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40,269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Trident Exploration Corp. (3)(4)(5)</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($64,838 par, due</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10/2017)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2/5/2014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62,960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66,296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102,876</w:t>
            </w:r>
          </w:p>
        </w:tc>
        <w:tc>
          <w:tcPr>
            <w:tcW w:w="30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106,565</w:t>
            </w:r>
          </w:p>
        </w:tc>
        <w:tc>
          <w:tcPr>
            <w:tcW w:w="2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Transportation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Kewill, Ltd. (3)(5)</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($52,500 par, due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10/2019)</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10/2/2013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51,516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51,974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1,169,162</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1,193,199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Equity Investments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Business services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Non-Voting Preferred</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9/12/2013</w:t>
            </w: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780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 (495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(187.5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left w:val="single" w:sz="8" w:color="CCEEFF"/>
            </w:tcBorders>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 (1,980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820" w:type="dxa"/>
            <w:vAlign w:val="bottom"/>
          </w:tcPr>
          <w:p>
            <w:pPr>
              <w:jc w:val="right"/>
              <w:spacing w:after="0"/>
              <w:rPr>
                <w:sz w:val="20"/>
                <w:szCs w:val="20"/>
                <w:color w:val="auto"/>
              </w:rPr>
            </w:pPr>
            <w:r>
              <w:rPr>
                <w:rFonts w:ascii="Arial" w:cs="Arial" w:eastAsia="Arial" w:hAnsi="Arial"/>
                <w:sz w:val="18"/>
                <w:szCs w:val="18"/>
                <w:color w:val="auto"/>
              </w:rPr>
              <w:t>1,980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1,059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(2,953,020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1,560</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Equity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1,172,442</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1,195,539</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right="180" w:hanging="572"/>
        <w:spacing w:after="0" w:line="256" w:lineRule="auto"/>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March 31, 2014, the Company does not “control” any of the portfolio companies nor are any of its portfolio companies considered to be “affiliates”—see Note 4. Certain portfolio company investments are subject to contractual restrictions on sales.</w:t>
      </w:r>
    </w:p>
    <w:p>
      <w:pPr>
        <w:ind w:left="580" w:right="120" w:hanging="572"/>
        <w:spacing w:after="0" w:line="261" w:lineRule="auto"/>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254" w:lineRule="auto"/>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2" w:lineRule="exact"/>
        <w:rPr>
          <w:rFonts w:ascii="Arial" w:cs="Arial" w:eastAsia="Arial" w:hAnsi="Arial"/>
          <w:sz w:val="18"/>
          <w:szCs w:val="18"/>
          <w:color w:val="auto"/>
        </w:rPr>
      </w:pPr>
    </w:p>
    <w:p>
      <w:pPr>
        <w:ind w:left="580" w:right="340" w:hanging="572"/>
        <w:spacing w:after="0" w:line="250" w:lineRule="auto"/>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40" w:hanging="572"/>
        <w:spacing w:after="0" w:line="250" w:lineRule="auto"/>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80" w:right="200" w:hanging="572"/>
        <w:spacing w:after="0" w:line="261" w:lineRule="auto"/>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80"/>
          </w:cols>
          <w:pgMar w:left="240" w:top="460" w:right="3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4"/>
                <w:szCs w:val="14"/>
                <w:color w:val="auto"/>
                <w:w w:val="92"/>
              </w:rPr>
              <w:t>(2)</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b w:val="1"/>
                <w:bCs w:val="1"/>
                <w:color w:val="auto"/>
              </w:rPr>
              <w:t>Aerospace and defense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12/23/2011</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$ 52,828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8/28/2012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36,002</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36,182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8/28/2012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4,528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 Inc.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12/31/2012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61,838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62,155</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8/31/2011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43,837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45,837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4/11/2013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65,762</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66,405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Aptean Holdings, Inc. f/k/a Consona Holdings,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8/13/2012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29,279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29,477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Beyond Trust Software Holding Group, Inc. (3)(6)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12/18/2013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41,462</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41,437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165,608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166,521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Construction and building</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Mannington Mills,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14.00%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3/2/2012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46,545</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color w:val="auto"/>
              </w:rPr>
              <w:t>F-45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6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17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gridSpan w:val="3"/>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4"/>
                <w:szCs w:val="14"/>
                <w:color w:val="auto"/>
                <w:w w:val="92"/>
              </w:rPr>
              <w:t>(2)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Containers</w:t>
            </w:r>
          </w:p>
        </w:tc>
        <w:tc>
          <w:tcPr>
            <w:tcW w:w="300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and packaging</w:t>
            </w:r>
          </w:p>
        </w:tc>
        <w:tc>
          <w:tcPr>
            <w:tcW w:w="1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The Newark Group, Inc. (3)(4)</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($46,560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2/2018)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46,164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47,142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($29,625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9/2018)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28,931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29,032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($42,479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41,597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42,372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 (3)(4)(6)</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($76,337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12/2018)</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75,764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116,349</w:t>
            </w:r>
          </w:p>
        </w:tc>
        <w:tc>
          <w:tcPr>
            <w:tcW w:w="2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118,136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Mediware Information Systems,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($71,634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5/2018)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70,120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71,097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Software, LLC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($35,625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12/2017)</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34,782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Arial" w:cs="Arial" w:eastAsia="Arial" w:hAnsi="Arial"/>
                <w:sz w:val="16"/>
                <w:szCs w:val="16"/>
                <w:color w:val="auto"/>
                <w:w w:val="98"/>
              </w:rPr>
              <w:t>First-lien revolving loan</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($2,000 par,</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due 12/2017)</w:t>
            </w:r>
          </w:p>
        </w:tc>
        <w:tc>
          <w:tcPr>
            <w:tcW w:w="1900" w:type="dxa"/>
            <w:vAlign w:val="bottom"/>
            <w:gridSpan w:val="3"/>
          </w:tcPr>
          <w:p>
            <w:pPr>
              <w:jc w:val="right"/>
              <w:ind w:right="240"/>
              <w:spacing w:after="0"/>
              <w:rPr>
                <w:sz w:val="20"/>
                <w:szCs w:val="20"/>
                <w:color w:val="auto"/>
              </w:rPr>
            </w:pPr>
            <w:r>
              <w:rPr>
                <w:rFonts w:ascii="Arial" w:cs="Arial" w:eastAsia="Arial" w:hAnsi="Arial"/>
                <w:sz w:val="16"/>
                <w:szCs w:val="16"/>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12/28/2012</w:t>
            </w:r>
          </w:p>
        </w:tc>
        <w:tc>
          <w:tcPr>
            <w:tcW w:w="680" w:type="dxa"/>
            <w:vAlign w:val="bottom"/>
          </w:tcPr>
          <w:p>
            <w:pPr>
              <w:jc w:val="right"/>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3"/>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Hotel, gaming, and leisure</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AMF Bowling Worldwide, Inc.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($14,813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6/2018)</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7/2/2013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13,687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14,821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Centaur, LLC (3)</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Second-lien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2/2020)</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9,923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10,250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Mandalay Baseball Properties, LLC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90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12.00%</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($34,886 par,</w:t>
            </w:r>
          </w:p>
        </w:tc>
        <w:tc>
          <w:tcPr>
            <w:tcW w:w="1900" w:type="dxa"/>
            <w:vAlign w:val="bottom"/>
            <w:gridSpan w:val="3"/>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3/2017)</w:t>
            </w:r>
          </w:p>
        </w:tc>
        <w:tc>
          <w:tcPr>
            <w:tcW w:w="1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(incl. 4.50% 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34,303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35,758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Soho House (5)</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Second-lien bond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(GBP 7,000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10/2018)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9.13%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9/20/2013</w:t>
            </w:r>
          </w:p>
        </w:tc>
        <w:tc>
          <w:tcPr>
            <w:tcW w:w="68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11,913</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69,113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gridSpan w:val="3"/>
          </w:tcPr>
          <w:p>
            <w:pPr>
              <w:jc w:val="right"/>
              <w:ind w:right="1480"/>
              <w:spacing w:after="0"/>
              <w:rPr>
                <w:sz w:val="20"/>
                <w:szCs w:val="20"/>
                <w:color w:val="auto"/>
              </w:rPr>
            </w:pPr>
            <w:r>
              <w:rPr>
                <w:rFonts w:ascii="Arial" w:cs="Arial" w:eastAsia="Arial" w:hAnsi="Arial"/>
                <w:sz w:val="18"/>
                <w:szCs w:val="18"/>
                <w:color w:val="auto"/>
              </w:rPr>
              <w:t>F-46</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Amortized</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860" w:type="dxa"/>
            <w:vAlign w:val="bottom"/>
          </w:tcPr>
          <w:p>
            <w:pPr>
              <w:spacing w:after="0"/>
              <w:rPr>
                <w:sz w:val="12"/>
                <w:szCs w:val="12"/>
                <w:color w:val="auto"/>
              </w:rPr>
            </w:pP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4"/>
                <w:szCs w:val="14"/>
                <w:color w:val="auto"/>
              </w:rPr>
              <w:t>(2)</w:t>
            </w:r>
          </w:p>
        </w:tc>
        <w:tc>
          <w:tcPr>
            <w:tcW w:w="108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Human resource support services</w:t>
            </w: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27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8"/>
                <w:szCs w:val="18"/>
                <w:color w:val="auto"/>
              </w:rPr>
              <w:t>($34,737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00" w:type="dxa"/>
            <w:vAlign w:val="bottom"/>
            <w:gridSpan w:val="3"/>
          </w:tcPr>
          <w:p>
            <w:pPr>
              <w:ind w:left="860"/>
              <w:spacing w:after="0"/>
              <w:rPr>
                <w:sz w:val="20"/>
                <w:szCs w:val="20"/>
                <w:color w:val="auto"/>
              </w:rPr>
            </w:pPr>
            <w:r>
              <w:rPr>
                <w:rFonts w:ascii="Arial" w:cs="Arial" w:eastAsia="Arial" w:hAnsi="Arial"/>
                <w:sz w:val="18"/>
                <w:szCs w:val="18"/>
                <w:color w:val="auto"/>
              </w:rPr>
              <w:t>due 5/2018)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33,979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 ($7,483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par, due 11/2018)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Second-lien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($12,000 par,</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5"/>
              </w:rPr>
              <w:t>11/16/2012</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due 5/2019)</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10.25%</w:t>
            </w:r>
          </w:p>
        </w:tc>
        <w:tc>
          <w:tcPr>
            <w:tcW w:w="1180" w:type="dxa"/>
            <w:vAlign w:val="bottom"/>
            <w:gridSpan w:val="2"/>
            <w:vMerge w:val="continue"/>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11,932</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11,790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Insurance</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($31,888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6/2017)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31,433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First-lien revolving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6/1/2012</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($850 par, due 6/2017)</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10.00%</w:t>
            </w:r>
          </w:p>
        </w:tc>
        <w:tc>
          <w:tcPr>
            <w:tcW w:w="118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838</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32,646</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177,161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6/2018)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26,486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27,170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(3)(6)</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($35,650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11/2019)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33,523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Office products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 Inc. (3)(4)(6)</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($19,936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10/2016)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10/17/2011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19,764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20,086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Oil, gas and consumable fuels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Geophysical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($40,883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par, due 9/2016)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39,617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Transportation</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Kewill, Ltd. (3)(5)</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($52,500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10/2019)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51,482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51,713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Total Debt Investments</w:t>
            </w: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994,518</w:t>
            </w:r>
          </w:p>
        </w:tc>
        <w:tc>
          <w:tcPr>
            <w:tcW w:w="30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1,014,647</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340"/>
              <w:spacing w:after="0"/>
              <w:rPr>
                <w:sz w:val="20"/>
                <w:szCs w:val="20"/>
                <w:color w:val="auto"/>
              </w:rPr>
            </w:pPr>
            <w:r>
              <w:rPr>
                <w:rFonts w:ascii="Arial" w:cs="Arial" w:eastAsia="Arial" w:hAnsi="Arial"/>
                <w:sz w:val="18"/>
                <w:szCs w:val="18"/>
                <w:b w:val="1"/>
                <w:bCs w:val="1"/>
                <w:color w:val="auto"/>
              </w:rPr>
              <w:t>Business services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Non-Voting Preferred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Units (774,099 units)</w:t>
            </w: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F-47</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(1)</w:t>
            </w:r>
          </w:p>
        </w:tc>
        <w:tc>
          <w:tcPr>
            <w:tcW w:w="640" w:type="dxa"/>
            <w:vAlign w:val="bottom"/>
          </w:tcPr>
          <w:p>
            <w:pPr>
              <w:spacing w:after="0"/>
              <w:rPr>
                <w:sz w:val="12"/>
                <w:szCs w:val="12"/>
                <w:color w:val="auto"/>
              </w:rPr>
            </w:pPr>
          </w:p>
        </w:tc>
        <w:tc>
          <w:tcPr>
            <w:tcW w:w="20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Healthcare</w:t>
            </w:r>
          </w:p>
        </w:tc>
        <w:tc>
          <w:tcPr>
            <w:tcW w:w="2500" w:type="dxa"/>
            <w:vAlign w:val="bottom"/>
            <w:tcBorders>
              <w:top w:val="single" w:sz="8" w:color="CCEEFF"/>
            </w:tcBorders>
            <w:shd w:val="clear" w:color="auto" w:fill="CCEEFF"/>
          </w:tcPr>
          <w:p>
            <w:pPr>
              <w:jc w:val="center"/>
              <w:ind w:right="650"/>
              <w:spacing w:after="0" w:line="196" w:lineRule="exact"/>
              <w:rPr>
                <w:sz w:val="20"/>
                <w:szCs w:val="20"/>
                <w:color w:val="auto"/>
              </w:rPr>
            </w:pPr>
            <w:r>
              <w:rPr>
                <w:rFonts w:ascii="Arial" w:cs="Arial" w:eastAsia="Arial" w:hAnsi="Arial"/>
                <w:sz w:val="18"/>
                <w:szCs w:val="18"/>
                <w:b w:val="1"/>
                <w:bCs w:val="1"/>
                <w:color w:val="auto"/>
                <w:w w:val="89"/>
              </w:rPr>
              <w:t>and pharmaceuticals</w:t>
            </w:r>
          </w:p>
        </w:tc>
        <w:tc>
          <w:tcPr>
            <w:tcW w:w="6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2640" w:type="dxa"/>
            <w:vAlign w:val="bottom"/>
            <w:gridSpan w:val="3"/>
          </w:tcPr>
          <w:p>
            <w:pPr>
              <w:ind w:left="640"/>
              <w:spacing w:after="0" w:line="201" w:lineRule="exact"/>
              <w:rPr>
                <w:sz w:val="20"/>
                <w:szCs w:val="20"/>
                <w:color w:val="auto"/>
              </w:rPr>
            </w:pPr>
            <w:r>
              <w:rPr>
                <w:rFonts w:ascii="Arial" w:cs="Arial" w:eastAsia="Arial" w:hAnsi="Arial"/>
                <w:sz w:val="18"/>
                <w:szCs w:val="18"/>
                <w:color w:val="auto"/>
              </w:rPr>
              <w:t>Common Shares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40" w:type="dxa"/>
            <w:vAlign w:val="bottom"/>
            <w:gridSpan w:val="3"/>
          </w:tcPr>
          <w:p>
            <w:pPr>
              <w:ind w:left="640"/>
              <w:spacing w:after="0"/>
              <w:rPr>
                <w:sz w:val="20"/>
                <w:szCs w:val="20"/>
                <w:color w:val="auto"/>
              </w:rPr>
            </w:pPr>
            <w:r>
              <w:rPr>
                <w:rFonts w:ascii="Arial" w:cs="Arial" w:eastAsia="Arial" w:hAnsi="Arial"/>
                <w:sz w:val="18"/>
                <w:szCs w:val="18"/>
                <w:color w:val="auto"/>
              </w:rPr>
              <w:t>Class A (1,980 shares)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93"/>
        </w:trPr>
        <w:tc>
          <w:tcPr>
            <w:tcW w:w="8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Common Shares Class B</w:t>
            </w: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(2,953,020 shares)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12/28/2012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4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Total Equity Investments</w:t>
            </w: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997,298</w:t>
            </w:r>
          </w:p>
        </w:tc>
        <w:tc>
          <w:tcPr>
            <w:tcW w:w="4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1,016,451</w:t>
            </w:r>
          </w:p>
        </w:tc>
        <w:tc>
          <w:tcPr>
            <w:tcW w:w="4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240" w:hanging="452"/>
        <w:spacing w:after="0" w:line="250"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Structuring Credit Facility (see Note 7).</w:t>
      </w:r>
    </w:p>
    <w:p>
      <w:pPr>
        <w:jc w:val="both"/>
        <w:ind w:left="460" w:right="40" w:hanging="452"/>
        <w:spacing w:after="0" w:line="281" w:lineRule="auto"/>
        <w:tabs>
          <w:tab w:leader="none" w:pos="4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21,242</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Total realized gains (losses)</w:t>
            </w: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7,794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204,711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804,755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519,345</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2,620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Three Months</w:t>
            </w:r>
          </w:p>
        </w:tc>
        <w:tc>
          <w:tcPr>
            <w:tcW w:w="40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25,348</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reconcile increase in net assets resulting from operations to net cash provided by (used in)</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(5,715)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Net realized losses on foreign currency forward contracts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investments,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(325,289)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Proceeds from investments,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50,035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103,567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Paid-in-kind interest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(4,003)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Management fees payable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Incentive fees payable to affiliate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Payables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(151,519)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Borrowings on debt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487,378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(517,042)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(3,101)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216,634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(7,017)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176,852</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Increase in Cash and Cash Equivalents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Cash and Cash Equivalents, End of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28,804</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164,666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Excise taxes paid during the period</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19,717</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7,794</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7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520" w:hanging="325"/>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did not have a material effect on the Company’s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March 15, 2011, the Company entered into the Administration Agreement with the Adviser. Under the terms of the Administration Agreement, the Adviser provides administrative services to the Company.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8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the three months ended March 31, 2014 and 2013, the Company incurred expenses of $0.6 million and $0.3 million, respectively, for administrative services payable to the Adviser under the terms of the Administration Agreement.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three months ended March 31, 2014 and 2013, Management Fees were $4.2 million and $3.0 million, of which $1.8 million and $1.6 million were payable at March 31, 2014 and 2013, respectively.</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For the three months ended March 31, 2014 and 2013, Management Fees of $2.5 million and $1.5 million, respectively, were waived. 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40" w:hanging="446"/>
        <w:spacing w:after="0" w:line="25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84"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89"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three months ended March 31, 2014, Incentive Fees were $4.5 million, of which $3.7 million were realized and payable to the Adviser. For the three months ended March 31, 2013, Incentive Fees were $2.7 million, of which $2.4 million were realized and payable to the Adviser.</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8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months ended March 31, 2014 and 2013 were $1.5 million and $0.9 million, respectively.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March 31, 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970,436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984,670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194,083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203,865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4,643</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3,280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1,172,442</w:t>
            </w: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1,195,539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880" w:type="dxa"/>
            <w:vAlign w:val="bottom"/>
            <w:gridSpan w:val="6"/>
            <w:vMerge w:val="restart"/>
          </w:tcPr>
          <w:p>
            <w:pPr>
              <w:ind w:left="1380"/>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2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131,082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137,483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997,298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March 31,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March 31, 2014</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8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Automotive</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Business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11.6%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3.9%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Electronics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11.2%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Internet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Metals and mining</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2.9%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8.9%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8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500" w:type="dxa"/>
            <w:vAlign w:val="bottom"/>
            <w:gridSpan w:val="3"/>
          </w:tcPr>
          <w:p>
            <w:pPr>
              <w:jc w:val="right"/>
              <w:ind w:right="2280"/>
              <w:spacing w:after="0"/>
              <w:rPr>
                <w:sz w:val="20"/>
                <w:szCs w:val="20"/>
                <w:color w:val="auto"/>
              </w:rPr>
            </w:pPr>
            <w:r>
              <w:rPr>
                <w:rFonts w:ascii="Arial" w:cs="Arial" w:eastAsia="Arial" w:hAnsi="Arial"/>
                <w:sz w:val="18"/>
                <w:szCs w:val="18"/>
                <w:color w:val="auto"/>
              </w:rPr>
              <w:t>F-60</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60" w:right="6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composition of Investments at fair value as of March 31,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6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12.5%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South</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17.7%</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Europe</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8.1%</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three months ended March 31,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92"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During the three months ended March 31, 2014, the Company settled its foreign currency forward contracts related to its investments in Jeeves Information Systems AB and Soho House Bond Ltd., which in total generated a realized loss of $1.6 million. The Company did not enter into new foreign currency forward contracts related to these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Depreciation</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Amount (in 000’s)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USD Value at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presented in</w:t>
            </w:r>
          </w:p>
        </w:tc>
        <w:tc>
          <w:tcPr>
            <w:tcW w:w="0" w:type="dxa"/>
            <w:vAlign w:val="bottom"/>
          </w:tcPr>
          <w:p>
            <w:pPr>
              <w:spacing w:after="0"/>
              <w:rPr>
                <w:sz w:val="1"/>
                <w:szCs w:val="1"/>
                <w:color w:val="auto"/>
              </w:rPr>
            </w:pPr>
          </w:p>
        </w:tc>
      </w:tr>
      <w:tr>
        <w:trPr>
          <w:trHeight w:val="144"/>
        </w:trPr>
        <w:tc>
          <w:tcPr>
            <w:tcW w:w="2640" w:type="dxa"/>
            <w:vAlign w:val="bottom"/>
            <w:gridSpan w:val="2"/>
            <w:vMerge w:val="continue"/>
          </w:tcPr>
          <w:p>
            <w:pPr>
              <w:spacing w:after="0"/>
              <w:rPr>
                <w:sz w:val="12"/>
                <w:szCs w:val="12"/>
                <w:color w:val="auto"/>
              </w:rPr>
            </w:pPr>
          </w:p>
        </w:tc>
        <w:tc>
          <w:tcPr>
            <w:tcW w:w="1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 Date</w:t>
            </w:r>
          </w:p>
        </w:tc>
        <w:tc>
          <w:tcPr>
            <w:tcW w:w="17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Consolidated Financial</w:t>
            </w:r>
          </w:p>
        </w:tc>
        <w:tc>
          <w:tcPr>
            <w:tcW w:w="0" w:type="dxa"/>
            <w:vAlign w:val="bottom"/>
          </w:tcPr>
          <w:p>
            <w:pPr>
              <w:spacing w:after="0"/>
              <w:rPr>
                <w:sz w:val="1"/>
                <w:szCs w:val="1"/>
                <w:color w:val="auto"/>
              </w:rPr>
            </w:pPr>
          </w:p>
        </w:tc>
      </w:tr>
      <w:tr>
        <w:trPr>
          <w:trHeight w:val="176"/>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Forward Contracts</w:t>
            </w:r>
          </w:p>
        </w:tc>
        <w:tc>
          <w:tcPr>
            <w:tcW w:w="1960" w:type="dxa"/>
            <w:vAlign w:val="bottom"/>
            <w:gridSpan w:val="2"/>
            <w:vMerge w:val="continue"/>
          </w:tcPr>
          <w:p>
            <w:pPr>
              <w:spacing w:after="0"/>
              <w:rPr>
                <w:sz w:val="15"/>
                <w:szCs w:val="15"/>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and Transaction</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Settlement Date</w:t>
            </w:r>
          </w:p>
        </w:tc>
        <w:tc>
          <w:tcPr>
            <w:tcW w:w="30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Swedish Krona</w:t>
            </w:r>
          </w:p>
        </w:tc>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(SEK)</w:t>
            </w:r>
          </w:p>
        </w:tc>
        <w:tc>
          <w:tcPr>
            <w:tcW w:w="1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January 24, 2014</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(28,440)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7"/>
              </w:rPr>
              <w:t>(29,366)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7,000 sold</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(11,274)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(39,714)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(40,958)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March 31, 2014 and December 31,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w w:val="96"/>
              </w:rPr>
              <w:t>Fair Value Hierarchy at March 31,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$22,093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962,577</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984,670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34,438</w:t>
            </w:r>
          </w:p>
        </w:tc>
        <w:tc>
          <w:tcPr>
            <w:tcW w:w="2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169,427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203,865</w:t>
            </w: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Equity investments</w:t>
            </w: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2,340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56,531</w:t>
            </w: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1,139,008</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1,195,539</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6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Fair Value Hierarchy at December 31, 2013</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$22,192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$854,972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33,952</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103,531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137,483</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Equity investments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w:t>
            </w: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$56,144</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1,016,451</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(1,244)</w:t>
            </w:r>
          </w:p>
        </w:tc>
      </w:tr>
      <w:tr>
        <w:trPr>
          <w:trHeight w:val="27"/>
        </w:trPr>
        <w:tc>
          <w:tcPr>
            <w:tcW w:w="62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1,016,207</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months ended March 31,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and for the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Three Months Ended March 31, 2014</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First-lien</w:t>
            </w:r>
          </w:p>
        </w:tc>
        <w:tc>
          <w:tcPr>
            <w:tcW w:w="9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Second-lien</w:t>
            </w:r>
          </w:p>
        </w:tc>
        <w:tc>
          <w:tcPr>
            <w:tcW w:w="280" w:type="dxa"/>
            <w:vAlign w:val="bottom"/>
          </w:tcPr>
          <w:p>
            <w:pPr>
              <w:spacing w:after="0"/>
              <w:rPr>
                <w:sz w:val="10"/>
                <w:szCs w:val="10"/>
                <w:color w:val="auto"/>
              </w:rPr>
            </w:pPr>
          </w:p>
        </w:tc>
        <w:tc>
          <w:tcPr>
            <w:tcW w:w="12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debt</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debt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investments</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$ 854,972</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$ 103,531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Purchases</w:t>
            </w:r>
          </w:p>
        </w:tc>
        <w:tc>
          <w:tcPr>
            <w:tcW w:w="2540" w:type="dxa"/>
            <w:vAlign w:val="bottom"/>
            <w:gridSpan w:val="4"/>
          </w:tcPr>
          <w:p>
            <w:pPr>
              <w:jc w:val="right"/>
              <w:ind w:right="500"/>
              <w:spacing w:after="0"/>
              <w:rPr>
                <w:sz w:val="20"/>
                <w:szCs w:val="20"/>
                <w:color w:val="auto"/>
              </w:rPr>
            </w:pPr>
            <w:r>
              <w:rPr>
                <w:rFonts w:ascii="Arial" w:cs="Arial" w:eastAsia="Arial" w:hAnsi="Arial"/>
                <w:sz w:val="18"/>
                <w:szCs w:val="18"/>
                <w:color w:val="auto"/>
              </w:rPr>
              <w:t>257,098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63,050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4,641</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325,289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(51,642)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540" w:type="dxa"/>
            <w:vAlign w:val="bottom"/>
            <w:gridSpan w:val="4"/>
          </w:tcPr>
          <w:p>
            <w:pPr>
              <w:jc w:val="right"/>
              <w:ind w:right="440"/>
              <w:spacing w:after="0"/>
              <w:rPr>
                <w:sz w:val="20"/>
                <w:szCs w:val="20"/>
                <w:color w:val="auto"/>
              </w:rPr>
            </w:pPr>
            <w:r>
              <w:rPr>
                <w:rFonts w:ascii="Arial" w:cs="Arial" w:eastAsia="Arial" w:hAnsi="Arial"/>
                <w:sz w:val="18"/>
                <w:szCs w:val="18"/>
                <w:color w:val="auto"/>
              </w:rPr>
              <w:t>(102,989)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(103,453)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392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2540" w:type="dxa"/>
            <w:vAlign w:val="bottom"/>
            <w:gridSpan w:val="4"/>
          </w:tcPr>
          <w:p>
            <w:pPr>
              <w:jc w:val="right"/>
              <w:ind w:right="500"/>
              <w:spacing w:after="0"/>
              <w:rPr>
                <w:sz w:val="20"/>
                <w:szCs w:val="20"/>
                <w:color w:val="auto"/>
              </w:rPr>
            </w:pPr>
            <w:r>
              <w:rPr>
                <w:rFonts w:ascii="Arial" w:cs="Arial" w:eastAsia="Arial" w:hAnsi="Arial"/>
                <w:sz w:val="18"/>
                <w:szCs w:val="18"/>
                <w:color w:val="auto"/>
              </w:rPr>
              <w:t>542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2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4,204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$ 962,577</w:t>
            </w:r>
          </w:p>
        </w:tc>
        <w:tc>
          <w:tcPr>
            <w:tcW w:w="5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$ 169,427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1,139,008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540" w:type="dxa"/>
            <w:vAlign w:val="bottom"/>
            <w:gridSpan w:val="4"/>
          </w:tcPr>
          <w:p>
            <w:pPr>
              <w:jc w:val="right"/>
              <w:ind w:right="940"/>
              <w:spacing w:after="0"/>
              <w:rPr>
                <w:sz w:val="20"/>
                <w:szCs w:val="20"/>
                <w:color w:val="auto"/>
              </w:rPr>
            </w:pPr>
            <w:r>
              <w:rPr>
                <w:rFonts w:ascii="Arial" w:cs="Arial" w:eastAsia="Arial" w:hAnsi="Arial"/>
                <w:sz w:val="18"/>
                <w:szCs w:val="18"/>
                <w:color w:val="auto"/>
              </w:rPr>
              <w:t>F-62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As of and for the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center"/>
              <w:ind w:right="112"/>
              <w:spacing w:after="0"/>
              <w:rPr>
                <w:sz w:val="20"/>
                <w:szCs w:val="20"/>
                <w:color w:val="auto"/>
              </w:rPr>
            </w:pPr>
            <w:r>
              <w:rPr>
                <w:rFonts w:ascii="Arial" w:cs="Arial" w:eastAsia="Arial" w:hAnsi="Arial"/>
                <w:sz w:val="14"/>
                <w:szCs w:val="14"/>
                <w:b w:val="1"/>
                <w:bCs w:val="1"/>
                <w:color w:val="auto"/>
                <w:w w:val="95"/>
              </w:rPr>
              <w:t>Three Months Ended March 31, 2013</w:t>
            </w: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4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debt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5"/>
              </w:rPr>
              <w:t>investments</w:t>
            </w:r>
          </w:p>
        </w:tc>
        <w:tc>
          <w:tcPr>
            <w:tcW w:w="5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$ 514,104</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53,190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4"/>
              </w:rPr>
              <w:t>2,000</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Purchases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64,720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64,540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(48,993)</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(3,181)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(52,174)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1,351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$ 502,510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50,458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2,000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554,968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2014 and 2013:</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Net Change in Unrealized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2820" w:type="dxa"/>
            <w:vAlign w:val="bottom"/>
          </w:tcPr>
          <w:p>
            <w:pPr>
              <w:spacing w:after="0"/>
              <w:rPr>
                <w:sz w:val="12"/>
                <w:szCs w:val="12"/>
                <w:color w:val="auto"/>
              </w:rPr>
            </w:pPr>
          </w:p>
        </w:tc>
        <w:tc>
          <w:tcPr>
            <w:tcW w:w="2500" w:type="dxa"/>
            <w:vAlign w:val="bottom"/>
            <w:gridSpan w:val="3"/>
          </w:tcPr>
          <w:p>
            <w:pPr>
              <w:jc w:val="center"/>
              <w:ind w:left="619"/>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2440" w:type="dxa"/>
            <w:vAlign w:val="bottom"/>
            <w:gridSpan w:val="4"/>
          </w:tcPr>
          <w:p>
            <w:pPr>
              <w:jc w:val="center"/>
              <w:ind w:left="359"/>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540" w:type="dxa"/>
            <w:vAlign w:val="bottom"/>
          </w:tcPr>
          <w:p>
            <w:pPr>
              <w:spacing w:after="0"/>
              <w:rPr>
                <w:sz w:val="12"/>
                <w:szCs w:val="12"/>
                <w:color w:val="auto"/>
              </w:rPr>
            </w:pPr>
          </w:p>
        </w:tc>
        <w:tc>
          <w:tcPr>
            <w:tcW w:w="1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 the Three Months Ended</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March 31, 2014 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March 31, 2013 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March 31, 2014</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2013</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2,908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Equity investments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tables present the Level 3 Investments at fair value and the significant unobservable inputs used in the valuations as of March 31, 2014 and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March 31, 2014</w:t>
            </w:r>
          </w:p>
        </w:tc>
        <w:tc>
          <w:tcPr>
            <w:tcW w:w="1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8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200" w:type="dxa"/>
            <w:vAlign w:val="bottom"/>
          </w:tcPr>
          <w:p>
            <w:pPr>
              <w:spacing w:after="0"/>
              <w:rPr>
                <w:sz w:val="12"/>
                <w:szCs w:val="12"/>
                <w:color w:val="auto"/>
              </w:rPr>
            </w:pPr>
          </w:p>
        </w:tc>
        <w:tc>
          <w:tcPr>
            <w:tcW w:w="1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Unobservable Input</w:t>
            </w:r>
          </w:p>
        </w:tc>
        <w:tc>
          <w:tcPr>
            <w:tcW w:w="2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Range (Weighted Average)</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962,577</w:t>
            </w:r>
          </w:p>
        </w:tc>
        <w:tc>
          <w:tcPr>
            <w:tcW w:w="2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7.56% — 13.27%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(9.87%)</w:t>
            </w: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81"/>
              </w:rPr>
              <w:t>Decrease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169,427</w:t>
            </w:r>
          </w:p>
        </w:tc>
        <w:tc>
          <w:tcPr>
            <w:tcW w:w="28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Market Yield</w:t>
            </w:r>
          </w:p>
        </w:tc>
        <w:tc>
          <w:tcPr>
            <w:tcW w:w="1240" w:type="dxa"/>
            <w:vAlign w:val="bottom"/>
          </w:tcPr>
          <w:p>
            <w:pPr>
              <w:jc w:val="right"/>
              <w:spacing w:after="0"/>
              <w:rPr>
                <w:sz w:val="20"/>
                <w:szCs w:val="20"/>
                <w:color w:val="auto"/>
              </w:rPr>
            </w:pPr>
            <w:r>
              <w:rPr>
                <w:rFonts w:ascii="Arial" w:cs="Arial" w:eastAsia="Arial" w:hAnsi="Arial"/>
                <w:sz w:val="16"/>
                <w:szCs w:val="16"/>
                <w:color w:val="auto"/>
                <w:w w:val="96"/>
              </w:rPr>
              <w:t>9.30% — 10.51%</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(9.90%)</w:t>
            </w:r>
          </w:p>
        </w:tc>
        <w:tc>
          <w:tcPr>
            <w:tcW w:w="1360" w:type="dxa"/>
            <w:vAlign w:val="bottom"/>
            <w:gridSpan w:val="2"/>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Market Yield</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17.38%</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Arial" w:cs="Arial" w:eastAsia="Arial" w:hAnsi="Arial"/>
                <w:sz w:val="16"/>
                <w:szCs w:val="16"/>
                <w:color w:val="auto"/>
              </w:rPr>
              <w:t>Equity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2,340</w:t>
            </w:r>
          </w:p>
        </w:tc>
        <w:tc>
          <w:tcPr>
            <w:tcW w:w="2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Income Approach (1)</w:t>
            </w: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Weighted</w:t>
            </w:r>
          </w:p>
        </w:tc>
        <w:tc>
          <w:tcPr>
            <w:tcW w:w="1240" w:type="dxa"/>
            <w:vAlign w:val="bottom"/>
          </w:tcPr>
          <w:p>
            <w:pPr>
              <w:jc w:val="right"/>
              <w:spacing w:after="0"/>
              <w:rPr>
                <w:sz w:val="20"/>
                <w:szCs w:val="20"/>
                <w:color w:val="auto"/>
              </w:rPr>
            </w:pPr>
            <w:r>
              <w:rPr>
                <w:rFonts w:ascii="Arial" w:cs="Arial" w:eastAsia="Arial" w:hAnsi="Arial"/>
                <w:sz w:val="16"/>
                <w:szCs w:val="16"/>
                <w:color w:val="auto"/>
              </w:rPr>
              <w:t>10.6% — 15.3%</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(13.4%)</w:t>
            </w:r>
          </w:p>
        </w:tc>
        <w:tc>
          <w:tcPr>
            <w:tcW w:w="1360" w:type="dxa"/>
            <w:vAlign w:val="bottom"/>
            <w:gridSpan w:val="2"/>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Average Cost of</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Capital (WACC)</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Includes $0.5 million equity investment which, due to the proximity of the transaction relative to the measurement date, was valued using the cost of the investment.</w:t>
      </w:r>
    </w:p>
    <w:p>
      <w:pPr>
        <w:spacing w:after="0" w:line="174"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9"/>
              </w:rPr>
              <w:t>December 31, 2013</w:t>
            </w: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Range (Weighted</w:t>
            </w:r>
          </w:p>
        </w:tc>
        <w:tc>
          <w:tcPr>
            <w:tcW w:w="12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Impact to Valuation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7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Valuation Technique</w:t>
            </w:r>
          </w:p>
        </w:tc>
        <w:tc>
          <w:tcPr>
            <w:tcW w:w="220" w:type="dxa"/>
            <w:vAlign w:val="bottom"/>
          </w:tcPr>
          <w:p>
            <w:pPr>
              <w:spacing w:after="0"/>
              <w:rPr>
                <w:sz w:val="12"/>
                <w:szCs w:val="12"/>
                <w:color w:val="auto"/>
              </w:rPr>
            </w:pPr>
          </w:p>
        </w:tc>
        <w:tc>
          <w:tcPr>
            <w:tcW w:w="1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Unobservable Input</w:t>
            </w:r>
          </w:p>
        </w:tc>
        <w:tc>
          <w:tcPr>
            <w:tcW w:w="2020" w:type="dxa"/>
            <w:vAlign w:val="bottom"/>
            <w:gridSpan w:val="2"/>
            <w:vMerge w:val="continue"/>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854,972</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5.50% —13.12% (9.81%)</w:t>
            </w: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Decrease</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103,531</w:t>
            </w:r>
          </w:p>
        </w:tc>
        <w:tc>
          <w:tcPr>
            <w:tcW w:w="3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Market Yield</w:t>
            </w:r>
          </w:p>
        </w:tc>
        <w:tc>
          <w:tcPr>
            <w:tcW w:w="2020" w:type="dxa"/>
            <w:vAlign w:val="bottom"/>
            <w:gridSpan w:val="2"/>
          </w:tcPr>
          <w:p>
            <w:pPr>
              <w:jc w:val="right"/>
              <w:ind w:right="280"/>
              <w:spacing w:after="0"/>
              <w:rPr>
                <w:sz w:val="20"/>
                <w:szCs w:val="20"/>
                <w:color w:val="auto"/>
              </w:rPr>
            </w:pPr>
            <w:r>
              <w:rPr>
                <w:rFonts w:ascii="Arial" w:cs="Arial" w:eastAsia="Arial" w:hAnsi="Arial"/>
                <w:sz w:val="16"/>
                <w:szCs w:val="16"/>
                <w:color w:val="auto"/>
              </w:rPr>
              <w:t>9.32% —9.87% (9.59%)</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tcPr>
          <w:p>
            <w:pPr>
              <w:spacing w:after="0"/>
              <w:rPr>
                <w:sz w:val="20"/>
                <w:szCs w:val="20"/>
                <w:color w:val="auto"/>
              </w:rPr>
            </w:pPr>
            <w:r>
              <w:rPr>
                <w:rFonts w:ascii="Arial" w:cs="Arial" w:eastAsia="Arial" w:hAnsi="Arial"/>
                <w:sz w:val="16"/>
                <w:szCs w:val="16"/>
                <w:color w:val="auto"/>
              </w:rPr>
              <w:t>Equity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1,804</w:t>
            </w:r>
          </w:p>
        </w:tc>
        <w:tc>
          <w:tcPr>
            <w:tcW w:w="30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Weighted</w:t>
            </w:r>
          </w:p>
        </w:tc>
        <w:tc>
          <w:tcPr>
            <w:tcW w:w="2020" w:type="dxa"/>
            <w:vAlign w:val="bottom"/>
            <w:gridSpan w:val="2"/>
          </w:tcPr>
          <w:p>
            <w:pPr>
              <w:jc w:val="right"/>
              <w:ind w:right="280"/>
              <w:spacing w:after="0"/>
              <w:rPr>
                <w:sz w:val="20"/>
                <w:szCs w:val="20"/>
                <w:color w:val="auto"/>
              </w:rPr>
            </w:pPr>
            <w:r>
              <w:rPr>
                <w:rFonts w:ascii="Arial" w:cs="Arial" w:eastAsia="Arial" w:hAnsi="Arial"/>
                <w:sz w:val="16"/>
                <w:szCs w:val="16"/>
                <w:color w:val="auto"/>
              </w:rPr>
              <w:t>12.1% —15.3% (14.0%)</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Average Cost of Capital</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(WACC)</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March 31, 2014 and December 31, 2013, approximates its carrying value as the outstanding balances are callable at carrying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2014 and December 31, 2013, the Company’s asset coverage was 300.1% and 232.9%,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4"/>
              </w:rPr>
              <w:t>March 31, 2014</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 (2)</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153,225</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581,250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248,852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332,398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756,250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402,077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335,862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 (4)</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SPV Asset Facility (2)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January 21, 2014, the Company amended the SPV Asset Facility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February 27, 2014, the Company amended the Revolving Credit Facility to increase the size of the facility to $581.3 million.</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months ended March 31, 2014 and 2013, the components of interest expense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1,335</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Commitment fees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2,250</w:t>
            </w:r>
          </w:p>
        </w:tc>
        <w:tc>
          <w:tcPr>
            <w:tcW w:w="2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188.0</w:t>
            </w:r>
          </w:p>
        </w:tc>
        <w:tc>
          <w:tcPr>
            <w:tcW w:w="200" w:type="dxa"/>
            <w:vAlign w:val="bottom"/>
            <w:shd w:val="clear" w:color="auto" w:fill="CCEEFF"/>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Net proceeds received from the closing of the IPO and concurrent private placement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three months ended March 31, 2014 the Company borrowed in foreign currencies from its Revolving Credit Facility. As of March 31, 2014, the Company has outstanding debt denominated in Swedish Krona (“SEK”) of 218,379,000 and outstanding debt denominated in Pound Sterling (“GBP”) of 7,000,000 on its Revolving Credit Facility, included in the Borrowings Outstanding amount in the table above.</w:t>
      </w:r>
    </w:p>
    <w:p>
      <w:pPr>
        <w:spacing w:after="0" w:line="18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Revolving Credit Facility is guaranteed by TC Lending, LLC and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60" w:hanging="325"/>
        <w:spacing w:after="0" w:line="264"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16" w:lineRule="exact"/>
        <w:rPr>
          <w:sz w:val="20"/>
          <w:szCs w:val="20"/>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92"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TPG SL SPV had $8.5 million and $6.3 million, respectively, in restricted cash, a component of prepaid expenses and other assets, in the accompanying consolidated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March 31, 2014 and December 31, 2013,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2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31,985</w:t>
            </w: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55,685</w:t>
            </w:r>
          </w:p>
        </w:tc>
        <w:tc>
          <w:tcPr>
            <w:tcW w:w="1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2014,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three months ended March 31, 2014 and 2013:</w:t>
      </w:r>
    </w:p>
    <w:p>
      <w:pPr>
        <w:spacing w:after="0" w:line="189"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Three Months Ended</w:t>
      </w:r>
    </w:p>
    <w:p>
      <w:pPr>
        <w:jc w:val="center"/>
        <w:ind w:left="5600"/>
        <w:spacing w:after="0" w:line="236"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Borders>
              <w:top w:val="single" w:sz="8" w:color="auto"/>
            </w:tcBorders>
            <w:gridSpan w:val="4"/>
          </w:tcPr>
          <w:p>
            <w:pPr>
              <w:jc w:val="right"/>
              <w:ind w:right="880"/>
              <w:spacing w:after="0" w:line="142" w:lineRule="exact"/>
              <w:rPr>
                <w:sz w:val="20"/>
                <w:szCs w:val="20"/>
                <w:color w:val="auto"/>
              </w:rPr>
            </w:pPr>
            <w:r>
              <w:rPr>
                <w:rFonts w:ascii="Arial" w:cs="Arial" w:eastAsia="Arial" w:hAnsi="Arial"/>
                <w:sz w:val="14"/>
                <w:szCs w:val="14"/>
                <w:b w:val="1"/>
                <w:bCs w:val="1"/>
                <w:color w:val="auto"/>
                <w:w w:val="88"/>
              </w:rPr>
              <w:t>Shares Issued</w:t>
            </w:r>
          </w:p>
        </w:tc>
        <w:tc>
          <w:tcPr>
            <w:tcW w:w="11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4,234,501</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4,234,501</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3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center"/>
              <w:ind w:left="256"/>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96"/>
              </w:rPr>
              <w:t>March 31, 2013</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00" w:type="dxa"/>
            <w:vAlign w:val="bottom"/>
            <w:gridSpan w:val="5"/>
          </w:tcPr>
          <w:p>
            <w:pPr>
              <w:jc w:val="right"/>
              <w:ind w:right="1060"/>
              <w:spacing w:after="0" w:line="142" w:lineRule="exact"/>
              <w:rPr>
                <w:sz w:val="20"/>
                <w:szCs w:val="20"/>
                <w:color w:val="auto"/>
              </w:rPr>
            </w:pPr>
            <w:r>
              <w:rPr>
                <w:rFonts w:ascii="Arial" w:cs="Arial" w:eastAsia="Arial" w:hAnsi="Arial"/>
                <w:sz w:val="14"/>
                <w:szCs w:val="14"/>
                <w:b w:val="1"/>
                <w:bCs w:val="1"/>
                <w:color w:val="auto"/>
                <w:w w:val="87"/>
              </w:rPr>
              <w:t>Shares Issued (1)</w:t>
            </w: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2,079,224</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shareholders who have not opted out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three months ended March 31, 2014 and 2013:</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6"/>
              </w:rPr>
              <w:t>March 31, 2014</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Date</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Issued</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Issued</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December 31, 2013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February 13, 2014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4"/>
                <w:szCs w:val="14"/>
                <w:b w:val="1"/>
                <w:bCs w:val="1"/>
                <w:color w:val="auto"/>
                <w:w w:val="96"/>
              </w:rPr>
              <w:t>March 31, 2013</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00" w:type="dxa"/>
            <w:vAlign w:val="bottom"/>
            <w:gridSpan w:val="2"/>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Date</w:t>
            </w: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1"/>
              </w:rPr>
              <w:t>Shares Issued (1)</w:t>
            </w:r>
          </w:p>
        </w:tc>
        <w:tc>
          <w:tcPr>
            <w:tcW w:w="1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gridSpan w:val="2"/>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660" w:type="dxa"/>
            <w:vAlign w:val="bottom"/>
            <w:tcBorders>
              <w:bottom w:val="single" w:sz="8" w:color="CCEEFF"/>
            </w:tcBorders>
            <w:gridSpan w:val="2"/>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December 31, 2012</w:t>
            </w:r>
          </w:p>
        </w:tc>
        <w:tc>
          <w:tcPr>
            <w:tcW w:w="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44"/>
              <w:spacing w:after="0"/>
              <w:rPr>
                <w:sz w:val="20"/>
                <w:szCs w:val="20"/>
                <w:color w:val="auto"/>
              </w:rPr>
            </w:pPr>
            <w:r>
              <w:rPr>
                <w:rFonts w:ascii="Arial" w:cs="Arial" w:eastAsia="Arial" w:hAnsi="Arial"/>
                <w:sz w:val="18"/>
                <w:szCs w:val="18"/>
                <w:color w:val="auto"/>
                <w:w w:val="92"/>
              </w:rPr>
              <w:t>March 12, 2013</w:t>
            </w:r>
          </w:p>
        </w:tc>
        <w:tc>
          <w:tcPr>
            <w:tcW w:w="660" w:type="dxa"/>
            <w:vAlign w:val="bottom"/>
            <w:gridSpan w:val="2"/>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343,981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7"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December 3, 2013, the Board approved a stock split in the form of a stock dividend pursuant to which the Company’s stockholders of record as of December 4, 2013 received 65.676 additional shares of common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360"/>
          </w:cols>
          <w:pgMar w:left="240" w:top="460" w:right="2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May 1, 2014, pursuant to its dividend reinvestment plan, the Company issued 410,183 shares in connection with the dividend that was paid on April 30, 2014. This dividend was declared on March 26, 2014 for shareholders of record on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31, 2014</w:t>
            </w:r>
          </w:p>
        </w:tc>
        <w:tc>
          <w:tcPr>
            <w:tcW w:w="1760" w:type="dxa"/>
            <w:vAlign w:val="bottom"/>
            <w:tcBorders>
              <w:top w:val="single" w:sz="8" w:color="auto"/>
            </w:tcBorders>
            <w:gridSpan w:val="3"/>
          </w:tcPr>
          <w:p>
            <w:pPr>
              <w:ind w:left="800"/>
              <w:spacing w:after="0" w:line="142" w:lineRule="exact"/>
              <w:rPr>
                <w:sz w:val="20"/>
                <w:szCs w:val="20"/>
                <w:color w:val="auto"/>
              </w:rPr>
            </w:pPr>
            <w:r>
              <w:rPr>
                <w:rFonts w:ascii="Arial" w:cs="Arial" w:eastAsia="Arial" w:hAnsi="Arial"/>
                <w:sz w:val="14"/>
                <w:szCs w:val="14"/>
                <w:b w:val="1"/>
                <w:bCs w:val="1"/>
                <w:color w:val="auto"/>
                <w:w w:val="94"/>
              </w:rPr>
              <w:t>March 31, 2013</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8"/>
              </w:rPr>
              <w:t>Weighted average shares of common stock outstanding - basic and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41,539,083</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32,560,424</w:t>
            </w: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 (1)</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right="160" w:hanging="452"/>
        <w:spacing w:after="0" w:line="277"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three months ended March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80" w:type="dxa"/>
            <w:vAlign w:val="bottom"/>
            <w:vMerge w:val="restart"/>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March 31, 2014</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April 30, 2014</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80" w:type="dxa"/>
            <w:vAlign w:val="bottom"/>
            <w:vMerge w:val="restart"/>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4"/>
              </w:rPr>
              <w:t>March 31, 2013</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 (1)</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March 31, 2013</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24"/>
              <w:spacing w:after="0"/>
              <w:rPr>
                <w:sz w:val="20"/>
                <w:szCs w:val="20"/>
                <w:color w:val="auto"/>
              </w:rPr>
            </w:pPr>
            <w:r>
              <w:rPr>
                <w:rFonts w:ascii="Arial" w:cs="Arial" w:eastAsia="Arial" w:hAnsi="Arial"/>
                <w:sz w:val="18"/>
                <w:szCs w:val="18"/>
                <w:color w:val="auto"/>
                <w:w w:val="92"/>
              </w:rPr>
              <w:t>May 6, 2013</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dividends declared during the three months ended March 31, 2014 and 2013,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three months ended March 31, 2014, the Company has accrued $9 thousand for U.S federal excise tax. For the three months ended March 31, 2013, we accrued $4 thousand for U.S federal excise tax.</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the three months ended March 31, 2014, the Company declared an ordinary dividend of $19.7 million, $17.2 million of the dividend constitutes interest-related dividends for U.S. federal nonresident withholding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purposes. For the three months ended March 31, 2013, the Company declared an ordinary dividend of $13.0 million, $12.5 million of the dividend constitutes interest-related dividends for U.S. federal nonresident withholding tax purposes.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total net assets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 During the three months ended March 31, 2013, permanent differences of $46 thousand were attributable to accrued U.S. federal excise taxes.</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March 31, 2014 and December 31, 2013,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three months ended March 31,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8"/>
              </w:rPr>
              <w:t>March 31, 2014</w:t>
            </w:r>
          </w:p>
        </w:tc>
        <w:tc>
          <w:tcPr>
            <w:tcW w:w="580" w:type="dxa"/>
            <w:vAlign w:val="bottom"/>
          </w:tcPr>
          <w:p>
            <w:pPr>
              <w:spacing w:after="0"/>
              <w:rPr>
                <w:sz w:val="14"/>
                <w:szCs w:val="14"/>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March 31, 2013 (6)</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15.52</w:t>
            </w:r>
          </w:p>
        </w:tc>
        <w:tc>
          <w:tcPr>
            <w:tcW w:w="72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investment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Issuances of common stock, net of offering costs (1)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(0.24)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Total (decrease) increase in net assets</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return based on net asset value (4)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2.38%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51,887,708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34,006,160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Ratios/Supplemental Data</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13.8%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804,755</w:t>
            </w:r>
          </w:p>
        </w:tc>
        <w:tc>
          <w:tcPr>
            <w:tcW w:w="72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519,345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hanging="572"/>
        <w:spacing w:after="0"/>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Total return is calculated as the change in market value per share during the period plus declared dividends per share, divided by the beginning market value per share.</w:t>
      </w:r>
    </w:p>
    <w:p>
      <w:pPr>
        <w:ind w:left="580" w:right="180" w:hanging="572"/>
        <w:spacing w:after="0" w:line="250" w:lineRule="auto"/>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80" w:right="200" w:hanging="572"/>
        <w:spacing w:after="0" w:line="261" w:lineRule="auto"/>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00"/>
          </w:cols>
          <w:pgMar w:left="240" w:top="460" w:right="25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7"/>
        </w:trPr>
        <w:tc>
          <w:tcPr>
            <w:tcW w:w="1008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2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auto"/>
              </w:rPr>
              <w:t>TPG SPECIALTY LENDING, INC.</w:t>
            </w:r>
          </w:p>
        </w:tc>
        <w:tc>
          <w:tcPr>
            <w:tcW w:w="12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auto"/>
                <w:w w:val="95"/>
              </w:rPr>
              <w:t>PART C</w:t>
            </w:r>
          </w:p>
        </w:tc>
        <w:tc>
          <w:tcPr>
            <w:tcW w:w="12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auto"/>
                <w:w w:val="94"/>
              </w:rPr>
              <w:t>Other Information</w:t>
            </w:r>
          </w:p>
        </w:tc>
        <w:tc>
          <w:tcPr>
            <w:tcW w:w="1240" w:type="dxa"/>
            <w:vAlign w:val="bottom"/>
          </w:tcPr>
          <w:p>
            <w:pPr>
              <w:spacing w:after="0"/>
              <w:rPr>
                <w:sz w:val="24"/>
                <w:szCs w:val="24"/>
                <w:color w:val="auto"/>
              </w:rPr>
            </w:pPr>
          </w:p>
        </w:tc>
      </w:tr>
      <w:tr>
        <w:trPr>
          <w:trHeight w:val="338"/>
        </w:trPr>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240" w:type="dxa"/>
            <w:vAlign w:val="bottom"/>
          </w:tcPr>
          <w:p>
            <w:pPr>
              <w:spacing w:after="0"/>
              <w:rPr>
                <w:sz w:val="24"/>
                <w:szCs w:val="24"/>
                <w:color w:val="auto"/>
              </w:rPr>
            </w:pPr>
          </w:p>
        </w:tc>
      </w:tr>
      <w:tr>
        <w:trPr>
          <w:trHeight w:val="324"/>
        </w:trPr>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(1) Financial Statements</w:t>
            </w:r>
          </w:p>
        </w:tc>
        <w:tc>
          <w:tcPr>
            <w:tcW w:w="1240" w:type="dxa"/>
            <w:vAlign w:val="bottom"/>
          </w:tcPr>
          <w:p>
            <w:pPr>
              <w:spacing w:after="0"/>
              <w:rPr>
                <w:sz w:val="24"/>
                <w:szCs w:val="24"/>
                <w:color w:val="auto"/>
              </w:rPr>
            </w:pPr>
          </w:p>
        </w:tc>
      </w:tr>
      <w:tr>
        <w:trPr>
          <w:trHeight w:val="324"/>
        </w:trPr>
        <w:tc>
          <w:tcPr>
            <w:tcW w:w="10080" w:type="dxa"/>
            <w:vAlign w:val="bottom"/>
            <w:gridSpan w:val="2"/>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240" w:type="dxa"/>
            <w:vAlign w:val="bottom"/>
          </w:tcPr>
          <w:p>
            <w:pPr>
              <w:spacing w:after="0"/>
              <w:rPr>
                <w:sz w:val="24"/>
                <w:szCs w:val="24"/>
                <w:color w:val="auto"/>
              </w:rPr>
            </w:pPr>
          </w:p>
        </w:tc>
      </w:tr>
      <w:tr>
        <w:trPr>
          <w:trHeight w:val="445"/>
        </w:trPr>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Years Ended December 31, 2013, 2012 and 2011</w:t>
            </w:r>
          </w:p>
        </w:tc>
        <w:tc>
          <w:tcPr>
            <w:tcW w:w="12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Schedules of Investments as of December 31,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2013, 2012 and 2011</w:t>
            </w:r>
          </w:p>
        </w:tc>
        <w:tc>
          <w:tcPr>
            <w:tcW w:w="124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Years Ended December 31, 2013, 2012 and 2011</w:t>
            </w:r>
          </w:p>
        </w:tc>
        <w:tc>
          <w:tcPr>
            <w:tcW w:w="12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30"/>
        </w:trPr>
        <w:tc>
          <w:tcPr>
            <w:tcW w:w="1008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310"/>
        </w:trPr>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Balance Sheets as of March 31, 2014 and December 31,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Three Months Ended March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Schedules of Investments as of March 31, 2014 and December 31,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F-49</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Three Months Ended March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F-50</w:t>
            </w:r>
          </w:p>
        </w:tc>
      </w:tr>
      <w:tr>
        <w:trPr>
          <w:trHeight w:val="230"/>
        </w:trPr>
        <w:tc>
          <w:tcPr>
            <w:tcW w:w="1008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F-51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135" w:lineRule="exact"/>
        <w:rPr>
          <w:sz w:val="20"/>
          <w:szCs w:val="20"/>
          <w:color w:val="auto"/>
        </w:rPr>
      </w:pPr>
    </w:p>
    <w:p>
      <w:pPr>
        <w:ind w:left="760" w:right="10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46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right="220" w:hanging="752"/>
        <w:spacing w:after="0" w:line="277" w:lineRule="auto"/>
        <w:tabs>
          <w:tab w:leader="none" w:pos="7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760" w:right="40" w:hanging="759"/>
        <w:spacing w:after="0" w:line="277" w:lineRule="auto"/>
        <w:tabs>
          <w:tab w:leader="none" w:pos="7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760" w:right="140" w:hanging="759"/>
        <w:spacing w:after="0" w:line="277" w:lineRule="auto"/>
        <w:tabs>
          <w:tab w:leader="none" w:pos="7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60" w:right="180" w:hanging="759"/>
        <w:spacing w:after="0" w:line="277" w:lineRule="auto"/>
        <w:tabs>
          <w:tab w:leader="none" w:pos="7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(incorporated by reference to Exhibit 4.1 to the Company’s Current Report on Form 8-K filed on June 10, 2014)</w:t>
      </w:r>
    </w:p>
    <w:p>
      <w:pPr>
        <w:spacing w:after="0" w:line="62" w:lineRule="exact"/>
        <w:rPr>
          <w:sz w:val="20"/>
          <w:szCs w:val="20"/>
          <w:color w:val="auto"/>
        </w:rPr>
      </w:pPr>
    </w:p>
    <w:p>
      <w:pPr>
        <w:ind w:left="760" w:hanging="759"/>
        <w:spacing w:after="0" w:line="342" w:lineRule="auto"/>
        <w:tabs>
          <w:tab w:leader="none" w:pos="740" w:val="left"/>
        </w:tabs>
        <w:rPr>
          <w:sz w:val="20"/>
          <w:szCs w:val="20"/>
          <w:color w:val="auto"/>
        </w:rPr>
      </w:pPr>
      <w:r>
        <w:rPr>
          <w:rFonts w:ascii="Arial" w:cs="Arial" w:eastAsia="Arial" w:hAnsi="Arial"/>
          <w:sz w:val="16"/>
          <w:szCs w:val="16"/>
          <w:color w:val="auto"/>
        </w:rPr>
        <w:t>(d)(4)</w:t>
      </w:r>
      <w:r>
        <w:rPr>
          <w:sz w:val="20"/>
          <w:szCs w:val="20"/>
          <w:color w:val="auto"/>
        </w:rPr>
        <w:tab/>
      </w:r>
      <w:r>
        <w:rPr>
          <w:rFonts w:ascii="Arial" w:cs="Arial" w:eastAsia="Arial" w:hAnsi="Arial"/>
          <w:sz w:val="16"/>
          <w:szCs w:val="16"/>
          <w:color w:val="auto"/>
        </w:rPr>
        <w:t>Form of 4.50% Convertible Senior Notes due 2019 under the Indenture, dated June 10, 2014, between TPG Specialty Lending, Inc. and Wells Fargo Bank, National Association (incorporated by reference to Exhibit 4.2 to the Company’s Current Report on Form 8-K filed on June 10, 2014)</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40"/>
          </w:cols>
          <w:pgMar w:left="240" w:top="446" w:right="3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Indenture</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w:t>
      </w:r>
    </w:p>
    <w:p>
      <w:pPr>
        <w:spacing w:after="0" w:line="117" w:lineRule="exact"/>
        <w:rPr>
          <w:sz w:val="20"/>
          <w:szCs w:val="20"/>
          <w:color w:val="auto"/>
        </w:rPr>
      </w:pPr>
    </w:p>
    <w:p>
      <w:pPr>
        <w:ind w:left="760" w:right="280" w:hanging="752"/>
        <w:spacing w:after="0" w:line="277" w:lineRule="auto"/>
        <w:tabs>
          <w:tab w:leader="none" w:pos="7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right="460" w:hanging="752"/>
        <w:spacing w:after="0" w:line="308" w:lineRule="auto"/>
        <w:tabs>
          <w:tab w:leader="none" w:pos="7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w:t>
      </w:r>
    </w:p>
    <w:p>
      <w:pPr>
        <w:spacing w:after="0" w:line="117" w:lineRule="exact"/>
        <w:rPr>
          <w:sz w:val="20"/>
          <w:szCs w:val="20"/>
          <w:color w:val="auto"/>
        </w:rPr>
      </w:pPr>
    </w:p>
    <w:p>
      <w:pPr>
        <w:ind w:left="760" w:hanging="752"/>
        <w:spacing w:after="0"/>
        <w:tabs>
          <w:tab w:leader="none" w:pos="7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right="80" w:hanging="752"/>
        <w:spacing w:after="0" w:line="277" w:lineRule="auto"/>
        <w:tabs>
          <w:tab w:leader="none" w:pos="7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760" w:right="680" w:hanging="759"/>
        <w:spacing w:after="0" w:line="277" w:lineRule="auto"/>
        <w:tabs>
          <w:tab w:leader="none" w:pos="74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60" w:right="240" w:hanging="759"/>
        <w:spacing w:after="0" w:line="277" w:lineRule="auto"/>
        <w:tabs>
          <w:tab w:leader="none" w:pos="74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ind w:left="760" w:right="140" w:hanging="759"/>
        <w:spacing w:after="0" w:line="286" w:lineRule="auto"/>
        <w:tabs>
          <w:tab w:leader="none" w:pos="740" w:val="left"/>
        </w:tabs>
        <w:rPr>
          <w:sz w:val="20"/>
          <w:szCs w:val="20"/>
          <w:color w:val="auto"/>
        </w:rPr>
      </w:pPr>
      <w:r>
        <w:rPr>
          <w:rFonts w:ascii="Arial" w:cs="Arial" w:eastAsia="Arial" w:hAnsi="Arial"/>
          <w:sz w:val="17"/>
          <w:szCs w:val="17"/>
          <w:color w:val="auto"/>
        </w:rPr>
        <w:t>(k)(3)</w:t>
      </w:r>
      <w:r>
        <w:rPr>
          <w:sz w:val="20"/>
          <w:szCs w:val="20"/>
          <w:color w:val="auto"/>
        </w:rPr>
        <w:tab/>
      </w:r>
      <w:r>
        <w:rPr>
          <w:rFonts w:ascii="Arial" w:cs="Arial" w:eastAsia="Arial" w:hAnsi="Arial"/>
          <w:sz w:val="17"/>
          <w:szCs w:val="17"/>
          <w:color w:val="auto"/>
        </w:rPr>
        <w:t>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13, 2012)</w:t>
      </w:r>
    </w:p>
    <w:p>
      <w:pPr>
        <w:spacing w:after="0" w:line="57" w:lineRule="exact"/>
        <w:rPr>
          <w:sz w:val="20"/>
          <w:szCs w:val="20"/>
          <w:color w:val="auto"/>
        </w:rPr>
      </w:pPr>
    </w:p>
    <w:p>
      <w:pPr>
        <w:ind w:left="760" w:right="260" w:hanging="759"/>
        <w:spacing w:after="0" w:line="342" w:lineRule="auto"/>
        <w:tabs>
          <w:tab w:leader="none" w:pos="74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16" w:lineRule="exact"/>
        <w:rPr>
          <w:sz w:val="20"/>
          <w:szCs w:val="20"/>
          <w:color w:val="auto"/>
        </w:rPr>
      </w:pPr>
    </w:p>
    <w:p>
      <w:pPr>
        <w:ind w:left="760" w:hanging="759"/>
        <w:spacing w:after="0" w:line="264" w:lineRule="auto"/>
        <w:tabs>
          <w:tab w:leader="none" w:pos="74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760" w:right="100" w:hanging="759"/>
        <w:spacing w:after="0" w:line="264" w:lineRule="auto"/>
        <w:tabs>
          <w:tab w:leader="none" w:pos="74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73" w:lineRule="exact"/>
        <w:rPr>
          <w:sz w:val="20"/>
          <w:szCs w:val="20"/>
          <w:color w:val="auto"/>
        </w:rPr>
      </w:pPr>
    </w:p>
    <w:p>
      <w:pPr>
        <w:ind w:left="760" w:right="320" w:hanging="759"/>
        <w:spacing w:after="0" w:line="264" w:lineRule="auto"/>
        <w:tabs>
          <w:tab w:leader="none" w:pos="74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(k)(8)</w:t>
            </w:r>
          </w:p>
        </w:tc>
        <w:tc>
          <w:tcPr>
            <w:tcW w:w="10560" w:type="dxa"/>
            <w:vAlign w:val="bottom"/>
          </w:tcPr>
          <w:p>
            <w:pPr>
              <w:ind w:left="280"/>
              <w:spacing w:after="0"/>
              <w:rPr>
                <w:sz w:val="20"/>
                <w:szCs w:val="20"/>
                <w:color w:val="auto"/>
              </w:rPr>
            </w:pPr>
            <w:r>
              <w:rPr>
                <w:rFonts w:ascii="Arial" w:cs="Arial" w:eastAsia="Arial" w:hAnsi="Arial"/>
                <w:sz w:val="18"/>
                <w:szCs w:val="18"/>
                <w:color w:val="auto"/>
                <w:w w:val="96"/>
              </w:rPr>
              <w:t>Amendment No. 1 dated July 17, 2013 to Revolving Credit and Security Agreement, dated May 8, 2012, among TPG SL SPV, LLC, as</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4"/>
              </w:rPr>
              <w:t>Borrower, the Lenders from Time to Time Parties Hereto, Natixis, New York Branch, as Facility Agent and The Bank of New York Mellon</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Trust Company, N.A., as Collateral Agent (incorporated by reference to Exhibit 10.1 to the Company’s Quarterly Report on Form 10-Q filed</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on August 9, 2013)</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(k)(9)</w:t>
            </w: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Amended and Restated Revolving Credit and Security Agreement, dated as of January 21, 2014, among TPG SL SPV, LLC, as Borrower, the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6"/>
              </w:rPr>
              <w:t>Lenders from Time to Time Parties Hereto, Natixis, New York Branch, as Facility Agent and State Street Bank and Trust Company, as</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8"/>
              </w:rPr>
              <w:t>Collateral Agent (incorporated by reference to Exhibit 10.18 to the Company’s Annual Report on Form 10-K filed on March 4,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(k)(10)</w:t>
            </w: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Amended and Restated Master Sale and Contribution Agreement by and between TPG Specialty Lending, Inc., as the Originator and TPG SL</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SPV, LLC, as the Buyer, dated as of January 21, 2014 (incorporated by reference to Exhibit 10.19 to the Company’s Annual Report on Form</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10-K filed on March 4,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(k)(11)</w:t>
            </w:r>
          </w:p>
        </w:tc>
        <w:tc>
          <w:tcPr>
            <w:tcW w:w="10560" w:type="dxa"/>
            <w:vAlign w:val="bottom"/>
          </w:tcPr>
          <w:p>
            <w:pPr>
              <w:ind w:left="280"/>
              <w:spacing w:after="0"/>
              <w:rPr>
                <w:sz w:val="20"/>
                <w:szCs w:val="20"/>
                <w:color w:val="auto"/>
              </w:rPr>
            </w:pPr>
            <w:r>
              <w:rPr>
                <w:rFonts w:ascii="Arial" w:cs="Arial" w:eastAsia="Arial" w:hAnsi="Arial"/>
                <w:sz w:val="18"/>
                <w:szCs w:val="18"/>
                <w:color w:val="auto"/>
                <w:w w:val="89"/>
              </w:rPr>
              <w:t>Second Amended and Restated Senior Secured Credit Agreement, dated February 27, 2014, among TPG Specialty Lending, Inc., as Borrower,</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the Lenders Party Hereto and SunTrust Bank, as Administrative Agent, and JPMorgan Chase Bank, N.A., as Syndication Agent (incorporated</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by reference to Exhibit 10.20 to the Company’s Annual Report on Form 10-K filed on March 4,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(k)(12)</w:t>
            </w: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Form of Increase Letter pursuant to the Second Amended and Restated Senior Secured Credit Agreement, dated February 27, 2014, among</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TPG Specialty Lending, Inc., as Borrower, the Lenders Party Hereto and SunTrust Bank, as Administrative Agent, and JPMorgan Chase Bank,</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N.A., as Syndication Agent</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(k)(13)</w:t>
            </w:r>
          </w:p>
        </w:tc>
        <w:tc>
          <w:tcPr>
            <w:tcW w:w="10560" w:type="dxa"/>
            <w:vAlign w:val="bottom"/>
          </w:tcPr>
          <w:p>
            <w:pPr>
              <w:ind w:left="280"/>
              <w:spacing w:after="0"/>
              <w:rPr>
                <w:sz w:val="20"/>
                <w:szCs w:val="20"/>
                <w:color w:val="auto"/>
              </w:rPr>
            </w:pPr>
            <w:r>
              <w:rPr>
                <w:rFonts w:ascii="Arial" w:cs="Arial" w:eastAsia="Arial" w:hAnsi="Arial"/>
                <w:sz w:val="18"/>
                <w:szCs w:val="18"/>
                <w:color w:val="auto"/>
                <w:w w:val="95"/>
              </w:rPr>
              <w:t>First Amendment to the Second Amended and Restated Senior Secured Revolving Credit Agreement, dated June 3, 2014, among TPG</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Specialty Lending, Inc., as Borrower, the Lenders party thereto and SunTrust Bank, as Administrative Agent and Collateral Agent</w:t>
            </w:r>
          </w:p>
        </w:tc>
      </w:tr>
    </w:tbl>
    <w:p>
      <w:pPr>
        <w:spacing w:after="0" w:line="94" w:lineRule="exact"/>
        <w:rPr>
          <w:sz w:val="20"/>
          <w:szCs w:val="20"/>
          <w:color w:val="auto"/>
        </w:rPr>
      </w:pPr>
    </w:p>
    <w:p>
      <w:pPr>
        <w:ind w:left="1060" w:hanging="1052"/>
        <w:spacing w:after="0"/>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5740" w:type="dxa"/>
            <w:vAlign w:val="bottom"/>
          </w:tcPr>
          <w:p>
            <w:pPr>
              <w:ind w:left="320"/>
              <w:spacing w:after="0"/>
              <w:rPr>
                <w:sz w:val="20"/>
                <w:szCs w:val="20"/>
                <w:color w:val="auto"/>
              </w:rPr>
            </w:pPr>
            <w:r>
              <w:rPr>
                <w:rFonts w:ascii="Arial" w:cs="Arial" w:eastAsia="Arial" w:hAnsi="Arial"/>
                <w:sz w:val="18"/>
                <w:szCs w:val="18"/>
                <w:color w:val="auto"/>
                <w:w w:val="93"/>
              </w:rPr>
              <w:t>Consent of Cleary Gottlieb Steen &amp; Hamilton LLP (included in Exhibit (l))</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(n)(2)</w:t>
            </w:r>
          </w:p>
        </w:tc>
        <w:tc>
          <w:tcPr>
            <w:tcW w:w="5740" w:type="dxa"/>
            <w:vAlign w:val="bottom"/>
          </w:tcPr>
          <w:p>
            <w:pPr>
              <w:ind w:left="320"/>
              <w:spacing w:after="0"/>
              <w:rPr>
                <w:sz w:val="20"/>
                <w:szCs w:val="20"/>
                <w:color w:val="auto"/>
              </w:rPr>
            </w:pPr>
            <w:r>
              <w:rPr>
                <w:rFonts w:ascii="Arial" w:cs="Arial" w:eastAsia="Arial" w:hAnsi="Arial"/>
                <w:sz w:val="18"/>
                <w:szCs w:val="18"/>
                <w:color w:val="auto"/>
              </w:rPr>
              <w:t>Consent of KPMG LLP</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(n)(3)</w:t>
            </w:r>
          </w:p>
        </w:tc>
        <w:tc>
          <w:tcPr>
            <w:tcW w:w="5740" w:type="dxa"/>
            <w:vAlign w:val="bottom"/>
          </w:tcPr>
          <w:p>
            <w:pPr>
              <w:ind w:left="320"/>
              <w:spacing w:after="0"/>
              <w:rPr>
                <w:sz w:val="20"/>
                <w:szCs w:val="20"/>
                <w:color w:val="auto"/>
              </w:rPr>
            </w:pPr>
            <w:r>
              <w:rPr>
                <w:rFonts w:ascii="Arial" w:cs="Arial" w:eastAsia="Arial" w:hAnsi="Arial"/>
                <w:sz w:val="18"/>
                <w:szCs w:val="18"/>
                <w:color w:val="auto"/>
              </w:rPr>
              <w:t>Report of KPMG LLP (1)</w:t>
            </w:r>
          </w:p>
        </w:tc>
      </w:tr>
    </w:tbl>
    <w:p>
      <w:pPr>
        <w:spacing w:after="0" w:line="94" w:lineRule="exact"/>
        <w:rPr>
          <w:sz w:val="20"/>
          <w:szCs w:val="20"/>
          <w:color w:val="auto"/>
        </w:rPr>
      </w:pPr>
    </w:p>
    <w:p>
      <w:pPr>
        <w:ind w:left="1060" w:hanging="1052"/>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(r)(1)</w:t>
            </w:r>
          </w:p>
        </w:tc>
        <w:tc>
          <w:tcPr>
            <w:tcW w:w="10120" w:type="dxa"/>
            <w:vAlign w:val="bottom"/>
          </w:tcPr>
          <w:p>
            <w:pPr>
              <w:ind w:left="340"/>
              <w:spacing w:after="0"/>
              <w:rPr>
                <w:sz w:val="20"/>
                <w:szCs w:val="20"/>
                <w:color w:val="auto"/>
              </w:rPr>
            </w:pPr>
            <w:r>
              <w:rPr>
                <w:rFonts w:ascii="Arial" w:cs="Arial" w:eastAsia="Arial" w:hAnsi="Arial"/>
                <w:sz w:val="18"/>
                <w:szCs w:val="18"/>
                <w:color w:val="auto"/>
                <w:w w:val="94"/>
              </w:rPr>
              <w:t>Code of Ethics of TPG Specialty Lending, Inc. (incorporated by reference to Exhibit (r)(1) to Pre-Effective Amendment No. 4 to the</w:t>
            </w:r>
          </w:p>
        </w:tc>
      </w:tr>
      <w:tr>
        <w:trPr>
          <w:trHeight w:val="230"/>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120" w:type="dxa"/>
            <w:vAlign w:val="bottom"/>
          </w:tcPr>
          <w:p>
            <w:pPr>
              <w:ind w:left="340"/>
              <w:spacing w:after="0"/>
              <w:rPr>
                <w:sz w:val="20"/>
                <w:szCs w:val="20"/>
                <w:color w:val="auto"/>
              </w:rPr>
            </w:pPr>
            <w:r>
              <w:rPr>
                <w:rFonts w:ascii="Arial" w:cs="Arial" w:eastAsia="Arial" w:hAnsi="Arial"/>
                <w:sz w:val="18"/>
                <w:szCs w:val="18"/>
                <w:color w:val="auto"/>
                <w:w w:val="92"/>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120" w:type="dxa"/>
            <w:vAlign w:val="bottom"/>
          </w:tcPr>
          <w:p>
            <w:pPr>
              <w:ind w:left="340"/>
              <w:spacing w:after="0"/>
              <w:rPr>
                <w:sz w:val="20"/>
                <w:szCs w:val="20"/>
                <w:color w:val="auto"/>
              </w:rPr>
            </w:pPr>
            <w:r>
              <w:rPr>
                <w:rFonts w:ascii="Arial" w:cs="Arial" w:eastAsia="Arial" w:hAnsi="Arial"/>
                <w:sz w:val="18"/>
                <w:szCs w:val="18"/>
                <w:color w:val="auto"/>
              </w:rPr>
              <w:t>Form of Preliminary Prospectus Supplement For Common Stock Offerings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120" w:type="dxa"/>
            <w:vAlign w:val="bottom"/>
          </w:tcPr>
          <w:p>
            <w:pPr>
              <w:ind w:left="340"/>
              <w:spacing w:after="0"/>
              <w:rPr>
                <w:sz w:val="20"/>
                <w:szCs w:val="20"/>
                <w:color w:val="auto"/>
              </w:rPr>
            </w:pPr>
            <w:r>
              <w:rPr>
                <w:rFonts w:ascii="Arial" w:cs="Arial" w:eastAsia="Arial" w:hAnsi="Arial"/>
                <w:sz w:val="18"/>
                <w:szCs w:val="18"/>
                <w:color w:val="auto"/>
              </w:rPr>
              <w:t>Form of Preliminary Prospectus Supplement For Preferred Stock Offerings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120" w:type="dxa"/>
            <w:vAlign w:val="bottom"/>
          </w:tcPr>
          <w:p>
            <w:pPr>
              <w:ind w:left="340"/>
              <w:spacing w:after="0"/>
              <w:rPr>
                <w:sz w:val="20"/>
                <w:szCs w:val="20"/>
                <w:color w:val="auto"/>
              </w:rPr>
            </w:pPr>
            <w:r>
              <w:rPr>
                <w:rFonts w:ascii="Arial" w:cs="Arial" w:eastAsia="Arial" w:hAnsi="Arial"/>
                <w:sz w:val="18"/>
                <w:szCs w:val="18"/>
                <w:color w:val="auto"/>
              </w:rPr>
              <w:t>Form of Preliminary Prospectus Supplement For Debt Securities Offerings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10120" w:type="dxa"/>
            <w:vAlign w:val="bottom"/>
          </w:tcPr>
          <w:p>
            <w:pPr>
              <w:ind w:left="340"/>
              <w:spacing w:after="0"/>
              <w:rPr>
                <w:sz w:val="20"/>
                <w:szCs w:val="20"/>
                <w:color w:val="auto"/>
              </w:rPr>
            </w:pPr>
            <w:r>
              <w:rPr>
                <w:rFonts w:ascii="Arial" w:cs="Arial" w:eastAsia="Arial" w:hAnsi="Arial"/>
                <w:sz w:val="18"/>
                <w:szCs w:val="18"/>
                <w:color w:val="auto"/>
              </w:rPr>
              <w:t>Form of Preliminary Prospectus Supplement For Rights Offerings</w:t>
            </w:r>
          </w:p>
        </w:tc>
      </w:tr>
      <w:tr>
        <w:trPr>
          <w:trHeight w:val="365"/>
        </w:trPr>
        <w:tc>
          <w:tcPr>
            <w:tcW w:w="720" w:type="dxa"/>
            <w:vAlign w:val="bottom"/>
          </w:tcPr>
          <w:p>
            <w:pPr>
              <w:spacing w:after="0"/>
              <w:rPr>
                <w:sz w:val="24"/>
                <w:szCs w:val="24"/>
                <w:color w:val="auto"/>
              </w:rPr>
            </w:pPr>
          </w:p>
        </w:tc>
        <w:tc>
          <w:tcPr>
            <w:tcW w:w="10120" w:type="dxa"/>
            <w:vAlign w:val="bottom"/>
          </w:tcPr>
          <w:p>
            <w:pPr>
              <w:ind w:left="4860"/>
              <w:spacing w:after="0"/>
              <w:rPr>
                <w:sz w:val="20"/>
                <w:szCs w:val="20"/>
                <w:color w:val="auto"/>
              </w:rPr>
            </w:pPr>
            <w:r>
              <w:rPr>
                <w:rFonts w:ascii="Arial" w:cs="Arial" w:eastAsia="Arial" w:hAnsi="Arial"/>
                <w:sz w:val="18"/>
                <w:szCs w:val="18"/>
                <w:color w:val="auto"/>
              </w:rPr>
              <w:t>C-3</w:t>
            </w:r>
          </w:p>
        </w:tc>
      </w:tr>
    </w:tbl>
    <w:p>
      <w:pPr>
        <w:sectPr>
          <w:pgSz w:w="11900" w:h="16838" w:orient="portrait"/>
          <w:cols w:equalWidth="0" w:num="1">
            <w:col w:w="11340"/>
          </w:cols>
          <w:pgMar w:left="240" w:top="459" w:right="3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6"/>
          <w:szCs w:val="16"/>
          <w:color w:val="auto"/>
        </w:rPr>
        <w:t>Form of Preliminary Prospectus Supplement For Warrant Offerings</w:t>
      </w:r>
    </w:p>
    <w:p>
      <w:pPr>
        <w:spacing w:after="0" w:line="131"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768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Expenses of Issuance and Distribution</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6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$164,736.61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FINRA filing fee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192,351.64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Printing expenses</w:t>
            </w:r>
          </w:p>
        </w:tc>
        <w:tc>
          <w:tcPr>
            <w:tcW w:w="1140" w:type="dxa"/>
            <w:vAlign w:val="bottom"/>
            <w:gridSpan w:val="3"/>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140" w:type="dxa"/>
            <w:vAlign w:val="bottom"/>
            <w:gridSpan w:val="3"/>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357,088.25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7, 2014.</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3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$0.01 par value</w:t>
            </w:r>
          </w:p>
        </w:tc>
        <w:tc>
          <w:tcPr>
            <w:tcW w:w="18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60"/>
          </w:cols>
          <w:pgMar w:left="240" w:top="460" w:right="29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by us the expenses incurred in defending or otherwise participating in any proceeding in advance of its final disposition.</w:t>
      </w:r>
    </w:p>
    <w:p>
      <w:pPr>
        <w:spacing w:after="0" w:line="22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Delaware General Corporation Law. A form of indemnification agreement has been filed as an exhibit to this Registration Statement.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right="20" w:hanging="440"/>
        <w:spacing w:after="0" w:line="264" w:lineRule="auto"/>
        <w:tabs>
          <w:tab w:leader="none" w:pos="192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920" w:right="100" w:hanging="440"/>
        <w:spacing w:after="0" w:line="277" w:lineRule="auto"/>
        <w:tabs>
          <w:tab w:leader="none" w:pos="192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60" w:hanging="567"/>
        <w:spacing w:after="0" w:line="264" w:lineRule="auto"/>
        <w:tabs>
          <w:tab w:leader="none" w:pos="14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80" w:hanging="567"/>
        <w:spacing w:after="0" w:line="277" w:lineRule="auto"/>
        <w:tabs>
          <w:tab w:leader="none" w:pos="14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480" w:right="100" w:hanging="567"/>
        <w:spacing w:after="0" w:line="290" w:lineRule="auto"/>
        <w:tabs>
          <w:tab w:leader="none" w:pos="148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480" w:hanging="567"/>
        <w:spacing w:after="0" w:line="279" w:lineRule="auto"/>
        <w:tabs>
          <w:tab w:leader="none" w:pos="148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920" w:right="600" w:hanging="440"/>
        <w:spacing w:after="0" w:line="277" w:lineRule="auto"/>
        <w:tabs>
          <w:tab w:leader="none" w:pos="19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920" w:right="700" w:hanging="440"/>
        <w:spacing w:after="0" w:line="277" w:lineRule="auto"/>
        <w:tabs>
          <w:tab w:leader="none" w:pos="19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480" w:right="80" w:hanging="567"/>
        <w:spacing w:after="0" w:line="312" w:lineRule="auto"/>
        <w:tabs>
          <w:tab w:leader="none" w:pos="14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480" w:right="20" w:hanging="567"/>
        <w:spacing w:after="0" w:line="264" w:lineRule="auto"/>
        <w:tabs>
          <w:tab w:leader="none" w:pos="14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(including subscription rights to purchase shares of common stock) below net asset value as of the date of the commencement of such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Pre-Effective Amendment No. 1 to the Registration Statement on Form N-2 to be signed on its behalf by the undersigned, thereunto duly authorized, in the City of New York, and the State of New York on the 25th day of July,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Pre-Effective Amendment No. 1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/s/ Michael Fishman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and Director (Principal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July 25,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Director and Chairman</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July 25,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of the Board of Directors</w:t>
            </w: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July 25,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Alan Kirshenbaum</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July 25,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July 25,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July 25,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Ronald K. Tanemura</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58"/>
        </w:trPr>
        <w:tc>
          <w:tcPr>
            <w:tcW w:w="5080" w:type="dxa"/>
            <w:vAlign w:val="bottom"/>
            <w:gridSpan w:val="3"/>
          </w:tcPr>
          <w:p>
            <w:pPr>
              <w:spacing w:after="0"/>
              <w:rPr>
                <w:sz w:val="20"/>
                <w:szCs w:val="20"/>
                <w:color w:val="auto"/>
              </w:rPr>
            </w:pPr>
            <w:r>
              <w:rPr>
                <w:rFonts w:ascii="Arial" w:cs="Arial" w:eastAsia="Arial" w:hAnsi="Arial"/>
                <w:sz w:val="18"/>
                <w:szCs w:val="18"/>
                <w:color w:val="auto"/>
              </w:rPr>
              <w:t>*By:  /s/ Michael Fishman</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Fishman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25" w:lineRule="exact"/>
        <w:rPr>
          <w:sz w:val="20"/>
          <w:szCs w:val="20"/>
          <w:color w:val="auto"/>
        </w:rPr>
      </w:pPr>
    </w:p>
    <w:tbl>
      <w:tblPr>
        <w:tblLayout w:type="fixed"/>
        <w:tblInd w:w="4700" w:type="dxa"/>
        <w:tblCellMar>
          <w:top w:w="0" w:type="dxa"/>
          <w:left w:w="0" w:type="dxa"/>
          <w:bottom w:w="0" w:type="dxa"/>
          <w:right w:w="0" w:type="dxa"/>
        </w:tblCellMar>
      </w:tblPr>
      <w:tr>
        <w:trPr>
          <w:trHeight w:val="234"/>
        </w:trPr>
        <w:tc>
          <w:tcPr>
            <w:tcW w:w="146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(Trustee)</w:t>
            </w:r>
          </w:p>
        </w:tc>
        <w:tc>
          <w:tcPr>
            <w:tcW w:w="560" w:type="dxa"/>
            <w:vAlign w:val="bottom"/>
          </w:tcPr>
          <w:p>
            <w:pPr>
              <w:spacing w:after="0"/>
              <w:rPr>
                <w:sz w:val="20"/>
                <w:szCs w:val="20"/>
                <w:color w:val="auto"/>
              </w:rPr>
            </w:pPr>
          </w:p>
        </w:tc>
      </w:tr>
      <w:tr>
        <w:trPr>
          <w:trHeight w:val="432"/>
        </w:trPr>
        <w:tc>
          <w:tcPr>
            <w:tcW w:w="146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Indenture</w:t>
            </w:r>
          </w:p>
        </w:tc>
        <w:tc>
          <w:tcPr>
            <w:tcW w:w="560" w:type="dxa"/>
            <w:vAlign w:val="bottom"/>
          </w:tcPr>
          <w:p>
            <w:pPr>
              <w:spacing w:after="0"/>
              <w:rPr>
                <w:sz w:val="24"/>
                <w:szCs w:val="24"/>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Dated as of [</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6"/>
              </w:rPr>
              <w:t>], 2014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Providing for the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1420"/>
          </w:cols>
          <w:pgMar w:left="240" w:top="122"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6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194"/>
        </w:trPr>
        <w:tc>
          <w:tcPr>
            <w:tcW w:w="9080" w:type="dxa"/>
            <w:vAlign w:val="bottom"/>
            <w:gridSpan w:val="41"/>
          </w:tcPr>
          <w:p>
            <w:pPr>
              <w:spacing w:after="0" w:line="194" w:lineRule="exact"/>
              <w:rPr>
                <w:rFonts w:ascii="Arial" w:cs="Arial" w:eastAsia="Arial" w:hAnsi="Arial"/>
                <w:sz w:val="18"/>
                <w:szCs w:val="18"/>
                <w:b w:val="1"/>
                <w:bCs w:val="1"/>
                <w:color w:val="0000EE"/>
              </w:rPr>
            </w:pPr>
            <w:hyperlink w:anchor="page267">
              <w:r>
                <w:rPr>
                  <w:rFonts w:ascii="Arial" w:cs="Arial" w:eastAsia="Arial" w:hAnsi="Arial"/>
                  <w:sz w:val="18"/>
                  <w:szCs w:val="18"/>
                  <w:b w:val="1"/>
                  <w:bCs w:val="1"/>
                  <w:color w:val="0000EE"/>
                </w:rPr>
                <w:t>ARTICLE ONE DEFINITIONS AND OTHER PROVISIONS OF GENERAL APPLICATION</w:t>
              </w:r>
            </w:hyperlink>
          </w:p>
        </w:tc>
        <w:tc>
          <w:tcPr>
            <w:tcW w:w="21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2</w:t>
            </w:r>
          </w:p>
        </w:tc>
      </w:tr>
      <w:tr>
        <w:trPr>
          <w:trHeight w:val="196"/>
        </w:trPr>
        <w:tc>
          <w:tcPr>
            <w:tcW w:w="1880" w:type="dxa"/>
            <w:vAlign w:val="bottom"/>
            <w:tcBorders>
              <w:top w:val="single" w:sz="8" w:color="0000EE"/>
            </w:tcBorders>
          </w:tcPr>
          <w:p>
            <w:pPr>
              <w:ind w:left="720"/>
              <w:spacing w:after="0" w:line="196" w:lineRule="exact"/>
              <w:rPr>
                <w:sz w:val="20"/>
                <w:szCs w:val="20"/>
                <w:color w:val="auto"/>
              </w:rPr>
            </w:pPr>
            <w:r>
              <w:rPr>
                <w:rFonts w:ascii="Arial" w:cs="Arial" w:eastAsia="Arial" w:hAnsi="Arial"/>
                <w:sz w:val="18"/>
                <w:szCs w:val="18"/>
                <w:color w:val="auto"/>
              </w:rPr>
              <w:t>Section 1.01.</w:t>
            </w:r>
          </w:p>
        </w:tc>
        <w:tc>
          <w:tcPr>
            <w:tcW w:w="542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Definitions</w:t>
              </w:r>
            </w:hyperlink>
          </w:p>
        </w:tc>
        <w:tc>
          <w:tcPr>
            <w:tcW w:w="178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1.02.</w:t>
            </w:r>
          </w:p>
        </w:tc>
        <w:tc>
          <w:tcPr>
            <w:tcW w:w="17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75">
              <w:r>
                <w:rPr>
                  <w:rFonts w:ascii="Arial" w:cs="Arial" w:eastAsia="Arial" w:hAnsi="Arial"/>
                  <w:sz w:val="18"/>
                  <w:szCs w:val="18"/>
                  <w:color w:val="0000EE"/>
                  <w:w w:val="90"/>
                </w:rPr>
                <w:t>Compliance Certificates</w:t>
              </w:r>
            </w:hyperlink>
          </w:p>
        </w:tc>
        <w:tc>
          <w:tcPr>
            <w:tcW w:w="5460" w:type="dxa"/>
            <w:vAlign w:val="bottom"/>
            <w:gridSpan w:val="2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1.03.   </w:t>
            </w:r>
            <w:hyperlink w:anchor="page276">
              <w:r>
                <w:rPr>
                  <w:rFonts w:ascii="Arial" w:cs="Arial" w:eastAsia="Arial" w:hAnsi="Arial"/>
                  <w:sz w:val="18"/>
                  <w:szCs w:val="18"/>
                  <w:color w:val="0000EE"/>
                </w:rPr>
                <w:t>Form of Documents Delivered to Trustee</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1.04.</w:t>
            </w:r>
          </w:p>
        </w:tc>
        <w:tc>
          <w:tcPr>
            <w:tcW w:w="1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276">
              <w:r>
                <w:rPr>
                  <w:rFonts w:ascii="Arial" w:cs="Arial" w:eastAsia="Arial" w:hAnsi="Arial"/>
                  <w:sz w:val="18"/>
                  <w:szCs w:val="18"/>
                  <w:color w:val="0000EE"/>
                  <w:w w:val="93"/>
                </w:rPr>
                <w:t>Acts of Holders</w:t>
              </w:r>
            </w:hyperlink>
          </w:p>
        </w:tc>
        <w:tc>
          <w:tcPr>
            <w:tcW w:w="1800" w:type="dxa"/>
            <w:vAlign w:val="bottom"/>
            <w:tcBorders>
              <w:top w:val="single" w:sz="8" w:color="0000EE"/>
            </w:tcBorders>
            <w:gridSpan w:val="20"/>
          </w:tcPr>
          <w:p>
            <w:pPr>
              <w:spacing w:after="0"/>
              <w:rPr>
                <w:sz w:val="17"/>
                <w:szCs w:val="17"/>
                <w:color w:val="auto"/>
              </w:rPr>
            </w:pPr>
          </w:p>
        </w:tc>
        <w:tc>
          <w:tcPr>
            <w:tcW w:w="4240" w:type="dxa"/>
            <w:vAlign w:val="bottom"/>
            <w:gridSpan w:val="1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1.05.   </w:t>
            </w:r>
            <w:hyperlink w:anchor="page277">
              <w:r>
                <w:rPr>
                  <w:rFonts w:ascii="Arial" w:cs="Arial" w:eastAsia="Arial" w:hAnsi="Arial"/>
                  <w:sz w:val="18"/>
                  <w:szCs w:val="18"/>
                  <w:color w:val="0000EE"/>
                </w:rPr>
                <w:t>Notices, Etc., to Trustee and Company</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1.06.   </w:t>
            </w:r>
            <w:hyperlink w:anchor="page277">
              <w:r>
                <w:rPr>
                  <w:rFonts w:ascii="Arial" w:cs="Arial" w:eastAsia="Arial" w:hAnsi="Arial"/>
                  <w:sz w:val="18"/>
                  <w:szCs w:val="18"/>
                  <w:color w:val="0000EE"/>
                </w:rPr>
                <w:t>Notice to Holders; Waiver</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1.07.   </w:t>
            </w:r>
            <w:hyperlink w:anchor="page278">
              <w:r>
                <w:rPr>
                  <w:rFonts w:ascii="Arial" w:cs="Arial" w:eastAsia="Arial" w:hAnsi="Arial"/>
                  <w:sz w:val="18"/>
                  <w:szCs w:val="18"/>
                  <w:color w:val="0000EE"/>
                </w:rPr>
                <w:t>Effect of Headings and Table of Contents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1.08.   </w:t>
            </w:r>
            <w:hyperlink w:anchor="page278">
              <w:r>
                <w:rPr>
                  <w:rFonts w:ascii="Arial" w:cs="Arial" w:eastAsia="Arial" w:hAnsi="Arial"/>
                  <w:sz w:val="18"/>
                  <w:szCs w:val="18"/>
                  <w:color w:val="0000EE"/>
                </w:rPr>
                <w:t>Successors and Assigns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1.09.</w:t>
            </w:r>
          </w:p>
        </w:tc>
        <w:tc>
          <w:tcPr>
            <w:tcW w:w="1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278">
              <w:r>
                <w:rPr>
                  <w:rFonts w:ascii="Arial" w:cs="Arial" w:eastAsia="Arial" w:hAnsi="Arial"/>
                  <w:sz w:val="18"/>
                  <w:szCs w:val="18"/>
                  <w:color w:val="0000EE"/>
                  <w:w w:val="86"/>
                </w:rPr>
                <w:t>Separability Clause</w:t>
              </w:r>
            </w:hyperlink>
          </w:p>
        </w:tc>
        <w:tc>
          <w:tcPr>
            <w:tcW w:w="320" w:type="dxa"/>
            <w:vAlign w:val="bottom"/>
            <w:tcBorders>
              <w:top w:val="single" w:sz="8" w:color="0000EE"/>
            </w:tcBorders>
            <w:gridSpan w:val="3"/>
          </w:tcPr>
          <w:p>
            <w:pPr>
              <w:spacing w:after="0"/>
              <w:rPr>
                <w:sz w:val="17"/>
                <w:szCs w:val="17"/>
                <w:color w:val="auto"/>
              </w:rPr>
            </w:pPr>
          </w:p>
        </w:tc>
        <w:tc>
          <w:tcPr>
            <w:tcW w:w="5500" w:type="dxa"/>
            <w:vAlign w:val="bottom"/>
            <w:gridSpan w:val="26"/>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1.10.   </w:t>
            </w:r>
            <w:hyperlink w:anchor="page278">
              <w:r>
                <w:rPr>
                  <w:rFonts w:ascii="Arial" w:cs="Arial" w:eastAsia="Arial" w:hAnsi="Arial"/>
                  <w:sz w:val="18"/>
                  <w:szCs w:val="18"/>
                  <w:color w:val="0000EE"/>
                </w:rPr>
                <w:t>Benefits of Indenture</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1.11.</w:t>
            </w:r>
          </w:p>
        </w:tc>
        <w:tc>
          <w:tcPr>
            <w:tcW w:w="1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278">
              <w:r>
                <w:rPr>
                  <w:rFonts w:ascii="Arial" w:cs="Arial" w:eastAsia="Arial" w:hAnsi="Arial"/>
                  <w:sz w:val="18"/>
                  <w:szCs w:val="18"/>
                  <w:color w:val="0000EE"/>
                  <w:w w:val="92"/>
                </w:rPr>
                <w:t>Governing Law</w:t>
              </w:r>
            </w:hyperlink>
          </w:p>
        </w:tc>
        <w:tc>
          <w:tcPr>
            <w:tcW w:w="380" w:type="dxa"/>
            <w:vAlign w:val="bottom"/>
            <w:tcBorders>
              <w:top w:val="single" w:sz="8" w:color="0000EE"/>
            </w:tcBorders>
            <w:gridSpan w:val="6"/>
          </w:tcPr>
          <w:p>
            <w:pPr>
              <w:spacing w:after="0"/>
              <w:rPr>
                <w:sz w:val="17"/>
                <w:szCs w:val="17"/>
                <w:color w:val="auto"/>
              </w:rPr>
            </w:pPr>
          </w:p>
        </w:tc>
        <w:tc>
          <w:tcPr>
            <w:tcW w:w="5680" w:type="dxa"/>
            <w:vAlign w:val="bottom"/>
            <w:gridSpan w:val="2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1.12.</w:t>
            </w:r>
          </w:p>
        </w:tc>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79">
              <w:r>
                <w:rPr>
                  <w:rFonts w:ascii="Arial" w:cs="Arial" w:eastAsia="Arial" w:hAnsi="Arial"/>
                  <w:sz w:val="18"/>
                  <w:szCs w:val="18"/>
                  <w:color w:val="0000EE"/>
                  <w:w w:val="93"/>
                </w:rPr>
                <w:t>Legal Holidays</w:t>
              </w:r>
            </w:hyperlink>
          </w:p>
        </w:tc>
        <w:tc>
          <w:tcPr>
            <w:tcW w:w="6080" w:type="dxa"/>
            <w:vAlign w:val="bottom"/>
            <w:gridSpan w:val="3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1.13.   </w:t>
            </w:r>
            <w:hyperlink w:anchor="page279">
              <w:r>
                <w:rPr>
                  <w:rFonts w:ascii="Arial" w:cs="Arial" w:eastAsia="Arial" w:hAnsi="Arial"/>
                  <w:sz w:val="18"/>
                  <w:szCs w:val="18"/>
                  <w:color w:val="0000EE"/>
                </w:rPr>
                <w:t>Submission to Jurisdiction</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1.14.   </w:t>
            </w:r>
            <w:hyperlink w:anchor="page279">
              <w:r>
                <w:rPr>
                  <w:rFonts w:ascii="Arial" w:cs="Arial" w:eastAsia="Arial" w:hAnsi="Arial"/>
                  <w:sz w:val="18"/>
                  <w:szCs w:val="18"/>
                  <w:color w:val="0000EE"/>
                </w:rPr>
                <w:t>Waiver of Jury Trial</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1.15.   </w:t>
            </w:r>
            <w:hyperlink w:anchor="page279">
              <w:r>
                <w:rPr>
                  <w:rFonts w:ascii="Arial" w:cs="Arial" w:eastAsia="Arial" w:hAnsi="Arial"/>
                  <w:sz w:val="18"/>
                  <w:szCs w:val="18"/>
                  <w:color w:val="0000EE"/>
                </w:rPr>
                <w:t>U.S.A. Patriot Act</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314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79">
              <w:r>
                <w:rPr>
                  <w:rFonts w:ascii="Arial" w:cs="Arial" w:eastAsia="Arial" w:hAnsi="Arial"/>
                  <w:sz w:val="18"/>
                  <w:szCs w:val="18"/>
                  <w:b w:val="1"/>
                  <w:bCs w:val="1"/>
                  <w:color w:val="0000EE"/>
                </w:rPr>
                <w:t>ARTICLE TWO SECURITIES FORMS</w:t>
              </w:r>
            </w:hyperlink>
          </w:p>
        </w:tc>
        <w:tc>
          <w:tcPr>
            <w:tcW w:w="5940" w:type="dxa"/>
            <w:vAlign w:val="bottom"/>
            <w:gridSpan w:val="30"/>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2.01.   </w:t>
            </w:r>
            <w:hyperlink w:anchor="page279">
              <w:r>
                <w:rPr>
                  <w:rFonts w:ascii="Arial" w:cs="Arial" w:eastAsia="Arial" w:hAnsi="Arial"/>
                  <w:sz w:val="18"/>
                  <w:szCs w:val="18"/>
                  <w:color w:val="0000EE"/>
                </w:rPr>
                <w:t>Forms of Securities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2.02.   </w:t>
            </w:r>
            <w:hyperlink w:anchor="page280">
              <w:r>
                <w:rPr>
                  <w:rFonts w:ascii="Arial" w:cs="Arial" w:eastAsia="Arial" w:hAnsi="Arial"/>
                  <w:sz w:val="18"/>
                  <w:szCs w:val="18"/>
                  <w:color w:val="0000EE"/>
                </w:rPr>
                <w:t>Form of Trustee’s Certificate of Authentication</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2.03.   </w:t>
            </w:r>
            <w:hyperlink w:anchor="page280">
              <w:r>
                <w:rPr>
                  <w:rFonts w:ascii="Arial" w:cs="Arial" w:eastAsia="Arial" w:hAnsi="Arial"/>
                  <w:sz w:val="18"/>
                  <w:szCs w:val="18"/>
                  <w:color w:val="0000EE"/>
                </w:rPr>
                <w:t>Securities Issuable in Global Form</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30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81">
              <w:r>
                <w:rPr>
                  <w:rFonts w:ascii="Arial" w:cs="Arial" w:eastAsia="Arial" w:hAnsi="Arial"/>
                  <w:sz w:val="18"/>
                  <w:szCs w:val="18"/>
                  <w:b w:val="1"/>
                  <w:bCs w:val="1"/>
                  <w:color w:val="0000EE"/>
                </w:rPr>
                <w:t>ARTICLE THREE THE SECURITIES</w:t>
              </w:r>
            </w:hyperlink>
          </w:p>
        </w:tc>
        <w:tc>
          <w:tcPr>
            <w:tcW w:w="6020" w:type="dxa"/>
            <w:vAlign w:val="bottom"/>
            <w:gridSpan w:val="32"/>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3.01.   </w:t>
            </w:r>
            <w:hyperlink w:anchor="page281">
              <w:r>
                <w:rPr>
                  <w:rFonts w:ascii="Arial" w:cs="Arial" w:eastAsia="Arial" w:hAnsi="Arial"/>
                  <w:sz w:val="18"/>
                  <w:szCs w:val="18"/>
                  <w:color w:val="0000EE"/>
                </w:rPr>
                <w:t>Amount Unlimited; Issuable in Series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3.02.</w:t>
            </w:r>
          </w:p>
        </w:tc>
        <w:tc>
          <w:tcPr>
            <w:tcW w:w="1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84">
              <w:r>
                <w:rPr>
                  <w:rFonts w:ascii="Arial" w:cs="Arial" w:eastAsia="Arial" w:hAnsi="Arial"/>
                  <w:sz w:val="18"/>
                  <w:szCs w:val="18"/>
                  <w:color w:val="0000EE"/>
                  <w:w w:val="89"/>
                </w:rPr>
                <w:t>Denominations</w:t>
              </w:r>
            </w:hyperlink>
          </w:p>
        </w:tc>
        <w:tc>
          <w:tcPr>
            <w:tcW w:w="1680" w:type="dxa"/>
            <w:vAlign w:val="bottom"/>
            <w:tcBorders>
              <w:top w:val="single" w:sz="8" w:color="0000EE"/>
            </w:tcBorders>
            <w:gridSpan w:val="21"/>
          </w:tcPr>
          <w:p>
            <w:pPr>
              <w:spacing w:after="0"/>
              <w:rPr>
                <w:sz w:val="17"/>
                <w:szCs w:val="17"/>
                <w:color w:val="auto"/>
              </w:rPr>
            </w:pPr>
          </w:p>
        </w:tc>
        <w:tc>
          <w:tcPr>
            <w:tcW w:w="4420" w:type="dxa"/>
            <w:vAlign w:val="bottom"/>
            <w:gridSpan w:val="1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3.03.   </w:t>
            </w:r>
            <w:hyperlink w:anchor="page284">
              <w:r>
                <w:rPr>
                  <w:rFonts w:ascii="Arial" w:cs="Arial" w:eastAsia="Arial" w:hAnsi="Arial"/>
                  <w:sz w:val="18"/>
                  <w:szCs w:val="18"/>
                  <w:color w:val="0000EE"/>
                </w:rPr>
                <w:t>Execution, Authentication, Delivery and Dating</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3.04.</w:t>
            </w:r>
          </w:p>
        </w:tc>
        <w:tc>
          <w:tcPr>
            <w:tcW w:w="1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285">
              <w:r>
                <w:rPr>
                  <w:rFonts w:ascii="Arial" w:cs="Arial" w:eastAsia="Arial" w:hAnsi="Arial"/>
                  <w:sz w:val="18"/>
                  <w:szCs w:val="18"/>
                  <w:color w:val="0000EE"/>
                  <w:w w:val="88"/>
                </w:rPr>
                <w:t>Temporary Securities</w:t>
              </w:r>
            </w:hyperlink>
          </w:p>
        </w:tc>
        <w:tc>
          <w:tcPr>
            <w:tcW w:w="1900" w:type="dxa"/>
            <w:vAlign w:val="bottom"/>
            <w:tcBorders>
              <w:top w:val="single" w:sz="8" w:color="0000EE"/>
            </w:tcBorders>
            <w:gridSpan w:val="17"/>
          </w:tcPr>
          <w:p>
            <w:pPr>
              <w:spacing w:after="0"/>
              <w:rPr>
                <w:sz w:val="17"/>
                <w:szCs w:val="17"/>
                <w:color w:val="auto"/>
              </w:rPr>
            </w:pPr>
          </w:p>
        </w:tc>
        <w:tc>
          <w:tcPr>
            <w:tcW w:w="3760" w:type="dxa"/>
            <w:vAlign w:val="bottom"/>
            <w:gridSpan w:val="1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3.05.   </w:t>
            </w:r>
            <w:hyperlink w:anchor="page286">
              <w:r>
                <w:rPr>
                  <w:rFonts w:ascii="Arial" w:cs="Arial" w:eastAsia="Arial" w:hAnsi="Arial"/>
                  <w:sz w:val="18"/>
                  <w:szCs w:val="18"/>
                  <w:color w:val="0000EE"/>
                </w:rPr>
                <w:t>Registration, Registration of Transfer and Exchange</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3.06.   </w:t>
            </w:r>
            <w:hyperlink w:anchor="page287">
              <w:r>
                <w:rPr>
                  <w:rFonts w:ascii="Arial" w:cs="Arial" w:eastAsia="Arial" w:hAnsi="Arial"/>
                  <w:sz w:val="18"/>
                  <w:szCs w:val="18"/>
                  <w:color w:val="0000EE"/>
                </w:rPr>
                <w:t>Mutilated, Destroyed, Lost and Stolen Securities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3.07.   </w:t>
            </w:r>
            <w:hyperlink w:anchor="page288">
              <w:r>
                <w:rPr>
                  <w:rFonts w:ascii="Arial" w:cs="Arial" w:eastAsia="Arial" w:hAnsi="Arial"/>
                  <w:sz w:val="18"/>
                  <w:szCs w:val="18"/>
                  <w:color w:val="0000EE"/>
                </w:rPr>
                <w:t>Payment of Interest; Interest Rights Preserved; Optional Interest Reset</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3.08.   </w:t>
            </w:r>
            <w:hyperlink w:anchor="page290">
              <w:r>
                <w:rPr>
                  <w:rFonts w:ascii="Arial" w:cs="Arial" w:eastAsia="Arial" w:hAnsi="Arial"/>
                  <w:sz w:val="18"/>
                  <w:szCs w:val="18"/>
                  <w:color w:val="0000EE"/>
                </w:rPr>
                <w:t>Optional Extension of Maturity</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3.09.   </w:t>
            </w:r>
            <w:hyperlink w:anchor="page290">
              <w:r>
                <w:rPr>
                  <w:rFonts w:ascii="Arial" w:cs="Arial" w:eastAsia="Arial" w:hAnsi="Arial"/>
                  <w:sz w:val="18"/>
                  <w:szCs w:val="18"/>
                  <w:color w:val="0000EE"/>
                </w:rPr>
                <w:t>Persons Deemed Owners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3.10.</w:t>
            </w:r>
          </w:p>
        </w:tc>
        <w:tc>
          <w:tcPr>
            <w:tcW w:w="1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91">
              <w:r>
                <w:rPr>
                  <w:rFonts w:ascii="Arial" w:cs="Arial" w:eastAsia="Arial" w:hAnsi="Arial"/>
                  <w:sz w:val="18"/>
                  <w:szCs w:val="18"/>
                  <w:color w:val="0000EE"/>
                </w:rPr>
                <w:t>Cancellation</w:t>
              </w:r>
            </w:hyperlink>
          </w:p>
        </w:tc>
        <w:tc>
          <w:tcPr>
            <w:tcW w:w="5400" w:type="dxa"/>
            <w:vAlign w:val="bottom"/>
            <w:gridSpan w:val="2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3.11.   </w:t>
            </w:r>
            <w:hyperlink w:anchor="page291">
              <w:r>
                <w:rPr>
                  <w:rFonts w:ascii="Arial" w:cs="Arial" w:eastAsia="Arial" w:hAnsi="Arial"/>
                  <w:sz w:val="18"/>
                  <w:szCs w:val="18"/>
                  <w:color w:val="0000EE"/>
                </w:rPr>
                <w:t>Computation of Interest</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3.12.   </w:t>
            </w:r>
            <w:hyperlink w:anchor="page291">
              <w:r>
                <w:rPr>
                  <w:rFonts w:ascii="Arial" w:cs="Arial" w:eastAsia="Arial" w:hAnsi="Arial"/>
                  <w:sz w:val="18"/>
                  <w:szCs w:val="18"/>
                  <w:color w:val="0000EE"/>
                </w:rPr>
                <w:t>Currency and Manner of Payments in Respect of Securities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9"/>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3.13.   </w:t>
            </w:r>
            <w:hyperlink w:anchor="page294">
              <w:r>
                <w:rPr>
                  <w:rFonts w:ascii="Arial" w:cs="Arial" w:eastAsia="Arial" w:hAnsi="Arial"/>
                  <w:sz w:val="18"/>
                  <w:szCs w:val="18"/>
                  <w:color w:val="0000EE"/>
                </w:rPr>
                <w:t>Appointment and Resignation of Successor Exchange Rate Agent</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880" w:type="dxa"/>
            <w:vAlign w:val="bottom"/>
          </w:tcPr>
          <w:p>
            <w:pPr>
              <w:ind w:left="720"/>
              <w:spacing w:after="0" w:line="196" w:lineRule="exact"/>
              <w:rPr>
                <w:sz w:val="20"/>
                <w:szCs w:val="20"/>
                <w:color w:val="auto"/>
              </w:rPr>
            </w:pPr>
            <w:r>
              <w:rPr>
                <w:rFonts w:ascii="Arial" w:cs="Arial" w:eastAsia="Arial" w:hAnsi="Arial"/>
                <w:sz w:val="18"/>
                <w:szCs w:val="18"/>
                <w:color w:val="auto"/>
              </w:rPr>
              <w:t>Section 3.14.</w:t>
            </w:r>
          </w:p>
        </w:tc>
        <w:tc>
          <w:tcPr>
            <w:tcW w:w="472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294">
              <w:r>
                <w:rPr>
                  <w:rFonts w:ascii="Arial" w:cs="Arial" w:eastAsia="Arial" w:hAnsi="Arial"/>
                  <w:sz w:val="18"/>
                  <w:szCs w:val="18"/>
                  <w:color w:val="0000EE"/>
                </w:rPr>
                <w:t>CUSIP Numbers</w:t>
              </w:r>
            </w:hyperlink>
          </w:p>
        </w:tc>
        <w:tc>
          <w:tcPr>
            <w:tcW w:w="2480" w:type="dxa"/>
            <w:vAlign w:val="bottom"/>
            <w:gridSpan w:val="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4380" w:type="dxa"/>
            <w:vAlign w:val="bottom"/>
            <w:tcBorders>
              <w:bottom w:val="single" w:sz="8" w:color="0000EE"/>
            </w:tcBorders>
            <w:gridSpan w:val="25"/>
          </w:tcPr>
          <w:p>
            <w:pPr>
              <w:spacing w:after="0"/>
              <w:rPr>
                <w:rFonts w:ascii="Arial" w:cs="Arial" w:eastAsia="Arial" w:hAnsi="Arial"/>
                <w:sz w:val="18"/>
                <w:szCs w:val="18"/>
                <w:b w:val="1"/>
                <w:bCs w:val="1"/>
                <w:color w:val="0000EE"/>
              </w:rPr>
            </w:pPr>
            <w:hyperlink w:anchor="page295">
              <w:r>
                <w:rPr>
                  <w:rFonts w:ascii="Arial" w:cs="Arial" w:eastAsia="Arial" w:hAnsi="Arial"/>
                  <w:sz w:val="18"/>
                  <w:szCs w:val="18"/>
                  <w:b w:val="1"/>
                  <w:bCs w:val="1"/>
                  <w:color w:val="0000EE"/>
                </w:rPr>
                <w:t>ARTICLE FOUR SATISFACTION AND DISCHARGE</w:t>
              </w:r>
            </w:hyperlink>
          </w:p>
        </w:tc>
        <w:tc>
          <w:tcPr>
            <w:tcW w:w="4700" w:type="dxa"/>
            <w:vAlign w:val="bottom"/>
            <w:gridSpan w:val="16"/>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4.01.   </w:t>
            </w:r>
            <w:hyperlink w:anchor="page295">
              <w:r>
                <w:rPr>
                  <w:rFonts w:ascii="Arial" w:cs="Arial" w:eastAsia="Arial" w:hAnsi="Arial"/>
                  <w:sz w:val="18"/>
                  <w:szCs w:val="18"/>
                  <w:color w:val="0000EE"/>
                </w:rPr>
                <w:t>Satisfaction and Discharge of Indenture</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9"/>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9"/>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4.02.   </w:t>
            </w:r>
            <w:hyperlink w:anchor="page295">
              <w:r>
                <w:rPr>
                  <w:rFonts w:ascii="Arial" w:cs="Arial" w:eastAsia="Arial" w:hAnsi="Arial"/>
                  <w:sz w:val="18"/>
                  <w:szCs w:val="18"/>
                  <w:color w:val="0000EE"/>
                </w:rPr>
                <w:t>Application of Trust Funds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9"/>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9"/>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9080" w:type="dxa"/>
            <w:vAlign w:val="bottom"/>
            <w:gridSpan w:val="41"/>
          </w:tcPr>
          <w:p>
            <w:pPr>
              <w:spacing w:after="0"/>
              <w:rPr>
                <w:rFonts w:ascii="Arial" w:cs="Arial" w:eastAsia="Arial" w:hAnsi="Arial"/>
                <w:sz w:val="18"/>
                <w:szCs w:val="18"/>
                <w:b w:val="1"/>
                <w:bCs w:val="1"/>
                <w:color w:val="0000EE"/>
              </w:rPr>
            </w:pPr>
            <w:hyperlink w:anchor="page296">
              <w:r>
                <w:rPr>
                  <w:rFonts w:ascii="Arial" w:cs="Arial" w:eastAsia="Arial" w:hAnsi="Arial"/>
                  <w:sz w:val="18"/>
                  <w:szCs w:val="18"/>
                  <w:b w:val="1"/>
                  <w:bCs w:val="1"/>
                  <w:color w:val="0000EE"/>
                </w:rPr>
                <w:t>ARTICLE FIVE REMEDIES</w:t>
              </w:r>
            </w:hyperlink>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0"/>
        </w:trPr>
        <w:tc>
          <w:tcPr>
            <w:tcW w:w="2300" w:type="dxa"/>
            <w:vAlign w:val="bottom"/>
            <w:gridSpan w:val="2"/>
            <w:shd w:val="clear" w:color="auto" w:fill="0000EE"/>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5.01.   </w:t>
            </w:r>
            <w:hyperlink w:anchor="page296">
              <w:r>
                <w:rPr>
                  <w:rFonts w:ascii="Arial" w:cs="Arial" w:eastAsia="Arial" w:hAnsi="Arial"/>
                  <w:sz w:val="18"/>
                  <w:szCs w:val="18"/>
                  <w:color w:val="0000EE"/>
                </w:rPr>
                <w:t>Events of Default</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880" w:type="dxa"/>
            <w:vAlign w:val="bottom"/>
          </w:tcPr>
          <w:p>
            <w:pPr>
              <w:spacing w:after="0" w:line="20" w:lineRule="exact"/>
              <w:rPr>
                <w:sz w:val="1"/>
                <w:szCs w:val="1"/>
                <w:color w:val="auto"/>
              </w:rPr>
            </w:pPr>
          </w:p>
        </w:tc>
        <w:tc>
          <w:tcPr>
            <w:tcW w:w="1260" w:type="dxa"/>
            <w:vAlign w:val="bottom"/>
            <w:gridSpan w:val="10"/>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5.02.   </w:t>
            </w:r>
            <w:hyperlink w:anchor="page297">
              <w:r>
                <w:rPr>
                  <w:rFonts w:ascii="Arial" w:cs="Arial" w:eastAsia="Arial" w:hAnsi="Arial"/>
                  <w:sz w:val="18"/>
                  <w:szCs w:val="18"/>
                  <w:color w:val="0000EE"/>
                </w:rPr>
                <w:t>Acceleration of Maturity; Rescission and Annulment</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880" w:type="dxa"/>
            <w:vAlign w:val="bottom"/>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940" w:type="dxa"/>
            <w:vAlign w:val="bottom"/>
            <w:tcBorders>
              <w:left w:val="single" w:sz="8" w:color="0000EE"/>
            </w:tcBorders>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10"/>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5.03.   </w:t>
            </w:r>
            <w:hyperlink w:anchor="page298">
              <w:r>
                <w:rPr>
                  <w:rFonts w:ascii="Arial" w:cs="Arial" w:eastAsia="Arial" w:hAnsi="Arial"/>
                  <w:sz w:val="18"/>
                  <w:szCs w:val="18"/>
                  <w:color w:val="0000EE"/>
                </w:rPr>
                <w:t>Collection of Indebtedness and Suits for Enforcement by Trustee</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80" w:type="dxa"/>
            <w:vAlign w:val="bottom"/>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940" w:type="dxa"/>
            <w:vAlign w:val="bottom"/>
            <w:tcBorders>
              <w:left w:val="single" w:sz="8" w:color="0000EE"/>
            </w:tcBorders>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1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5.04.   </w:t>
            </w:r>
            <w:hyperlink w:anchor="page298">
              <w:r>
                <w:rPr>
                  <w:rFonts w:ascii="Arial" w:cs="Arial" w:eastAsia="Arial" w:hAnsi="Arial"/>
                  <w:sz w:val="18"/>
                  <w:szCs w:val="18"/>
                  <w:color w:val="0000EE"/>
                </w:rPr>
                <w:t>Trustee May File Proofs of Claim</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80" w:type="dxa"/>
            <w:vAlign w:val="bottom"/>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940" w:type="dxa"/>
            <w:vAlign w:val="bottom"/>
            <w:tcBorders>
              <w:left w:val="single" w:sz="8" w:color="0000EE"/>
            </w:tcBorders>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1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5.05.   </w:t>
            </w:r>
            <w:hyperlink w:anchor="page299">
              <w:r>
                <w:rPr>
                  <w:rFonts w:ascii="Arial" w:cs="Arial" w:eastAsia="Arial" w:hAnsi="Arial"/>
                  <w:sz w:val="18"/>
                  <w:szCs w:val="18"/>
                  <w:color w:val="0000EE"/>
                </w:rPr>
                <w:t>Trustee May Enforce Claims Without Possession of Securities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880" w:type="dxa"/>
            <w:vAlign w:val="bottom"/>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940" w:type="dxa"/>
            <w:vAlign w:val="bottom"/>
            <w:tcBorders>
              <w:left w:val="single" w:sz="8" w:color="0000EE"/>
            </w:tcBorders>
            <w:gridSpan w:val="11"/>
            <w:shd w:val="clear" w:color="auto" w:fill="0000EE"/>
          </w:tcPr>
          <w:p>
            <w:pPr>
              <w:spacing w:after="0" w:line="20" w:lineRule="exact"/>
              <w:rPr>
                <w:sz w:val="1"/>
                <w:szCs w:val="1"/>
                <w:color w:val="auto"/>
              </w:rPr>
            </w:pPr>
          </w:p>
        </w:tc>
        <w:tc>
          <w:tcPr>
            <w:tcW w:w="2160" w:type="dxa"/>
            <w:vAlign w:val="bottom"/>
            <w:gridSpan w:val="13"/>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5.06.   </w:t>
            </w:r>
            <w:hyperlink w:anchor="page299">
              <w:r>
                <w:rPr>
                  <w:rFonts w:ascii="Arial" w:cs="Arial" w:eastAsia="Arial" w:hAnsi="Arial"/>
                  <w:sz w:val="18"/>
                  <w:szCs w:val="18"/>
                  <w:color w:val="0000EE"/>
                </w:rPr>
                <w:t>Application of Money Collected</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880" w:type="dxa"/>
            <w:vAlign w:val="bottom"/>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940" w:type="dxa"/>
            <w:vAlign w:val="bottom"/>
            <w:tcBorders>
              <w:left w:val="single" w:sz="8" w:color="0000EE"/>
            </w:tcBorders>
            <w:gridSpan w:val="11"/>
            <w:shd w:val="clear" w:color="auto" w:fill="0000EE"/>
          </w:tcPr>
          <w:p>
            <w:pPr>
              <w:spacing w:after="0" w:line="20" w:lineRule="exact"/>
              <w:rPr>
                <w:sz w:val="1"/>
                <w:szCs w:val="1"/>
                <w:color w:val="auto"/>
              </w:rPr>
            </w:pPr>
          </w:p>
        </w:tc>
        <w:tc>
          <w:tcPr>
            <w:tcW w:w="4880" w:type="dxa"/>
            <w:vAlign w:val="bottom"/>
            <w:gridSpan w:val="18"/>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80" w:type="dxa"/>
            <w:vAlign w:val="bottom"/>
            <w:gridSpan w:val="41"/>
          </w:tcPr>
          <w:p>
            <w:pPr>
              <w:ind w:left="7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Section 5.07.   </w:t>
            </w:r>
            <w:hyperlink w:anchor="page300">
              <w:r>
                <w:rPr>
                  <w:rFonts w:ascii="Arial" w:cs="Arial" w:eastAsia="Arial" w:hAnsi="Arial"/>
                  <w:sz w:val="18"/>
                  <w:szCs w:val="18"/>
                  <w:color w:val="0000EE"/>
                </w:rPr>
                <w:t>Limitation on Suits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460" w:right="4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160" w:type="dxa"/>
            <w:vAlign w:val="bottom"/>
          </w:tcPr>
          <w:p>
            <w:pPr>
              <w:jc w:val="right"/>
              <w:ind w:right="230"/>
              <w:spacing w:after="0" w:line="190" w:lineRule="exact"/>
              <w:rPr>
                <w:sz w:val="20"/>
                <w:szCs w:val="20"/>
                <w:color w:val="auto"/>
              </w:rPr>
            </w:pPr>
            <w:r>
              <w:rPr>
                <w:rFonts w:ascii="Arial" w:cs="Arial" w:eastAsia="Arial" w:hAnsi="Arial"/>
                <w:sz w:val="18"/>
                <w:szCs w:val="18"/>
                <w:color w:val="auto"/>
              </w:rPr>
              <w:t>Section 5.08.</w:t>
            </w:r>
          </w:p>
        </w:tc>
        <w:tc>
          <w:tcPr>
            <w:tcW w:w="5440" w:type="dxa"/>
            <w:vAlign w:val="bottom"/>
            <w:tcBorders>
              <w:bottom w:val="single" w:sz="8" w:color="0000EE"/>
            </w:tcBorders>
            <w:gridSpan w:val="42"/>
          </w:tcPr>
          <w:p>
            <w:pPr>
              <w:spacing w:after="0" w:line="190" w:lineRule="exact"/>
              <w:rPr>
                <w:rFonts w:ascii="Arial" w:cs="Arial" w:eastAsia="Arial" w:hAnsi="Arial"/>
                <w:sz w:val="18"/>
                <w:szCs w:val="18"/>
                <w:color w:val="0000EE"/>
                <w:w w:val="91"/>
              </w:rPr>
            </w:pPr>
            <w:hyperlink w:anchor="page300">
              <w:r>
                <w:rPr>
                  <w:rFonts w:ascii="Arial" w:cs="Arial" w:eastAsia="Arial" w:hAnsi="Arial"/>
                  <w:sz w:val="18"/>
                  <w:szCs w:val="18"/>
                  <w:color w:val="0000EE"/>
                  <w:w w:val="91"/>
                </w:rPr>
                <w:t>Unconditional Right of Holders to Receive Principal, Premium and Interest</w:t>
              </w:r>
            </w:hyperlink>
          </w:p>
        </w:tc>
        <w:tc>
          <w:tcPr>
            <w:tcW w:w="1720" w:type="dxa"/>
            <w:vAlign w:val="bottom"/>
          </w:tcPr>
          <w:p>
            <w:pPr>
              <w:spacing w:after="0"/>
              <w:rPr>
                <w:sz w:val="16"/>
                <w:szCs w:val="16"/>
                <w:color w:val="auto"/>
              </w:rPr>
            </w:pPr>
          </w:p>
        </w:tc>
        <w:tc>
          <w:tcPr>
            <w:tcW w:w="200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5.09.</w:t>
            </w:r>
          </w:p>
        </w:tc>
        <w:tc>
          <w:tcPr>
            <w:tcW w:w="7160" w:type="dxa"/>
            <w:vAlign w:val="bottom"/>
            <w:gridSpan w:val="43"/>
          </w:tcPr>
          <w:p>
            <w:pPr>
              <w:spacing w:after="0" w:line="196" w:lineRule="exact"/>
              <w:rPr>
                <w:rFonts w:ascii="Arial" w:cs="Arial" w:eastAsia="Arial" w:hAnsi="Arial"/>
                <w:sz w:val="18"/>
                <w:szCs w:val="18"/>
                <w:color w:val="0000EE"/>
              </w:rPr>
            </w:pPr>
            <w:hyperlink w:anchor="page300">
              <w:r>
                <w:rPr>
                  <w:rFonts w:ascii="Arial" w:cs="Arial" w:eastAsia="Arial" w:hAnsi="Arial"/>
                  <w:sz w:val="18"/>
                  <w:szCs w:val="18"/>
                  <w:color w:val="0000EE"/>
                </w:rPr>
                <w:t>Restoration of Rights and Remedies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5.10.</w:t>
            </w:r>
          </w:p>
        </w:tc>
        <w:tc>
          <w:tcPr>
            <w:tcW w:w="2600" w:type="dxa"/>
            <w:vAlign w:val="bottom"/>
            <w:tcBorders>
              <w:top w:val="single" w:sz="8" w:color="0000EE"/>
            </w:tcBorders>
            <w:gridSpan w:val="22"/>
          </w:tcPr>
          <w:p>
            <w:pPr>
              <w:spacing w:after="0" w:line="196" w:lineRule="exact"/>
              <w:rPr>
                <w:rFonts w:ascii="Arial" w:cs="Arial" w:eastAsia="Arial" w:hAnsi="Arial"/>
                <w:sz w:val="18"/>
                <w:szCs w:val="18"/>
                <w:color w:val="0000EE"/>
                <w:w w:val="96"/>
              </w:rPr>
            </w:pPr>
            <w:hyperlink w:anchor="page300">
              <w:r>
                <w:rPr>
                  <w:rFonts w:ascii="Arial" w:cs="Arial" w:eastAsia="Arial" w:hAnsi="Arial"/>
                  <w:sz w:val="18"/>
                  <w:szCs w:val="18"/>
                  <w:color w:val="0000EE"/>
                  <w:w w:val="96"/>
                </w:rPr>
                <w:t>Rights and Remedies Cumulative</w:t>
              </w:r>
            </w:hyperlink>
          </w:p>
        </w:tc>
        <w:tc>
          <w:tcPr>
            <w:tcW w:w="4560" w:type="dxa"/>
            <w:vAlign w:val="bottom"/>
            <w:gridSpan w:val="2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5.11.</w:t>
            </w:r>
          </w:p>
        </w:tc>
        <w:tc>
          <w:tcPr>
            <w:tcW w:w="2420" w:type="dxa"/>
            <w:vAlign w:val="bottom"/>
            <w:tcBorders>
              <w:top w:val="single" w:sz="8" w:color="0000EE"/>
            </w:tcBorders>
            <w:gridSpan w:val="19"/>
          </w:tcPr>
          <w:p>
            <w:pPr>
              <w:spacing w:after="0" w:line="196" w:lineRule="exact"/>
              <w:rPr>
                <w:rFonts w:ascii="Arial" w:cs="Arial" w:eastAsia="Arial" w:hAnsi="Arial"/>
                <w:sz w:val="18"/>
                <w:szCs w:val="18"/>
                <w:color w:val="0000EE"/>
                <w:w w:val="99"/>
              </w:rPr>
            </w:pPr>
            <w:hyperlink w:anchor="page301">
              <w:r>
                <w:rPr>
                  <w:rFonts w:ascii="Arial" w:cs="Arial" w:eastAsia="Arial" w:hAnsi="Arial"/>
                  <w:sz w:val="18"/>
                  <w:szCs w:val="18"/>
                  <w:color w:val="0000EE"/>
                  <w:w w:val="99"/>
                </w:rPr>
                <w:t>Delay or Omission Not Waiver</w:t>
              </w:r>
            </w:hyperlink>
          </w:p>
        </w:tc>
        <w:tc>
          <w:tcPr>
            <w:tcW w:w="4740" w:type="dxa"/>
            <w:vAlign w:val="bottom"/>
            <w:gridSpan w:val="2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5.12.</w:t>
            </w:r>
          </w:p>
        </w:tc>
        <w:tc>
          <w:tcPr>
            <w:tcW w:w="7160" w:type="dxa"/>
            <w:vAlign w:val="bottom"/>
            <w:gridSpan w:val="43"/>
          </w:tcPr>
          <w:p>
            <w:pPr>
              <w:spacing w:after="0" w:line="196" w:lineRule="exact"/>
              <w:rPr>
                <w:rFonts w:ascii="Arial" w:cs="Arial" w:eastAsia="Arial" w:hAnsi="Arial"/>
                <w:sz w:val="18"/>
                <w:szCs w:val="18"/>
                <w:color w:val="0000EE"/>
              </w:rPr>
            </w:pPr>
            <w:hyperlink w:anchor="page301">
              <w:r>
                <w:rPr>
                  <w:rFonts w:ascii="Arial" w:cs="Arial" w:eastAsia="Arial" w:hAnsi="Arial"/>
                  <w:sz w:val="18"/>
                  <w:szCs w:val="18"/>
                  <w:color w:val="0000EE"/>
                </w:rPr>
                <w:t>Control by Holders of Securities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5.13.</w:t>
            </w:r>
          </w:p>
        </w:tc>
        <w:tc>
          <w:tcPr>
            <w:tcW w:w="1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301">
              <w:r>
                <w:rPr>
                  <w:rFonts w:ascii="Arial" w:cs="Arial" w:eastAsia="Arial" w:hAnsi="Arial"/>
                  <w:sz w:val="18"/>
                  <w:szCs w:val="18"/>
                  <w:color w:val="0000EE"/>
                  <w:w w:val="90"/>
                </w:rPr>
                <w:t>Waiver of Past Defaults</w:t>
              </w:r>
            </w:hyperlink>
          </w:p>
        </w:tc>
        <w:tc>
          <w:tcPr>
            <w:tcW w:w="620" w:type="dxa"/>
            <w:vAlign w:val="bottom"/>
            <w:tcBorders>
              <w:top w:val="single" w:sz="8" w:color="0000EE"/>
            </w:tcBorders>
            <w:gridSpan w:val="8"/>
          </w:tcPr>
          <w:p>
            <w:pPr>
              <w:spacing w:after="0"/>
              <w:rPr>
                <w:sz w:val="17"/>
                <w:szCs w:val="17"/>
                <w:color w:val="auto"/>
              </w:rPr>
            </w:pPr>
          </w:p>
        </w:tc>
        <w:tc>
          <w:tcPr>
            <w:tcW w:w="4820" w:type="dxa"/>
            <w:vAlign w:val="bottom"/>
            <w:gridSpan w:val="2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5.14.</w:t>
            </w:r>
          </w:p>
        </w:tc>
        <w:tc>
          <w:tcPr>
            <w:tcW w:w="24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301">
              <w:r>
                <w:rPr>
                  <w:rFonts w:ascii="Arial" w:cs="Arial" w:eastAsia="Arial" w:hAnsi="Arial"/>
                  <w:sz w:val="18"/>
                  <w:szCs w:val="18"/>
                  <w:color w:val="0000EE"/>
                  <w:w w:val="91"/>
                </w:rPr>
                <w:t>Waiver of Stay or Extension Laws</w:t>
              </w:r>
            </w:hyperlink>
          </w:p>
        </w:tc>
        <w:tc>
          <w:tcPr>
            <w:tcW w:w="468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04"/>
        </w:trPr>
        <w:tc>
          <w:tcPr>
            <w:tcW w:w="24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01">
              <w:r>
                <w:rPr>
                  <w:rFonts w:ascii="Arial" w:cs="Arial" w:eastAsia="Arial" w:hAnsi="Arial"/>
                  <w:sz w:val="18"/>
                  <w:szCs w:val="18"/>
                  <w:b w:val="1"/>
                  <w:bCs w:val="1"/>
                  <w:color w:val="0000EE"/>
                </w:rPr>
                <w:t>ARTICLE SIX THE TRUSTEE</w:t>
              </w:r>
            </w:hyperlink>
          </w:p>
        </w:tc>
        <w:tc>
          <w:tcPr>
            <w:tcW w:w="6840" w:type="dxa"/>
            <w:vAlign w:val="bottom"/>
            <w:gridSpan w:val="41"/>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6.01.</w:t>
            </w: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01">
              <w:r>
                <w:rPr>
                  <w:rFonts w:ascii="Arial" w:cs="Arial" w:eastAsia="Arial" w:hAnsi="Arial"/>
                  <w:sz w:val="18"/>
                  <w:szCs w:val="18"/>
                  <w:color w:val="0000EE"/>
                  <w:w w:val="92"/>
                </w:rPr>
                <w:t>Notice of Defaults</w:t>
              </w:r>
            </w:hyperlink>
          </w:p>
        </w:tc>
        <w:tc>
          <w:tcPr>
            <w:tcW w:w="5820" w:type="dxa"/>
            <w:vAlign w:val="bottom"/>
            <w:gridSpan w:val="4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6.02.</w:t>
            </w:r>
          </w:p>
        </w:tc>
        <w:tc>
          <w:tcPr>
            <w:tcW w:w="7160" w:type="dxa"/>
            <w:vAlign w:val="bottom"/>
            <w:gridSpan w:val="43"/>
          </w:tcPr>
          <w:p>
            <w:pPr>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Certain Rights of Trustee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6.03.</w:t>
            </w:r>
          </w:p>
        </w:tc>
        <w:tc>
          <w:tcPr>
            <w:tcW w:w="39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304">
              <w:r>
                <w:rPr>
                  <w:rFonts w:ascii="Arial" w:cs="Arial" w:eastAsia="Arial" w:hAnsi="Arial"/>
                  <w:sz w:val="18"/>
                  <w:szCs w:val="18"/>
                  <w:color w:val="0000EE"/>
                  <w:w w:val="90"/>
                </w:rPr>
                <w:t>Not Responsible for Recitals or Issuance of Securities</w:t>
              </w:r>
            </w:hyperlink>
          </w:p>
        </w:tc>
        <w:tc>
          <w:tcPr>
            <w:tcW w:w="326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6.04.</w:t>
            </w: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04">
              <w:r>
                <w:rPr>
                  <w:rFonts w:ascii="Arial" w:cs="Arial" w:eastAsia="Arial" w:hAnsi="Arial"/>
                  <w:sz w:val="18"/>
                  <w:szCs w:val="18"/>
                  <w:color w:val="0000EE"/>
                  <w:w w:val="92"/>
                </w:rPr>
                <w:t>May Hold Securities</w:t>
              </w:r>
            </w:hyperlink>
          </w:p>
        </w:tc>
        <w:tc>
          <w:tcPr>
            <w:tcW w:w="5660" w:type="dxa"/>
            <w:vAlign w:val="bottom"/>
            <w:gridSpan w:val="3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6.05.</w:t>
            </w: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304">
              <w:r>
                <w:rPr>
                  <w:rFonts w:ascii="Arial" w:cs="Arial" w:eastAsia="Arial" w:hAnsi="Arial"/>
                  <w:sz w:val="18"/>
                  <w:szCs w:val="18"/>
                  <w:color w:val="0000EE"/>
                  <w:w w:val="93"/>
                </w:rPr>
                <w:t>Money Held in Trust</w:t>
              </w:r>
            </w:hyperlink>
          </w:p>
        </w:tc>
        <w:tc>
          <w:tcPr>
            <w:tcW w:w="5640" w:type="dxa"/>
            <w:vAlign w:val="bottom"/>
            <w:gridSpan w:val="3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6.06.</w:t>
            </w:r>
          </w:p>
        </w:tc>
        <w:tc>
          <w:tcPr>
            <w:tcW w:w="482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304">
              <w:r>
                <w:rPr>
                  <w:rFonts w:ascii="Arial" w:cs="Arial" w:eastAsia="Arial" w:hAnsi="Arial"/>
                  <w:sz w:val="18"/>
                  <w:szCs w:val="18"/>
                  <w:color w:val="0000EE"/>
                  <w:w w:val="90"/>
                </w:rPr>
                <w:t>Compensation and Reimbursement and Indemnification of Trustee</w:t>
              </w:r>
            </w:hyperlink>
          </w:p>
        </w:tc>
        <w:tc>
          <w:tcPr>
            <w:tcW w:w="234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6.07.</w:t>
            </w:r>
          </w:p>
        </w:tc>
        <w:tc>
          <w:tcPr>
            <w:tcW w:w="28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305">
              <w:r>
                <w:rPr>
                  <w:rFonts w:ascii="Arial" w:cs="Arial" w:eastAsia="Arial" w:hAnsi="Arial"/>
                  <w:sz w:val="18"/>
                  <w:szCs w:val="18"/>
                  <w:color w:val="0000EE"/>
                  <w:w w:val="92"/>
                </w:rPr>
                <w:t>Corporate Trustee Required; Eligibility</w:t>
              </w:r>
            </w:hyperlink>
          </w:p>
        </w:tc>
        <w:tc>
          <w:tcPr>
            <w:tcW w:w="432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6.08.</w:t>
            </w:r>
          </w:p>
        </w:tc>
        <w:tc>
          <w:tcPr>
            <w:tcW w:w="274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305">
              <w:r>
                <w:rPr>
                  <w:rFonts w:ascii="Arial" w:cs="Arial" w:eastAsia="Arial" w:hAnsi="Arial"/>
                  <w:sz w:val="18"/>
                  <w:szCs w:val="18"/>
                  <w:color w:val="0000EE"/>
                  <w:w w:val="94"/>
                </w:rPr>
                <w:t>Disqualification; Conflicting Interests</w:t>
              </w:r>
            </w:hyperlink>
          </w:p>
        </w:tc>
        <w:tc>
          <w:tcPr>
            <w:tcW w:w="442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6.09.</w:t>
            </w:r>
          </w:p>
        </w:tc>
        <w:tc>
          <w:tcPr>
            <w:tcW w:w="38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305">
              <w:r>
                <w:rPr>
                  <w:rFonts w:ascii="Arial" w:cs="Arial" w:eastAsia="Arial" w:hAnsi="Arial"/>
                  <w:sz w:val="18"/>
                  <w:szCs w:val="18"/>
                  <w:color w:val="0000EE"/>
                  <w:w w:val="90"/>
                </w:rPr>
                <w:t>Resignation and Removal; Appointment of Successor</w:t>
              </w:r>
            </w:hyperlink>
          </w:p>
        </w:tc>
        <w:tc>
          <w:tcPr>
            <w:tcW w:w="328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6.10.</w:t>
            </w:r>
          </w:p>
        </w:tc>
        <w:tc>
          <w:tcPr>
            <w:tcW w:w="7160" w:type="dxa"/>
            <w:vAlign w:val="bottom"/>
            <w:gridSpan w:val="43"/>
          </w:tcPr>
          <w:p>
            <w:pPr>
              <w:spacing w:after="0" w:line="196" w:lineRule="exact"/>
              <w:rPr>
                <w:rFonts w:ascii="Arial" w:cs="Arial" w:eastAsia="Arial" w:hAnsi="Arial"/>
                <w:sz w:val="18"/>
                <w:szCs w:val="18"/>
                <w:color w:val="0000EE"/>
              </w:rPr>
            </w:pPr>
            <w:hyperlink w:anchor="page306">
              <w:r>
                <w:rPr>
                  <w:rFonts w:ascii="Arial" w:cs="Arial" w:eastAsia="Arial" w:hAnsi="Arial"/>
                  <w:sz w:val="18"/>
                  <w:szCs w:val="18"/>
                  <w:color w:val="0000EE"/>
                </w:rPr>
                <w:t>Acceptance of Appointment by Successor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2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6.11.</w:t>
            </w:r>
          </w:p>
        </w:tc>
        <w:tc>
          <w:tcPr>
            <w:tcW w:w="446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w:anchor="page307">
              <w:r>
                <w:rPr>
                  <w:rFonts w:ascii="Arial" w:cs="Arial" w:eastAsia="Arial" w:hAnsi="Arial"/>
                  <w:sz w:val="18"/>
                  <w:szCs w:val="18"/>
                  <w:color w:val="0000EE"/>
                  <w:w w:val="90"/>
                </w:rPr>
                <w:t>Merger, Conversion, Consolidation or Succession to Business</w:t>
              </w:r>
            </w:hyperlink>
          </w:p>
        </w:tc>
        <w:tc>
          <w:tcPr>
            <w:tcW w:w="270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6.12.</w:t>
            </w:r>
          </w:p>
        </w:tc>
        <w:tc>
          <w:tcPr>
            <w:tcW w:w="276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307">
              <w:r>
                <w:rPr>
                  <w:rFonts w:ascii="Arial" w:cs="Arial" w:eastAsia="Arial" w:hAnsi="Arial"/>
                  <w:sz w:val="18"/>
                  <w:szCs w:val="18"/>
                  <w:color w:val="0000EE"/>
                  <w:w w:val="93"/>
                </w:rPr>
                <w:t>Appointment of Authenticating Agent</w:t>
              </w:r>
            </w:hyperlink>
          </w:p>
        </w:tc>
        <w:tc>
          <w:tcPr>
            <w:tcW w:w="4400" w:type="dxa"/>
            <w:vAlign w:val="bottom"/>
            <w:gridSpan w:val="1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04"/>
        </w:trPr>
        <w:tc>
          <w:tcPr>
            <w:tcW w:w="6920" w:type="dxa"/>
            <w:vAlign w:val="bottom"/>
            <w:tcBorders>
              <w:bottom w:val="single" w:sz="8" w:color="0000EE"/>
            </w:tcBorders>
            <w:gridSpan w:val="41"/>
          </w:tcPr>
          <w:p>
            <w:pPr>
              <w:spacing w:after="0"/>
              <w:rPr>
                <w:rFonts w:ascii="Arial" w:cs="Arial" w:eastAsia="Arial" w:hAnsi="Arial"/>
                <w:sz w:val="18"/>
                <w:szCs w:val="18"/>
                <w:b w:val="1"/>
                <w:bCs w:val="1"/>
                <w:color w:val="0000EE"/>
                <w:w w:val="99"/>
              </w:rPr>
            </w:pPr>
            <w:hyperlink w:anchor="page309">
              <w:r>
                <w:rPr>
                  <w:rFonts w:ascii="Arial" w:cs="Arial" w:eastAsia="Arial" w:hAnsi="Arial"/>
                  <w:sz w:val="18"/>
                  <w:szCs w:val="18"/>
                  <w:b w:val="1"/>
                  <w:bCs w:val="1"/>
                  <w:color w:val="0000EE"/>
                  <w:w w:val="99"/>
                </w:rPr>
                <w:t>ARTICLE SEVEN HOLDERS’ LISTS AND REPORTS BY TRUSTEE AND COMPANY</w:t>
              </w:r>
            </w:hyperlink>
          </w:p>
        </w:tc>
        <w:tc>
          <w:tcPr>
            <w:tcW w:w="240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7.01.</w:t>
            </w: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309">
              <w:r>
                <w:rPr>
                  <w:rFonts w:ascii="Arial" w:cs="Arial" w:eastAsia="Arial" w:hAnsi="Arial"/>
                  <w:sz w:val="18"/>
                  <w:szCs w:val="18"/>
                  <w:color w:val="0000EE"/>
                  <w:w w:val="89"/>
                </w:rPr>
                <w:t>Disclosure of Names and Addresses of Holders</w:t>
              </w:r>
            </w:hyperlink>
          </w:p>
        </w:tc>
        <w:tc>
          <w:tcPr>
            <w:tcW w:w="3740" w:type="dxa"/>
            <w:vAlign w:val="bottom"/>
            <w:gridSpan w:val="1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7.02.</w:t>
            </w:r>
          </w:p>
        </w:tc>
        <w:tc>
          <w:tcPr>
            <w:tcW w:w="4140" w:type="dxa"/>
            <w:vAlign w:val="bottom"/>
            <w:tcBorders>
              <w:bottom w:val="single" w:sz="8" w:color="0000EE"/>
            </w:tcBorders>
            <w:gridSpan w:val="37"/>
          </w:tcPr>
          <w:p>
            <w:pPr>
              <w:spacing w:after="0" w:line="196" w:lineRule="exact"/>
              <w:rPr>
                <w:rFonts w:ascii="Arial" w:cs="Arial" w:eastAsia="Arial" w:hAnsi="Arial"/>
                <w:sz w:val="18"/>
                <w:szCs w:val="18"/>
                <w:color w:val="0000EE"/>
                <w:w w:val="92"/>
              </w:rPr>
            </w:pPr>
            <w:hyperlink w:anchor="page309">
              <w:r>
                <w:rPr>
                  <w:rFonts w:ascii="Arial" w:cs="Arial" w:eastAsia="Arial" w:hAnsi="Arial"/>
                  <w:sz w:val="18"/>
                  <w:szCs w:val="18"/>
                  <w:color w:val="0000EE"/>
                  <w:w w:val="92"/>
                </w:rPr>
                <w:t>Preservation of Information; Communications to Holders</w:t>
              </w:r>
            </w:hyperlink>
          </w:p>
        </w:tc>
        <w:tc>
          <w:tcPr>
            <w:tcW w:w="302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7.03.</w:t>
            </w: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09">
              <w:r>
                <w:rPr>
                  <w:rFonts w:ascii="Arial" w:cs="Arial" w:eastAsia="Arial" w:hAnsi="Arial"/>
                  <w:sz w:val="18"/>
                  <w:szCs w:val="18"/>
                  <w:color w:val="0000EE"/>
                  <w:w w:val="88"/>
                </w:rPr>
                <w:t>Reports by Trustee</w:t>
              </w:r>
            </w:hyperlink>
          </w:p>
        </w:tc>
        <w:tc>
          <w:tcPr>
            <w:tcW w:w="5780" w:type="dxa"/>
            <w:vAlign w:val="bottom"/>
            <w:gridSpan w:val="3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7.04.</w:t>
            </w:r>
          </w:p>
        </w:tc>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09">
              <w:r>
                <w:rPr>
                  <w:rFonts w:ascii="Arial" w:cs="Arial" w:eastAsia="Arial" w:hAnsi="Arial"/>
                  <w:sz w:val="18"/>
                  <w:szCs w:val="18"/>
                  <w:color w:val="0000EE"/>
                  <w:w w:val="89"/>
                </w:rPr>
                <w:t>Reports by Company</w:t>
              </w:r>
            </w:hyperlink>
          </w:p>
        </w:tc>
        <w:tc>
          <w:tcPr>
            <w:tcW w:w="5620" w:type="dxa"/>
            <w:vAlign w:val="bottom"/>
            <w:gridSpan w:val="3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7.05.</w:t>
            </w:r>
          </w:p>
        </w:tc>
        <w:tc>
          <w:tcPr>
            <w:tcW w:w="280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310">
              <w:r>
                <w:rPr>
                  <w:rFonts w:ascii="Arial" w:cs="Arial" w:eastAsia="Arial" w:hAnsi="Arial"/>
                  <w:sz w:val="18"/>
                  <w:szCs w:val="18"/>
                  <w:color w:val="0000EE"/>
                  <w:w w:val="92"/>
                </w:rPr>
                <w:t>Calculation of Original Issue Discount</w:t>
              </w:r>
            </w:hyperlink>
          </w:p>
        </w:tc>
        <w:tc>
          <w:tcPr>
            <w:tcW w:w="4360" w:type="dxa"/>
            <w:vAlign w:val="bottom"/>
            <w:gridSpan w:val="1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304"/>
        </w:trPr>
        <w:tc>
          <w:tcPr>
            <w:tcW w:w="6640" w:type="dxa"/>
            <w:vAlign w:val="bottom"/>
            <w:tcBorders>
              <w:bottom w:val="single" w:sz="8" w:color="0000EE"/>
            </w:tcBorders>
            <w:gridSpan w:val="40"/>
          </w:tcPr>
          <w:p>
            <w:pPr>
              <w:spacing w:after="0"/>
              <w:rPr>
                <w:rFonts w:ascii="Arial" w:cs="Arial" w:eastAsia="Arial" w:hAnsi="Arial"/>
                <w:sz w:val="18"/>
                <w:szCs w:val="18"/>
                <w:b w:val="1"/>
                <w:bCs w:val="1"/>
                <w:color w:val="0000EE"/>
              </w:rPr>
            </w:pPr>
            <w:hyperlink w:anchor="page310">
              <w:r>
                <w:rPr>
                  <w:rFonts w:ascii="Arial" w:cs="Arial" w:eastAsia="Arial" w:hAnsi="Arial"/>
                  <w:sz w:val="18"/>
                  <w:szCs w:val="18"/>
                  <w:b w:val="1"/>
                  <w:bCs w:val="1"/>
                  <w:color w:val="0000EE"/>
                </w:rPr>
                <w:t>ARTICLE EIGHT CONSOLIDATION, MERGER, CONVEYANCE OR TRANSFER</w:t>
              </w:r>
            </w:hyperlink>
          </w:p>
        </w:tc>
        <w:tc>
          <w:tcPr>
            <w:tcW w:w="268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8.01.</w:t>
            </w:r>
          </w:p>
        </w:tc>
        <w:tc>
          <w:tcPr>
            <w:tcW w:w="7160" w:type="dxa"/>
            <w:vAlign w:val="bottom"/>
            <w:gridSpan w:val="43"/>
          </w:tcPr>
          <w:p>
            <w:pPr>
              <w:spacing w:after="0" w:line="196" w:lineRule="exact"/>
              <w:rPr>
                <w:rFonts w:ascii="Arial" w:cs="Arial" w:eastAsia="Arial" w:hAnsi="Arial"/>
                <w:sz w:val="18"/>
                <w:szCs w:val="18"/>
                <w:color w:val="0000EE"/>
              </w:rPr>
            </w:pPr>
            <w:hyperlink w:anchor="page310">
              <w:r>
                <w:rPr>
                  <w:rFonts w:ascii="Arial" w:cs="Arial" w:eastAsia="Arial" w:hAnsi="Arial"/>
                  <w:sz w:val="18"/>
                  <w:szCs w:val="18"/>
                  <w:color w:val="0000EE"/>
                </w:rPr>
                <w:t>Company May Consolidate, Etc., Only on Certain Terms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8.02.</w:t>
            </w:r>
          </w:p>
        </w:tc>
        <w:tc>
          <w:tcPr>
            <w:tcW w:w="2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310">
              <w:r>
                <w:rPr>
                  <w:rFonts w:ascii="Arial" w:cs="Arial" w:eastAsia="Arial" w:hAnsi="Arial"/>
                  <w:sz w:val="18"/>
                  <w:szCs w:val="18"/>
                  <w:color w:val="0000EE"/>
                  <w:w w:val="87"/>
                </w:rPr>
                <w:t>Successor Person Substituted</w:t>
              </w:r>
            </w:hyperlink>
          </w:p>
        </w:tc>
        <w:tc>
          <w:tcPr>
            <w:tcW w:w="1980" w:type="dxa"/>
            <w:vAlign w:val="bottom"/>
            <w:tcBorders>
              <w:top w:val="single" w:sz="8" w:color="0000EE"/>
            </w:tcBorders>
            <w:gridSpan w:val="21"/>
          </w:tcPr>
          <w:p>
            <w:pPr>
              <w:spacing w:after="0"/>
              <w:rPr>
                <w:sz w:val="17"/>
                <w:szCs w:val="17"/>
                <w:color w:val="auto"/>
              </w:rPr>
            </w:pPr>
          </w:p>
        </w:tc>
        <w:tc>
          <w:tcPr>
            <w:tcW w:w="30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304"/>
        </w:trPr>
        <w:tc>
          <w:tcPr>
            <w:tcW w:w="406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10">
              <w:r>
                <w:rPr>
                  <w:rFonts w:ascii="Arial" w:cs="Arial" w:eastAsia="Arial" w:hAnsi="Arial"/>
                  <w:sz w:val="18"/>
                  <w:szCs w:val="18"/>
                  <w:b w:val="1"/>
                  <w:bCs w:val="1"/>
                  <w:color w:val="0000EE"/>
                </w:rPr>
                <w:t>ARTICLE NINE SUPPLEMENTAL INDENTURES</w:t>
              </w:r>
            </w:hyperlink>
          </w:p>
        </w:tc>
        <w:tc>
          <w:tcPr>
            <w:tcW w:w="5260" w:type="dxa"/>
            <w:vAlign w:val="bottom"/>
            <w:gridSpan w:val="31"/>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9.01.</w:t>
            </w:r>
          </w:p>
        </w:tc>
        <w:tc>
          <w:tcPr>
            <w:tcW w:w="38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310">
              <w:r>
                <w:rPr>
                  <w:rFonts w:ascii="Arial" w:cs="Arial" w:eastAsia="Arial" w:hAnsi="Arial"/>
                  <w:sz w:val="18"/>
                  <w:szCs w:val="18"/>
                  <w:color w:val="0000EE"/>
                  <w:w w:val="90"/>
                </w:rPr>
                <w:t>Supplemental Indentures Without Consent of Holders</w:t>
              </w:r>
            </w:hyperlink>
          </w:p>
        </w:tc>
        <w:tc>
          <w:tcPr>
            <w:tcW w:w="328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9.02.</w:t>
            </w:r>
          </w:p>
        </w:tc>
        <w:tc>
          <w:tcPr>
            <w:tcW w:w="7160" w:type="dxa"/>
            <w:vAlign w:val="bottom"/>
            <w:gridSpan w:val="43"/>
          </w:tcPr>
          <w:p>
            <w:pPr>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Supplemental Indentures With Consent of Holders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9.03.</w:t>
            </w:r>
          </w:p>
        </w:tc>
        <w:tc>
          <w:tcPr>
            <w:tcW w:w="27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0"/>
              </w:rPr>
            </w:pPr>
            <w:hyperlink w:anchor="page313">
              <w:r>
                <w:rPr>
                  <w:rFonts w:ascii="Arial" w:cs="Arial" w:eastAsia="Arial" w:hAnsi="Arial"/>
                  <w:sz w:val="18"/>
                  <w:szCs w:val="18"/>
                  <w:color w:val="0000EE"/>
                  <w:w w:val="90"/>
                </w:rPr>
                <w:t>Execution of Supplemental Indentures</w:t>
              </w:r>
            </w:hyperlink>
          </w:p>
        </w:tc>
        <w:tc>
          <w:tcPr>
            <w:tcW w:w="860" w:type="dxa"/>
            <w:vAlign w:val="bottom"/>
            <w:tcBorders>
              <w:top w:val="single" w:sz="8" w:color="0000EE"/>
            </w:tcBorders>
            <w:gridSpan w:val="5"/>
          </w:tcPr>
          <w:p>
            <w:pPr>
              <w:spacing w:after="0"/>
              <w:rPr>
                <w:sz w:val="17"/>
                <w:szCs w:val="17"/>
                <w:color w:val="auto"/>
              </w:rPr>
            </w:pPr>
          </w:p>
        </w:tc>
        <w:tc>
          <w:tcPr>
            <w:tcW w:w="3520" w:type="dxa"/>
            <w:vAlign w:val="bottom"/>
            <w:gridSpan w:val="1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9.04.</w:t>
            </w:r>
          </w:p>
        </w:tc>
        <w:tc>
          <w:tcPr>
            <w:tcW w:w="24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313">
              <w:r>
                <w:rPr>
                  <w:rFonts w:ascii="Arial" w:cs="Arial" w:eastAsia="Arial" w:hAnsi="Arial"/>
                  <w:sz w:val="18"/>
                  <w:szCs w:val="18"/>
                  <w:color w:val="0000EE"/>
                  <w:w w:val="90"/>
                </w:rPr>
                <w:t>Effect of Supplemental Indentures</w:t>
              </w:r>
            </w:hyperlink>
          </w:p>
        </w:tc>
        <w:tc>
          <w:tcPr>
            <w:tcW w:w="468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9.05.</w:t>
            </w:r>
          </w:p>
        </w:tc>
        <w:tc>
          <w:tcPr>
            <w:tcW w:w="7160" w:type="dxa"/>
            <w:vAlign w:val="bottom"/>
            <w:gridSpan w:val="43"/>
          </w:tcPr>
          <w:p>
            <w:pPr>
              <w:spacing w:after="0" w:line="196" w:lineRule="exact"/>
              <w:rPr>
                <w:rFonts w:ascii="Arial" w:cs="Arial" w:eastAsia="Arial" w:hAnsi="Arial"/>
                <w:sz w:val="18"/>
                <w:szCs w:val="18"/>
                <w:color w:val="0000EE"/>
              </w:rPr>
            </w:pPr>
            <w:hyperlink w:anchor="page313">
              <w:r>
                <w:rPr>
                  <w:rFonts w:ascii="Arial" w:cs="Arial" w:eastAsia="Arial" w:hAnsi="Arial"/>
                  <w:sz w:val="18"/>
                  <w:szCs w:val="18"/>
                  <w:color w:val="0000EE"/>
                </w:rPr>
                <w:t>Conformity With Trust Indenture Act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2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9.06.</w:t>
            </w:r>
          </w:p>
        </w:tc>
        <w:tc>
          <w:tcPr>
            <w:tcW w:w="372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313">
              <w:r>
                <w:rPr>
                  <w:rFonts w:ascii="Arial" w:cs="Arial" w:eastAsia="Arial" w:hAnsi="Arial"/>
                  <w:sz w:val="18"/>
                  <w:szCs w:val="18"/>
                  <w:color w:val="0000EE"/>
                  <w:w w:val="89"/>
                </w:rPr>
                <w:t>Reference in Securities to Supplemental Indentures</w:t>
              </w:r>
            </w:hyperlink>
          </w:p>
        </w:tc>
        <w:tc>
          <w:tcPr>
            <w:tcW w:w="344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304"/>
        </w:trPr>
        <w:tc>
          <w:tcPr>
            <w:tcW w:w="24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13">
              <w:r>
                <w:rPr>
                  <w:rFonts w:ascii="Arial" w:cs="Arial" w:eastAsia="Arial" w:hAnsi="Arial"/>
                  <w:sz w:val="18"/>
                  <w:szCs w:val="18"/>
                  <w:b w:val="1"/>
                  <w:bCs w:val="1"/>
                  <w:color w:val="0000EE"/>
                </w:rPr>
                <w:t>ARTICLE TEN COVENANTS</w:t>
              </w:r>
            </w:hyperlink>
          </w:p>
        </w:tc>
        <w:tc>
          <w:tcPr>
            <w:tcW w:w="6900" w:type="dxa"/>
            <w:vAlign w:val="bottom"/>
            <w:gridSpan w:val="4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10.01.</w:t>
            </w:r>
          </w:p>
        </w:tc>
        <w:tc>
          <w:tcPr>
            <w:tcW w:w="372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313">
              <w:r>
                <w:rPr>
                  <w:rFonts w:ascii="Arial" w:cs="Arial" w:eastAsia="Arial" w:hAnsi="Arial"/>
                  <w:sz w:val="18"/>
                  <w:szCs w:val="18"/>
                  <w:color w:val="0000EE"/>
                  <w:w w:val="91"/>
                </w:rPr>
                <w:t>Payment of Principal, Premium, if any, and Interest</w:t>
              </w:r>
            </w:hyperlink>
          </w:p>
        </w:tc>
        <w:tc>
          <w:tcPr>
            <w:tcW w:w="344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10.02.</w:t>
            </w:r>
          </w:p>
        </w:tc>
        <w:tc>
          <w:tcPr>
            <w:tcW w:w="24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313">
              <w:r>
                <w:rPr>
                  <w:rFonts w:ascii="Arial" w:cs="Arial" w:eastAsia="Arial" w:hAnsi="Arial"/>
                  <w:sz w:val="18"/>
                  <w:szCs w:val="18"/>
                  <w:color w:val="0000EE"/>
                  <w:w w:val="92"/>
                </w:rPr>
                <w:t>Maintenance of Office or Agency</w:t>
              </w:r>
            </w:hyperlink>
          </w:p>
        </w:tc>
        <w:tc>
          <w:tcPr>
            <w:tcW w:w="4720" w:type="dxa"/>
            <w:vAlign w:val="bottom"/>
            <w:gridSpan w:val="2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10.03.</w:t>
            </w:r>
          </w:p>
        </w:tc>
        <w:tc>
          <w:tcPr>
            <w:tcW w:w="7160" w:type="dxa"/>
            <w:vAlign w:val="bottom"/>
            <w:gridSpan w:val="43"/>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Money for Securities Payments to Be Held in Trust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10.04.</w:t>
            </w:r>
          </w:p>
        </w:tc>
        <w:tc>
          <w:tcPr>
            <w:tcW w:w="3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315">
              <w:r>
                <w:rPr>
                  <w:rFonts w:ascii="Arial" w:cs="Arial" w:eastAsia="Arial" w:hAnsi="Arial"/>
                  <w:sz w:val="18"/>
                  <w:szCs w:val="18"/>
                  <w:color w:val="0000EE"/>
                </w:rPr>
                <w:t>Additional Amounts</w:t>
              </w:r>
            </w:hyperlink>
          </w:p>
        </w:tc>
        <w:tc>
          <w:tcPr>
            <w:tcW w:w="346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216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0" w:type="dxa"/>
            <w:vAlign w:val="bottom"/>
            <w:gridSpan w:val="2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10.05.</w:t>
            </w:r>
          </w:p>
        </w:tc>
        <w:tc>
          <w:tcPr>
            <w:tcW w:w="7160" w:type="dxa"/>
            <w:vAlign w:val="bottom"/>
            <w:gridSpan w:val="43"/>
          </w:tcPr>
          <w:p>
            <w:pPr>
              <w:spacing w:after="0" w:line="196" w:lineRule="exact"/>
              <w:rPr>
                <w:rFonts w:ascii="Arial" w:cs="Arial" w:eastAsia="Arial" w:hAnsi="Arial"/>
                <w:sz w:val="18"/>
                <w:szCs w:val="18"/>
                <w:color w:val="0000EE"/>
              </w:rPr>
            </w:pPr>
            <w:hyperlink w:anchor="page315">
              <w:r>
                <w:rPr>
                  <w:rFonts w:ascii="Arial" w:cs="Arial" w:eastAsia="Arial" w:hAnsi="Arial"/>
                  <w:sz w:val="18"/>
                  <w:szCs w:val="18"/>
                  <w:color w:val="0000EE"/>
                </w:rPr>
                <w:t>Statement as to Compliance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216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0" w:type="dxa"/>
            <w:vAlign w:val="bottom"/>
            <w:gridSpan w:val="2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1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Section 10.06.</w:t>
            </w:r>
          </w:p>
        </w:tc>
        <w:tc>
          <w:tcPr>
            <w:tcW w:w="2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15">
              <w:r>
                <w:rPr>
                  <w:rFonts w:ascii="Arial" w:cs="Arial" w:eastAsia="Arial" w:hAnsi="Arial"/>
                  <w:sz w:val="18"/>
                  <w:szCs w:val="18"/>
                  <w:color w:val="0000EE"/>
                  <w:w w:val="90"/>
                </w:rPr>
                <w:t>Waiver of Certain Covenants</w:t>
              </w:r>
            </w:hyperlink>
          </w:p>
        </w:tc>
        <w:tc>
          <w:tcPr>
            <w:tcW w:w="5060" w:type="dxa"/>
            <w:vAlign w:val="bottom"/>
            <w:gridSpan w:val="2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304"/>
        </w:trPr>
        <w:tc>
          <w:tcPr>
            <w:tcW w:w="9320" w:type="dxa"/>
            <w:vAlign w:val="bottom"/>
            <w:gridSpan w:val="44"/>
          </w:tcPr>
          <w:p>
            <w:pPr>
              <w:spacing w:after="0"/>
              <w:rPr>
                <w:rFonts w:ascii="Arial" w:cs="Arial" w:eastAsia="Arial" w:hAnsi="Arial"/>
                <w:sz w:val="18"/>
                <w:szCs w:val="18"/>
                <w:b w:val="1"/>
                <w:bCs w:val="1"/>
                <w:color w:val="0000EE"/>
              </w:rPr>
            </w:pPr>
            <w:hyperlink w:anchor="page316">
              <w:r>
                <w:rPr>
                  <w:rFonts w:ascii="Arial" w:cs="Arial" w:eastAsia="Arial" w:hAnsi="Arial"/>
                  <w:sz w:val="18"/>
                  <w:szCs w:val="18"/>
                  <w:b w:val="1"/>
                  <w:bCs w:val="1"/>
                  <w:color w:val="0000EE"/>
                </w:rPr>
                <w:t>ARTICLE ELEVEN REDEMPTION OF SECURITIES</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196"/>
        </w:trPr>
        <w:tc>
          <w:tcPr>
            <w:tcW w:w="2160" w:type="dxa"/>
            <w:vAlign w:val="bottom"/>
            <w:tcBorders>
              <w:top w:val="single" w:sz="8" w:color="0000EE"/>
            </w:tcBorders>
          </w:tcPr>
          <w:p>
            <w:pPr>
              <w:jc w:val="right"/>
              <w:ind w:right="230"/>
              <w:spacing w:after="0" w:line="196" w:lineRule="exact"/>
              <w:rPr>
                <w:sz w:val="20"/>
                <w:szCs w:val="20"/>
                <w:color w:val="auto"/>
              </w:rPr>
            </w:pPr>
            <w:r>
              <w:rPr>
                <w:rFonts w:ascii="Arial" w:cs="Arial" w:eastAsia="Arial" w:hAnsi="Arial"/>
                <w:sz w:val="18"/>
                <w:szCs w:val="18"/>
                <w:color w:val="auto"/>
              </w:rPr>
              <w:t>Section 11.01.</w:t>
            </w:r>
          </w:p>
        </w:tc>
        <w:tc>
          <w:tcPr>
            <w:tcW w:w="1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8"/>
              </w:rPr>
            </w:pPr>
            <w:hyperlink w:anchor="page316">
              <w:r>
                <w:rPr>
                  <w:rFonts w:ascii="Arial" w:cs="Arial" w:eastAsia="Arial" w:hAnsi="Arial"/>
                  <w:sz w:val="18"/>
                  <w:szCs w:val="18"/>
                  <w:color w:val="0000EE"/>
                  <w:w w:val="98"/>
                </w:rPr>
                <w:t>Applicability of Article</w:t>
              </w:r>
            </w:hyperlink>
          </w:p>
        </w:tc>
        <w:tc>
          <w:tcPr>
            <w:tcW w:w="460" w:type="dxa"/>
            <w:vAlign w:val="bottom"/>
            <w:tcBorders>
              <w:top w:val="single" w:sz="8" w:color="0000EE"/>
            </w:tcBorders>
            <w:gridSpan w:val="7"/>
          </w:tcPr>
          <w:p>
            <w:pPr>
              <w:spacing w:after="0"/>
              <w:rPr>
                <w:sz w:val="17"/>
                <w:szCs w:val="17"/>
                <w:color w:val="auto"/>
              </w:rPr>
            </w:pPr>
          </w:p>
        </w:tc>
        <w:tc>
          <w:tcPr>
            <w:tcW w:w="5000" w:type="dxa"/>
            <w:vAlign w:val="bottom"/>
            <w:gridSpan w:val="2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60"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160" w:type="dxa"/>
            <w:vAlign w:val="bottom"/>
          </w:tcPr>
          <w:p>
            <w:pPr>
              <w:ind w:left="780"/>
              <w:spacing w:after="0" w:line="190" w:lineRule="exact"/>
              <w:rPr>
                <w:sz w:val="20"/>
                <w:szCs w:val="20"/>
                <w:color w:val="auto"/>
              </w:rPr>
            </w:pPr>
            <w:r>
              <w:rPr>
                <w:rFonts w:ascii="Arial" w:cs="Arial" w:eastAsia="Arial" w:hAnsi="Arial"/>
                <w:sz w:val="18"/>
                <w:szCs w:val="18"/>
                <w:color w:val="auto"/>
              </w:rPr>
              <w:t>Section 11.02.</w:t>
            </w:r>
          </w:p>
        </w:tc>
        <w:tc>
          <w:tcPr>
            <w:tcW w:w="276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w:anchor="page316">
              <w:r>
                <w:rPr>
                  <w:rFonts w:ascii="Arial" w:cs="Arial" w:eastAsia="Arial" w:hAnsi="Arial"/>
                  <w:sz w:val="18"/>
                  <w:szCs w:val="18"/>
                  <w:color w:val="0000EE"/>
                  <w:w w:val="90"/>
                </w:rPr>
                <w:t>Election to Redeem; Notice to Trustee</w:t>
              </w:r>
            </w:hyperlink>
          </w:p>
        </w:tc>
        <w:tc>
          <w:tcPr>
            <w:tcW w:w="5320" w:type="dxa"/>
            <w:vAlign w:val="bottom"/>
            <w:gridSpan w:val="21"/>
          </w:tcPr>
          <w:p>
            <w:pPr>
              <w:spacing w:after="0"/>
              <w:rPr>
                <w:sz w:val="16"/>
                <w:szCs w:val="16"/>
                <w:color w:val="auto"/>
              </w:rPr>
            </w:pP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51</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11.03.</w:t>
            </w:r>
          </w:p>
        </w:tc>
        <w:tc>
          <w:tcPr>
            <w:tcW w:w="36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316">
              <w:r>
                <w:rPr>
                  <w:rFonts w:ascii="Arial" w:cs="Arial" w:eastAsia="Arial" w:hAnsi="Arial"/>
                  <w:sz w:val="18"/>
                  <w:szCs w:val="18"/>
                  <w:color w:val="0000EE"/>
                  <w:w w:val="89"/>
                </w:rPr>
                <w:t>Selection by Trustee of Securities to Be Redeemed</w:t>
              </w:r>
            </w:hyperlink>
          </w:p>
        </w:tc>
        <w:tc>
          <w:tcPr>
            <w:tcW w:w="4400" w:type="dxa"/>
            <w:vAlign w:val="bottom"/>
            <w:gridSpan w:val="11"/>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11.04.</w:t>
            </w: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17">
              <w:r>
                <w:rPr>
                  <w:rFonts w:ascii="Arial" w:cs="Arial" w:eastAsia="Arial" w:hAnsi="Arial"/>
                  <w:sz w:val="18"/>
                  <w:szCs w:val="18"/>
                  <w:color w:val="0000EE"/>
                  <w:w w:val="91"/>
                </w:rPr>
                <w:t>Notice of Redemption</w:t>
              </w:r>
            </w:hyperlink>
          </w:p>
        </w:tc>
        <w:tc>
          <w:tcPr>
            <w:tcW w:w="6480" w:type="dxa"/>
            <w:vAlign w:val="bottom"/>
            <w:gridSpan w:val="32"/>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11.05.</w:t>
            </w:r>
          </w:p>
        </w:tc>
        <w:tc>
          <w:tcPr>
            <w:tcW w:w="2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17">
              <w:r>
                <w:rPr>
                  <w:rFonts w:ascii="Arial" w:cs="Arial" w:eastAsia="Arial" w:hAnsi="Arial"/>
                  <w:sz w:val="18"/>
                  <w:szCs w:val="18"/>
                  <w:color w:val="0000EE"/>
                  <w:w w:val="90"/>
                </w:rPr>
                <w:t>Deposit of Redemption Price</w:t>
              </w:r>
            </w:hyperlink>
          </w:p>
        </w:tc>
        <w:tc>
          <w:tcPr>
            <w:tcW w:w="5980" w:type="dxa"/>
            <w:vAlign w:val="bottom"/>
            <w:gridSpan w:val="25"/>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11.06.</w:t>
            </w: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318">
              <w:r>
                <w:rPr>
                  <w:rFonts w:ascii="Arial" w:cs="Arial" w:eastAsia="Arial" w:hAnsi="Arial"/>
                  <w:sz w:val="18"/>
                  <w:szCs w:val="18"/>
                  <w:color w:val="0000EE"/>
                  <w:w w:val="88"/>
                </w:rPr>
                <w:t>Securities Payable on Redemption Date</w:t>
              </w:r>
            </w:hyperlink>
          </w:p>
        </w:tc>
        <w:tc>
          <w:tcPr>
            <w:tcW w:w="5220" w:type="dxa"/>
            <w:vAlign w:val="bottom"/>
            <w:gridSpan w:val="20"/>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11.07.</w:t>
            </w:r>
          </w:p>
        </w:tc>
        <w:tc>
          <w:tcPr>
            <w:tcW w:w="8080" w:type="dxa"/>
            <w:vAlign w:val="bottom"/>
            <w:gridSpan w:val="38"/>
          </w:tcPr>
          <w:p>
            <w:pPr>
              <w:spacing w:after="0" w:line="196" w:lineRule="exact"/>
              <w:rPr>
                <w:rFonts w:ascii="Arial" w:cs="Arial" w:eastAsia="Arial" w:hAnsi="Arial"/>
                <w:sz w:val="18"/>
                <w:szCs w:val="18"/>
                <w:color w:val="0000EE"/>
              </w:rPr>
            </w:pPr>
            <w:hyperlink w:anchor="page318">
              <w:r>
                <w:rPr>
                  <w:rFonts w:ascii="Arial" w:cs="Arial" w:eastAsia="Arial" w:hAnsi="Arial"/>
                  <w:sz w:val="18"/>
                  <w:szCs w:val="18"/>
                  <w:color w:val="0000EE"/>
                </w:rPr>
                <w:t>Securities Redeemed in Part</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2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31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18">
              <w:r>
                <w:rPr>
                  <w:rFonts w:ascii="Arial" w:cs="Arial" w:eastAsia="Arial" w:hAnsi="Arial"/>
                  <w:sz w:val="18"/>
                  <w:szCs w:val="18"/>
                  <w:b w:val="1"/>
                  <w:bCs w:val="1"/>
                  <w:color w:val="0000EE"/>
                </w:rPr>
                <w:t>ARTICLE TWELVE SINKING FUNDS</w:t>
              </w:r>
            </w:hyperlink>
          </w:p>
        </w:tc>
        <w:tc>
          <w:tcPr>
            <w:tcW w:w="7120" w:type="dxa"/>
            <w:vAlign w:val="bottom"/>
            <w:gridSpan w:val="37"/>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12.01.</w:t>
            </w:r>
          </w:p>
        </w:tc>
        <w:tc>
          <w:tcPr>
            <w:tcW w:w="8080" w:type="dxa"/>
            <w:vAlign w:val="bottom"/>
            <w:gridSpan w:val="38"/>
          </w:tcPr>
          <w:p>
            <w:pPr>
              <w:spacing w:after="0" w:line="196" w:lineRule="exact"/>
              <w:rPr>
                <w:rFonts w:ascii="Arial" w:cs="Arial" w:eastAsia="Arial" w:hAnsi="Arial"/>
                <w:sz w:val="18"/>
                <w:szCs w:val="18"/>
                <w:color w:val="0000EE"/>
              </w:rPr>
            </w:pPr>
            <w:hyperlink w:anchor="page318">
              <w:r>
                <w:rPr>
                  <w:rFonts w:ascii="Arial" w:cs="Arial" w:eastAsia="Arial" w:hAnsi="Arial"/>
                  <w:sz w:val="18"/>
                  <w:szCs w:val="18"/>
                  <w:color w:val="0000EE"/>
                </w:rPr>
                <w:t>Applicability of Article</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2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12.02.</w:t>
            </w:r>
          </w:p>
        </w:tc>
        <w:tc>
          <w:tcPr>
            <w:tcW w:w="39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319">
              <w:r>
                <w:rPr>
                  <w:rFonts w:ascii="Arial" w:cs="Arial" w:eastAsia="Arial" w:hAnsi="Arial"/>
                  <w:sz w:val="18"/>
                  <w:szCs w:val="18"/>
                  <w:color w:val="0000EE"/>
                  <w:w w:val="90"/>
                </w:rPr>
                <w:t>Satisfaction of Sinking Fund Payments With Securities</w:t>
              </w:r>
            </w:hyperlink>
          </w:p>
        </w:tc>
        <w:tc>
          <w:tcPr>
            <w:tcW w:w="4120" w:type="dxa"/>
            <w:vAlign w:val="bottom"/>
            <w:gridSpan w:val="9"/>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12.03.</w:t>
            </w:r>
          </w:p>
        </w:tc>
        <w:tc>
          <w:tcPr>
            <w:tcW w:w="8080" w:type="dxa"/>
            <w:vAlign w:val="bottom"/>
            <w:gridSpan w:val="38"/>
          </w:tcPr>
          <w:p>
            <w:pPr>
              <w:spacing w:after="0" w:line="196" w:lineRule="exact"/>
              <w:rPr>
                <w:rFonts w:ascii="Arial" w:cs="Arial" w:eastAsia="Arial" w:hAnsi="Arial"/>
                <w:sz w:val="18"/>
                <w:szCs w:val="18"/>
                <w:color w:val="0000EE"/>
              </w:rPr>
            </w:pPr>
            <w:hyperlink w:anchor="page319">
              <w:r>
                <w:rPr>
                  <w:rFonts w:ascii="Arial" w:cs="Arial" w:eastAsia="Arial" w:hAnsi="Arial"/>
                  <w:sz w:val="18"/>
                  <w:szCs w:val="18"/>
                  <w:color w:val="0000EE"/>
                </w:rPr>
                <w:t>Redemption of Securities for Sinking Fund</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2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240" w:type="dxa"/>
            <w:vAlign w:val="bottom"/>
            <w:gridSpan w:val="39"/>
          </w:tcPr>
          <w:p>
            <w:pPr>
              <w:spacing w:after="0"/>
              <w:rPr>
                <w:rFonts w:ascii="Arial" w:cs="Arial" w:eastAsia="Arial" w:hAnsi="Arial"/>
                <w:sz w:val="18"/>
                <w:szCs w:val="18"/>
                <w:b w:val="1"/>
                <w:bCs w:val="1"/>
                <w:color w:val="0000EE"/>
              </w:rPr>
            </w:pPr>
            <w:hyperlink w:anchor="page319">
              <w:r>
                <w:rPr>
                  <w:rFonts w:ascii="Arial" w:cs="Arial" w:eastAsia="Arial" w:hAnsi="Arial"/>
                  <w:sz w:val="18"/>
                  <w:szCs w:val="18"/>
                  <w:b w:val="1"/>
                  <w:bCs w:val="1"/>
                  <w:color w:val="0000EE"/>
                </w:rPr>
                <w:t>ARTICLE THIRTEEN REPAYMENT AT THE OPTION OF HOLDERS</w:t>
              </w:r>
            </w:hyperlink>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196"/>
        </w:trPr>
        <w:tc>
          <w:tcPr>
            <w:tcW w:w="2160" w:type="dxa"/>
            <w:vAlign w:val="bottom"/>
            <w:tcBorders>
              <w:top w:val="single" w:sz="8" w:color="0000EE"/>
            </w:tcBorders>
          </w:tcPr>
          <w:p>
            <w:pPr>
              <w:ind w:left="780"/>
              <w:spacing w:after="0" w:line="196" w:lineRule="exact"/>
              <w:rPr>
                <w:sz w:val="20"/>
                <w:szCs w:val="20"/>
                <w:color w:val="auto"/>
              </w:rPr>
            </w:pPr>
            <w:r>
              <w:rPr>
                <w:rFonts w:ascii="Arial" w:cs="Arial" w:eastAsia="Arial" w:hAnsi="Arial"/>
                <w:sz w:val="18"/>
                <w:szCs w:val="18"/>
                <w:color w:val="auto"/>
              </w:rPr>
              <w:t>Section 13.01.</w:t>
            </w:r>
          </w:p>
        </w:tc>
        <w:tc>
          <w:tcPr>
            <w:tcW w:w="35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19">
              <w:r>
                <w:rPr>
                  <w:rFonts w:ascii="Arial" w:cs="Arial" w:eastAsia="Arial" w:hAnsi="Arial"/>
                  <w:sz w:val="18"/>
                  <w:szCs w:val="18"/>
                  <w:color w:val="0000EE"/>
                </w:rPr>
                <w:t>Applicability of Article</w:t>
              </w:r>
            </w:hyperlink>
          </w:p>
        </w:tc>
        <w:tc>
          <w:tcPr>
            <w:tcW w:w="4580" w:type="dxa"/>
            <w:vAlign w:val="bottom"/>
            <w:gridSpan w:val="14"/>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2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13.02.</w:t>
            </w:r>
          </w:p>
        </w:tc>
        <w:tc>
          <w:tcPr>
            <w:tcW w:w="8080" w:type="dxa"/>
            <w:vAlign w:val="bottom"/>
            <w:gridSpan w:val="38"/>
          </w:tcPr>
          <w:p>
            <w:pPr>
              <w:spacing w:after="0" w:line="196" w:lineRule="exact"/>
              <w:rPr>
                <w:rFonts w:ascii="Arial" w:cs="Arial" w:eastAsia="Arial" w:hAnsi="Arial"/>
                <w:sz w:val="18"/>
                <w:szCs w:val="18"/>
                <w:color w:val="0000EE"/>
              </w:rPr>
            </w:pPr>
            <w:hyperlink w:anchor="page319">
              <w:r>
                <w:rPr>
                  <w:rFonts w:ascii="Arial" w:cs="Arial" w:eastAsia="Arial" w:hAnsi="Arial"/>
                  <w:sz w:val="18"/>
                  <w:szCs w:val="18"/>
                  <w:color w:val="0000EE"/>
                </w:rPr>
                <w:t>Repayment of Securities</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13.03.</w:t>
            </w:r>
          </w:p>
        </w:tc>
        <w:tc>
          <w:tcPr>
            <w:tcW w:w="1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320">
              <w:r>
                <w:rPr>
                  <w:rFonts w:ascii="Arial" w:cs="Arial" w:eastAsia="Arial" w:hAnsi="Arial"/>
                  <w:sz w:val="18"/>
                  <w:szCs w:val="18"/>
                  <w:color w:val="0000EE"/>
                  <w:w w:val="91"/>
                </w:rPr>
                <w:t>Exercise of Option</w:t>
              </w:r>
            </w:hyperlink>
          </w:p>
        </w:tc>
        <w:tc>
          <w:tcPr>
            <w:tcW w:w="400" w:type="dxa"/>
            <w:vAlign w:val="bottom"/>
            <w:tcBorders>
              <w:top w:val="single" w:sz="8" w:color="0000EE"/>
            </w:tcBorders>
            <w:gridSpan w:val="4"/>
          </w:tcPr>
          <w:p>
            <w:pPr>
              <w:spacing w:after="0"/>
              <w:rPr>
                <w:sz w:val="17"/>
                <w:szCs w:val="17"/>
                <w:color w:val="auto"/>
              </w:rPr>
            </w:pPr>
          </w:p>
        </w:tc>
        <w:tc>
          <w:tcPr>
            <w:tcW w:w="6320" w:type="dxa"/>
            <w:vAlign w:val="bottom"/>
            <w:gridSpan w:val="30"/>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13.04.</w:t>
            </w:r>
          </w:p>
        </w:tc>
        <w:tc>
          <w:tcPr>
            <w:tcW w:w="8080" w:type="dxa"/>
            <w:vAlign w:val="bottom"/>
            <w:gridSpan w:val="38"/>
          </w:tcPr>
          <w:p>
            <w:pPr>
              <w:spacing w:after="0" w:line="196" w:lineRule="exact"/>
              <w:rPr>
                <w:rFonts w:ascii="Arial" w:cs="Arial" w:eastAsia="Arial" w:hAnsi="Arial"/>
                <w:sz w:val="18"/>
                <w:szCs w:val="18"/>
                <w:color w:val="0000EE"/>
              </w:rPr>
            </w:pPr>
            <w:hyperlink w:anchor="page320">
              <w:r>
                <w:rPr>
                  <w:rFonts w:ascii="Arial" w:cs="Arial" w:eastAsia="Arial" w:hAnsi="Arial"/>
                  <w:sz w:val="18"/>
                  <w:szCs w:val="18"/>
                  <w:color w:val="0000EE"/>
                </w:rPr>
                <w:t>When Securities Presented for Repayment Become Due and Payable</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13.05.</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20">
              <w:r>
                <w:rPr>
                  <w:rFonts w:ascii="Arial" w:cs="Arial" w:eastAsia="Arial" w:hAnsi="Arial"/>
                  <w:sz w:val="18"/>
                  <w:szCs w:val="18"/>
                  <w:color w:val="0000EE"/>
                  <w:w w:val="88"/>
                </w:rPr>
                <w:t>Securities Repaid in Part</w:t>
              </w:r>
            </w:hyperlink>
          </w:p>
        </w:tc>
        <w:tc>
          <w:tcPr>
            <w:tcW w:w="3160" w:type="dxa"/>
            <w:vAlign w:val="bottom"/>
            <w:tcBorders>
              <w:top w:val="single" w:sz="8" w:color="0000EE"/>
            </w:tcBorders>
            <w:gridSpan w:val="23"/>
          </w:tcPr>
          <w:p>
            <w:pPr>
              <w:spacing w:after="0"/>
              <w:rPr>
                <w:sz w:val="17"/>
                <w:szCs w:val="17"/>
                <w:color w:val="auto"/>
              </w:rPr>
            </w:pPr>
          </w:p>
        </w:tc>
        <w:tc>
          <w:tcPr>
            <w:tcW w:w="3140" w:type="dxa"/>
            <w:vAlign w:val="bottom"/>
            <w:gridSpan w:val="6"/>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04"/>
        </w:trPr>
        <w:tc>
          <w:tcPr>
            <w:tcW w:w="10240" w:type="dxa"/>
            <w:vAlign w:val="bottom"/>
            <w:gridSpan w:val="39"/>
          </w:tcPr>
          <w:p>
            <w:pPr>
              <w:spacing w:after="0"/>
              <w:rPr>
                <w:rFonts w:ascii="Arial" w:cs="Arial" w:eastAsia="Arial" w:hAnsi="Arial"/>
                <w:sz w:val="18"/>
                <w:szCs w:val="18"/>
                <w:b w:val="1"/>
                <w:bCs w:val="1"/>
                <w:color w:val="0000EE"/>
              </w:rPr>
            </w:pPr>
            <w:hyperlink w:anchor="page321">
              <w:r>
                <w:rPr>
                  <w:rFonts w:ascii="Arial" w:cs="Arial" w:eastAsia="Arial" w:hAnsi="Arial"/>
                  <w:sz w:val="18"/>
                  <w:szCs w:val="18"/>
                  <w:b w:val="1"/>
                  <w:bCs w:val="1"/>
                  <w:color w:val="0000EE"/>
                </w:rPr>
                <w:t>ARTICLE FOURTEEN DEFEASANCE AND COVENANT DEFEASANCE</w:t>
              </w:r>
            </w:hyperlink>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0"/>
        </w:trPr>
        <w:tc>
          <w:tcPr>
            <w:tcW w:w="2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14.01.</w:t>
            </w:r>
          </w:p>
        </w:tc>
        <w:tc>
          <w:tcPr>
            <w:tcW w:w="8080" w:type="dxa"/>
            <w:vAlign w:val="bottom"/>
            <w:gridSpan w:val="38"/>
          </w:tcPr>
          <w:p>
            <w:pPr>
              <w:spacing w:after="0" w:line="196" w:lineRule="exact"/>
              <w:rPr>
                <w:rFonts w:ascii="Arial" w:cs="Arial" w:eastAsia="Arial" w:hAnsi="Arial"/>
                <w:sz w:val="18"/>
                <w:szCs w:val="18"/>
                <w:color w:val="0000EE"/>
              </w:rPr>
            </w:pPr>
            <w:hyperlink w:anchor="page321">
              <w:r>
                <w:rPr>
                  <w:rFonts w:ascii="Arial" w:cs="Arial" w:eastAsia="Arial" w:hAnsi="Arial"/>
                  <w:sz w:val="18"/>
                  <w:szCs w:val="18"/>
                  <w:color w:val="0000EE"/>
                </w:rPr>
                <w:t>Applicability of Article; Company’s Option to Effect Defeasance or Covenant Defeasance</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14.02.</w:t>
            </w:r>
          </w:p>
        </w:tc>
        <w:tc>
          <w:tcPr>
            <w:tcW w:w="1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321">
              <w:r>
                <w:rPr>
                  <w:rFonts w:ascii="Arial" w:cs="Arial" w:eastAsia="Arial" w:hAnsi="Arial"/>
                  <w:sz w:val="18"/>
                  <w:szCs w:val="18"/>
                  <w:color w:val="0000EE"/>
                  <w:w w:val="87"/>
                </w:rPr>
                <w:t>Defeasance and Discharge</w:t>
              </w:r>
            </w:hyperlink>
          </w:p>
        </w:tc>
        <w:tc>
          <w:tcPr>
            <w:tcW w:w="4560" w:type="dxa"/>
            <w:vAlign w:val="bottom"/>
            <w:tcBorders>
              <w:top w:val="single" w:sz="8" w:color="0000EE"/>
            </w:tcBorders>
            <w:gridSpan w:val="24"/>
          </w:tcPr>
          <w:p>
            <w:pPr>
              <w:spacing w:after="0"/>
              <w:rPr>
                <w:sz w:val="17"/>
                <w:szCs w:val="17"/>
                <w:color w:val="auto"/>
              </w:rPr>
            </w:pPr>
          </w:p>
        </w:tc>
        <w:tc>
          <w:tcPr>
            <w:tcW w:w="1600" w:type="dxa"/>
            <w:vAlign w:val="bottom"/>
            <w:gridSpan w:val="3"/>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14.03.</w:t>
            </w: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321">
              <w:r>
                <w:rPr>
                  <w:rFonts w:ascii="Arial" w:cs="Arial" w:eastAsia="Arial" w:hAnsi="Arial"/>
                  <w:sz w:val="18"/>
                  <w:szCs w:val="18"/>
                  <w:color w:val="0000EE"/>
                  <w:w w:val="86"/>
                </w:rPr>
                <w:t>Covenant Defeasance</w:t>
              </w:r>
            </w:hyperlink>
          </w:p>
        </w:tc>
        <w:tc>
          <w:tcPr>
            <w:tcW w:w="6520" w:type="dxa"/>
            <w:vAlign w:val="bottom"/>
            <w:gridSpan w:val="33"/>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14.04.</w:t>
            </w:r>
          </w:p>
        </w:tc>
        <w:tc>
          <w:tcPr>
            <w:tcW w:w="8080" w:type="dxa"/>
            <w:vAlign w:val="bottom"/>
            <w:gridSpan w:val="38"/>
          </w:tcPr>
          <w:p>
            <w:pPr>
              <w:spacing w:after="0" w:line="196" w:lineRule="exact"/>
              <w:rPr>
                <w:rFonts w:ascii="Arial" w:cs="Arial" w:eastAsia="Arial" w:hAnsi="Arial"/>
                <w:sz w:val="18"/>
                <w:szCs w:val="18"/>
                <w:color w:val="0000EE"/>
              </w:rPr>
            </w:pPr>
            <w:hyperlink w:anchor="page322">
              <w:r>
                <w:rPr>
                  <w:rFonts w:ascii="Arial" w:cs="Arial" w:eastAsia="Arial" w:hAnsi="Arial"/>
                  <w:sz w:val="18"/>
                  <w:szCs w:val="18"/>
                  <w:color w:val="0000EE"/>
                </w:rPr>
                <w:t>Conditions to Defeasance or Covenant Defeasance</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2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14.05.</w:t>
            </w:r>
          </w:p>
        </w:tc>
        <w:tc>
          <w:tcPr>
            <w:tcW w:w="724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323">
              <w:r>
                <w:rPr>
                  <w:rFonts w:ascii="Arial" w:cs="Arial" w:eastAsia="Arial" w:hAnsi="Arial"/>
                  <w:sz w:val="18"/>
                  <w:szCs w:val="18"/>
                  <w:color w:val="0000EE"/>
                  <w:w w:val="91"/>
                </w:rPr>
                <w:t>Deposited Money and Government Obligations to Be Held in Trust; Other Miscellaneous Provisions</w:t>
              </w:r>
            </w:hyperlink>
          </w:p>
        </w:tc>
        <w:tc>
          <w:tcPr>
            <w:tcW w:w="840" w:type="dxa"/>
            <w:vAlign w:val="bottom"/>
            <w:gridSpan w:val="2"/>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304"/>
        </w:trPr>
        <w:tc>
          <w:tcPr>
            <w:tcW w:w="5320" w:type="dxa"/>
            <w:vAlign w:val="bottom"/>
            <w:tcBorders>
              <w:bottom w:val="single" w:sz="8" w:color="0000EE"/>
            </w:tcBorders>
            <w:gridSpan w:val="22"/>
          </w:tcPr>
          <w:p>
            <w:pPr>
              <w:spacing w:after="0"/>
              <w:rPr>
                <w:rFonts w:ascii="Arial" w:cs="Arial" w:eastAsia="Arial" w:hAnsi="Arial"/>
                <w:sz w:val="18"/>
                <w:szCs w:val="18"/>
                <w:b w:val="1"/>
                <w:bCs w:val="1"/>
                <w:color w:val="0000EE"/>
              </w:rPr>
            </w:pPr>
            <w:hyperlink w:anchor="page324">
              <w:r>
                <w:rPr>
                  <w:rFonts w:ascii="Arial" w:cs="Arial" w:eastAsia="Arial" w:hAnsi="Arial"/>
                  <w:sz w:val="18"/>
                  <w:szCs w:val="18"/>
                  <w:b w:val="1"/>
                  <w:bCs w:val="1"/>
                  <w:color w:val="0000EE"/>
                </w:rPr>
                <w:t>ARTICLE FIFTEEN MEETINGS OF HOLDERS OF SECURITIES</w:t>
              </w:r>
            </w:hyperlink>
          </w:p>
        </w:tc>
        <w:tc>
          <w:tcPr>
            <w:tcW w:w="4920" w:type="dxa"/>
            <w:vAlign w:val="bottom"/>
            <w:gridSpan w:val="17"/>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15.01.</w:t>
            </w:r>
          </w:p>
        </w:tc>
        <w:tc>
          <w:tcPr>
            <w:tcW w:w="32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324">
              <w:r>
                <w:rPr>
                  <w:rFonts w:ascii="Arial" w:cs="Arial" w:eastAsia="Arial" w:hAnsi="Arial"/>
                  <w:sz w:val="18"/>
                  <w:szCs w:val="18"/>
                  <w:color w:val="0000EE"/>
                  <w:w w:val="91"/>
                </w:rPr>
                <w:t>Purposes for Which Meetings May Be Called</w:t>
              </w:r>
            </w:hyperlink>
          </w:p>
        </w:tc>
        <w:tc>
          <w:tcPr>
            <w:tcW w:w="4800" w:type="dxa"/>
            <w:vAlign w:val="bottom"/>
            <w:gridSpan w:val="16"/>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15.02.</w:t>
            </w:r>
          </w:p>
        </w:tc>
        <w:tc>
          <w:tcPr>
            <w:tcW w:w="25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24">
              <w:r>
                <w:rPr>
                  <w:rFonts w:ascii="Arial" w:cs="Arial" w:eastAsia="Arial" w:hAnsi="Arial"/>
                  <w:sz w:val="18"/>
                  <w:szCs w:val="18"/>
                  <w:color w:val="0000EE"/>
                  <w:w w:val="90"/>
                </w:rPr>
                <w:t>Call, Notice and Place of Meetings</w:t>
              </w:r>
            </w:hyperlink>
          </w:p>
        </w:tc>
        <w:tc>
          <w:tcPr>
            <w:tcW w:w="5560" w:type="dxa"/>
            <w:vAlign w:val="bottom"/>
            <w:gridSpan w:val="23"/>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15.03.</w:t>
            </w:r>
          </w:p>
        </w:tc>
        <w:tc>
          <w:tcPr>
            <w:tcW w:w="26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24">
              <w:r>
                <w:rPr>
                  <w:rFonts w:ascii="Arial" w:cs="Arial" w:eastAsia="Arial" w:hAnsi="Arial"/>
                  <w:sz w:val="18"/>
                  <w:szCs w:val="18"/>
                  <w:color w:val="0000EE"/>
                  <w:w w:val="89"/>
                </w:rPr>
                <w:t>Persons Entitled to Vote at Meetings</w:t>
              </w:r>
            </w:hyperlink>
          </w:p>
        </w:tc>
        <w:tc>
          <w:tcPr>
            <w:tcW w:w="5460" w:type="dxa"/>
            <w:vAlign w:val="bottom"/>
            <w:gridSpan w:val="22"/>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15.04.</w:t>
            </w:r>
          </w:p>
        </w:tc>
        <w:tc>
          <w:tcPr>
            <w:tcW w:w="8080" w:type="dxa"/>
            <w:vAlign w:val="bottom"/>
            <w:gridSpan w:val="38"/>
          </w:tcPr>
          <w:p>
            <w:pPr>
              <w:spacing w:after="0" w:line="196" w:lineRule="exact"/>
              <w:rPr>
                <w:rFonts w:ascii="Arial" w:cs="Arial" w:eastAsia="Arial" w:hAnsi="Arial"/>
                <w:sz w:val="18"/>
                <w:szCs w:val="18"/>
                <w:color w:val="0000EE"/>
              </w:rPr>
            </w:pPr>
            <w:hyperlink w:anchor="page324">
              <w:r>
                <w:rPr>
                  <w:rFonts w:ascii="Arial" w:cs="Arial" w:eastAsia="Arial" w:hAnsi="Arial"/>
                  <w:sz w:val="18"/>
                  <w:szCs w:val="18"/>
                  <w:color w:val="0000EE"/>
                </w:rPr>
                <w:t>Quorum; Action</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2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15.05.</w:t>
            </w:r>
          </w:p>
        </w:tc>
        <w:tc>
          <w:tcPr>
            <w:tcW w:w="520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w:anchor="page325">
              <w:r>
                <w:rPr>
                  <w:rFonts w:ascii="Arial" w:cs="Arial" w:eastAsia="Arial" w:hAnsi="Arial"/>
                  <w:sz w:val="18"/>
                  <w:szCs w:val="18"/>
                  <w:color w:val="0000EE"/>
                  <w:w w:val="92"/>
                </w:rPr>
                <w:t>Determination of Voting Rights; Conduct and Adjournment of Meetings</w:t>
              </w:r>
            </w:hyperlink>
          </w:p>
        </w:tc>
        <w:tc>
          <w:tcPr>
            <w:tcW w:w="2880" w:type="dxa"/>
            <w:vAlign w:val="bottom"/>
            <w:gridSpan w:val="5"/>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15.06.</w:t>
            </w:r>
          </w:p>
        </w:tc>
        <w:tc>
          <w:tcPr>
            <w:tcW w:w="36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326">
              <w:r>
                <w:rPr>
                  <w:rFonts w:ascii="Arial" w:cs="Arial" w:eastAsia="Arial" w:hAnsi="Arial"/>
                  <w:sz w:val="18"/>
                  <w:szCs w:val="18"/>
                  <w:color w:val="0000EE"/>
                  <w:w w:val="91"/>
                </w:rPr>
                <w:t>Counting Votes and Recording Action of Meetings</w:t>
              </w:r>
            </w:hyperlink>
          </w:p>
        </w:tc>
        <w:tc>
          <w:tcPr>
            <w:tcW w:w="4420" w:type="dxa"/>
            <w:vAlign w:val="bottom"/>
            <w:gridSpan w:val="12"/>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304"/>
        </w:trPr>
        <w:tc>
          <w:tcPr>
            <w:tcW w:w="466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326">
              <w:r>
                <w:rPr>
                  <w:rFonts w:ascii="Arial" w:cs="Arial" w:eastAsia="Arial" w:hAnsi="Arial"/>
                  <w:sz w:val="18"/>
                  <w:szCs w:val="18"/>
                  <w:b w:val="1"/>
                  <w:bCs w:val="1"/>
                  <w:color w:val="0000EE"/>
                </w:rPr>
                <w:t>ARTICLE SIXTEEN SUBORDINATION OF SECURITIES</w:t>
              </w:r>
            </w:hyperlink>
          </w:p>
        </w:tc>
        <w:tc>
          <w:tcPr>
            <w:tcW w:w="5580" w:type="dxa"/>
            <w:vAlign w:val="bottom"/>
            <w:gridSpan w:val="24"/>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16.01.</w:t>
            </w:r>
          </w:p>
        </w:tc>
        <w:tc>
          <w:tcPr>
            <w:tcW w:w="1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26">
              <w:r>
                <w:rPr>
                  <w:rFonts w:ascii="Arial" w:cs="Arial" w:eastAsia="Arial" w:hAnsi="Arial"/>
                  <w:sz w:val="18"/>
                  <w:szCs w:val="18"/>
                  <w:color w:val="0000EE"/>
                  <w:w w:val="89"/>
                </w:rPr>
                <w:t>Agreement to Subordinate</w:t>
              </w:r>
            </w:hyperlink>
          </w:p>
        </w:tc>
        <w:tc>
          <w:tcPr>
            <w:tcW w:w="6180" w:type="dxa"/>
            <w:vAlign w:val="bottom"/>
            <w:gridSpan w:val="28"/>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16.02.</w:t>
            </w:r>
          </w:p>
        </w:tc>
        <w:tc>
          <w:tcPr>
            <w:tcW w:w="728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327">
              <w:r>
                <w:rPr>
                  <w:rFonts w:ascii="Arial" w:cs="Arial" w:eastAsia="Arial" w:hAnsi="Arial"/>
                  <w:sz w:val="18"/>
                  <w:szCs w:val="18"/>
                  <w:color w:val="0000EE"/>
                  <w:w w:val="91"/>
                </w:rPr>
                <w:t>Distribution on Dissolution, Liquidation and Reorganization; Subrogation of Subordinated Securities</w:t>
              </w:r>
            </w:hyperlink>
          </w:p>
        </w:tc>
        <w:tc>
          <w:tcPr>
            <w:tcW w:w="8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16.03.</w:t>
            </w:r>
          </w:p>
        </w:tc>
        <w:tc>
          <w:tcPr>
            <w:tcW w:w="8080" w:type="dxa"/>
            <w:vAlign w:val="bottom"/>
            <w:gridSpan w:val="38"/>
          </w:tcPr>
          <w:p>
            <w:pPr>
              <w:spacing w:after="0" w:line="196" w:lineRule="exact"/>
              <w:rPr>
                <w:rFonts w:ascii="Arial" w:cs="Arial" w:eastAsia="Arial" w:hAnsi="Arial"/>
                <w:sz w:val="18"/>
                <w:szCs w:val="18"/>
                <w:color w:val="0000EE"/>
              </w:rPr>
            </w:pPr>
            <w:hyperlink w:anchor="page328">
              <w:r>
                <w:rPr>
                  <w:rFonts w:ascii="Arial" w:cs="Arial" w:eastAsia="Arial" w:hAnsi="Arial"/>
                  <w:sz w:val="18"/>
                  <w:szCs w:val="18"/>
                  <w:color w:val="0000EE"/>
                </w:rPr>
                <w:t>No Payment on Subordinated Securities in Event of Default on Senior Indebtedness</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16.04.</w:t>
            </w:r>
          </w:p>
        </w:tc>
        <w:tc>
          <w:tcPr>
            <w:tcW w:w="60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328">
              <w:r>
                <w:rPr>
                  <w:rFonts w:ascii="Arial" w:cs="Arial" w:eastAsia="Arial" w:hAnsi="Arial"/>
                  <w:sz w:val="18"/>
                  <w:szCs w:val="18"/>
                  <w:color w:val="0000EE"/>
                </w:rPr>
                <w:t>Payments on Subordinated Securities Permitted</w:t>
              </w:r>
            </w:hyperlink>
          </w:p>
        </w:tc>
        <w:tc>
          <w:tcPr>
            <w:tcW w:w="2060" w:type="dxa"/>
            <w:vAlign w:val="bottom"/>
            <w:gridSpan w:val="4"/>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2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660" w:type="dxa"/>
            <w:vAlign w:val="bottom"/>
            <w:gridSpan w:val="16"/>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920" w:type="dxa"/>
            <w:vAlign w:val="bottom"/>
            <w:tcBorders>
              <w:left w:val="single" w:sz="8" w:color="0000EE"/>
            </w:tcBorders>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16.05.</w:t>
            </w:r>
          </w:p>
        </w:tc>
        <w:tc>
          <w:tcPr>
            <w:tcW w:w="43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328">
              <w:r>
                <w:rPr>
                  <w:rFonts w:ascii="Arial" w:cs="Arial" w:eastAsia="Arial" w:hAnsi="Arial"/>
                  <w:sz w:val="18"/>
                  <w:szCs w:val="18"/>
                  <w:color w:val="0000EE"/>
                  <w:w w:val="91"/>
                </w:rPr>
                <w:t>Authorization of Holders to Trustee to Effect Subordination</w:t>
              </w:r>
            </w:hyperlink>
          </w:p>
        </w:tc>
        <w:tc>
          <w:tcPr>
            <w:tcW w:w="3780" w:type="dxa"/>
            <w:vAlign w:val="bottom"/>
            <w:gridSpan w:val="8"/>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16.06.</w:t>
            </w:r>
          </w:p>
        </w:tc>
        <w:tc>
          <w:tcPr>
            <w:tcW w:w="8080" w:type="dxa"/>
            <w:vAlign w:val="bottom"/>
            <w:gridSpan w:val="38"/>
          </w:tcPr>
          <w:p>
            <w:pPr>
              <w:spacing w:after="0" w:line="196" w:lineRule="exact"/>
              <w:rPr>
                <w:rFonts w:ascii="Arial" w:cs="Arial" w:eastAsia="Arial" w:hAnsi="Arial"/>
                <w:sz w:val="18"/>
                <w:szCs w:val="18"/>
                <w:color w:val="0000EE"/>
              </w:rPr>
            </w:pPr>
            <w:hyperlink w:anchor="page328">
              <w:r>
                <w:rPr>
                  <w:rFonts w:ascii="Arial" w:cs="Arial" w:eastAsia="Arial" w:hAnsi="Arial"/>
                  <w:sz w:val="18"/>
                  <w:szCs w:val="18"/>
                  <w:color w:val="0000EE"/>
                </w:rPr>
                <w:t>Notices to Trustee</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2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660" w:type="dxa"/>
            <w:vAlign w:val="bottom"/>
            <w:gridSpan w:val="16"/>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16.07.</w:t>
            </w:r>
          </w:p>
        </w:tc>
        <w:tc>
          <w:tcPr>
            <w:tcW w:w="8080" w:type="dxa"/>
            <w:vAlign w:val="bottom"/>
            <w:gridSpan w:val="38"/>
          </w:tcPr>
          <w:p>
            <w:pPr>
              <w:spacing w:after="0" w:line="196" w:lineRule="exact"/>
              <w:rPr>
                <w:rFonts w:ascii="Arial" w:cs="Arial" w:eastAsia="Arial" w:hAnsi="Arial"/>
                <w:sz w:val="18"/>
                <w:szCs w:val="18"/>
                <w:color w:val="0000EE"/>
              </w:rPr>
            </w:pPr>
            <w:hyperlink w:anchor="page329">
              <w:r>
                <w:rPr>
                  <w:rFonts w:ascii="Arial" w:cs="Arial" w:eastAsia="Arial" w:hAnsi="Arial"/>
                  <w:sz w:val="18"/>
                  <w:szCs w:val="18"/>
                  <w:color w:val="0000EE"/>
                </w:rPr>
                <w:t>Trustee as Holder of Senior Indebtedness</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2160" w:type="dxa"/>
            <w:vAlign w:val="bottom"/>
          </w:tcPr>
          <w:p>
            <w:pPr>
              <w:spacing w:after="0" w:line="20" w:lineRule="exact"/>
              <w:rPr>
                <w:sz w:val="1"/>
                <w:szCs w:val="1"/>
                <w:color w:val="auto"/>
              </w:rPr>
            </w:pPr>
          </w:p>
        </w:tc>
        <w:tc>
          <w:tcPr>
            <w:tcW w:w="2960" w:type="dxa"/>
            <w:vAlign w:val="bottom"/>
            <w:gridSpan w:val="19"/>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16.08.</w:t>
            </w:r>
          </w:p>
        </w:tc>
        <w:tc>
          <w:tcPr>
            <w:tcW w:w="8080" w:type="dxa"/>
            <w:vAlign w:val="bottom"/>
            <w:gridSpan w:val="38"/>
          </w:tcPr>
          <w:p>
            <w:pPr>
              <w:spacing w:after="0" w:line="196" w:lineRule="exact"/>
              <w:rPr>
                <w:rFonts w:ascii="Arial" w:cs="Arial" w:eastAsia="Arial" w:hAnsi="Arial"/>
                <w:sz w:val="18"/>
                <w:szCs w:val="18"/>
                <w:color w:val="0000EE"/>
              </w:rPr>
            </w:pPr>
            <w:hyperlink w:anchor="page329">
              <w:r>
                <w:rPr>
                  <w:rFonts w:ascii="Arial" w:cs="Arial" w:eastAsia="Arial" w:hAnsi="Arial"/>
                  <w:sz w:val="18"/>
                  <w:szCs w:val="18"/>
                  <w:color w:val="0000EE"/>
                </w:rPr>
                <w:t>Modifications of Terms of Senior Indebtedness</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2160" w:type="dxa"/>
            <w:vAlign w:val="bottom"/>
          </w:tcPr>
          <w:p>
            <w:pPr>
              <w:spacing w:after="0" w:line="20" w:lineRule="exact"/>
              <w:rPr>
                <w:sz w:val="1"/>
                <w:szCs w:val="1"/>
                <w:color w:val="auto"/>
              </w:rPr>
            </w:pPr>
          </w:p>
        </w:tc>
        <w:tc>
          <w:tcPr>
            <w:tcW w:w="3380" w:type="dxa"/>
            <w:vAlign w:val="bottom"/>
            <w:gridSpan w:val="23"/>
            <w:shd w:val="clear" w:color="auto" w:fill="0000EE"/>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160" w:type="dxa"/>
            <w:vAlign w:val="bottom"/>
          </w:tcPr>
          <w:p>
            <w:pPr>
              <w:ind w:left="780"/>
              <w:spacing w:after="0" w:line="196" w:lineRule="exact"/>
              <w:rPr>
                <w:sz w:val="20"/>
                <w:szCs w:val="20"/>
                <w:color w:val="auto"/>
              </w:rPr>
            </w:pPr>
            <w:r>
              <w:rPr>
                <w:rFonts w:ascii="Arial" w:cs="Arial" w:eastAsia="Arial" w:hAnsi="Arial"/>
                <w:sz w:val="18"/>
                <w:szCs w:val="18"/>
                <w:color w:val="auto"/>
              </w:rPr>
              <w:t>Section 16.09.</w:t>
            </w:r>
          </w:p>
        </w:tc>
        <w:tc>
          <w:tcPr>
            <w:tcW w:w="8080" w:type="dxa"/>
            <w:vAlign w:val="bottom"/>
            <w:gridSpan w:val="38"/>
          </w:tcPr>
          <w:p>
            <w:pPr>
              <w:spacing w:after="0" w:line="196" w:lineRule="exact"/>
              <w:rPr>
                <w:rFonts w:ascii="Arial" w:cs="Arial" w:eastAsia="Arial" w:hAnsi="Arial"/>
                <w:sz w:val="18"/>
                <w:szCs w:val="18"/>
                <w:color w:val="0000EE"/>
              </w:rPr>
            </w:pPr>
            <w:hyperlink w:anchor="page329">
              <w:r>
                <w:rPr>
                  <w:rFonts w:ascii="Arial" w:cs="Arial" w:eastAsia="Arial" w:hAnsi="Arial"/>
                  <w:sz w:val="18"/>
                  <w:szCs w:val="18"/>
                  <w:color w:val="0000EE"/>
                </w:rPr>
                <w:t>Reliance on Judicial Order or Certificate of Liquidating Agent</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2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gridSpan w:val="3"/>
          </w:tcPr>
          <w:p>
            <w:pPr>
              <w:ind w:left="940"/>
              <w:spacing w:after="0"/>
              <w:rPr>
                <w:sz w:val="20"/>
                <w:szCs w:val="20"/>
                <w:color w:val="auto"/>
              </w:rPr>
            </w:pPr>
            <w:r>
              <w:rPr>
                <w:rFonts w:ascii="Arial" w:cs="Arial" w:eastAsia="Arial" w:hAnsi="Arial"/>
                <w:sz w:val="18"/>
                <w:szCs w:val="18"/>
                <w:b w:val="1"/>
                <w:bCs w:val="1"/>
                <w:color w:val="auto"/>
              </w:rPr>
              <w:t>TPG SPECIALTY LENDING, INC.</w:t>
            </w:r>
          </w:p>
        </w:tc>
        <w:tc>
          <w:tcPr>
            <w:tcW w:w="2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40" w:type="dxa"/>
            <w:vAlign w:val="bottom"/>
            <w:gridSpan w:val="4"/>
          </w:tcPr>
          <w:p>
            <w:pPr>
              <w:ind w:left="1280"/>
              <w:spacing w:after="0"/>
              <w:rPr>
                <w:sz w:val="20"/>
                <w:szCs w:val="20"/>
                <w:color w:val="auto"/>
              </w:rPr>
            </w:pPr>
            <w:r>
              <w:rPr>
                <w:rFonts w:ascii="Arial" w:cs="Arial" w:eastAsia="Arial" w:hAnsi="Arial"/>
                <w:sz w:val="18"/>
                <w:szCs w:val="18"/>
                <w:color w:val="auto"/>
                <w:w w:val="94"/>
              </w:rPr>
              <w:t>Reconciliation and tie between Trust Indenture Act of 1939 and Indenture, dated as of [</w:t>
            </w:r>
          </w:p>
        </w:tc>
        <w:tc>
          <w:tcPr>
            <w:tcW w:w="2820" w:type="dxa"/>
            <w:vAlign w:val="bottom"/>
          </w:tcPr>
          <w:p>
            <w:pPr>
              <w:jc w:val="right"/>
              <w:ind w:right="1950"/>
              <w:spacing w:after="0"/>
              <w:rPr>
                <w:sz w:val="20"/>
                <w:szCs w:val="20"/>
                <w:color w:val="auto"/>
              </w:rPr>
            </w:pPr>
            <w:r>
              <w:rPr>
                <w:rFonts w:ascii="Arial" w:cs="Arial" w:eastAsia="Arial" w:hAnsi="Arial"/>
                <w:sz w:val="18"/>
                <w:szCs w:val="18"/>
                <w:color w:val="auto"/>
              </w:rPr>
              <w:t>], 2014</w:t>
            </w:r>
          </w:p>
        </w:tc>
      </w:tr>
      <w:tr>
        <w:trPr>
          <w:trHeight w:val="405"/>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4"/>
                <w:szCs w:val="14"/>
                <w:b w:val="1"/>
                <w:bCs w:val="1"/>
                <w:color w:val="auto"/>
              </w:rPr>
              <w:t>Indenture Section</w:t>
            </w:r>
          </w:p>
        </w:tc>
        <w:tc>
          <w:tcPr>
            <w:tcW w:w="28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§310</w:t>
            </w:r>
          </w:p>
        </w:tc>
        <w:tc>
          <w:tcPr>
            <w:tcW w:w="262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(a)(1)</w:t>
            </w:r>
          </w:p>
        </w:tc>
        <w:tc>
          <w:tcPr>
            <w:tcW w:w="2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6.07</w:t>
            </w:r>
          </w:p>
        </w:tc>
        <w:tc>
          <w:tcPr>
            <w:tcW w:w="282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(a)(2)</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6.07</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(b)</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6.09</w:t>
            </w:r>
          </w:p>
        </w:tc>
        <w:tc>
          <w:tcPr>
            <w:tcW w:w="28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2620" w:type="dxa"/>
            <w:vAlign w:val="bottom"/>
          </w:tcPr>
          <w:p>
            <w:pPr>
              <w:ind w:left="400"/>
              <w:spacing w:after="0"/>
              <w:rPr>
                <w:sz w:val="20"/>
                <w:szCs w:val="20"/>
                <w:color w:val="auto"/>
              </w:rPr>
            </w:pPr>
            <w:r>
              <w:rPr>
                <w:rFonts w:ascii="Arial" w:cs="Arial" w:eastAsia="Arial" w:hAnsi="Arial"/>
                <w:sz w:val="18"/>
                <w:szCs w:val="18"/>
                <w:color w:val="auto"/>
              </w:rPr>
              <w:t>(c)</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7.01</w:t>
            </w:r>
          </w:p>
        </w:tc>
        <w:tc>
          <w:tcPr>
            <w:tcW w:w="28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§314</w:t>
            </w:r>
          </w:p>
        </w:tc>
        <w:tc>
          <w:tcPr>
            <w:tcW w:w="2620" w:type="dxa"/>
            <w:vAlign w:val="bottom"/>
          </w:tcPr>
          <w:p>
            <w:pPr>
              <w:ind w:left="400"/>
              <w:spacing w:after="0"/>
              <w:rPr>
                <w:sz w:val="20"/>
                <w:szCs w:val="20"/>
                <w:color w:val="auto"/>
              </w:rPr>
            </w:pPr>
            <w:r>
              <w:rPr>
                <w:rFonts w:ascii="Arial" w:cs="Arial" w:eastAsia="Arial" w:hAnsi="Arial"/>
                <w:sz w:val="18"/>
                <w:szCs w:val="18"/>
                <w:color w:val="auto"/>
              </w:rPr>
              <w:t>(a)</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7.04</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(a)(4)</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10.05</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(c)(1)</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1.02</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(c)(2)</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1.02</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(e)</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1.02</w:t>
            </w:r>
          </w:p>
        </w:tc>
        <w:tc>
          <w:tcPr>
            <w:tcW w:w="28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§315</w:t>
            </w:r>
          </w:p>
        </w:tc>
        <w:tc>
          <w:tcPr>
            <w:tcW w:w="2620" w:type="dxa"/>
            <w:vAlign w:val="bottom"/>
          </w:tcPr>
          <w:p>
            <w:pPr>
              <w:ind w:left="400"/>
              <w:spacing w:after="0"/>
              <w:rPr>
                <w:sz w:val="20"/>
                <w:szCs w:val="20"/>
                <w:color w:val="auto"/>
              </w:rPr>
            </w:pPr>
            <w:r>
              <w:rPr>
                <w:rFonts w:ascii="Arial" w:cs="Arial" w:eastAsia="Arial" w:hAnsi="Arial"/>
                <w:sz w:val="18"/>
                <w:szCs w:val="18"/>
                <w:color w:val="auto"/>
              </w:rPr>
              <w:t>(b)</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6.01</w:t>
            </w:r>
          </w:p>
        </w:tc>
        <w:tc>
          <w:tcPr>
            <w:tcW w:w="28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§316</w:t>
            </w:r>
          </w:p>
        </w:tc>
        <w:tc>
          <w:tcPr>
            <w:tcW w:w="2620" w:type="dxa"/>
            <w:vAlign w:val="bottom"/>
          </w:tcPr>
          <w:p>
            <w:pPr>
              <w:ind w:left="400"/>
              <w:spacing w:after="0"/>
              <w:rPr>
                <w:sz w:val="20"/>
                <w:szCs w:val="20"/>
                <w:color w:val="auto"/>
              </w:rPr>
            </w:pPr>
            <w:r>
              <w:rPr>
                <w:rFonts w:ascii="Arial" w:cs="Arial" w:eastAsia="Arial" w:hAnsi="Arial"/>
                <w:sz w:val="18"/>
                <w:szCs w:val="18"/>
                <w:color w:val="auto"/>
              </w:rPr>
              <w:t>(a) (last sentence)</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1.01 (“Outstanding”)</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(a)(1)(A)</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5.02, 5.12</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(a)(1)(B)</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5.13</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(b)</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5.08</w:t>
            </w:r>
          </w:p>
        </w:tc>
        <w:tc>
          <w:tcPr>
            <w:tcW w:w="28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§317</w:t>
            </w:r>
          </w:p>
        </w:tc>
        <w:tc>
          <w:tcPr>
            <w:tcW w:w="2620" w:type="dxa"/>
            <w:vAlign w:val="bottom"/>
          </w:tcPr>
          <w:p>
            <w:pPr>
              <w:ind w:left="400"/>
              <w:spacing w:after="0"/>
              <w:rPr>
                <w:sz w:val="20"/>
                <w:szCs w:val="20"/>
                <w:color w:val="auto"/>
              </w:rPr>
            </w:pPr>
            <w:r>
              <w:rPr>
                <w:rFonts w:ascii="Arial" w:cs="Arial" w:eastAsia="Arial" w:hAnsi="Arial"/>
                <w:sz w:val="18"/>
                <w:szCs w:val="18"/>
                <w:color w:val="auto"/>
              </w:rPr>
              <w:t>(a)(1)</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5.03</w:t>
            </w:r>
          </w:p>
        </w:tc>
        <w:tc>
          <w:tcPr>
            <w:tcW w:w="2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(a)(2)</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5.04</w:t>
            </w:r>
          </w:p>
        </w:tc>
        <w:tc>
          <w:tcPr>
            <w:tcW w:w="28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§318</w:t>
            </w:r>
          </w:p>
        </w:tc>
        <w:tc>
          <w:tcPr>
            <w:tcW w:w="2620" w:type="dxa"/>
            <w:vAlign w:val="bottom"/>
          </w:tcPr>
          <w:p>
            <w:pPr>
              <w:ind w:left="400"/>
              <w:spacing w:after="0"/>
              <w:rPr>
                <w:sz w:val="20"/>
                <w:szCs w:val="20"/>
                <w:color w:val="auto"/>
              </w:rPr>
            </w:pPr>
            <w:r>
              <w:rPr>
                <w:rFonts w:ascii="Arial" w:cs="Arial" w:eastAsia="Arial" w:hAnsi="Arial"/>
                <w:sz w:val="18"/>
                <w:szCs w:val="18"/>
                <w:color w:val="auto"/>
              </w:rPr>
              <w:t>(a)</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1.11</w:t>
            </w:r>
          </w:p>
        </w:tc>
        <w:tc>
          <w:tcPr>
            <w:tcW w:w="28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(c)</w:t>
            </w:r>
          </w:p>
        </w:tc>
        <w:tc>
          <w:tcPr>
            <w:tcW w:w="5220" w:type="dxa"/>
            <w:vAlign w:val="bottom"/>
            <w:gridSpan w:val="3"/>
          </w:tcPr>
          <w:p>
            <w:pPr>
              <w:ind w:left="2800"/>
              <w:spacing w:after="0"/>
              <w:rPr>
                <w:sz w:val="20"/>
                <w:szCs w:val="20"/>
                <w:color w:val="auto"/>
              </w:rPr>
            </w:pPr>
            <w:r>
              <w:rPr>
                <w:rFonts w:ascii="Arial" w:cs="Arial" w:eastAsia="Arial" w:hAnsi="Arial"/>
                <w:sz w:val="18"/>
                <w:szCs w:val="18"/>
                <w:color w:val="auto"/>
              </w:rPr>
              <w:t>1.11</w:t>
            </w:r>
          </w:p>
        </w:tc>
        <w:tc>
          <w:tcPr>
            <w:tcW w:w="2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INDENTURE, dated as of [ ], 2014, between TPG Specialty Lending,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as more fully set forth in Section 1.01), and Wells Fargo Bank, National Association, a national banking association, as Trustee (as trustee in such capacity and not in its individual capacity, the “</w:t>
      </w:r>
      <w:r>
        <w:rPr>
          <w:rFonts w:ascii="Arial" w:cs="Arial" w:eastAsia="Arial" w:hAnsi="Arial"/>
          <w:sz w:val="18"/>
          <w:szCs w:val="18"/>
          <w:u w:val="single" w:color="auto"/>
          <w:color w:val="auto"/>
        </w:rPr>
        <w:t>Trustee</w:t>
      </w:r>
      <w:r>
        <w:rPr>
          <w:rFonts w:ascii="Arial" w:cs="Arial" w:eastAsia="Arial" w:hAnsi="Arial"/>
          <w:sz w:val="18"/>
          <w:szCs w:val="18"/>
          <w:color w:val="auto"/>
        </w:rPr>
        <w:t>”, as more fully set forth in Section 1.01).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WHEREAS, the Company deems it necessary to issue from time to time for its lawful purposes debt securities (hereinafter called the “</w:t>
      </w:r>
      <w:r>
        <w:rPr>
          <w:rFonts w:ascii="Arial" w:cs="Arial" w:eastAsia="Arial" w:hAnsi="Arial"/>
          <w:sz w:val="18"/>
          <w:szCs w:val="18"/>
          <w:u w:val="single" w:color="auto"/>
          <w:color w:val="auto"/>
        </w:rPr>
        <w:t>Securities</w:t>
      </w:r>
      <w:r>
        <w:rPr>
          <w:rFonts w:ascii="Arial" w:cs="Arial" w:eastAsia="Arial" w:hAnsi="Arial"/>
          <w:sz w:val="18"/>
          <w:szCs w:val="18"/>
          <w:color w:val="auto"/>
        </w:rPr>
        <w:t>”) evidencing its secured or unsecured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this Indenture (as defined herein) is subject to the provisions of the Trust Indenture Act of 1939, as amended, that are required to be part of this Indenture and shall, to the extent applicable, be governed by such provisions;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and enforceable against, the Company, in accordance with its terms, have been done.</w:t>
      </w:r>
    </w:p>
    <w:p>
      <w:pPr>
        <w:spacing w:after="0" w:line="17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NOW, THEREFORE, for and in consideration of the premises and the purchase of the Securities by the Holders (as defined herein) thereof, it is mutually covenanted and agreed, for the equal and proportionate benefit of all Holders of the Securities, or of a series thereof,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right="260" w:firstLine="464"/>
        <w:spacing w:after="0" w:line="342" w:lineRule="auto"/>
        <w:tabs>
          <w:tab w:leader="none" w:pos="70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spacing w:after="0" w:line="123" w:lineRule="exact"/>
        <w:rPr>
          <w:rFonts w:ascii="Arial" w:cs="Arial" w:eastAsia="Arial" w:hAnsi="Arial"/>
          <w:sz w:val="16"/>
          <w:szCs w:val="16"/>
          <w:color w:val="auto"/>
        </w:rPr>
      </w:pPr>
    </w:p>
    <w:p>
      <w:pPr>
        <w:ind w:right="20" w:firstLine="464"/>
        <w:spacing w:after="0" w:line="286" w:lineRule="auto"/>
        <w:tabs>
          <w:tab w:leader="none" w:pos="71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all other terms used herein which are defined in the Trust Indenture Act (as defined herein),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pacing w:after="0" w:line="165" w:lineRule="exact"/>
        <w:rPr>
          <w:rFonts w:ascii="Arial" w:cs="Arial" w:eastAsia="Arial" w:hAnsi="Arial"/>
          <w:sz w:val="17"/>
          <w:szCs w:val="17"/>
          <w:color w:val="auto"/>
        </w:rPr>
      </w:pPr>
    </w:p>
    <w:p>
      <w:pPr>
        <w:ind w:right="120" w:firstLine="464"/>
        <w:spacing w:after="0" w:line="277" w:lineRule="auto"/>
        <w:tabs>
          <w:tab w:leader="none" w:pos="7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w:t>
      </w:r>
    </w:p>
    <w:p>
      <w:pPr>
        <w:spacing w:after="0" w:line="170"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provisions apply to successive events and transactions; and</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references to sections of or rules under the Exchange Act shall be deemed to include substitute, replacement of successor sections or rules adopted by the Commission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terms, used in other Articles herein, are defined in those Articles.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of a Security, has the meaning specified in Section 1.04.</w:t>
      </w:r>
    </w:p>
    <w:p>
      <w:pPr>
        <w:spacing w:after="0" w:line="225"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Amounts</w:t>
      </w:r>
      <w:r>
        <w:rPr>
          <w:rFonts w:ascii="Arial" w:cs="Arial" w:eastAsia="Arial" w:hAnsi="Arial"/>
          <w:sz w:val="16"/>
          <w:szCs w:val="16"/>
          <w:color w:val="auto"/>
        </w:rPr>
        <w:t>” means any additional amounts that are required by a Security or by or pursuant to a Board Resolution, under circumstances specified therein, to be paid by the Company in respect of certain taxes imposed on certain Holders and that are owing to such Holders.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the Trustee or any authenticating agent appointed by the Trustee pursuant to Section 6.12 to act on behalf of the Trustee to authenticate Securities of one or more series.</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Newspaper</w:t>
      </w:r>
      <w:r>
        <w:rPr>
          <w:rFonts w:ascii="Arial" w:cs="Arial" w:eastAsia="Arial" w:hAnsi="Arial"/>
          <w:sz w:val="16"/>
          <w:szCs w:val="16"/>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 or any committee of that board duly authorized to act hereunder.</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that is not a day on which banking institutions in that Place of Payment or particular location are authorized or obligated by law or executive order to close.</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a Chief Executive Officer, and by the Chief Financial Officer, the Chief Operating Officer, Chief Compliance Officer, any Vice President, the Secretary or an Assistant Secretary, of the Company, and delivered to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Component Currency</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has the meaning specified in Section 3.12(d).</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150 East 42nd Street, 40th Floor, Attention: TPG Specialty Lending, or the principal corporate trust office of any successor Trustee (or such other address as such successor Trustee may designate from time to time by notice to the Holders and the Company). With respect to presentation of notes for registration of transfer or exchange or maturity, such address shall be 608 2nd Avenue South, 12th Floor, Minneapolis, MN 55402, MAC: N9303-121, Attention: Bondholder Communications.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any currency or currencies, composite currency or currency unit or currency units, including, without limitation, the ECU, issued by the government of one or more countries or by any reorganized confederation or association of such governments.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3.07(a).</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each global Security, the Person specified in Section 3.03 as the Depositary with respect to such Securities, until a successor shall have been appointed and become such pursuant to the applicable provisions of this Indenture, and thereafter,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or include such successor.</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shall be legal tender for the payment of public and private debts.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Date</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European Communities</w:t>
      </w:r>
      <w:r>
        <w:rPr>
          <w:rFonts w:ascii="Arial" w:cs="Arial" w:eastAsia="Arial" w:hAnsi="Arial"/>
          <w:sz w:val="17"/>
          <w:szCs w:val="17"/>
          <w:color w:val="auto"/>
        </w:rPr>
        <w:t>” means the European Union, the European Coal and Steel Community and the European Atomic Energy Community.</w:t>
      </w:r>
    </w:p>
    <w:p>
      <w:pPr>
        <w:spacing w:after="0" w:line="23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5.01.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and the rules and regulations promulgated by the Commission thereunder and any statute successor thereto, in each case as amended from time to time.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Agent</w:t>
      </w:r>
      <w:r>
        <w:rPr>
          <w:rFonts w:ascii="Arial" w:cs="Arial" w:eastAsia="Arial" w:hAnsi="Arial"/>
          <w:sz w:val="18"/>
          <w:szCs w:val="18"/>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 Officer’s Certificate</w:t>
      </w:r>
      <w:r>
        <w:rPr>
          <w:rFonts w:ascii="Arial" w:cs="Arial" w:eastAsia="Arial" w:hAnsi="Arial"/>
          <w:sz w:val="17"/>
          <w:szCs w:val="17"/>
          <w:color w:val="auto"/>
        </w:rPr>
        <w:t>” means a certificate setting forth (i) the applicable Market Exchange Rate or the applicable bid quotation and</w:t>
      </w:r>
    </w:p>
    <w:p>
      <w:pPr>
        <w:spacing w:after="0" w:line="35" w:lineRule="exact"/>
        <w:rPr>
          <w:sz w:val="20"/>
          <w:szCs w:val="20"/>
          <w:color w:val="auto"/>
        </w:rPr>
      </w:pPr>
    </w:p>
    <w:p>
      <w:pPr>
        <w:ind w:firstLine="8"/>
        <w:spacing w:after="0" w:line="302" w:lineRule="auto"/>
        <w:tabs>
          <w:tab w:leader="none" w:pos="26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Financial Officer or any Vice President of the Company.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Notice</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Period</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Currency, including, without limitation, the ECU, issued by the government of one or more countries other than the United States of America or by any recognized confederation or association of such governments.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means securities that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that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that relate solely to other series of Securities for which such Person is not Trustee, regardless of when such terms or provisions were adopted, and exclusive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provisions or terms adopted by means of one or more indentures supplemental hereto executed and delivered after such Person had become such Trustee but to which such Person, as such Trustee, was not a party.</w:t>
      </w:r>
    </w:p>
    <w:p>
      <w:pPr>
        <w:spacing w:after="0" w:line="17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Junior Subordinated Securities</w:t>
      </w:r>
      <w:r>
        <w:rPr>
          <w:rFonts w:ascii="Arial" w:cs="Arial" w:eastAsia="Arial" w:hAnsi="Arial"/>
          <w:sz w:val="18"/>
          <w:szCs w:val="18"/>
          <w:color w:val="auto"/>
        </w:rPr>
        <w:t>” means any Security or Securities designated pursuant to Section 3.01 as a Junior Subordinated Security.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Indebtedness</w:t>
      </w:r>
      <w:r>
        <w:rPr>
          <w:rFonts w:ascii="Arial" w:cs="Arial" w:eastAsia="Arial" w:hAnsi="Arial"/>
          <w:sz w:val="18"/>
          <w:szCs w:val="18"/>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ranks junior in right of payment to the Company’s Senior Indebtedness and Senior Subordinated Indebtedness and equally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to any other Junior Subordinated Indebtedness, (b) Junior Subordinated Securities, and (c) renewals, extensions, modifications and refinancings of any such indebtedness.</w:t>
      </w:r>
    </w:p>
    <w:p>
      <w:pPr>
        <w:spacing w:after="0" w:line="19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Exchange Rate</w:t>
      </w:r>
      <w:r>
        <w:rPr>
          <w:rFonts w:ascii="Arial" w:cs="Arial" w:eastAsia="Arial" w:hAnsi="Arial"/>
          <w:sz w:val="16"/>
          <w:szCs w:val="16"/>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w:t>
      </w:r>
    </w:p>
    <w:p>
      <w:pPr>
        <w:spacing w:after="0" w:line="7" w:lineRule="exact"/>
        <w:rPr>
          <w:sz w:val="20"/>
          <w:szCs w:val="20"/>
          <w:color w:val="auto"/>
        </w:rPr>
      </w:pPr>
    </w:p>
    <w:p>
      <w:pPr>
        <w:ind w:right="80" w:firstLine="8"/>
        <w:spacing w:after="0" w:line="252" w:lineRule="auto"/>
        <w:tabs>
          <w:tab w:leader="none" w:pos="2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 as determined by the Exchange Rate Agent, in its sole discretion.</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has the meaning provided in Section 5.01.</w:t>
      </w:r>
    </w:p>
    <w:p>
      <w:pPr>
        <w:spacing w:after="0" w:line="225"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a certificate signed by a Chief Executive Officer and by the Chief Financial Officer, the Chief Operating Officer, the Chief Compliance Officer, any Vice President, the Secretary or an Assistant Secretary of the Company, and delivered to the Trustee.</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 acceptable to the Trustee.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Reset Date</w:t>
      </w:r>
      <w:r>
        <w:rPr>
          <w:rFonts w:ascii="Arial" w:cs="Arial" w:eastAsia="Arial" w:hAnsi="Arial"/>
          <w:sz w:val="18"/>
          <w:szCs w:val="18"/>
          <w:color w:val="auto"/>
        </w:rPr>
        <w:t>” has the meaning specified in Section 3.07(b).</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Stated Maturity</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or any series of Securities, means, as of the date of determination, all Securities or all Securities of such series, as the case may be,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62" w:lineRule="exact"/>
        <w:rPr>
          <w:sz w:val="20"/>
          <w:szCs w:val="20"/>
          <w:color w:val="auto"/>
        </w:rPr>
      </w:pPr>
    </w:p>
    <w:p>
      <w:pPr>
        <w:ind w:left="1120" w:hanging="217"/>
        <w:spacing w:after="0"/>
        <w:tabs>
          <w:tab w:leader="none" w:pos="11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17" w:lineRule="exact"/>
        <w:rPr>
          <w:rFonts w:ascii="Arial" w:cs="Arial" w:eastAsia="Arial" w:hAnsi="Arial"/>
          <w:sz w:val="18"/>
          <w:szCs w:val="18"/>
          <w:color w:val="auto"/>
        </w:rPr>
      </w:pPr>
    </w:p>
    <w:p>
      <w:pPr>
        <w:ind w:left="460" w:right="200" w:firstLine="443"/>
        <w:spacing w:after="0" w:line="302" w:lineRule="auto"/>
        <w:tabs>
          <w:tab w:leader="none" w:pos="116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Securities are to be redeemed, notice of such redemption has been duly given pursuant to this Indenture or provision therefor satisfactory to the Trustee has been made;</w:t>
      </w:r>
    </w:p>
    <w:p>
      <w:pPr>
        <w:spacing w:after="0" w:line="46" w:lineRule="exact"/>
        <w:rPr>
          <w:rFonts w:ascii="Arial" w:cs="Arial" w:eastAsia="Arial" w:hAnsi="Arial"/>
          <w:sz w:val="16"/>
          <w:szCs w:val="16"/>
          <w:color w:val="auto"/>
        </w:rPr>
      </w:pPr>
    </w:p>
    <w:p>
      <w:pPr>
        <w:ind w:left="460" w:right="340" w:firstLine="443"/>
        <w:spacing w:after="0" w:line="277" w:lineRule="auto"/>
        <w:tabs>
          <w:tab w:leader="none" w:pos="121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62" w:lineRule="exact"/>
        <w:rPr>
          <w:rFonts w:ascii="Arial" w:cs="Arial" w:eastAsia="Arial" w:hAnsi="Arial"/>
          <w:sz w:val="18"/>
          <w:szCs w:val="18"/>
          <w:color w:val="auto"/>
        </w:rPr>
      </w:pPr>
    </w:p>
    <w:p>
      <w:pPr>
        <w:ind w:left="460" w:right="60" w:firstLine="443"/>
        <w:spacing w:after="0" w:line="286" w:lineRule="auto"/>
        <w:tabs>
          <w:tab w:leader="none" w:pos="1203"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6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premium, if any) or interest, if any, on any Securities on behalf of the Company.</w:t>
      </w:r>
    </w:p>
    <w:p>
      <w:pPr>
        <w:spacing w:after="0" w:line="170" w:lineRule="exact"/>
        <w:rPr>
          <w:sz w:val="20"/>
          <w:szCs w:val="20"/>
          <w:color w:val="auto"/>
        </w:rPr>
      </w:pPr>
    </w:p>
    <w:p>
      <w:pPr>
        <w:ind w:right="1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when used with respect to the Securities of or within any series, means the place or places where the principal of (and premium, if any) and interest, if any, on such Securities are payable as specified and as contemplated by Sections 3.01 and 10.02.</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Predecessor Security</w:t>
      </w:r>
      <w:r>
        <w:rPr>
          <w:rFonts w:ascii="Arial" w:cs="Arial" w:eastAsia="Arial" w:hAnsi="Arial"/>
          <w:sz w:val="17"/>
          <w:szCs w:val="17"/>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Security to be redeemed, means the price at which it is to be redeemed pursuant to this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that is registered in the Security Register.</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means the date fixed for such repayment by or pursuant to this Indenture.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means the price at which it is to be repaid by or pursuant to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Notice</w:t>
      </w:r>
      <w:r>
        <w:rPr>
          <w:rFonts w:ascii="Arial" w:cs="Arial" w:eastAsia="Arial" w:hAnsi="Arial"/>
          <w:sz w:val="18"/>
          <w:szCs w:val="18"/>
          <w:color w:val="auto"/>
        </w:rPr>
        <w:t>” has the meaning specified in Section 3.07(b).</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assigned by the Trustee to administer its corporate trust matters or to whom any corporate trust matter is referred because of such officer’s knowledge of and familiarity with the particular subject and in each case who shall have direct responsibility for the administration of this Indenture.</w:t>
      </w:r>
    </w:p>
    <w:p>
      <w:pPr>
        <w:spacing w:after="0" w:line="18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under which the same is outstanding it is provided that such indebtedness is not senior or prior in right of payment to Subordinated Indebtedness, (b) Senior Securities, and (c) renewals, extensions, modifications and refinancings of any such indebtedness.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Security or Securities designated pursuant to Section 3.01 as a Senior Security.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Indebtedness</w:t>
      </w:r>
      <w:r>
        <w:rPr>
          <w:rFonts w:ascii="Arial" w:cs="Arial" w:eastAsia="Arial" w:hAnsi="Arial"/>
          <w:sz w:val="18"/>
          <w:szCs w:val="18"/>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that in the instrument creating or evidencing the same or pursuant to which the same is outstanding it is provided that such indebtedness ranks junior in right of payment to the Company’s Senior Indebtedness, equally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Subordinated Securities</w:t>
      </w:r>
      <w:r>
        <w:rPr>
          <w:rFonts w:ascii="Arial" w:cs="Arial" w:eastAsia="Arial" w:hAnsi="Arial"/>
          <w:sz w:val="18"/>
          <w:szCs w:val="18"/>
          <w:color w:val="auto"/>
        </w:rPr>
        <w:t>” means any Security or Securities designated pursuant to Section 3.01 as a Senior Subordinated Security.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Trustee pursuant to Section 3.07.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Amount</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Senior Subordinated Indebtedness or Junior Subordinated Indebtedness.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Interest Period</w:t>
      </w:r>
      <w:r>
        <w:rPr>
          <w:rFonts w:ascii="Arial" w:cs="Arial" w:eastAsia="Arial" w:hAnsi="Arial"/>
          <w:sz w:val="18"/>
          <w:szCs w:val="18"/>
          <w:color w:val="auto"/>
        </w:rPr>
        <w:t>” has the meaning specified in Section 3.07(b).</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as in force at the date as of which this Indenture was executed, except as provided in Section 9.05.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means, unless otherwise specified with respect to any Securities pursuant to Section 3.01,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has the meaning specified in Section 3.12(c).</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3"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pursuant to Section 10.05) shall include;</w:t>
      </w:r>
    </w:p>
    <w:p>
      <w:pPr>
        <w:spacing w:after="0" w:line="170" w:lineRule="exact"/>
        <w:rPr>
          <w:sz w:val="20"/>
          <w:szCs w:val="20"/>
          <w:color w:val="auto"/>
        </w:rPr>
      </w:pPr>
    </w:p>
    <w:p>
      <w:pPr>
        <w:ind w:left="700" w:hanging="236"/>
        <w:spacing w:after="0"/>
        <w:tabs>
          <w:tab w:leader="none" w:pos="7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 brief statement as to the nature and scope of the examination or investigation upon which the statements contained in such certificate are based;</w:t>
      </w:r>
    </w:p>
    <w:p>
      <w:pPr>
        <w:spacing w:after="0" w:line="248" w:lineRule="exact"/>
        <w:rPr>
          <w:rFonts w:ascii="Arial" w:cs="Arial" w:eastAsia="Arial" w:hAnsi="Arial"/>
          <w:sz w:val="16"/>
          <w:szCs w:val="16"/>
          <w:color w:val="auto"/>
        </w:rPr>
      </w:pPr>
    </w:p>
    <w:p>
      <w:pPr>
        <w:ind w:right="640" w:firstLine="464"/>
        <w:spacing w:after="0" w:line="277" w:lineRule="auto"/>
        <w:tabs>
          <w:tab w:leader="none" w:pos="70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statement that such individual signing the certificate or opinion has made such examination or investigation as is necessary to enable such individual to express an informed belief as to whether or not such condition or covenant has been complied with;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statement as to whether such individual believes such condition or covenant has been complied 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264" w:lineRule="auto"/>
        <w:tabs>
          <w:tab w:leader="none" w:pos="70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8" w:lineRule="exact"/>
        <w:rPr>
          <w:sz w:val="20"/>
          <w:szCs w:val="20"/>
          <w:color w:val="auto"/>
        </w:rPr>
      </w:pPr>
    </w:p>
    <w:p>
      <w:pPr>
        <w:ind w:right="40" w:firstLine="464"/>
        <w:spacing w:after="0" w:line="297" w:lineRule="auto"/>
        <w:tabs>
          <w:tab w:leader="none" w:pos="71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58" w:lineRule="exact"/>
        <w:rPr>
          <w:rFonts w:ascii="Arial" w:cs="Arial" w:eastAsia="Arial" w:hAnsi="Arial"/>
          <w:sz w:val="16"/>
          <w:szCs w:val="16"/>
          <w:color w:val="auto"/>
        </w:rPr>
      </w:pPr>
    </w:p>
    <w:p>
      <w:pPr>
        <w:ind w:left="700" w:hanging="236"/>
        <w:spacing w:after="0"/>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64"/>
        <w:spacing w:after="0" w:line="286" w:lineRule="auto"/>
        <w:tabs>
          <w:tab w:leader="none" w:pos="70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60" w:right="2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79" w:lineRule="exact"/>
        <w:rPr>
          <w:sz w:val="20"/>
          <w:szCs w:val="20"/>
          <w:color w:val="auto"/>
        </w:rPr>
      </w:pPr>
    </w:p>
    <w:p>
      <w:pPr>
        <w:ind w:right="20" w:firstLine="464"/>
        <w:spacing w:after="0" w:line="259" w:lineRule="auto"/>
        <w:tabs>
          <w:tab w:leader="none" w:pos="68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62" w:lineRule="exact"/>
        <w:rPr>
          <w:sz w:val="20"/>
          <w:szCs w:val="20"/>
          <w:color w:val="auto"/>
        </w:rPr>
      </w:pPr>
    </w:p>
    <w:p>
      <w:pPr>
        <w:ind w:left="460" w:right="20" w:firstLine="443"/>
        <w:spacing w:after="0" w:line="291" w:lineRule="auto"/>
        <w:tabs>
          <w:tab w:leader="none" w:pos="111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Trustee by any Holder or by the Company shall be sufficient for every purpose hereunder if in writing and sent, first-class postage prepaid, or sent via overnight courier guaranteeing next day delivery, or same day messenger service or by electronic mail (in PDF) to the Trustee at its</w:t>
      </w:r>
    </w:p>
    <w:p>
      <w:pPr>
        <w:ind w:left="460"/>
        <w:spacing w:after="0"/>
        <w:tabs>
          <w:tab w:leader="none" w:pos="7900" w:val="left"/>
        </w:tabs>
        <w:rPr>
          <w:sz w:val="20"/>
          <w:szCs w:val="20"/>
          <w:color w:val="auto"/>
        </w:rPr>
      </w:pPr>
      <w:r>
        <w:rPr>
          <w:rFonts w:ascii="Arial" w:cs="Arial" w:eastAsia="Arial" w:hAnsi="Arial"/>
          <w:sz w:val="18"/>
          <w:szCs w:val="18"/>
          <w:color w:val="auto"/>
        </w:rPr>
        <w:t>Corporate Trust Office, Attention: TPG Specialty Lending [identify Securities], email address: [</w:t>
      </w:r>
      <w:r>
        <w:rPr>
          <w:sz w:val="20"/>
          <w:szCs w:val="20"/>
          <w:color w:val="auto"/>
        </w:rPr>
        <w:tab/>
      </w:r>
      <w:r>
        <w:rPr>
          <w:rFonts w:ascii="Arial" w:cs="Arial" w:eastAsia="Arial" w:hAnsi="Arial"/>
          <w:sz w:val="17"/>
          <w:szCs w:val="17"/>
          <w:color w:val="auto"/>
        </w:rPr>
        <w:t>], or</w:t>
      </w:r>
    </w:p>
    <w:p>
      <w:pPr>
        <w:spacing w:after="0" w:line="103" w:lineRule="exact"/>
        <w:rPr>
          <w:sz w:val="20"/>
          <w:szCs w:val="20"/>
          <w:color w:val="auto"/>
        </w:rPr>
      </w:pPr>
    </w:p>
    <w:p>
      <w:pPr>
        <w:ind w:left="460" w:right="120" w:firstLine="443"/>
        <w:spacing w:after="0" w:line="257" w:lineRule="auto"/>
        <w:tabs>
          <w:tab w:leader="none" w:pos="116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sent, first-class postage prepaid, or sent via overnight courier guaranteeing next day delivery, or same day messenger service, or by electronic mail (in PDF), to the Company, to the attention of its Chief Financial Officer at 888 Seventh Avenue, 35th Floor, New York, New York 10019, with a copy to TPG Specialty Lending, Inc., 345 California Street, Suite 3300, San Francisco, CA 94104, Attention: TSL Chief Compliance Officer.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All notices and communications (other than those sent to Holders) shall be deemed to have been duly given: (i) at the time delivered by hand, if personally delivered; (ii) when return receipt is delivered, if delivered by electronic mail; (iii) five Business Days after being deposited in the mail, postage prepaid; and (iv) the next Business Day after timely delivery to the courier, if sent by overnight air courier guaranteeing next day delivery.</w:t>
      </w:r>
    </w:p>
    <w:p>
      <w:pPr>
        <w:spacing w:after="0" w:line="166"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Whenever under this Indenture the Trustee or the Company is required to provide any notice by mail, in all cases each of the Trustee and the Company may alternatively provide notice by overnight courier, by facsimile, with confirmation of transmission, or by electronic mail, with return receipt requested.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Where this Indenture provides for notice of any event to Holders of Registered Securities by the Company or the Trustee, such notice shall be sufficiently given (unless otherwise herein expressly provided) if in writing and mailed, first-class postage prepaid, by overnight courier guaranteeing next day delivery, by facsimile or by electronic mail to each such Holder affected by such event, at his address, facsimile number or email address as it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appears in the Security Register, not later than the latest date, and not earlier than the earliest date, prescribed for the giving of such notice. Any notice or communication shall also be so delivered to any Person described in TIA Section 313(c), to the extent required by the TIA. In any case where notice to Holders of Registered Securities is given as provided herein, neither the failure to send such notice, nor any defect in any notice so sent,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 In the case of a global Security, notices shall be given in accordance with the applicable procedures of the Depositary.</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This Indenture and the Securities shall be governed by and construed in accordance with the law of the State of New York without regard to principles of conflicts of laws that would cause the application of laws of another jurisdiction. This Indenture is subject to the provisions of the Trust Indenture Act that are required to be part of this Indenture and shall, to the extent applicable, be governed by such provisions.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60" w:right="2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interest shall accrue on the amount so payable for the period from and after such Interest Payment Date, Redemption Date, Repayment Date, sinking fund payment date, Stated Maturity or Maturity, as the case may be.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hereby irrevocably submits to the non-exclusive jurisdiction of any New York state or federal court sitting in The City of New York in any action or proceeding arising out of or relating to the Indenture and the Securities of any series, and the Company hereby irrevocably agrees that all claims in respect of such action or proceeding may be heard and determined in such New York state or federal court. The Company hereby irrevocably waives, to the fullest extent it may effectively do so, the defense of an inconvenient forum to the maintenance of such action or proceeding.</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of Securities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Registered Securities of each series,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60" w:right="2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definitive Securities shall be printed, lithographed or engraved or produced by any combination of these methods on a steel engraved border or steel engraved borders or may be produced in any other manner, all as determined by the officers executing such Securities, as evidenced by their execution of such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Section 6.11, the Trustee’s certificate of authentication shall be in substantially the following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Securities Issuable in Global Form</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Securities of or within a series are issuable in global form, as specified as contemplated by Section 3.01, then, notwithstanding clause (viii)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provisions of the second to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with regard to the reduction in the principal amount of Securities represented thereby, together with the written statement contemplated by the second to last sentence of Section 3.03.</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the Trustee, any authenticating agent, any Paying Agent, and any Securities Registrar may deem the Person in whose name a Security shall be registered upon the Security Register to be, and may treat it as, the absolute owner of such Security (whether or not such Security shall be overdue and notwithstanding any notation of ownership or other writing thereon made by any Person other than the Company or any Security Registrar) for the purpose of receiving payment of or on account of the principal of and (subject to Section 3.07) accrued and unpaid interest on such Security, for conversion of such Security and for all other purposes; and neither the Company nor the Trustee nor any Paying Agent nor any Conversion Agent nor any Security Registrar shall be affected by any notice to the contrary. All such payments so made to any Holder for the time being, or upon its order, shall be valid, and, to the extent of the sum or sums so paid, effectual to satisfy and discharge the liability for monies payable upon any such Security.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 xml:space="preserve">The Securities may be issued in one or more series, each of which may consist of one or more tranches, and shall be designated as Senior Securities, Senior Subordinated Securities or Junior Subordinated Securities. Senior Securities are unsubordinated, shall rank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of the Company’s Senior Indebtedness and senior to all Subordinated Securities. Senior Subordinated Securities shall rank junior to the Company’s Senior Indebtedness,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Senior Subordinated Indebtedness and senior to any Junior Subordinated Indebtedness. Junior Subordinated Securities shall rank junior to the Company’s Senior Indebtedness and any Senior Subordinated Indebtedness and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Junior Subordinated Indebtedness. There shall be (i) established in one or more Board Resolutions or pursuant to authority granted by one or more Board Resolutions and, subject to Section 3.03, set forth, or determined in the manner provided, in an Officers’ Certificate, or (ii) established in one or more indentures supplemental hereto, prior to the issuance of Securities of any series, any or all of the following, as applicable (each of which (except for the matters set forth in clauses (i), (ii) and (xv) below), if so provided, may be determined from time to time by the Company with respect to unissued Securities of the series when issued from time to time, as provided in Section 3.03):</w:t>
      </w:r>
    </w:p>
    <w:p>
      <w:pPr>
        <w:spacing w:after="0" w:line="70" w:lineRule="exact"/>
        <w:rPr>
          <w:sz w:val="20"/>
          <w:szCs w:val="20"/>
          <w:color w:val="auto"/>
        </w:rPr>
      </w:pPr>
    </w:p>
    <w:p>
      <w:pPr>
        <w:ind w:left="460" w:right="160" w:firstLine="443"/>
        <w:spacing w:after="0" w:line="277" w:lineRule="auto"/>
        <w:tabs>
          <w:tab w:leader="none" w:pos="111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62" w:lineRule="exact"/>
        <w:rPr>
          <w:rFonts w:ascii="Arial" w:cs="Arial" w:eastAsia="Arial" w:hAnsi="Arial"/>
          <w:sz w:val="18"/>
          <w:szCs w:val="18"/>
          <w:color w:val="auto"/>
        </w:rPr>
      </w:pPr>
    </w:p>
    <w:p>
      <w:pPr>
        <w:ind w:left="460" w:firstLine="443"/>
        <w:spacing w:after="0" w:line="259" w:lineRule="auto"/>
        <w:tabs>
          <w:tab w:leader="none" w:pos="116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78" w:lineRule="exact"/>
        <w:rPr>
          <w:rFonts w:ascii="Arial" w:cs="Arial" w:eastAsia="Arial" w:hAnsi="Arial"/>
          <w:sz w:val="18"/>
          <w:szCs w:val="18"/>
          <w:color w:val="auto"/>
        </w:rPr>
      </w:pPr>
    </w:p>
    <w:p>
      <w:pPr>
        <w:ind w:left="460" w:right="220" w:firstLine="443"/>
        <w:spacing w:after="0" w:line="277" w:lineRule="auto"/>
        <w:tabs>
          <w:tab w:leader="none" w:pos="121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date or dates, or the method by which such date or dates will be determined or extended, on which the principal of the Securities of the series shall be payable;</w:t>
      </w:r>
    </w:p>
    <w:p>
      <w:pPr>
        <w:spacing w:after="0" w:line="62" w:lineRule="exact"/>
        <w:rPr>
          <w:rFonts w:ascii="Arial" w:cs="Arial" w:eastAsia="Arial" w:hAnsi="Arial"/>
          <w:sz w:val="18"/>
          <w:szCs w:val="18"/>
          <w:color w:val="auto"/>
        </w:rPr>
      </w:pPr>
    </w:p>
    <w:p>
      <w:pPr>
        <w:ind w:left="460" w:right="100" w:firstLine="443"/>
        <w:spacing w:after="0" w:line="257" w:lineRule="auto"/>
        <w:tabs>
          <w:tab w:leader="none" w:pos="120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60" w:right="2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firstLine="443"/>
        <w:spacing w:after="0" w:line="257" w:lineRule="auto"/>
        <w:tabs>
          <w:tab w:leader="none" w:pos="11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the City of New York, where the principal of (and premium, if any) and interest, if any, on Securities of the series shall be payable, any Registered Securities of the series may be surrendered for registration of transfer, Securities of the series 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w:t>
      </w:r>
    </w:p>
    <w:p>
      <w:pPr>
        <w:spacing w:after="0" w:line="80" w:lineRule="exact"/>
        <w:rPr>
          <w:rFonts w:ascii="Arial" w:cs="Arial" w:eastAsia="Arial" w:hAnsi="Arial"/>
          <w:sz w:val="18"/>
          <w:szCs w:val="18"/>
          <w:color w:val="auto"/>
        </w:rPr>
      </w:pPr>
    </w:p>
    <w:p>
      <w:pPr>
        <w:jc w:val="both"/>
        <w:ind w:left="460" w:right="20" w:firstLine="443"/>
        <w:spacing w:after="0" w:line="264" w:lineRule="auto"/>
        <w:tabs>
          <w:tab w:leader="none" w:pos="120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73" w:lineRule="exact"/>
        <w:rPr>
          <w:rFonts w:ascii="Arial" w:cs="Arial" w:eastAsia="Arial" w:hAnsi="Arial"/>
          <w:sz w:val="18"/>
          <w:szCs w:val="18"/>
          <w:color w:val="auto"/>
        </w:rPr>
      </w:pPr>
    </w:p>
    <w:p>
      <w:pPr>
        <w:ind w:left="460" w:right="140" w:firstLine="443"/>
        <w:spacing w:after="0" w:line="259" w:lineRule="auto"/>
        <w:tabs>
          <w:tab w:leader="none" w:pos="12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78" w:lineRule="exact"/>
        <w:rPr>
          <w:rFonts w:ascii="Arial" w:cs="Arial" w:eastAsia="Arial" w:hAnsi="Arial"/>
          <w:sz w:val="18"/>
          <w:szCs w:val="18"/>
          <w:color w:val="auto"/>
        </w:rPr>
      </w:pPr>
    </w:p>
    <w:p>
      <w:pPr>
        <w:ind w:left="460" w:right="540" w:firstLine="443"/>
        <w:spacing w:after="0" w:line="277" w:lineRule="auto"/>
        <w:tabs>
          <w:tab w:leader="none" w:pos="130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 or denominations in which any Registered Securities of the series shall be issuable;</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other than the Trustee, the identity of each Security Registrar and/or Paying Agent;</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pacing w:after="0" w:line="78" w:lineRule="exact"/>
        <w:rPr>
          <w:rFonts w:ascii="Arial" w:cs="Arial" w:eastAsia="Arial" w:hAnsi="Arial"/>
          <w:sz w:val="18"/>
          <w:szCs w:val="18"/>
          <w:color w:val="auto"/>
        </w:rPr>
      </w:pPr>
    </w:p>
    <w:p>
      <w:pPr>
        <w:ind w:left="460" w:right="280" w:firstLine="443"/>
        <w:spacing w:after="0" w:line="264" w:lineRule="auto"/>
        <w:tabs>
          <w:tab w:leader="none" w:pos="120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73" w:lineRule="exact"/>
        <w:rPr>
          <w:rFonts w:ascii="Arial" w:cs="Arial" w:eastAsia="Arial" w:hAnsi="Arial"/>
          <w:sz w:val="18"/>
          <w:szCs w:val="18"/>
          <w:color w:val="auto"/>
        </w:rPr>
      </w:pPr>
    </w:p>
    <w:p>
      <w:pPr>
        <w:jc w:val="both"/>
        <w:ind w:left="460" w:right="300" w:firstLine="443"/>
        <w:spacing w:after="0" w:line="264" w:lineRule="auto"/>
        <w:tabs>
          <w:tab w:leader="none" w:pos="12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73" w:lineRule="exact"/>
        <w:rPr>
          <w:rFonts w:ascii="Arial" w:cs="Arial" w:eastAsia="Arial" w:hAnsi="Arial"/>
          <w:sz w:val="18"/>
          <w:szCs w:val="18"/>
          <w:color w:val="auto"/>
        </w:rPr>
      </w:pPr>
    </w:p>
    <w:p>
      <w:pPr>
        <w:ind w:left="460" w:right="40" w:firstLine="443"/>
        <w:spacing w:after="0" w:line="297" w:lineRule="auto"/>
        <w:tabs>
          <w:tab w:leader="none" w:pos="1303"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spacing w:after="0" w:line="50" w:lineRule="exact"/>
        <w:rPr>
          <w:rFonts w:ascii="Arial" w:cs="Arial" w:eastAsia="Arial" w:hAnsi="Arial"/>
          <w:sz w:val="16"/>
          <w:szCs w:val="16"/>
          <w:color w:val="auto"/>
        </w:rPr>
      </w:pPr>
    </w:p>
    <w:p>
      <w:pPr>
        <w:ind w:left="460" w:right="640" w:firstLine="443"/>
        <w:spacing w:after="0" w:line="277" w:lineRule="auto"/>
        <w:tabs>
          <w:tab w:leader="none" w:pos="129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provisions, if any, granting special rights to the Holders of Securities of the series, including, without limitation, with respect to any collateral securing such Securities;</w:t>
      </w:r>
    </w:p>
    <w:p>
      <w:pPr>
        <w:spacing w:after="0" w:line="62" w:lineRule="exact"/>
        <w:rPr>
          <w:rFonts w:ascii="Arial" w:cs="Arial" w:eastAsia="Arial" w:hAnsi="Arial"/>
          <w:sz w:val="18"/>
          <w:szCs w:val="18"/>
          <w:color w:val="auto"/>
        </w:rPr>
      </w:pPr>
    </w:p>
    <w:p>
      <w:pPr>
        <w:jc w:val="both"/>
        <w:ind w:left="460" w:right="240" w:firstLine="443"/>
        <w:spacing w:after="0" w:line="264" w:lineRule="auto"/>
        <w:tabs>
          <w:tab w:leader="none" w:pos="124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(including any deletions from, modifications of or additions to any of the provisions of Section 10.06) of the Company with respect to Securities of the series, whether or not such Events of Default or covenants are consistent with the Events of Default or covenants set forth herein;</w:t>
      </w:r>
    </w:p>
    <w:p>
      <w:pPr>
        <w:spacing w:after="0" w:line="73" w:lineRule="exact"/>
        <w:rPr>
          <w:rFonts w:ascii="Arial" w:cs="Arial" w:eastAsia="Arial" w:hAnsi="Arial"/>
          <w:sz w:val="18"/>
          <w:szCs w:val="18"/>
          <w:color w:val="auto"/>
        </w:rPr>
      </w:pPr>
    </w:p>
    <w:p>
      <w:pPr>
        <w:ind w:left="460" w:right="220" w:firstLine="443"/>
        <w:spacing w:after="0" w:line="277" w:lineRule="auto"/>
        <w:tabs>
          <w:tab w:leader="none" w:pos="129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whether any Securities of the series are to be issuable initially in temporary global form and whether any Securities of the series are to be issuable in permanent global form and, if so, whether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color w:val="auto"/>
        </w:rPr>
        <w:t>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and the circumstances under which and the place or places where such exchanges may be made and if Securities of the series are to be issuable as a global Security, the identity of the depositary for such series;</w:t>
      </w:r>
    </w:p>
    <w:p>
      <w:pPr>
        <w:spacing w:after="0" w:line="63" w:lineRule="exact"/>
        <w:rPr>
          <w:sz w:val="20"/>
          <w:szCs w:val="20"/>
          <w:color w:val="auto"/>
        </w:rPr>
      </w:pPr>
    </w:p>
    <w:p>
      <w:pPr>
        <w:ind w:left="460" w:right="100" w:firstLine="443"/>
        <w:spacing w:after="0" w:line="277" w:lineRule="auto"/>
        <w:tabs>
          <w:tab w:leader="none" w:pos="134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date as of which any temporary global Security representing Outstanding Securities of the series shall be dated if other than the date of original issuance of the first Security of the series to be issued;</w:t>
      </w:r>
    </w:p>
    <w:p>
      <w:pPr>
        <w:spacing w:after="0" w:line="62" w:lineRule="exact"/>
        <w:rPr>
          <w:rFonts w:ascii="Arial" w:cs="Arial" w:eastAsia="Arial" w:hAnsi="Arial"/>
          <w:sz w:val="18"/>
          <w:szCs w:val="18"/>
          <w:color w:val="auto"/>
        </w:rPr>
      </w:pPr>
    </w:p>
    <w:p>
      <w:pPr>
        <w:ind w:left="460" w:firstLine="443"/>
        <w:spacing w:after="0" w:line="257" w:lineRule="auto"/>
        <w:tabs>
          <w:tab w:leader="none" w:pos="139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w:t>
      </w:r>
    </w:p>
    <w:p>
      <w:pPr>
        <w:spacing w:after="0" w:line="80" w:lineRule="exact"/>
        <w:rPr>
          <w:rFonts w:ascii="Arial" w:cs="Arial" w:eastAsia="Arial" w:hAnsi="Arial"/>
          <w:sz w:val="18"/>
          <w:szCs w:val="18"/>
          <w:color w:val="auto"/>
        </w:rPr>
      </w:pPr>
    </w:p>
    <w:p>
      <w:pPr>
        <w:ind w:left="460" w:right="40" w:firstLine="443"/>
        <w:spacing w:after="0" w:line="277" w:lineRule="auto"/>
        <w:tabs>
          <w:tab w:leader="none" w:pos="129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applicability, if any, of Sections 14.02 and/or 14.03 to the Securities of the series and any provisions in modification of, in addition to or in lieu of any of the provisions of Article Fourteen;</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24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will pay Additional Amounts as contemplated by</w:t>
      </w:r>
    </w:p>
    <w:p>
      <w:pPr>
        <w:spacing w:after="0" w:line="23"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82" w:lineRule="exact"/>
        <w:rPr>
          <w:sz w:val="20"/>
          <w:szCs w:val="20"/>
          <w:color w:val="auto"/>
        </w:rPr>
      </w:pPr>
    </w:p>
    <w:p>
      <w:pPr>
        <w:ind w:left="1340" w:hanging="437"/>
        <w:spacing w:after="0"/>
        <w:tabs>
          <w:tab w:leader="none" w:pos="13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designation of the initial Exchange Rate Agent, if any;</w:t>
      </w:r>
    </w:p>
    <w:p>
      <w:pPr>
        <w:spacing w:after="0" w:line="117" w:lineRule="exact"/>
        <w:rPr>
          <w:rFonts w:ascii="Arial" w:cs="Arial" w:eastAsia="Arial" w:hAnsi="Arial"/>
          <w:sz w:val="18"/>
          <w:szCs w:val="18"/>
          <w:color w:val="auto"/>
        </w:rPr>
      </w:pPr>
    </w:p>
    <w:p>
      <w:pPr>
        <w:ind w:left="460" w:right="820" w:firstLine="443"/>
        <w:spacing w:after="0" w:line="277" w:lineRule="auto"/>
        <w:tabs>
          <w:tab w:leader="none" w:pos="139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the Securities of the series are to be issued upon the exercise of warrants, the time, manner and place for such Securities to be authenticated and delivered;</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38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of any Person (including the Company), the terms and conditions upon which such Securities will be so convertible or exchangeable;</w:t>
      </w:r>
    </w:p>
    <w:p>
      <w:pPr>
        <w:spacing w:after="0" w:line="62" w:lineRule="exact"/>
        <w:rPr>
          <w:rFonts w:ascii="Arial" w:cs="Arial" w:eastAsia="Arial" w:hAnsi="Arial"/>
          <w:sz w:val="18"/>
          <w:szCs w:val="18"/>
          <w:color w:val="auto"/>
        </w:rPr>
      </w:pPr>
    </w:p>
    <w:p>
      <w:pPr>
        <w:ind w:left="1340" w:hanging="437"/>
        <w:spacing w:after="0"/>
        <w:tabs>
          <w:tab w:leader="none" w:pos="13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the Securities of the series are to be listed on a securities exchange, the name of such exchange may be indicated; and</w:t>
      </w:r>
    </w:p>
    <w:p>
      <w:pPr>
        <w:spacing w:after="0" w:line="117" w:lineRule="exact"/>
        <w:rPr>
          <w:rFonts w:ascii="Arial" w:cs="Arial" w:eastAsia="Arial" w:hAnsi="Arial"/>
          <w:sz w:val="18"/>
          <w:szCs w:val="18"/>
          <w:color w:val="auto"/>
        </w:rPr>
      </w:pPr>
    </w:p>
    <w:p>
      <w:pPr>
        <w:ind w:left="460" w:right="220" w:firstLine="443"/>
        <w:spacing w:after="0" w:line="308" w:lineRule="auto"/>
        <w:tabs>
          <w:tab w:leader="none" w:pos="138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other terms of the series (which terms shall not be inconsistent with the provisions of this Indenture or the requirements of the Trust Indenture Act, except as permitted by Section 9.01(v)), including, but not limited to, secured Securities and guarantees of Securities.</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(subject to Section 3.03) and set forth in the Officers’ Certificate referred to above or in any such indenture supplemental hereto.</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All Securities of any one series need not be issued at the same time and, unless otherwise provided, a series may be reopened, without the consent of the Holders, for issuances of additional Securities of such series.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Assistant Secretary of the Company and delivered to the Trustee at or prior to the delivery of the Officers’ Certificate setting forth the terms of the Securities of such series.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Securities shall be executed on behalf of the Company by a Chief Executive Officer, the Chief Financial Officer, Chief Operating Officer, Chief Compliance Officer, Secretary or one of its Vice Presidents. The signature of any of these officers on the Securities may be manual or by facsimile, .pdf attachment or other electronically transmitted signature (with an original manual signature to be sent to the Trustee via overnight mail immediately thereafter) of the present or any future such authorized officer and may be imprinted or otherwise reproduced on the Securities.</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Securities bearing the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67" w:lineRule="exact"/>
        <w:rPr>
          <w:sz w:val="20"/>
          <w:szCs w:val="20"/>
          <w:color w:val="auto"/>
        </w:rPr>
      </w:pPr>
    </w:p>
    <w:p>
      <w:pPr>
        <w:ind w:left="700" w:hanging="236"/>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Opinion of Counsel stating,</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that the form or forms of such Securities have been established in conformity with the provisions of this Indenture;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conformity with the provisions of this Indenture; and</w:t>
      </w:r>
    </w:p>
    <w:p>
      <w:pPr>
        <w:spacing w:after="0" w:line="117" w:lineRule="exact"/>
        <w:rPr>
          <w:rFonts w:ascii="Arial" w:cs="Arial" w:eastAsia="Arial" w:hAnsi="Arial"/>
          <w:sz w:val="18"/>
          <w:szCs w:val="18"/>
          <w:color w:val="auto"/>
        </w:rPr>
      </w:pPr>
    </w:p>
    <w:p>
      <w:pPr>
        <w:ind w:left="460" w:right="100" w:firstLine="443"/>
        <w:spacing w:after="0" w:line="273" w:lineRule="auto"/>
        <w:tabs>
          <w:tab w:leader="none" w:pos="1213"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that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64"/>
        <w:spacing w:after="0" w:line="277" w:lineRule="auto"/>
        <w:tabs>
          <w:tab w:leader="none" w:pos="71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Officers’ Certificate stating, to the best of the knowledge of the signers of such certificate, that no Event of Default with respect to any of the Securities shall have occurred and be continuing.</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54"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that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Registered Security shall be dated the date of its authentication.</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until authenticated substantially in the form set out in Section 2.02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to act as Depositary with respect to the global Securities.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in the case of temporary Securities in global form (which shall be exchanged as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and like tenor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w:t>
      </w:r>
      <w:r>
        <w:rPr>
          <w:rFonts w:ascii="Arial" w:cs="Arial" w:eastAsia="Arial" w:hAnsi="Arial"/>
          <w:sz w:val="17"/>
          <w:szCs w:val="17"/>
          <w:u w:val="single" w:color="auto"/>
          <w:color w:val="auto"/>
        </w:rPr>
        <w:t>Security Register</w:t>
      </w:r>
      <w:r>
        <w:rPr>
          <w:rFonts w:ascii="Arial" w:cs="Arial" w:eastAsia="Arial" w:hAnsi="Arial"/>
          <w:sz w:val="17"/>
          <w:szCs w:val="17"/>
          <w:color w:val="auto"/>
        </w:rPr>
        <w:t>”)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8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Upon surrender for registration of transfer of any Registered Security of any series to the Security Registrar or any co-Security Registrar, and satisfaction of the requirements for such transfer set forth in this Section 3.05, the Company shall execute, and the Trustee shall, upon receipt of a Company Order,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that the Holder making the exchange is entitled to receive.</w:t>
      </w:r>
    </w:p>
    <w:p>
      <w:pPr>
        <w:spacing w:after="0" w:line="154"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Whenever any Securities are so surrendered for exchange, the Company shall execute, and the Trustee, upon receipt of a Company Order, shall authenticate and deliver, the Securities that the Holder making the exchange is entitled to receive.</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Notwithstanding the foregoing, except as otherwise specified as contemplated by Section 3.01,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or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the day the relevant notice of redemption is sent, or (ii) to register the transfer of or exchange any Registered Security so selected for redemption in whole or in part, except, in the case of any Registered Security to be redeemed in part, the portion thereof not to be redeemed, or (iii) to issue, register the transfer of or exchange any Security that has been surrendered for repayment at the option of the Holder, except the portion, if any, of such Security not to be so repaid.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mutilated Security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there shall be delivered to the Company and to the Trustee (i) evidence to their satisfaction of the destruction, loss or theft of any Security, and</w:t>
      </w:r>
    </w:p>
    <w:p>
      <w:pPr>
        <w:spacing w:after="0" w:line="35" w:lineRule="exact"/>
        <w:rPr>
          <w:sz w:val="20"/>
          <w:szCs w:val="20"/>
          <w:color w:val="auto"/>
        </w:rPr>
      </w:pPr>
    </w:p>
    <w:p>
      <w:pPr>
        <w:ind w:right="40" w:firstLine="8"/>
        <w:spacing w:after="0" w:line="273" w:lineRule="auto"/>
        <w:tabs>
          <w:tab w:leader="none" w:pos="26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subject to the following paragraph, execute and upon its request the Trustee shall authenticate and deliver, in lieu of any such destroyed, lost or stolen Security, a new Security of the same series and principal amount, containing identical terms and provisions and bearing a number not contemporaneously outstanding.</w:t>
      </w:r>
    </w:p>
    <w:p>
      <w:pPr>
        <w:spacing w:after="0" w:line="17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Notwithstanding the provisions of the previous two paragraphs, in case any such mutilated, destroyed, lost or stolen Security has become or is about to become due and payable, the Company in its discretion may, instead of issuing a new Security, pay such Security.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60" w:right="2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Payment of Interest; Interest Rights Preserved; Optional Interest Reset</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55" w:lineRule="auto"/>
        <w:tabs>
          <w:tab w:leader="none" w:pos="70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8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w:t>
      </w:r>
      <w:r>
        <w:rPr>
          <w:rFonts w:ascii="Arial" w:cs="Arial" w:eastAsia="Arial" w:hAnsi="Arial"/>
          <w:sz w:val="17"/>
          <w:szCs w:val="17"/>
          <w:u w:val="single" w:color="auto"/>
          <w:color w:val="auto"/>
        </w:rPr>
        <w:t>Defaulted Interest</w:t>
      </w:r>
      <w:r>
        <w:rPr>
          <w:rFonts w:ascii="Arial" w:cs="Arial" w:eastAsia="Arial" w:hAnsi="Arial"/>
          <w:sz w:val="17"/>
          <w:szCs w:val="17"/>
          <w:color w:val="auto"/>
        </w:rPr>
        <w:t>”) shall forthwith cease to be payable to the registered Holder thereof on the relevant Regular Record Date by virtue of having been such Holder, and such Defaulted Interest may be paid by the Company, at its election in each case, as provided in clause (i) or (ii) below:</w:t>
      </w:r>
    </w:p>
    <w:p>
      <w:pPr>
        <w:spacing w:after="0" w:line="63" w:lineRule="exact"/>
        <w:rPr>
          <w:sz w:val="20"/>
          <w:szCs w:val="20"/>
          <w:color w:val="auto"/>
        </w:rPr>
      </w:pPr>
    </w:p>
    <w:p>
      <w:pPr>
        <w:ind w:left="460" w:firstLine="443"/>
        <w:spacing w:after="0" w:line="268" w:lineRule="auto"/>
        <w:tabs>
          <w:tab w:leader="none" w:pos="111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w:t>
      </w:r>
    </w:p>
    <w:p>
      <w:pPr>
        <w:spacing w:after="0" w:line="73" w:lineRule="exact"/>
        <w:rPr>
          <w:sz w:val="20"/>
          <w:szCs w:val="20"/>
          <w:color w:val="auto"/>
        </w:rPr>
      </w:pPr>
    </w:p>
    <w:p>
      <w:pPr>
        <w:ind w:left="460" w:right="40" w:firstLine="443"/>
        <w:spacing w:after="0" w:line="257" w:lineRule="auto"/>
        <w:tabs>
          <w:tab w:leader="none" w:pos="116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(and certification by the Company that the proposed manner of payment complies with the requirements of this clause (ii)), such manner of payment shall be deemed practicable by the Trustee.</w:t>
      </w:r>
    </w:p>
    <w:p>
      <w:pPr>
        <w:spacing w:after="0" w:line="188" w:lineRule="exact"/>
        <w:rPr>
          <w:rFonts w:ascii="Arial" w:cs="Arial" w:eastAsia="Arial" w:hAnsi="Arial"/>
          <w:sz w:val="18"/>
          <w:szCs w:val="18"/>
          <w:color w:val="auto"/>
        </w:rPr>
      </w:pPr>
    </w:p>
    <w:p>
      <w:pPr>
        <w:ind w:right="20" w:firstLine="464"/>
        <w:spacing w:after="0" w:line="269" w:lineRule="auto"/>
        <w:tabs>
          <w:tab w:leader="none" w:pos="71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Arial" w:cs="Arial" w:eastAsia="Arial" w:hAnsi="Arial"/>
          <w:sz w:val="17"/>
          <w:szCs w:val="17"/>
          <w:u w:val="single" w:color="auto"/>
          <w:color w:val="auto"/>
        </w:rPr>
        <w:t>Optional Reset Date</w:t>
      </w:r>
      <w:r>
        <w:rPr>
          <w:rFonts w:ascii="Arial" w:cs="Arial" w:eastAsia="Arial" w:hAnsi="Arial"/>
          <w:sz w:val="17"/>
          <w:szCs w:val="17"/>
          <w:color w:val="auto"/>
        </w:rPr>
        <w:t>”).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w:t>
      </w:r>
      <w:r>
        <w:rPr>
          <w:rFonts w:ascii="Arial" w:cs="Arial" w:eastAsia="Arial" w:hAnsi="Arial"/>
          <w:sz w:val="17"/>
          <w:szCs w:val="17"/>
          <w:u w:val="single" w:color="auto"/>
          <w:color w:val="auto"/>
        </w:rPr>
        <w:t>Reset Notice</w:t>
      </w:r>
      <w:r>
        <w:rPr>
          <w:rFonts w:ascii="Arial" w:cs="Arial" w:eastAsia="Arial" w:hAnsi="Arial"/>
          <w:sz w:val="17"/>
          <w:szCs w:val="17"/>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Arial" w:cs="Arial" w:eastAsia="Arial" w:hAnsi="Arial"/>
          <w:sz w:val="17"/>
          <w:szCs w:val="17"/>
          <w:u w:val="single" w:color="auto"/>
          <w:color w:val="auto"/>
        </w:rPr>
        <w:t>Subsequent Interest Period</w:t>
      </w:r>
      <w:r>
        <w:rPr>
          <w:rFonts w:ascii="Arial" w:cs="Arial" w:eastAsia="Arial" w:hAnsi="Arial"/>
          <w:sz w:val="17"/>
          <w:szCs w:val="17"/>
          <w:color w:val="auto"/>
        </w:rPr>
        <w:t>”), including the date or dates on which or the period or periods during which and the price or prices at which such redemption may occur during the Subsequent Interest Period</w:t>
      </w:r>
    </w:p>
    <w:p>
      <w:pPr>
        <w:spacing w:after="0" w:line="1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Notwithstanding the foregoing, not later than 20 days prior to the Optional Reset Date (or if 20 days does not fall on a Business Day, the next succeeding Business Day),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9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93"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that were carried by such other Security.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Optional Extension of Maturity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Arial" w:cs="Arial" w:eastAsia="Arial" w:hAnsi="Arial"/>
          <w:sz w:val="16"/>
          <w:szCs w:val="16"/>
          <w:u w:val="single" w:color="auto"/>
          <w:color w:val="auto"/>
        </w:rPr>
        <w:t>Extension Period</w:t>
      </w:r>
      <w:r>
        <w:rPr>
          <w:rFonts w:ascii="Arial" w:cs="Arial" w:eastAsia="Arial" w:hAnsi="Arial"/>
          <w:sz w:val="16"/>
          <w:szCs w:val="16"/>
          <w:color w:val="auto"/>
        </w:rPr>
        <w:t>”) up to but not beyond the date (the “</w:t>
      </w:r>
      <w:r>
        <w:rPr>
          <w:rFonts w:ascii="Arial" w:cs="Arial" w:eastAsia="Arial" w:hAnsi="Arial"/>
          <w:sz w:val="16"/>
          <w:szCs w:val="16"/>
          <w:u w:val="single" w:color="auto"/>
          <w:color w:val="auto"/>
        </w:rPr>
        <w:t>Final Maturity</w:t>
      </w:r>
      <w:r>
        <w:rPr>
          <w:rFonts w:ascii="Arial" w:cs="Arial" w:eastAsia="Arial" w:hAnsi="Arial"/>
          <w:sz w:val="16"/>
          <w:szCs w:val="16"/>
          <w:color w:val="auto"/>
        </w:rPr>
        <w:t>”)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w:t>
      </w:r>
      <w:r>
        <w:rPr>
          <w:rFonts w:ascii="Arial" w:cs="Arial" w:eastAsia="Arial" w:hAnsi="Arial"/>
          <w:sz w:val="16"/>
          <w:szCs w:val="16"/>
          <w:u w:val="single" w:color="auto"/>
          <w:color w:val="auto"/>
        </w:rPr>
        <w:t>Original Stated Maturity</w:t>
      </w:r>
      <w:r>
        <w:rPr>
          <w:rFonts w:ascii="Arial" w:cs="Arial" w:eastAsia="Arial" w:hAnsi="Arial"/>
          <w:sz w:val="16"/>
          <w:szCs w:val="16"/>
          <w:color w:val="auto"/>
        </w:rPr>
        <w:t>”). If the Company exercises such option, the Trustee shall transmit, in the manner provided for in Section 1.06, to the Holder of such Security not later than 40 days prior to the Original Stated Maturity a notice (the “</w:t>
      </w:r>
      <w:r>
        <w:rPr>
          <w:rFonts w:ascii="Arial" w:cs="Arial" w:eastAsia="Arial" w:hAnsi="Arial"/>
          <w:sz w:val="16"/>
          <w:szCs w:val="16"/>
          <w:u w:val="single" w:color="auto"/>
          <w:color w:val="auto"/>
        </w:rPr>
        <w:t>Extension Notice</w:t>
      </w:r>
      <w:r>
        <w:rPr>
          <w:rFonts w:ascii="Arial" w:cs="Arial" w:eastAsia="Arial" w:hAnsi="Arial"/>
          <w:sz w:val="16"/>
          <w:szCs w:val="16"/>
          <w:color w:val="auto"/>
        </w:rPr>
        <w:t>”),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Notwithstanding the foregoing, not later than 20 days before the Original Stated Maturity (or if 20 days does not fall on a Business Day, the next succeeding Business Day)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8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held by the Trustee shall be destroyed by the Trustee in accordance with its customary procedures, unless by a Company Order the Company directs the Trustee to deliver a certificate of such destruction to the Company or to return them to the Company.</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Currency and Manner of Payments in Respect of Securities</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302" w:lineRule="auto"/>
        <w:tabs>
          <w:tab w:leader="none" w:pos="70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payment of the principal of (and premium, if any) and interest, if any, on any Registered Security of such series will be made in the Currency in which such Registered Security is payable. The provisions of this Section 3.12 may be modified or superseded with respect to any Securities pursuant to Section 3.01.</w:t>
      </w:r>
    </w:p>
    <w:p>
      <w:pPr>
        <w:spacing w:after="0" w:line="154" w:lineRule="exact"/>
        <w:rPr>
          <w:rFonts w:ascii="Arial" w:cs="Arial" w:eastAsia="Arial" w:hAnsi="Arial"/>
          <w:sz w:val="16"/>
          <w:szCs w:val="16"/>
          <w:color w:val="auto"/>
        </w:rPr>
      </w:pPr>
    </w:p>
    <w:p>
      <w:pPr>
        <w:ind w:right="20" w:firstLine="464"/>
        <w:spacing w:after="0" w:line="270" w:lineRule="auto"/>
        <w:tabs>
          <w:tab w:leader="none" w:pos="71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Unless otherwise specified pursuant to Section 3.01, if the election referred to in paragraph (b) above has been provided for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3.01, then, unless otherwise specified pursuant to Section 3.01, not later than the fourth Business Day after the Election Date for each payment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Registered Securities of any series, the Exchange Rate Agent will deliver to the Company a written notice specifying the Currency in which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such series are payable, the respective aggregate amounts of principal of (and premium, if any) and interest, if any, on the Registered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paid on such payment date, specifying the amounts in such Currency so payable in respect of the Registered Securities as to which the Holders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Securities denominated in any Currency shall have elected to be paid in another Currency as provided in paragraph (b) above. If the election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in paragraph (b) above has been provided for pursuant to Section 3.01 and if at least one Holder has made such election, then, unless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pursuant to Section 3.01, on the second Business Day preceding such payment date the Company will deliver to the Trustee for such series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Registered Securities an Exchange Rate Officer’s Certificate in respect of the Dollar or Foreign Currency or Currencies payments to be made 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date. Unless otherwise specified pursuant to Section 3.01, the Dollar or Foreign Currency or Currencies amount receivable by Holders of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who have elected payment in a Currency as provided in paragraph (b) above shall be determined by the Company on the basis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Exchange Rate in effect on the second Business Day (the “</w:t>
      </w:r>
      <w:r>
        <w:rPr>
          <w:rFonts w:ascii="Arial" w:cs="Arial" w:eastAsia="Arial" w:hAnsi="Arial"/>
          <w:sz w:val="16"/>
          <w:szCs w:val="16"/>
          <w:u w:val="single" w:color="auto"/>
          <w:color w:val="auto"/>
        </w:rPr>
        <w:t>Valuation Date</w:t>
      </w:r>
      <w:r>
        <w:rPr>
          <w:rFonts w:ascii="Arial" w:cs="Arial" w:eastAsia="Arial" w:hAnsi="Arial"/>
          <w:sz w:val="16"/>
          <w:szCs w:val="16"/>
          <w:color w:val="auto"/>
        </w:rPr>
        <w:t>”) immediately preceding each payment date, and such determination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conclusive and binding for all purposes, absent manifest error.</w:t>
      </w:r>
    </w:p>
    <w:p>
      <w:pPr>
        <w:spacing w:after="0" w:line="211" w:lineRule="exact"/>
        <w:rPr>
          <w:sz w:val="20"/>
          <w:szCs w:val="20"/>
          <w:color w:val="auto"/>
        </w:rPr>
      </w:pPr>
    </w:p>
    <w:p>
      <w:pPr>
        <w:ind w:firstLine="464"/>
        <w:spacing w:after="0" w:line="254" w:lineRule="auto"/>
        <w:tabs>
          <w:tab w:leader="none" w:pos="71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w:t>
      </w:r>
      <w:r>
        <w:rPr>
          <w:rFonts w:ascii="Arial" w:cs="Arial" w:eastAsia="Arial" w:hAnsi="Arial"/>
          <w:sz w:val="18"/>
          <w:szCs w:val="18"/>
          <w:u w:val="single" w:color="auto"/>
          <w:color w:val="auto"/>
        </w:rPr>
        <w:t>Conversion Date</w:t>
      </w:r>
      <w:r>
        <w:rPr>
          <w:rFonts w:ascii="Arial" w:cs="Arial" w:eastAsia="Arial" w:hAnsi="Arial"/>
          <w:sz w:val="18"/>
          <w:szCs w:val="18"/>
          <w:color w:val="auto"/>
        </w:rPr>
        <w:t>”),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92" w:lineRule="exact"/>
        <w:rPr>
          <w:rFonts w:ascii="Arial" w:cs="Arial" w:eastAsia="Arial" w:hAnsi="Arial"/>
          <w:sz w:val="18"/>
          <w:szCs w:val="18"/>
          <w:color w:val="auto"/>
        </w:rPr>
      </w:pPr>
    </w:p>
    <w:p>
      <w:pPr>
        <w:ind w:right="60" w:firstLine="464"/>
        <w:spacing w:after="0" w:line="286" w:lineRule="auto"/>
        <w:tabs>
          <w:tab w:leader="none" w:pos="70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of this Section 3.12.</w:t>
      </w:r>
    </w:p>
    <w:p>
      <w:pPr>
        <w:spacing w:after="0" w:line="210" w:lineRule="exact"/>
        <w:rPr>
          <w:rFonts w:ascii="Arial" w:cs="Arial" w:eastAsia="Arial" w:hAnsi="Arial"/>
          <w:sz w:val="18"/>
          <w:szCs w:val="18"/>
          <w:color w:val="auto"/>
        </w:rPr>
      </w:pPr>
    </w:p>
    <w:p>
      <w:pPr>
        <w:ind w:right="560" w:firstLine="464"/>
        <w:spacing w:after="0" w:line="308" w:lineRule="auto"/>
        <w:tabs>
          <w:tab w:leader="none" w:pos="681"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Dollar Equivalent of the Foreign Currency</w:t>
      </w:r>
      <w:r>
        <w:rPr>
          <w:rFonts w:ascii="Arial" w:cs="Arial" w:eastAsia="Arial" w:hAnsi="Arial"/>
          <w:sz w:val="17"/>
          <w:szCs w:val="17"/>
          <w:color w:val="auto"/>
        </w:rPr>
        <w:t>” shall be determined by the Exchange Rate Agent and shall be obtained for each subsequent payment date by converting the specified Foreign Currency into Dollars at the Market Exchange Rate on the Conversion Date.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64" w:lineRule="auto"/>
        <w:tabs>
          <w:tab w:leader="none" w:pos="7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Dollar Equivalent of the Currency Unit</w:t>
      </w:r>
      <w:r>
        <w:rPr>
          <w:rFonts w:ascii="Arial" w:cs="Arial" w:eastAsia="Arial" w:hAnsi="Arial"/>
          <w:sz w:val="18"/>
          <w:szCs w:val="18"/>
          <w:color w:val="auto"/>
        </w:rPr>
        <w: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Component Currency</w:t>
      </w:r>
      <w:r>
        <w:rPr>
          <w:rFonts w:ascii="Arial" w:cs="Arial" w:eastAsia="Arial" w:hAnsi="Arial"/>
          <w:sz w:val="18"/>
          <w:szCs w:val="18"/>
          <w:color w:val="auto"/>
        </w:rPr>
        <w:t>” shall mean any currency which, on the Conversion Date, was a component currency of the relevant currency unit, including, but not limited to, the ECU.</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Specified Amount</w:t>
      </w:r>
      <w:r>
        <w:rPr>
          <w:rFonts w:ascii="Arial" w:cs="Arial" w:eastAsia="Arial" w:hAnsi="Arial"/>
          <w:sz w:val="16"/>
          <w:szCs w:val="16"/>
          <w:color w:val="auto"/>
        </w:rPr>
        <w:t>” of a Component Currency shall mean the number of units of such Component Currency or fractions thereof which were represented in the relevant currency unit, including, but not limited to, the ECU,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ECU, a Conversion Event (other than any event referred to above in this definition of “</w:t>
      </w:r>
      <w:r>
        <w:rPr>
          <w:rFonts w:ascii="Arial" w:cs="Arial" w:eastAsia="Arial" w:hAnsi="Arial"/>
          <w:sz w:val="16"/>
          <w:szCs w:val="16"/>
          <w:u w:val="single" w:color="auto"/>
          <w:color w:val="auto"/>
        </w:rPr>
        <w:t>Specified Amount</w:t>
      </w:r>
      <w:r>
        <w:rPr>
          <w:rFonts w:ascii="Arial" w:cs="Arial" w:eastAsia="Arial" w:hAnsi="Arial"/>
          <w:sz w:val="16"/>
          <w:szCs w:val="16"/>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7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Election Date</w:t>
      </w:r>
      <w:r>
        <w:rPr>
          <w:rFonts w:ascii="Arial" w:cs="Arial" w:eastAsia="Arial" w:hAnsi="Arial"/>
          <w:sz w:val="18"/>
          <w:szCs w:val="18"/>
          <w:color w:val="auto"/>
        </w:rPr>
        <w:t>” shall mean the Regular Record Date for the applicable series of Registered Securities or at least 16 days prior to Maturity, as the case may be, or such other prior date for any series of Registered Securities as specified pursuant to clause (xiii) of Section 3.01 by which the written election referred to in Section 3.12(b) may be made.</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pacing w:after="0" w:line="17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the event that the Company determines in good faith that a Conversion Event has occurred with respect to a Foreign Currency, the Company will immediately give written notice thereof and of the applicable Conversion Date to the Trustee of the appropriate series of Securities and to the Exchange Rate Agent (and such Trustee will promptly thereafter give notice in the manner provided in Section 1.06 to the affected Holders) specifying the Conversion Date. In the event the Company so determines that a Conversion Event has occurred with respect to the ECU or any other currency unit in which Securities are denominated or payable, the Company will immediately give written notice thereof to the Trustee of the appropriate series of Securities and to the Exchange Rate Agent (and such Trustee will promptly thereafter give notice in the manner provided in Section 1.06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of the appropriate series of Securities and to the Exchange Rate Agent.</w:t>
      </w:r>
    </w:p>
    <w:p>
      <w:pPr>
        <w:spacing w:after="0" w:line="16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Appointment and Resignation of Successor Exchange Rate Agent</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and so long as the Securities of any series (i) are denominated in a Foreign Currency or</w:t>
      </w:r>
    </w:p>
    <w:p>
      <w:pPr>
        <w:spacing w:after="0" w:line="46" w:lineRule="exact"/>
        <w:rPr>
          <w:rFonts w:ascii="Arial" w:cs="Arial" w:eastAsia="Arial" w:hAnsi="Arial"/>
          <w:sz w:val="16"/>
          <w:szCs w:val="16"/>
          <w:color w:val="auto"/>
        </w:rPr>
      </w:pPr>
    </w:p>
    <w:p>
      <w:pPr>
        <w:ind w:right="40" w:firstLine="8"/>
        <w:spacing w:after="0" w:line="253" w:lineRule="auto"/>
        <w:tabs>
          <w:tab w:leader="none" w:pos="26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91" w:lineRule="exact"/>
        <w:rPr>
          <w:rFonts w:ascii="Arial" w:cs="Arial" w:eastAsia="Arial" w:hAnsi="Arial"/>
          <w:sz w:val="18"/>
          <w:szCs w:val="18"/>
          <w:color w:val="auto"/>
        </w:rPr>
      </w:pPr>
    </w:p>
    <w:p>
      <w:pPr>
        <w:jc w:val="both"/>
        <w:ind w:firstLine="464"/>
        <w:spacing w:after="0" w:line="286" w:lineRule="auto"/>
        <w:tabs>
          <w:tab w:leader="none" w:pos="711" w:val="left"/>
        </w:tabs>
        <w:numPr>
          <w:ilvl w:val="1"/>
          <w:numId w:val="226"/>
        </w:numPr>
        <w:rPr>
          <w:rFonts w:ascii="Arial" w:cs="Arial" w:eastAsia="Arial" w:hAnsi="Arial"/>
          <w:sz w:val="17"/>
          <w:szCs w:val="17"/>
          <w:color w:val="auto"/>
        </w:rPr>
      </w:pPr>
      <w:r>
        <w:rPr>
          <w:rFonts w:ascii="Arial" w:cs="Arial" w:eastAsia="Arial" w:hAnsi="Arial"/>
          <w:sz w:val="17"/>
          <w:szCs w:val="17"/>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65" w:lineRule="exact"/>
        <w:rPr>
          <w:rFonts w:ascii="Arial" w:cs="Arial" w:eastAsia="Arial" w:hAnsi="Arial"/>
          <w:sz w:val="17"/>
          <w:szCs w:val="17"/>
          <w:color w:val="auto"/>
        </w:rPr>
      </w:pPr>
    </w:p>
    <w:p>
      <w:pPr>
        <w:ind w:right="180" w:firstLine="464"/>
        <w:spacing w:after="0" w:line="293" w:lineRule="auto"/>
        <w:tabs>
          <w:tab w:leader="none" w:pos="701"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advise the Trustee as promptly as practicable in writing of any change in the CUSIP numbers.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w:t>
      </w:r>
    </w:p>
    <w:p>
      <w:pPr>
        <w:spacing w:after="0" w:line="188" w:lineRule="exact"/>
        <w:rPr>
          <w:sz w:val="20"/>
          <w:szCs w:val="20"/>
          <w:color w:val="auto"/>
        </w:rPr>
      </w:pPr>
    </w:p>
    <w:p>
      <w:pPr>
        <w:ind w:left="700" w:hanging="236"/>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firstLine="443"/>
        <w:spacing w:after="0" w:line="279" w:lineRule="auto"/>
        <w:tabs>
          <w:tab w:leader="none" w:pos="1113"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all Securities of such series theretofore authenticated and delivered (other than (i) Securities that have been destroyed, lost or stolen and which have been replaced or paid as provided in Section 3.06 and (ii) Securities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Securities of such series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227"/>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227"/>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920" w:right="120" w:firstLine="421"/>
        <w:spacing w:after="0" w:line="255" w:lineRule="auto"/>
        <w:tabs>
          <w:tab w:leader="none" w:pos="1595" w:val="left"/>
        </w:tabs>
        <w:numPr>
          <w:ilvl w:val="2"/>
          <w:numId w:val="227"/>
        </w:numPr>
        <w:rPr>
          <w:rFonts w:ascii="Arial" w:cs="Arial" w:eastAsia="Arial" w:hAnsi="Arial"/>
          <w:sz w:val="18"/>
          <w:szCs w:val="18"/>
          <w:color w:val="auto"/>
        </w:rPr>
      </w:pPr>
      <w:r>
        <w:rPr>
          <w:rFonts w:ascii="Arial" w:cs="Arial" w:eastAsia="Arial" w:hAnsi="Arial"/>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89" w:lineRule="exact"/>
        <w:rPr>
          <w:rFonts w:ascii="Arial" w:cs="Arial" w:eastAsia="Arial" w:hAnsi="Arial"/>
          <w:sz w:val="18"/>
          <w:szCs w:val="18"/>
          <w:color w:val="auto"/>
        </w:rPr>
      </w:pPr>
    </w:p>
    <w:p>
      <w:pPr>
        <w:ind w:left="720" w:hanging="256"/>
        <w:spacing w:after="0"/>
        <w:tabs>
          <w:tab w:leader="none" w:pos="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 has irrevocably paid or caused to be irrevocably paid all other sums payable hereunder by the Company; and</w:t>
      </w:r>
    </w:p>
    <w:p>
      <w:pPr>
        <w:spacing w:after="0" w:line="225" w:lineRule="exact"/>
        <w:rPr>
          <w:rFonts w:ascii="Arial" w:cs="Arial" w:eastAsia="Arial" w:hAnsi="Arial"/>
          <w:sz w:val="18"/>
          <w:szCs w:val="18"/>
          <w:color w:val="auto"/>
        </w:rPr>
      </w:pPr>
    </w:p>
    <w:p>
      <w:pPr>
        <w:ind w:right="460" w:firstLine="464"/>
        <w:spacing w:after="0" w:line="277" w:lineRule="auto"/>
        <w:tabs>
          <w:tab w:leader="none" w:pos="7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(ii) of clause (a) of this Section, the obligations of the Trustee under Section 4.02 and the last paragraph of Section 10.03 shall survive any termination of this Indenture.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Application of Trust Funds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spacing w:after="0" w:line="80" w:lineRule="exact"/>
        <w:rPr>
          <w:sz w:val="20"/>
          <w:szCs w:val="20"/>
          <w:color w:val="auto"/>
        </w:rPr>
      </w:pPr>
    </w:p>
    <w:p>
      <w:pPr>
        <w:ind w:left="460" w:right="140" w:firstLine="443"/>
        <w:spacing w:after="0" w:line="277" w:lineRule="auto"/>
        <w:tabs>
          <w:tab w:leader="none" w:pos="111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such interest becomes due and payable, and continuance of such default for a period of 30 days; or</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6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any Security of that series when it becomes due and payable at its Maturity, and continuance of such default for a period of 5 days; or</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21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Security of that series, and continuance of such default for a period of 5 days; or</w:t>
      </w:r>
    </w:p>
    <w:p>
      <w:pPr>
        <w:spacing w:after="0" w:line="62" w:lineRule="exact"/>
        <w:rPr>
          <w:rFonts w:ascii="Arial" w:cs="Arial" w:eastAsia="Arial" w:hAnsi="Arial"/>
          <w:sz w:val="18"/>
          <w:szCs w:val="18"/>
          <w:color w:val="auto"/>
        </w:rPr>
      </w:pPr>
    </w:p>
    <w:p>
      <w:pPr>
        <w:ind w:left="460" w:right="40" w:firstLine="443"/>
        <w:spacing w:after="0" w:line="273" w:lineRule="auto"/>
        <w:tabs>
          <w:tab w:leader="none" w:pos="120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agreement of the Company in this Indenture with respect to any Security of that series (other than a covenant or agreement a default in whose performance or whose breach is elsewhere in this Section specifically dealt with or that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Arial" w:cs="Arial" w:eastAsia="Arial" w:hAnsi="Arial"/>
          <w:sz w:val="17"/>
          <w:szCs w:val="17"/>
          <w:u w:val="single" w:color="auto"/>
          <w:color w:val="auto"/>
        </w:rPr>
        <w:t>Notice of Default</w:t>
      </w:r>
      <w:r>
        <w:rPr>
          <w:rFonts w:ascii="Arial" w:cs="Arial" w:eastAsia="Arial" w:hAnsi="Arial"/>
          <w:sz w:val="17"/>
          <w:szCs w:val="17"/>
          <w:color w:val="auto"/>
        </w:rPr>
        <w:t>” hereunder;</w:t>
      </w:r>
    </w:p>
    <w:p>
      <w:pPr>
        <w:spacing w:after="0" w:line="70" w:lineRule="exact"/>
        <w:rPr>
          <w:rFonts w:ascii="Arial" w:cs="Arial" w:eastAsia="Arial" w:hAnsi="Arial"/>
          <w:sz w:val="17"/>
          <w:szCs w:val="17"/>
          <w:color w:val="auto"/>
        </w:rPr>
      </w:pPr>
    </w:p>
    <w:p>
      <w:pPr>
        <w:ind w:left="1160" w:hanging="257"/>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commences a voluntary case or proceeding under any Bankruptcy Law,</w:t>
      </w:r>
    </w:p>
    <w:p>
      <w:pPr>
        <w:spacing w:after="0" w:line="117" w:lineRule="exact"/>
        <w:rPr>
          <w:rFonts w:ascii="Arial" w:cs="Arial" w:eastAsia="Arial" w:hAnsi="Arial"/>
          <w:sz w:val="18"/>
          <w:szCs w:val="18"/>
          <w:color w:val="auto"/>
        </w:rPr>
      </w:pPr>
    </w:p>
    <w:p>
      <w:pPr>
        <w:ind w:left="920" w:right="240" w:firstLine="421"/>
        <w:spacing w:after="0" w:line="277" w:lineRule="auto"/>
        <w:tabs>
          <w:tab w:leader="none" w:pos="159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consents to the commencement of any bankruptcy or insolvency case or proceeding against it, or files a petition or answer or consent seeking reorganization or relief against it,</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consents to the entry of a decree or order for relief against it in an involuntary case or proceeding,</w:t>
      </w:r>
    </w:p>
    <w:p>
      <w:pPr>
        <w:spacing w:after="0" w:line="117" w:lineRule="exact"/>
        <w:rPr>
          <w:rFonts w:ascii="Arial" w:cs="Arial" w:eastAsia="Arial" w:hAnsi="Arial"/>
          <w:sz w:val="18"/>
          <w:szCs w:val="18"/>
          <w:color w:val="auto"/>
        </w:rPr>
      </w:pPr>
    </w:p>
    <w:p>
      <w:pPr>
        <w:ind w:left="920" w:right="660" w:firstLine="421"/>
        <w:spacing w:after="0" w:line="277" w:lineRule="auto"/>
        <w:tabs>
          <w:tab w:leader="none" w:pos="159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consents to the filing of such petition or to the appointment of or taking possession by a Custodian of the Company or for all or substantially all of its property, or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makes an assignment for the benefit of creditors, or admits in writing of its inability to pay its debts generally as they become due</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or takes any corporate action in furtherance of any such action;</w:t>
      </w:r>
    </w:p>
    <w:p>
      <w:pPr>
        <w:spacing w:after="0" w:line="117" w:lineRule="exact"/>
        <w:rPr>
          <w:sz w:val="20"/>
          <w:szCs w:val="20"/>
          <w:color w:val="auto"/>
        </w:rPr>
      </w:pPr>
    </w:p>
    <w:p>
      <w:pPr>
        <w:ind w:left="5620" w:right="3660" w:hanging="4717"/>
        <w:spacing w:after="0" w:line="449" w:lineRule="auto"/>
        <w:tabs>
          <w:tab w:leader="none" w:pos="120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31</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00" w:hanging="259"/>
        <w:spacing w:after="0"/>
        <w:tabs>
          <w:tab w:leader="none" w:pos="16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 or proceeding, or</w:t>
      </w:r>
    </w:p>
    <w:p>
      <w:pPr>
        <w:spacing w:after="0" w:line="117" w:lineRule="exact"/>
        <w:rPr>
          <w:rFonts w:ascii="Arial" w:cs="Arial" w:eastAsia="Arial" w:hAnsi="Arial"/>
          <w:sz w:val="18"/>
          <w:szCs w:val="18"/>
          <w:color w:val="auto"/>
        </w:rPr>
      </w:pPr>
    </w:p>
    <w:p>
      <w:pPr>
        <w:ind w:left="920" w:right="140" w:firstLine="421"/>
        <w:spacing w:after="0" w:line="277" w:lineRule="auto"/>
        <w:tabs>
          <w:tab w:leader="none" w:pos="159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920" w:firstLine="421"/>
        <w:spacing w:after="0" w:line="277" w:lineRule="auto"/>
        <w:tabs>
          <w:tab w:leader="none" w:pos="159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and the continuance of any such decree or order for relief or any such other decree or order remains unstayed and in effect for a period of 90 consecutive days;</w:t>
      </w:r>
    </w:p>
    <w:p>
      <w:pPr>
        <w:spacing w:after="0" w:line="62" w:lineRule="exact"/>
        <w:rPr>
          <w:rFonts w:ascii="Arial" w:cs="Arial" w:eastAsia="Arial" w:hAnsi="Arial"/>
          <w:sz w:val="18"/>
          <w:szCs w:val="18"/>
          <w:color w:val="auto"/>
        </w:rPr>
      </w:pPr>
    </w:p>
    <w:p>
      <w:pPr>
        <w:ind w:left="460" w:right="160" w:firstLine="443"/>
        <w:spacing w:after="0" w:line="286" w:lineRule="auto"/>
        <w:tabs>
          <w:tab w:leader="none" w:pos="1253"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pursuant to Sections 18(a)(1)(c)(ii) and 61 of the Investment Company Act of 1940, as amended, on the last business day of each of twenty-four consecutive calendar months any class of Securities shall have an asset coverage (as such term is used in the Investment Company Act of 1940) of less than 100 per centum, giving effect to any exemptive relief granted to the Company by the Commission; or</w:t>
      </w:r>
    </w:p>
    <w:p>
      <w:pPr>
        <w:spacing w:after="0" w:line="57" w:lineRule="exact"/>
        <w:rPr>
          <w:rFonts w:ascii="Arial" w:cs="Arial" w:eastAsia="Arial" w:hAnsi="Arial"/>
          <w:sz w:val="17"/>
          <w:szCs w:val="17"/>
          <w:color w:val="auto"/>
        </w:rPr>
      </w:pPr>
    </w:p>
    <w:p>
      <w:pPr>
        <w:ind w:left="1300" w:hanging="397"/>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U.S. Code or any applicable federal or state bankruptcy, insolvency, reorganization or other similar law.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Custodian</w:t>
      </w:r>
      <w:r>
        <w:rPr>
          <w:rFonts w:ascii="Arial" w:cs="Arial" w:eastAsia="Arial" w:hAnsi="Arial"/>
          <w:sz w:val="17"/>
          <w:szCs w:val="17"/>
          <w:color w:val="auto"/>
        </w:rPr>
        <w:t>” means any custodian, receiver, trustee, assignee, liquidator, sequestrator or other similar official under any Bankruptcy Law.</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then and in every such case the Trustee (if a Responsible Officer has actual knowledge of such Event of Default)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39" w:lineRule="exact"/>
        <w:rPr>
          <w:sz w:val="20"/>
          <w:szCs w:val="20"/>
          <w:color w:val="auto"/>
        </w:rPr>
      </w:pPr>
    </w:p>
    <w:p>
      <w:pPr>
        <w:ind w:left="460" w:right="100" w:firstLine="443"/>
        <w:spacing w:after="0" w:line="291" w:lineRule="auto"/>
        <w:tabs>
          <w:tab w:leader="none" w:pos="111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w:t>
      </w:r>
    </w:p>
    <w:p>
      <w:pPr>
        <w:ind w:left="460"/>
        <w:spacing w:after="0"/>
        <w:rPr>
          <w:rFonts w:ascii="Arial" w:cs="Arial" w:eastAsia="Arial" w:hAnsi="Arial"/>
          <w:sz w:val="16"/>
          <w:szCs w:val="16"/>
          <w:color w:val="auto"/>
        </w:rPr>
      </w:pPr>
      <w:r>
        <w:rPr>
          <w:rFonts w:ascii="Arial" w:cs="Arial" w:eastAsia="Arial" w:hAnsi="Arial"/>
          <w:sz w:val="18"/>
          <w:szCs w:val="18"/>
          <w:color w:val="auto"/>
        </w:rPr>
        <w:t>3.12(d) and 3.12(e)):</w:t>
      </w:r>
    </w:p>
    <w:p>
      <w:pPr>
        <w:spacing w:after="0" w:line="102" w:lineRule="exact"/>
        <w:rPr>
          <w:rFonts w:ascii="Arial" w:cs="Arial" w:eastAsia="Arial" w:hAnsi="Arial"/>
          <w:sz w:val="16"/>
          <w:szCs w:val="16"/>
          <w:color w:val="auto"/>
        </w:rPr>
      </w:pPr>
    </w:p>
    <w:p>
      <w:pPr>
        <w:ind w:left="1600" w:hanging="259"/>
        <w:spacing w:after="0"/>
        <w:tabs>
          <w:tab w:leader="none" w:pos="16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overdue installments of interest, if any, on all Outstanding Securities of that series,</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9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principal of (and premium, if any) all Outstanding Securities of that series that have become due otherwise than by such declaration of acceleration and interest thereon at the rate or rates borne by or provided for in such Securities,</w:t>
      </w:r>
    </w:p>
    <w:p>
      <w:pPr>
        <w:spacing w:after="0" w:line="62" w:lineRule="exact"/>
        <w:rPr>
          <w:rFonts w:ascii="Arial" w:cs="Arial" w:eastAsia="Arial" w:hAnsi="Arial"/>
          <w:sz w:val="18"/>
          <w:szCs w:val="18"/>
          <w:color w:val="auto"/>
        </w:rPr>
      </w:pPr>
    </w:p>
    <w:p>
      <w:pPr>
        <w:ind w:left="920" w:right="580" w:firstLine="421"/>
        <w:spacing w:after="0" w:line="277" w:lineRule="auto"/>
        <w:tabs>
          <w:tab w:leader="none" w:pos="159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left="920" w:right="340" w:firstLine="421"/>
        <w:spacing w:after="0" w:line="277" w:lineRule="auto"/>
        <w:tabs>
          <w:tab w:leader="none" w:pos="159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460" w:right="60" w:firstLine="443"/>
        <w:spacing w:after="0" w:line="342" w:lineRule="auto"/>
        <w:tabs>
          <w:tab w:leader="none" w:pos="116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Events of Default with respect to Securities of that series, other than the nonpayment of the principal of (or premium, if any) or interest on Securities of that series that have become due solely by such declaration of acceleration, have been cured or waived as provided in Section 5.13.</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60" w:right="2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60" w:right="220" w:firstLine="443"/>
        <w:spacing w:after="0" w:line="277" w:lineRule="auto"/>
        <w:tabs>
          <w:tab w:leader="none" w:pos="111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any Security of any series at its Maturity,</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then the Company will, upon demand of the Trustee, pay to the Trustee, for the benefit of the Holders of Securities of such series, the whole amount then due and payable on such Securities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80" w:lineRule="exact"/>
        <w:rPr>
          <w:sz w:val="20"/>
          <w:szCs w:val="20"/>
          <w:color w:val="auto"/>
        </w:rPr>
      </w:pPr>
    </w:p>
    <w:p>
      <w:pPr>
        <w:ind w:left="460" w:right="60" w:firstLine="443"/>
        <w:spacing w:after="0" w:line="276" w:lineRule="auto"/>
        <w:tabs>
          <w:tab w:leader="none" w:pos="1113"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(and take such other actions, including serving on a committee of creditors)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Subject to Article Eight and Section 9.02 and unless otherwise provided as contemplated by Section 3.01, 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and the notation thereon of the payment if only partially paid and upon surrender thereof if fully paid: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SECOND: To the payment of the amounts then due and unpaid upon any Senior Securities for principal (and premium, if any) and interest, if any, in respect of which or for the benefit of which such money has been collected, ratably, without preference or priority of any kind, according to the aggregate amounts due and payable on such Senior Securities for principal (and premium, if any) and interest, if any, respectively; and</w:t>
      </w:r>
    </w:p>
    <w:p>
      <w:pPr>
        <w:spacing w:after="0" w:line="166"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THIRD: To the payment of the amounts then due and unpaid upon any Senior Subordinated Securities for principal (and premium, if any) and interest, if any, in respect of which or for the benefit of which such money has been collected, ratably, without preference or priority of any kind, according to the aggregate amounts due and payable on such Senior Subordinated Securities for principal (and premium, if any) and interest, if any, respectively; and</w:t>
      </w:r>
    </w:p>
    <w:p>
      <w:pPr>
        <w:spacing w:after="0" w:line="147"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FOURTH: To the payment of the amounts then due and unpaid upon any other Securities for principal (and premium, if any) and interest, if any, in respect of which or for the benefit of which such money has been collected, ratably, without preference or priority of any kind, according to the aggregate amounts due and payable on such Securities for principal (and premium, if any) and interest, if any, respectively;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FIFTH: To the payment of the remainder, if any, to the Company or any other Person or Persons entitled thereto.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20" w:hanging="217"/>
        <w:spacing w:after="0"/>
        <w:tabs>
          <w:tab w:leader="none" w:pos="11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left="460" w:right="520" w:firstLine="443"/>
        <w:spacing w:after="0" w:line="277" w:lineRule="auto"/>
        <w:tabs>
          <w:tab w:leader="none" w:pos="116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60" w:right="700" w:firstLine="443"/>
        <w:spacing w:after="0" w:line="277" w:lineRule="auto"/>
        <w:tabs>
          <w:tab w:leader="none" w:pos="121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against the costs, expenses and liabilities to be incurred in compliance with such request;</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security or indemnity has failed to institute any such proceeding;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60" w:right="240" w:firstLine="443"/>
        <w:spacing w:after="0" w:line="277" w:lineRule="auto"/>
        <w:tabs>
          <w:tab w:leader="none" w:pos="115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Notwithstanding any other provision in this Indenture, the Holder of any Security shall have the right, which is absolute and unconditional, to receive payment of the principal of (and premium, if any) and (subject to Sections 3.05 and 3.07) interest, if any, on such Security on the Stated Maturity or Maturities expressed in such Security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as the case may be.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Subject to Section 6.02(v),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1120" w:hanging="217"/>
        <w:spacing w:after="0"/>
        <w:tabs>
          <w:tab w:leader="none" w:pos="11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that is not inconsistent with such direction, and</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21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Trustee need not take any action that might involve it in personal liability or be unjustly prejudicial to the Holders of Securities of such series not consenting.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Subject to Section 5.02, the Holders of not less than a majority in principal amount of the Outstanding Securities of any series may on behalf of the Holders of all the Securities of such series waive any past default hereunder with respect to Securities of such series and its consequences, except a default</w:t>
      </w:r>
    </w:p>
    <w:p>
      <w:pPr>
        <w:spacing w:after="0" w:line="16" w:lineRule="exact"/>
        <w:rPr>
          <w:sz w:val="20"/>
          <w:szCs w:val="20"/>
          <w:color w:val="auto"/>
        </w:rPr>
      </w:pPr>
    </w:p>
    <w:p>
      <w:pPr>
        <w:ind w:left="1120" w:hanging="217"/>
        <w:spacing w:after="0"/>
        <w:tabs>
          <w:tab w:leader="none" w:pos="11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if any, on any Security of such series, or</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6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w:t>
      </w:r>
    </w:p>
    <w:p>
      <w:pPr>
        <w:spacing w:after="0" w:line="170" w:lineRule="exact"/>
        <w:rPr>
          <w:sz w:val="20"/>
          <w:szCs w:val="20"/>
          <w:color w:val="auto"/>
        </w:rPr>
      </w:pPr>
    </w:p>
    <w:p>
      <w:pPr>
        <w:jc w:val="both"/>
        <w:ind w:right="260" w:firstLine="456"/>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77" w:lineRule="auto"/>
        <w:tabs>
          <w:tab w:leader="none" w:pos="70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Within 90 days after the occurrence of any Default hereunder with respect to the Securities of any series, the Trustee shall transmit in the manner and to the extent provided in TIA Section 313(c), notice of such Default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460" w:right="39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hereunder known to a Responsible Officer of the Trustee, unless such Default shall have been cured or waived;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the Securities of such series;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any Default or breach of the character specified in Section 5.01(iv) with respect to the Securities of such series, no such notice to Holders shall be given until at least 90 days after the occurrence thereof.</w:t>
      </w:r>
    </w:p>
    <w:p>
      <w:pPr>
        <w:spacing w:after="0" w:line="189" w:lineRule="exact"/>
        <w:rPr>
          <w:sz w:val="20"/>
          <w:szCs w:val="20"/>
          <w:color w:val="auto"/>
        </w:rPr>
      </w:pPr>
    </w:p>
    <w:p>
      <w:pPr>
        <w:ind w:firstLine="464"/>
        <w:spacing w:after="0" w:line="277" w:lineRule="auto"/>
        <w:tabs>
          <w:tab w:leader="none" w:pos="71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Prior to the time when the occurrence of an Event of Default becomes known to a Responsible Officer of the Trustee and after the curing or waiving of all such Events of Default with respect to a series of Securities that may have occurred:</w:t>
      </w:r>
    </w:p>
    <w:p>
      <w:pPr>
        <w:spacing w:after="0" w:line="62" w:lineRule="exact"/>
        <w:rPr>
          <w:rFonts w:ascii="Arial" w:cs="Arial" w:eastAsia="Arial" w:hAnsi="Arial"/>
          <w:sz w:val="18"/>
          <w:szCs w:val="18"/>
          <w:color w:val="auto"/>
        </w:rPr>
      </w:pPr>
    </w:p>
    <w:p>
      <w:pPr>
        <w:ind w:left="460" w:right="20" w:firstLine="443"/>
        <w:spacing w:after="0" w:line="286" w:lineRule="auto"/>
        <w:tabs>
          <w:tab w:leader="none" w:pos="1113" w:val="left"/>
        </w:tabs>
        <w:numPr>
          <w:ilvl w:val="1"/>
          <w:numId w:val="239"/>
        </w:numPr>
        <w:rPr>
          <w:rFonts w:ascii="Arial" w:cs="Arial" w:eastAsia="Arial" w:hAnsi="Arial"/>
          <w:sz w:val="17"/>
          <w:szCs w:val="17"/>
          <w:color w:val="auto"/>
        </w:rPr>
      </w:pPr>
      <w:r>
        <w:rPr>
          <w:rFonts w:ascii="Arial" w:cs="Arial" w:eastAsia="Arial" w:hAnsi="Arial"/>
          <w:sz w:val="17"/>
          <w:szCs w:val="17"/>
          <w:color w:val="auto"/>
        </w:rPr>
        <w:t>the duties and obligations of the Trustee shall with respect to the Securities of any series be determined solely by the express provisions of this Indenture, and the Trustee shall not be liable with respect to the Securities except for the performance of such duties and obligations as are specifically set forth in this Indenture, and no implied covenants or obligations shall be read into this Indenture against the Trustee; and</w:t>
      </w:r>
    </w:p>
    <w:p>
      <w:pPr>
        <w:spacing w:after="0" w:line="57" w:lineRule="exact"/>
        <w:rPr>
          <w:rFonts w:ascii="Arial" w:cs="Arial" w:eastAsia="Arial" w:hAnsi="Arial"/>
          <w:sz w:val="17"/>
          <w:szCs w:val="17"/>
          <w:color w:val="auto"/>
        </w:rPr>
      </w:pPr>
    </w:p>
    <w:p>
      <w:pPr>
        <w:ind w:left="460" w:right="20" w:firstLine="443"/>
        <w:spacing w:after="0" w:line="276" w:lineRule="auto"/>
        <w:tabs>
          <w:tab w:leader="none" w:pos="1163" w:val="left"/>
        </w:tabs>
        <w:numPr>
          <w:ilvl w:val="1"/>
          <w:numId w:val="239"/>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 and</w:t>
      </w:r>
    </w:p>
    <w:p>
      <w:pPr>
        <w:spacing w:after="0" w:line="64" w:lineRule="exact"/>
        <w:rPr>
          <w:rFonts w:ascii="Arial" w:cs="Arial" w:eastAsia="Arial" w:hAnsi="Arial"/>
          <w:sz w:val="17"/>
          <w:szCs w:val="17"/>
          <w:color w:val="auto"/>
        </w:rPr>
      </w:pPr>
    </w:p>
    <w:p>
      <w:pPr>
        <w:ind w:left="460" w:right="80" w:firstLine="443"/>
        <w:spacing w:after="0" w:line="277" w:lineRule="auto"/>
        <w:tabs>
          <w:tab w:leader="none" w:pos="121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unless it shall be proved that the Trustee was negligent in ascertaining the pertinent facts.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TIA Section 315(a) through 315(d):</w:t>
      </w:r>
    </w:p>
    <w:p>
      <w:pPr>
        <w:spacing w:after="0" w:line="117" w:lineRule="exact"/>
        <w:rPr>
          <w:sz w:val="20"/>
          <w:szCs w:val="20"/>
          <w:color w:val="auto"/>
        </w:rPr>
      </w:pPr>
    </w:p>
    <w:p>
      <w:pPr>
        <w:ind w:left="460" w:right="20" w:firstLine="443"/>
        <w:spacing w:after="0" w:line="264" w:lineRule="auto"/>
        <w:tabs>
          <w:tab w:leader="none" w:pos="111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coupon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jc w:val="both"/>
        <w:ind w:left="460" w:right="140" w:firstLine="443"/>
        <w:spacing w:after="0" w:line="286" w:lineRule="auto"/>
        <w:tabs>
          <w:tab w:leader="none" w:pos="1163"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request or direction of the Company mentioned herein shall be sufficiently evidenced by a Company Request or Company Order (other than delivery of any Security to the Trustee for authentication and delivery pursuant to Section 3.03 which shall be sufficiently evidenced as provided therein) and any resolution of the Board of Directors may be sufficiently evidenced by a Board Resolution.</w:t>
      </w:r>
    </w:p>
    <w:p>
      <w:pPr>
        <w:spacing w:after="0" w:line="57" w:lineRule="exact"/>
        <w:rPr>
          <w:rFonts w:ascii="Arial" w:cs="Arial" w:eastAsia="Arial" w:hAnsi="Arial"/>
          <w:sz w:val="17"/>
          <w:szCs w:val="17"/>
          <w:color w:val="auto"/>
        </w:rPr>
      </w:pPr>
    </w:p>
    <w:p>
      <w:pPr>
        <w:jc w:val="both"/>
        <w:ind w:left="460" w:right="300" w:firstLine="443"/>
        <w:spacing w:after="0" w:line="264" w:lineRule="auto"/>
        <w:tabs>
          <w:tab w:leader="none" w:pos="121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and rely upon a Board Resolution, an Opinion of Counsel and/or an Officers’ Certificate.</w:t>
      </w:r>
    </w:p>
    <w:p>
      <w:pPr>
        <w:spacing w:after="0" w:line="73" w:lineRule="exact"/>
        <w:rPr>
          <w:rFonts w:ascii="Arial" w:cs="Arial" w:eastAsia="Arial" w:hAnsi="Arial"/>
          <w:sz w:val="18"/>
          <w:szCs w:val="18"/>
          <w:color w:val="auto"/>
        </w:rPr>
      </w:pPr>
    </w:p>
    <w:p>
      <w:pPr>
        <w:ind w:left="460" w:right="40" w:firstLine="443"/>
        <w:spacing w:after="0" w:line="277" w:lineRule="auto"/>
        <w:tabs>
          <w:tab w:leader="none" w:pos="120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pursuant to this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60" w:right="2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40"/>
        <w:spacing w:after="0" w:line="342" w:lineRule="auto"/>
        <w:rPr>
          <w:sz w:val="20"/>
          <w:szCs w:val="20"/>
          <w:color w:val="auto"/>
        </w:rPr>
      </w:pPr>
      <w:r>
        <w:rPr>
          <w:rFonts w:ascii="Arial" w:cs="Arial" w:eastAsia="Arial" w:hAnsi="Arial"/>
          <w:sz w:val="16"/>
          <w:szCs w:val="16"/>
          <w:color w:val="auto"/>
        </w:rPr>
        <w:t>Indenture, unless such Holders shall have offered to the Trustee security or indemnity against the costs, expenses and liabilities (including the reasonable fees and expenses of its agents and counsel) which might be incurred by it in compliance with such request or direction.</w:t>
      </w:r>
    </w:p>
    <w:p>
      <w:pPr>
        <w:spacing w:after="0" w:line="16" w:lineRule="exact"/>
        <w:rPr>
          <w:sz w:val="20"/>
          <w:szCs w:val="20"/>
          <w:color w:val="auto"/>
        </w:rPr>
      </w:pPr>
    </w:p>
    <w:p>
      <w:pPr>
        <w:ind w:left="460" w:right="60" w:firstLine="443"/>
        <w:spacing w:after="0" w:line="276" w:lineRule="auto"/>
        <w:tabs>
          <w:tab w:leader="none" w:pos="1203"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w:t>
      </w:r>
    </w:p>
    <w:p>
      <w:pPr>
        <w:spacing w:after="0" w:line="64" w:lineRule="exact"/>
        <w:rPr>
          <w:rFonts w:ascii="Arial" w:cs="Arial" w:eastAsia="Arial" w:hAnsi="Arial"/>
          <w:sz w:val="17"/>
          <w:szCs w:val="17"/>
          <w:color w:val="auto"/>
        </w:rPr>
      </w:pPr>
    </w:p>
    <w:p>
      <w:pPr>
        <w:jc w:val="both"/>
        <w:ind w:left="460" w:right="220" w:firstLine="443"/>
        <w:spacing w:after="0" w:line="264" w:lineRule="auto"/>
        <w:tabs>
          <w:tab w:leader="none" w:pos="125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jc w:val="both"/>
        <w:ind w:left="460" w:right="260" w:firstLine="443"/>
        <w:spacing w:after="0" w:line="264" w:lineRule="auto"/>
        <w:tabs>
          <w:tab w:leader="none" w:pos="130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73" w:lineRule="exact"/>
        <w:rPr>
          <w:rFonts w:ascii="Arial" w:cs="Arial" w:eastAsia="Arial" w:hAnsi="Arial"/>
          <w:sz w:val="18"/>
          <w:szCs w:val="18"/>
          <w:color w:val="auto"/>
        </w:rPr>
      </w:pPr>
    </w:p>
    <w:p>
      <w:pPr>
        <w:ind w:left="460" w:right="60" w:firstLine="443"/>
        <w:spacing w:after="0" w:line="277" w:lineRule="auto"/>
        <w:tabs>
          <w:tab w:leader="none" w:pos="120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20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460" w:right="100" w:firstLine="443"/>
        <w:spacing w:after="0" w:line="312" w:lineRule="auto"/>
        <w:tabs>
          <w:tab w:leader="none" w:pos="1253"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38" w:lineRule="exact"/>
        <w:rPr>
          <w:rFonts w:ascii="Arial" w:cs="Arial" w:eastAsia="Arial" w:hAnsi="Arial"/>
          <w:sz w:val="16"/>
          <w:szCs w:val="16"/>
          <w:color w:val="auto"/>
        </w:rPr>
      </w:pPr>
    </w:p>
    <w:p>
      <w:pPr>
        <w:jc w:val="both"/>
        <w:ind w:left="460" w:right="340" w:firstLine="443"/>
        <w:spacing w:after="0" w:line="264" w:lineRule="auto"/>
        <w:tabs>
          <w:tab w:leader="none" w:pos="130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73" w:lineRule="exact"/>
        <w:rPr>
          <w:rFonts w:ascii="Arial" w:cs="Arial" w:eastAsia="Arial" w:hAnsi="Arial"/>
          <w:sz w:val="18"/>
          <w:szCs w:val="18"/>
          <w:color w:val="auto"/>
        </w:rPr>
      </w:pPr>
    </w:p>
    <w:p>
      <w:pPr>
        <w:ind w:left="460" w:firstLine="443"/>
        <w:spacing w:after="0" w:line="259" w:lineRule="auto"/>
        <w:tabs>
          <w:tab w:leader="none" w:pos="129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failure or delay in the performance of its obligations under this Indenture arising out of or caused, directly or indirectly, by circumstances beyond its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78" w:lineRule="exact"/>
        <w:rPr>
          <w:rFonts w:ascii="Arial" w:cs="Arial" w:eastAsia="Arial" w:hAnsi="Arial"/>
          <w:sz w:val="18"/>
          <w:szCs w:val="18"/>
          <w:color w:val="auto"/>
        </w:rPr>
      </w:pPr>
    </w:p>
    <w:p>
      <w:pPr>
        <w:ind w:left="460" w:right="240" w:firstLine="443"/>
        <w:spacing w:after="0" w:line="264" w:lineRule="auto"/>
        <w:tabs>
          <w:tab w:leader="none" w:pos="124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or duties hereunder.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The Trustee, any Paying Agent, Security Registrar, Authenticating Agent or any other agent of the Company, in its individual or any other capacity, may become the owner or pledgee of Securities and, subject to TIA Sections 310(b) and 311, may otherwise deal with the Company with the same rights it would have if it were not Trustee, Paying Agent, Security Registrar, Authenticating Agent or such other agent.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 and Indemnification of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left="460" w:firstLine="443"/>
        <w:spacing w:after="0" w:line="264" w:lineRule="auto"/>
        <w:tabs>
          <w:tab w:leader="none" w:pos="111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pay to the Trustee or any predecessor Trustee from time to time such reasonable compensation for all services rendered by it hereunder as has been agreed upon from time to time in writing (which compensation shall not be limited by any provision of law in regard to the compensation of a trustee of an express trust).</w:t>
      </w:r>
    </w:p>
    <w:p>
      <w:pPr>
        <w:spacing w:after="0" w:line="73" w:lineRule="exact"/>
        <w:rPr>
          <w:rFonts w:ascii="Arial" w:cs="Arial" w:eastAsia="Arial" w:hAnsi="Arial"/>
          <w:sz w:val="18"/>
          <w:szCs w:val="18"/>
          <w:color w:val="auto"/>
        </w:rPr>
      </w:pPr>
    </w:p>
    <w:p>
      <w:pPr>
        <w:ind w:left="460" w:right="60" w:firstLine="443"/>
        <w:spacing w:after="0" w:line="259" w:lineRule="auto"/>
        <w:tabs>
          <w:tab w:leader="none" w:pos="116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willful misconduct.</w:t>
      </w:r>
    </w:p>
    <w:p>
      <w:pPr>
        <w:spacing w:after="0" w:line="78" w:lineRule="exact"/>
        <w:rPr>
          <w:rFonts w:ascii="Arial" w:cs="Arial" w:eastAsia="Arial" w:hAnsi="Arial"/>
          <w:sz w:val="18"/>
          <w:szCs w:val="18"/>
          <w:color w:val="auto"/>
        </w:rPr>
      </w:pPr>
    </w:p>
    <w:p>
      <w:pPr>
        <w:ind w:left="460" w:firstLine="443"/>
        <w:spacing w:after="0" w:line="259" w:lineRule="auto"/>
        <w:tabs>
          <w:tab w:leader="none" w:pos="121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indemnify each of the Trustee or any predecessor Trustee for, and to hold it harmless against, any loss, liability or expense incurred without negligence or willful misconduct on its own part, arising out of or in connection with the acceptance or administration of the trust or trusts hereunder, including the costs and expenses (including the reasonable fees and expenses of its agents and counsel) of defending itself against any claim or liability in connection with the exercise or performance of any of its powers or duties hereunder.</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60" w:right="29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provisions of this Section 6.06 shall survive the resignation or removal of the Trustee and the satisfaction, termination or discharge of this Indenture.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shall at all times be a Trustee hereunder that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620" w:firstLine="464"/>
        <w:spacing w:after="0" w:line="277" w:lineRule="auto"/>
        <w:tabs>
          <w:tab w:leader="none" w:pos="70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Trustee may resign at any time with respect to the Securities of one or more series by giving written notice thereof to the Company.</w:t>
      </w:r>
    </w:p>
    <w:p>
      <w:pPr>
        <w:spacing w:after="0" w:line="236" w:lineRule="exact"/>
        <w:rPr>
          <w:rFonts w:ascii="Arial" w:cs="Arial" w:eastAsia="Arial" w:hAnsi="Arial"/>
          <w:sz w:val="17"/>
          <w:szCs w:val="17"/>
          <w:color w:val="auto"/>
        </w:rPr>
      </w:pPr>
    </w:p>
    <w:p>
      <w:pPr>
        <w:ind w:right="160" w:firstLine="464"/>
        <w:spacing w:after="0" w:line="277" w:lineRule="auto"/>
        <w:tabs>
          <w:tab w:leader="none" w:pos="69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1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left="460" w:right="500" w:firstLine="443"/>
        <w:spacing w:after="0" w:line="277" w:lineRule="auto"/>
        <w:tabs>
          <w:tab w:leader="none" w:pos="116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jc w:val="both"/>
        <w:ind w:left="460" w:right="120" w:firstLine="443"/>
        <w:spacing w:after="0" w:line="264" w:lineRule="auto"/>
        <w:tabs>
          <w:tab w:leader="none" w:pos="121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64" w:lineRule="auto"/>
        <w:tabs>
          <w:tab w:leader="none" w:pos="70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w:t>
      </w:r>
    </w:p>
    <w:p>
      <w:pPr>
        <w:spacing w:after="0" w:line="181" w:lineRule="exact"/>
        <w:rPr>
          <w:rFonts w:ascii="Arial" w:cs="Arial" w:eastAsia="Arial" w:hAnsi="Arial"/>
          <w:sz w:val="18"/>
          <w:szCs w:val="18"/>
          <w:color w:val="auto"/>
        </w:rPr>
      </w:pPr>
    </w:p>
    <w:p>
      <w:pPr>
        <w:ind w:firstLine="464"/>
        <w:spacing w:after="0" w:line="287" w:lineRule="auto"/>
        <w:tabs>
          <w:tab w:leader="none" w:pos="68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2" w:lineRule="exact"/>
        <w:rPr>
          <w:rFonts w:ascii="Arial" w:cs="Arial" w:eastAsia="Arial" w:hAnsi="Arial"/>
          <w:sz w:val="16"/>
          <w:szCs w:val="16"/>
          <w:color w:val="auto"/>
        </w:rPr>
      </w:pPr>
    </w:p>
    <w:p>
      <w:pPr>
        <w:ind w:right="40" w:firstLine="464"/>
        <w:spacing w:after="0" w:line="312" w:lineRule="auto"/>
        <w:tabs>
          <w:tab w:leader="none" w:pos="71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5" w:lineRule="auto"/>
        <w:tabs>
          <w:tab w:leader="none" w:pos="70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9" w:lineRule="exact"/>
        <w:rPr>
          <w:rFonts w:ascii="Arial" w:cs="Arial" w:eastAsia="Arial" w:hAnsi="Arial"/>
          <w:sz w:val="18"/>
          <w:szCs w:val="18"/>
          <w:color w:val="auto"/>
        </w:rPr>
      </w:pPr>
    </w:p>
    <w:p>
      <w:pPr>
        <w:ind w:right="140" w:firstLine="464"/>
        <w:spacing w:after="0" w:line="270" w:lineRule="auto"/>
        <w:tabs>
          <w:tab w:leader="none" w:pos="71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that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w:t>
      </w:r>
      <w:r>
        <w:rPr>
          <w:rFonts w:ascii="Arial" w:cs="Arial" w:eastAsia="Arial" w:hAnsi="Arial"/>
          <w:sz w:val="16"/>
          <w:szCs w:val="16"/>
          <w:u w:val="single" w:color="auto"/>
          <w:color w:val="auto"/>
        </w:rPr>
        <w:t>Indenture</w:t>
      </w:r>
      <w:r>
        <w:rPr>
          <w:rFonts w:ascii="Arial" w:cs="Arial" w:eastAsia="Arial" w:hAnsi="Arial"/>
          <w:sz w:val="16"/>
          <w:szCs w:val="16"/>
          <w:color w:val="auto"/>
        </w:rPr>
        <w:t>” and “</w:t>
      </w:r>
      <w:r>
        <w:rPr>
          <w:rFonts w:ascii="Arial" w:cs="Arial" w:eastAsia="Arial" w:hAnsi="Arial"/>
          <w:sz w:val="16"/>
          <w:szCs w:val="16"/>
          <w:u w:val="single" w:color="auto"/>
          <w:color w:val="auto"/>
        </w:rPr>
        <w:t>Securities</w:t>
      </w:r>
      <w:r>
        <w:rPr>
          <w:rFonts w:ascii="Arial" w:cs="Arial" w:eastAsia="Arial" w:hAnsi="Arial"/>
          <w:sz w:val="16"/>
          <w:szCs w:val="16"/>
          <w:color w:val="auto"/>
        </w:rPr>
        <w:t>” shall have the meanings specified in the provisos to the respective definition of those terms in Section 1.01 which contemplate such situation.</w:t>
      </w:r>
    </w:p>
    <w:p>
      <w:pPr>
        <w:spacing w:after="0" w:line="166" w:lineRule="exact"/>
        <w:rPr>
          <w:sz w:val="20"/>
          <w:szCs w:val="20"/>
          <w:color w:val="auto"/>
        </w:rPr>
      </w:pPr>
    </w:p>
    <w:p>
      <w:pPr>
        <w:jc w:val="both"/>
        <w:ind w:right="280" w:firstLine="464"/>
        <w:spacing w:after="0" w:line="342" w:lineRule="auto"/>
        <w:tabs>
          <w:tab w:leader="none" w:pos="70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reasonably necessary to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right="100" w:firstLine="464"/>
        <w:spacing w:after="0" w:line="277" w:lineRule="auto"/>
        <w:tabs>
          <w:tab w:leader="none" w:pos="71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At any time when any of the Securities remain Outstanding, the Trustee may appoint an Authenticating Agent or Agents (which may be an Affiliate or Affiliates of the Company) with respect to one or more series of Securities that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combined capital and surplus of not less than $1,500,000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9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w:t>
      </w:r>
    </w:p>
    <w:p>
      <w:pPr>
        <w:spacing w:after="0" w:line="17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Wells Fargo Bank, National Association, as Authenticating</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and conditions of such appointment are reasonably acceptable to the Trustee.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Disclosure of Names and Addresses of Holders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117" w:lineRule="exact"/>
        <w:rPr>
          <w:sz w:val="20"/>
          <w:szCs w:val="20"/>
          <w:color w:val="auto"/>
        </w:rPr>
      </w:pPr>
    </w:p>
    <w:p>
      <w:pPr>
        <w:ind w:right="100" w:firstLine="464"/>
        <w:spacing w:after="0" w:line="286" w:lineRule="auto"/>
        <w:tabs>
          <w:tab w:leader="none" w:pos="70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65" w:lineRule="exact"/>
        <w:rPr>
          <w:rFonts w:ascii="Arial" w:cs="Arial" w:eastAsia="Arial" w:hAnsi="Arial"/>
          <w:sz w:val="17"/>
          <w:szCs w:val="17"/>
          <w:color w:val="auto"/>
        </w:rPr>
      </w:pPr>
    </w:p>
    <w:p>
      <w:pPr>
        <w:ind w:right="840" w:firstLine="464"/>
        <w:spacing w:after="0" w:line="277" w:lineRule="auto"/>
        <w:tabs>
          <w:tab w:leader="none" w:pos="7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170" w:lineRule="exact"/>
        <w:rPr>
          <w:rFonts w:ascii="Arial" w:cs="Arial" w:eastAsia="Arial" w:hAnsi="Arial"/>
          <w:sz w:val="18"/>
          <w:szCs w:val="18"/>
          <w:color w:val="auto"/>
        </w:rPr>
      </w:pPr>
    </w:p>
    <w:p>
      <w:pPr>
        <w:jc w:val="both"/>
        <w:ind w:right="160" w:firstLine="464"/>
        <w:spacing w:after="0" w:line="264" w:lineRule="auto"/>
        <w:tabs>
          <w:tab w:leader="none" w:pos="70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Within 60 days after May 15 of each year commencing with the first May 15 after the first issuance of Securities pursuant to this Indenture, the Trustee shall transmit by mail to all Holders of Securities as provided in TIA Section 313(c) a brief report dated as of such May 15 which meets the requirements of TIA Section 313(a).</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with the Commission and with the Company. The Company will promptly notify the Trustee of the listing of the Securities on any stock exchange. In the event that, on any such reporting date, no events have occurred under the applicable sections of the TIA within the 12 months preceding such reporting date, the Trustee shall be under no duty or obligation to provide such reports.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Reports by Company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Company will file with the Trustee and the Commission, and transmit to Holders, such information, documents and other reports, and such summaries thereof, as may be required pursuant to the Trust Indenture Act;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information, documents or reports filed electronically with the Commission pursuant to Section 13 or 15(d) of the Exchange Act shall be deemed filed with and delivered to the Trustee and the Holders at the same time as filed with the Commission.</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Calculation of Original Issue Discount</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Unless otherwise provided in the terms of such Securities, the Company shall not consolidate with or merge with or into any other corporation or convey or transfer all or substantially all of its properties and assets to any Person, unless:</w:t>
      </w:r>
    </w:p>
    <w:p>
      <w:pPr>
        <w:spacing w:after="0" w:line="62" w:lineRule="exact"/>
        <w:rPr>
          <w:sz w:val="20"/>
          <w:szCs w:val="20"/>
          <w:color w:val="auto"/>
        </w:rPr>
      </w:pPr>
    </w:p>
    <w:p>
      <w:pPr>
        <w:ind w:left="460" w:right="160" w:firstLine="443"/>
        <w:spacing w:after="0" w:line="276" w:lineRule="auto"/>
        <w:tabs>
          <w:tab w:leader="none" w:pos="111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either the Company shall be the continuing corporation, or the corporation (if other than the Company) formed by such consolidation or into which the Company is merged or the Person which acquires by conveyance or transfer all or substantially all of the properties and assets of the Company shall expressly assume, by an indenture supplemental hereto, executed and delivered to the Trustee, in form reasonably satisfactory to the Trustee, the due and punctual payment of the principal of (and premium, if any) and interest, if any, on all the Securities and the performance of every covenant of this Indenture on the part of the Company to be performed or observed;</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 and</w:t>
      </w:r>
    </w:p>
    <w:p>
      <w:pPr>
        <w:spacing w:after="0" w:line="117" w:lineRule="exact"/>
        <w:rPr>
          <w:rFonts w:ascii="Arial" w:cs="Arial" w:eastAsia="Arial" w:hAnsi="Arial"/>
          <w:sz w:val="18"/>
          <w:szCs w:val="18"/>
          <w:color w:val="auto"/>
        </w:rPr>
      </w:pPr>
    </w:p>
    <w:p>
      <w:pPr>
        <w:ind w:left="460" w:right="200" w:firstLine="443"/>
        <w:spacing w:after="0" w:line="264" w:lineRule="auto"/>
        <w:tabs>
          <w:tab w:leader="none" w:pos="121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and the successor Person have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Person Substituted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may be dissolved and liquidated.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Without the consent of any Holders of Securities,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73" w:lineRule="exact"/>
        <w:rPr>
          <w:sz w:val="20"/>
          <w:szCs w:val="20"/>
          <w:color w:val="auto"/>
        </w:rPr>
      </w:pPr>
    </w:p>
    <w:p>
      <w:pPr>
        <w:ind w:left="460" w:right="380" w:firstLine="443"/>
        <w:spacing w:after="0" w:line="277" w:lineRule="auto"/>
        <w:tabs>
          <w:tab w:leader="none" w:pos="111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contained;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firstLine="443"/>
        <w:spacing w:after="0" w:line="264" w:lineRule="auto"/>
        <w:tabs>
          <w:tab w:leader="none" w:pos="116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3" w:lineRule="exact"/>
        <w:rPr>
          <w:rFonts w:ascii="Arial" w:cs="Arial" w:eastAsia="Arial" w:hAnsi="Arial"/>
          <w:sz w:val="18"/>
          <w:szCs w:val="18"/>
          <w:color w:val="auto"/>
        </w:rPr>
      </w:pPr>
    </w:p>
    <w:p>
      <w:pPr>
        <w:ind w:left="460" w:right="20" w:firstLine="443"/>
        <w:spacing w:after="0" w:line="293" w:lineRule="auto"/>
        <w:tabs>
          <w:tab w:leader="none" w:pos="121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56" w:lineRule="exact"/>
        <w:rPr>
          <w:rFonts w:ascii="Arial" w:cs="Arial" w:eastAsia="Arial" w:hAnsi="Arial"/>
          <w:sz w:val="16"/>
          <w:szCs w:val="16"/>
          <w:color w:val="auto"/>
        </w:rPr>
      </w:pPr>
    </w:p>
    <w:p>
      <w:pPr>
        <w:ind w:left="1200" w:hanging="297"/>
        <w:spacing w:after="0"/>
        <w:tabs>
          <w:tab w:leader="none" w:pos="12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that is entitled to the benefit of such provision; or</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secure the Securities pursuant to the requirements of Section 8.01, or otherwise; or</w:t>
      </w:r>
    </w:p>
    <w:p>
      <w:pPr>
        <w:spacing w:after="0" w:line="117" w:lineRule="exact"/>
        <w:rPr>
          <w:rFonts w:ascii="Arial" w:cs="Arial" w:eastAsia="Arial" w:hAnsi="Arial"/>
          <w:sz w:val="18"/>
          <w:szCs w:val="18"/>
          <w:color w:val="auto"/>
        </w:rPr>
      </w:pPr>
    </w:p>
    <w:p>
      <w:pPr>
        <w:ind w:left="460" w:firstLine="443"/>
        <w:spacing w:after="0" w:line="257" w:lineRule="auto"/>
        <w:tabs>
          <w:tab w:leader="none" w:pos="125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including the provisions and procedures relating to Securities convertible into or exchangeable for any securities of any Person (including the Company),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 or</w:t>
      </w:r>
    </w:p>
    <w:p>
      <w:pPr>
        <w:spacing w:after="0" w:line="80" w:lineRule="exact"/>
        <w:rPr>
          <w:rFonts w:ascii="Arial" w:cs="Arial" w:eastAsia="Arial" w:hAnsi="Arial"/>
          <w:sz w:val="18"/>
          <w:szCs w:val="18"/>
          <w:color w:val="auto"/>
        </w:rPr>
      </w:pPr>
    </w:p>
    <w:p>
      <w:pPr>
        <w:ind w:left="460" w:right="220" w:firstLine="443"/>
        <w:spacing w:after="0" w:line="264" w:lineRule="auto"/>
        <w:tabs>
          <w:tab w:leader="none" w:pos="130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20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that may be inconsistent with any other provision herein, or to make any other provisions with respect to matters or questions arising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shall not adversely affect the interests of the Holders of Securities of any series in any material respect, in each case as determined in good faith by the Company, as evidenced in an Officers’ Certificate; or</w:t>
      </w:r>
    </w:p>
    <w:p>
      <w:pPr>
        <w:spacing w:after="0" w:line="78" w:lineRule="exact"/>
        <w:rPr>
          <w:rFonts w:ascii="Arial" w:cs="Arial" w:eastAsia="Arial" w:hAnsi="Arial"/>
          <w:sz w:val="18"/>
          <w:szCs w:val="18"/>
          <w:color w:val="auto"/>
        </w:rPr>
      </w:pPr>
    </w:p>
    <w:p>
      <w:pPr>
        <w:ind w:left="460" w:right="140" w:firstLine="443"/>
        <w:spacing w:after="0" w:line="259" w:lineRule="auto"/>
        <w:tabs>
          <w:tab w:leader="none" w:pos="115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 as determined in good faith by the Company, as evidenced in an Officers’ Certificate; or</w:t>
      </w:r>
    </w:p>
    <w:p>
      <w:pPr>
        <w:spacing w:after="0" w:line="78" w:lineRule="exact"/>
        <w:rPr>
          <w:rFonts w:ascii="Arial" w:cs="Arial" w:eastAsia="Arial" w:hAnsi="Arial"/>
          <w:sz w:val="18"/>
          <w:szCs w:val="18"/>
          <w:color w:val="auto"/>
        </w:rPr>
      </w:pPr>
    </w:p>
    <w:p>
      <w:pPr>
        <w:ind w:left="460" w:right="620" w:firstLine="443"/>
        <w:spacing w:after="0" w:line="277" w:lineRule="auto"/>
        <w:tabs>
          <w:tab w:leader="none" w:pos="120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add guarantors or co-obligors with respect to any series of Securities or to release guarantors from their guarantees of Securities in accordance with the terms of the applicable series of Securities; 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25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make any change in any series of Securities that does not adversely affect in any material respect the rights of the Holders of such Securities as determined in good faith by the Company, as evidenced in an Officers’ Certificate.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With the consent of the Holders of not less than a majority in aggregate principal amount of all Outstanding Securities affected by such supplemental indenture, by Act of said Holders delivered to the Company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Trustee, the Company, when authorized by or pursuant to a Board Resolution, and the Trustee may enter into an indenture or indentures supplemental hereto for the purpose of adding any provisions to or changing in any manner or eliminating any of the provisions of this Indenture that affects such series of Securities or of modifying in any manner the rights of the Holders of such series of Securities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63" w:lineRule="exact"/>
        <w:rPr>
          <w:sz w:val="20"/>
          <w:szCs w:val="20"/>
          <w:color w:val="auto"/>
        </w:rPr>
      </w:pPr>
    </w:p>
    <w:p>
      <w:pPr>
        <w:ind w:left="460" w:firstLine="443"/>
        <w:spacing w:after="0" w:line="287" w:lineRule="auto"/>
        <w:tabs>
          <w:tab w:leader="none" w:pos="111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8.01(i) and permitted by Section 9.01(i)), or reduce the portion of the principal of an Original Issue Discount Security or Indexed Security that would be due and payable upon a declaration of acceleration of 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 modify the subordination provisions set forth in Article Sixteen in a manner that is adverse to the Holder of any Security, or</w:t>
      </w:r>
    </w:p>
    <w:p>
      <w:pPr>
        <w:spacing w:after="0" w:line="64" w:lineRule="exact"/>
        <w:rPr>
          <w:rFonts w:ascii="Arial" w:cs="Arial" w:eastAsia="Arial" w:hAnsi="Arial"/>
          <w:sz w:val="16"/>
          <w:szCs w:val="16"/>
          <w:color w:val="auto"/>
        </w:rPr>
      </w:pPr>
    </w:p>
    <w:p>
      <w:pPr>
        <w:jc w:val="both"/>
        <w:ind w:left="460" w:right="180" w:firstLine="443"/>
        <w:spacing w:after="0" w:line="259" w:lineRule="auto"/>
        <w:tabs>
          <w:tab w:leader="none" w:pos="116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78" w:lineRule="exact"/>
        <w:rPr>
          <w:rFonts w:ascii="Arial" w:cs="Arial" w:eastAsia="Arial" w:hAnsi="Arial"/>
          <w:sz w:val="18"/>
          <w:szCs w:val="18"/>
          <w:color w:val="auto"/>
        </w:rPr>
      </w:pPr>
    </w:p>
    <w:p>
      <w:pPr>
        <w:ind w:left="460" w:right="120" w:firstLine="443"/>
        <w:spacing w:after="0" w:line="257" w:lineRule="auto"/>
        <w:tabs>
          <w:tab w:leader="none" w:pos="121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10.06,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of a Security with respect to changes in the references to “the Trustee” and concomitant changes in this Section, or the deletion of this proviso, in accordance with the requirements of Sections 6.10(b) and 9.01(viii).</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that is eleven months after such record date, any such consent previously given shall automatically and without further action by any Holder be cancelled and of no further effect.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in addition to the documents required by Section 1.02 of this Indenture, an Officers’ Certificate and an Opinion of Counsel stating that the execution of such supplemental indenture is authorized or permitted by this Indenture, constitutes the legal, valid and binding obligation of the Company, enforceable against it in accordance with its terms and that all conditions precedent to such supplemental indenture have been complied with, subject to customary assumptions and exceptions. The Trustee may, but shall not be obligated to, enter into any such supplemental indenture that affects the Trustee’s own rights, duties or immunities under this Indenture or otherwise.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Every supplemental indenture executed pursuant to this Article shall conform to the requirements of the Trust Indenture Act as then in effect.</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if any, and Interest</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premium, if any) and interest, if any, on the Securities of that series in accordance with the terms of such series of Securities and this Indenture.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the City of New York, and initially appoints the Trustee at its Corporate Trust Office as Paying Agent, and as its agent to receive all such presentations, surrenders, notices and demands.</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 The Company will notify the Trustee of the name and address of any Exchange Rate Agent retained by it.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Company shall at any time act as its own Paying Agent with respect to any series of any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will promptly notify the Trustee of its action or failure so to act.</w:t>
      </w:r>
    </w:p>
    <w:p>
      <w:pPr>
        <w:spacing w:after="0" w:line="193"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Whenever the Company shall have one or more Paying Agents for any series of Securities, it will,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will promptly notify the Trustee of its action or failure so to act.</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an Authorized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the Securities of a series provide for the payment of Additional Amounts, the Company will pay to the Holder of any Security of such series such Additional Amounts as may be specified as contemplated by Section 3.01. Whenever in this Indenture there is mentioned, in any context, the payment of the principal of (or premium, if any) or interest, if any, on any Security of any series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7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will deliver to the Trustee, within 120 days after the end of each fiscal year ending after the date hereof so long as any Security is Outstanding hereunder, an Officers’ Certificate stating to the knowledge of the signers thereof whether the Company is in default in the performance of any of the terms, provisions or conditions of this Indenture. For purposes of this Section 10.05, such default shall be determined without regard to any period of grace or requirement of notice under this Indenture.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may omit in any particular instance to comply with any covenant or condition of the Company set forth herein or added to Article Ten pursuant to Section 3.01(xiv) or Section 3.01(xv) in connection with the Securities of a series, if before or after the time for such compliance the Holders of at least a majority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3.01 for Securities of any series) in accordance with this Article.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If less than all of the Securities are to be redeemed at any time, and the Securities are global Securities, the Securities to be redeemed will be selected by the Depositary in accordance with applicable Depositary procedures. If the Securities to be redeemed or repurchased are not global Securities then held by the Depositary, the Trustee shall select the Securities to be redeemed (i) if the Securities are listed on any national securities exchange, in compliance with the requirements of the principal national securities exchange on which the Securities are listed, (ii)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to the extent practicable or (iii) to the extent that selection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is not practicable by lot or such other similar method the Trustee deems to be fair and appropriate from the Outstanding Securities of such series issued on such date with the same terms not previously called for redemption, not less than 30 nor more than 60 days prior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partial redemption shall reduce the portion of the principal amount of a Security not redeemed to less than the minimum authorized denomination for Securities of such series.</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54"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1120" w:hanging="217"/>
        <w:spacing w:after="0"/>
        <w:tabs>
          <w:tab w:leader="none" w:pos="11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Redemption Price and accrued interest, if any, to the Redemption Date payable as provided in Section 11.06,</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21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jc w:val="both"/>
        <w:ind w:left="460" w:right="140" w:firstLine="443"/>
        <w:spacing w:after="0" w:line="264" w:lineRule="auto"/>
        <w:tabs>
          <w:tab w:leader="none" w:pos="120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that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3"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73" w:lineRule="exact"/>
        <w:rPr>
          <w:rFonts w:ascii="Arial" w:cs="Arial" w:eastAsia="Arial" w:hAnsi="Arial"/>
          <w:sz w:val="18"/>
          <w:szCs w:val="18"/>
          <w:color w:val="auto"/>
        </w:rPr>
      </w:pPr>
    </w:p>
    <w:p>
      <w:pPr>
        <w:ind w:left="460" w:right="720" w:firstLine="443"/>
        <w:spacing w:after="0" w:line="277" w:lineRule="auto"/>
        <w:tabs>
          <w:tab w:leader="none" w:pos="120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Place or Places of Payment where such Securities maturing after the Redemption Date, are to be surrendered for payment of the Redemption Price and accrued interest, if any,</w:t>
      </w:r>
    </w:p>
    <w:p>
      <w:pPr>
        <w:spacing w:after="0" w:line="62" w:lineRule="exact"/>
        <w:rPr>
          <w:rFonts w:ascii="Arial" w:cs="Arial" w:eastAsia="Arial" w:hAnsi="Arial"/>
          <w:sz w:val="18"/>
          <w:szCs w:val="18"/>
          <w:color w:val="auto"/>
        </w:rPr>
      </w:pPr>
    </w:p>
    <w:p>
      <w:pPr>
        <w:ind w:left="1260" w:hanging="357"/>
        <w:spacing w:after="0"/>
        <w:tabs>
          <w:tab w:leader="none" w:pos="1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CUSIP number of such Security, if any.</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 notice of redemption published as contemplated by Section 1.06 need not identify particular Registered Securities to be redeemed. Notice of redemption of Securities to be redeemed shall be given by the Company or, at the Company’s request, by the Trustee in the name and at the expense of the Company.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On or prior to 10:00 am, New York City time, on the Business Day prior to any Redemption Date, the Company shall deposit with the Trustee or with a Paying Agent (or, if the Company is acting as its own Paying Agent, in accordance with the terms of this Indenture, segregate and hold in trust as provided in Section 10.03) an amount of money in the Currency in which the Securities of such series are payable (except as otherwise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60" w:right="2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6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Registered Security that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TWELVE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Company may, in satisfaction of all or any part of any mandatory sinking fund payment with respect to the Securities of a series, (i) deliver Outstanding Securities of such series (other than any previously called for redemption) and (ii)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REPAYMENT AT THE OPTION OF 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Repayment of Securities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Business Day preceding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Repayment Date it will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 If the Security is in global form, the exercise of such option and payment thereof shall also be made in compliance with the applicable procedures of the Depositary.</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When Securities Presented for Repayment Become Due and Payable</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Repayment Price of such Security so to be repaid shall be paid by the Company, together with accrued interest, if any, to the Repayment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2"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w:t>
      </w:r>
    </w:p>
    <w:p>
      <w:pPr>
        <w:spacing w:after="0" w:line="11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Upon surrender of any Registered Security that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portion of the principal of such Security so surrendered that is not to be repaid. If a temporary global Security or permanent global Security is so surrendered, such new Security so issued shall be a new temporary global Security or a new permanent global Security, respectively.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FOURTEEN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Applicability of Article; Company’s Option to Effect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pursuant to Section 3.01 provision is made for either or both of (a) defeasance of the Securities of or within a series under Section 14.02 or</w:t>
      </w:r>
    </w:p>
    <w:p>
      <w:pPr>
        <w:spacing w:after="0" w:line="35" w:lineRule="exact"/>
        <w:rPr>
          <w:sz w:val="20"/>
          <w:szCs w:val="20"/>
          <w:color w:val="auto"/>
        </w:rPr>
      </w:pPr>
    </w:p>
    <w:p>
      <w:pPr>
        <w:ind w:right="40" w:firstLine="8"/>
        <w:spacing w:after="0" w:line="253" w:lineRule="auto"/>
        <w:tabs>
          <w:tab w:leader="none" w:pos="2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the Company may at its option by Board Resolution, at any time, with respect to such Securities, elect to have either Section 14.02 (if applicable) or Section 14.03 (if applicable) be applied to such Outstanding Securities upon compliance with the conditions set forth below in this Article.</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Defeasance and Discharge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deemed to have been discharged from its obligations with respect to such Outstanding Securities on and after the date the conditions set forth in Section 14.04 are satisfied (hereinafter, “defeasance”). For this purpose, such defeasance means that the Company shall be deemed to have paid and discharged the entire indebtedness represented by such Outstanding Securities, which shall thereafter be deemed to be “Outstanding” only for the purposes of Section 14.05 and the other Sections of this Indenture referred to in clauses (A) and (B) of this Section,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Outstanding Securities to receive, solely from the trust fund described in Section 14.04 and as more fully set forth in such Section, payments in respect of the principal of (and premium, if any) and interest, if any, on such Securities when such payments are due, (B) the Company’s obligations with respect to such Securities under Sections 3.05, 3.06, 10.02 and 10.03 and with respect to the payment of Additional Amounts, if any, on such Securities as contemplated by</w:t>
      </w:r>
    </w:p>
    <w:p>
      <w:pPr>
        <w:spacing w:after="0" w:line="6"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Following a defeasance, payment of such Securities may not be accelerated because of an Event of Default.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Upon the Company’s exercise of the above option applicable to this Section with respect to any Securities of or within a series, the Company shall be released from its obligations, if specified pursuant to Section 3.01, under any covenant with respect to such Outstanding Securities on and after the date the conditions set forth in Section 14.04 are satisfied (hereinafter, “covenant defeasance”), and such Securities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such other covenant, whether directly or indirectly,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5.01(iv) or 5.01(vii) or otherwise, as the case may be, but, except as specified above, the remainder of this Indenture and such Securities shall be unaffected thereby.</w:t>
      </w:r>
    </w:p>
    <w:p>
      <w:pPr>
        <w:ind w:right="380"/>
        <w:spacing w:after="0" w:line="261" w:lineRule="auto"/>
        <w:rPr>
          <w:sz w:val="20"/>
          <w:szCs w:val="20"/>
          <w:color w:val="auto"/>
        </w:rPr>
      </w:pPr>
      <w:r>
        <w:rPr>
          <w:rFonts w:ascii="Arial" w:cs="Arial" w:eastAsia="Arial" w:hAnsi="Arial"/>
          <w:sz w:val="18"/>
          <w:szCs w:val="18"/>
          <w:color w:val="auto"/>
        </w:rPr>
        <w:t>Following a covenant defeasance, payment of such Securities may not be accelerated because of an Event of Default solely by reference to such Sections specified above in this Section 14.03.</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shall be the conditions to application of either Section 14.02 or Section 14.03 to any Outstanding Securities of or within a series:</w:t>
      </w:r>
    </w:p>
    <w:p>
      <w:pPr>
        <w:spacing w:after="0" w:line="129" w:lineRule="exact"/>
        <w:rPr>
          <w:sz w:val="20"/>
          <w:szCs w:val="20"/>
          <w:color w:val="auto"/>
        </w:rPr>
      </w:pPr>
    </w:p>
    <w:p>
      <w:pPr>
        <w:ind w:left="460" w:right="220" w:firstLine="443"/>
        <w:spacing w:after="0" w:line="288" w:lineRule="auto"/>
        <w:tabs>
          <w:tab w:leader="none" w:pos="1113"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w:t>
      </w:r>
    </w:p>
    <w:p>
      <w:pPr>
        <w:ind w:left="460" w:right="20" w:firstLine="4"/>
        <w:spacing w:after="0" w:line="287" w:lineRule="auto"/>
        <w:tabs>
          <w:tab w:leader="none" w:pos="75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without reinvestment thereof, not later than one day before the due date of any payment of principal of (and premium, if any) and interest, if any, on such Securities, money in an amount, or (C) a combination thereof in an amount, sufficient, in the opinion of a nationally recognized firm of independent public accountants expressed in a written certification thereof delivered to the Trustee, to pay and discharge, and which shall be applied by the Trustee (or other qualifying trustee) to pay and discharge, (1) the principal of (and premium, if any) and interest, if any, on such Outstanding Securities on the Stated Maturity of such principal or installment of principal or interest and (2) any mandatory sinking fund payments or analogous payments applicable to such Outstanding Securities on the day on which such payments are due and payable in accordance with the terms of this Indenture and of such Securities.</w:t>
      </w:r>
    </w:p>
    <w:p>
      <w:pPr>
        <w:spacing w:after="0" w:line="58" w:lineRule="exact"/>
        <w:rPr>
          <w:rFonts w:ascii="Arial" w:cs="Arial" w:eastAsia="Arial" w:hAnsi="Arial"/>
          <w:sz w:val="16"/>
          <w:szCs w:val="16"/>
          <w:color w:val="auto"/>
        </w:rPr>
      </w:pPr>
    </w:p>
    <w:p>
      <w:pPr>
        <w:ind w:left="460" w:right="220" w:firstLine="443"/>
        <w:spacing w:after="0" w:line="277" w:lineRule="auto"/>
        <w:tabs>
          <w:tab w:leader="none" w:pos="116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21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No Default or Event of Default with respect to such Securities shall have occurred and be continuing on the date of such deposit or, insofar as Sections 5.01(v) and 5.01(vi) are concerned, at any time during the period ending on the 91st day after the date of such deposit (it being understood that this condition shall not be deemed satisfied until the expiration of such period).</w:t>
      </w:r>
    </w:p>
    <w:p>
      <w:pPr>
        <w:spacing w:after="0" w:line="73" w:lineRule="exact"/>
        <w:rPr>
          <w:rFonts w:ascii="Arial" w:cs="Arial" w:eastAsia="Arial" w:hAnsi="Arial"/>
          <w:sz w:val="18"/>
          <w:szCs w:val="18"/>
          <w:color w:val="auto"/>
        </w:rPr>
      </w:pPr>
    </w:p>
    <w:p>
      <w:pPr>
        <w:ind w:left="460" w:right="60" w:firstLine="443"/>
        <w:spacing w:after="0" w:line="255" w:lineRule="auto"/>
        <w:tabs>
          <w:tab w:leader="none" w:pos="120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5" w:lineRule="exact"/>
        <w:rPr>
          <w:rFonts w:ascii="Arial" w:cs="Arial" w:eastAsia="Arial" w:hAnsi="Arial"/>
          <w:sz w:val="18"/>
          <w:szCs w:val="18"/>
          <w:color w:val="auto"/>
        </w:rPr>
      </w:pPr>
    </w:p>
    <w:p>
      <w:pPr>
        <w:ind w:left="460" w:right="40" w:firstLine="443"/>
        <w:spacing w:after="0" w:line="259" w:lineRule="auto"/>
        <w:tabs>
          <w:tab w:leader="none" w:pos="115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firstLine="443"/>
        <w:spacing w:after="0" w:line="342" w:lineRule="auto"/>
        <w:tabs>
          <w:tab w:leader="none" w:pos="120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w:t>
      </w:r>
    </w:p>
    <w:p>
      <w:pPr>
        <w:spacing w:after="0" w:line="15" w:lineRule="exact"/>
        <w:rPr>
          <w:rFonts w:ascii="Arial" w:cs="Arial" w:eastAsia="Arial" w:hAnsi="Arial"/>
          <w:sz w:val="16"/>
          <w:szCs w:val="16"/>
          <w:color w:val="auto"/>
        </w:rPr>
      </w:pPr>
    </w:p>
    <w:p>
      <w:pPr>
        <w:jc w:val="both"/>
        <w:ind w:left="460" w:right="400" w:firstLine="443"/>
        <w:spacing w:after="0" w:line="342" w:lineRule="auto"/>
        <w:tabs>
          <w:tab w:leader="none" w:pos="125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Deposited Money and Government Obligations to Be Held in Trust; Other Miscellaneous Provisions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w:t>
      </w:r>
      <w:r>
        <w:rPr>
          <w:rFonts w:ascii="Arial" w:cs="Arial" w:eastAsia="Arial" w:hAnsi="Arial"/>
          <w:sz w:val="16"/>
          <w:szCs w:val="16"/>
          <w:u w:val="single" w:color="auto"/>
          <w:color w:val="auto"/>
        </w:rPr>
        <w:t>Trustee</w:t>
      </w:r>
      <w:r>
        <w:rPr>
          <w:rFonts w:ascii="Arial" w:cs="Arial" w:eastAsia="Arial" w:hAnsi="Arial"/>
          <w:sz w:val="16"/>
          <w:szCs w:val="16"/>
          <w:color w:val="auto"/>
        </w:rPr>
        <w:t>”) pursuant to Section 14.04 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Unless otherwise specified with respect to any Security pursuant to Section 3.01, if, after a deposit referred to in Section 14.04(a) has been made,</w:t>
      </w:r>
    </w:p>
    <w:p>
      <w:pPr>
        <w:spacing w:after="0" w:line="35" w:lineRule="exact"/>
        <w:rPr>
          <w:sz w:val="20"/>
          <w:szCs w:val="20"/>
          <w:color w:val="auto"/>
        </w:rPr>
      </w:pPr>
    </w:p>
    <w:p>
      <w:pPr>
        <w:ind w:right="60" w:firstLine="8"/>
        <w:spacing w:after="0" w:line="281" w:lineRule="auto"/>
        <w:tabs>
          <w:tab w:leader="none" w:pos="24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Holder of a Security in respect of which such deposit was made is entitled to, and does, elect pursuant to Section 3.12(b) or the terms of such Security to receive payment in a Currency other than that in which the deposit pursuant to Section 14.04(a) has been made in respect of such Security, or (b) a Conversion Event occurs as contemplated in Section 3.12(d) or 3.12(e) or by the terms of any Security in respect of which the deposit pursuant to</w:t>
      </w:r>
    </w:p>
    <w:p>
      <w:pPr>
        <w:spacing w:after="0" w:line="2" w:lineRule="exact"/>
        <w:rPr>
          <w:rFonts w:ascii="Arial" w:cs="Arial" w:eastAsia="Arial" w:hAnsi="Arial"/>
          <w:sz w:val="16"/>
          <w:szCs w:val="16"/>
          <w:color w:val="auto"/>
        </w:rPr>
      </w:pPr>
    </w:p>
    <w:p>
      <w:pPr>
        <w:ind w:right="80"/>
        <w:spacing w:after="0" w:line="252" w:lineRule="auto"/>
        <w:rPr>
          <w:rFonts w:ascii="Arial" w:cs="Arial" w:eastAsia="Arial" w:hAnsi="Arial"/>
          <w:sz w:val="16"/>
          <w:szCs w:val="16"/>
          <w:color w:val="auto"/>
        </w:rPr>
      </w:pPr>
      <w:r>
        <w:rPr>
          <w:rFonts w:ascii="Arial" w:cs="Arial" w:eastAsia="Arial" w:hAnsi="Arial"/>
          <w:sz w:val="18"/>
          <w:szCs w:val="18"/>
          <w:color w:val="auto"/>
        </w:rPr>
        <w:t>Section 14.04(a) has been made, the indebtedness represented by such Security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19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54"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If, after the Company has made a deposit with the Trustee pursuant to Section 14.04, the Trustee is unable to apply any money in accordance with Section 14.05 by reason of any legal proceeding or by reason of any order or judgment of any court or governmental authority enjoining, restraining or otherwise prohibiting such application, then the Company’s obligations under this Indenture and the applicable Securities shall be revived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reinstated as though no deposit had occurred pursuant to Section 14.04 until such time as the Trustee is permitted to apply all such money in accordance with this Article Fourteen; provided, however, that if the Company has made any payment of the principal of or interest on any series of Securities because of the reinstatement of its obligations, the Company shall be subrogated to the rights of the Holders of such Securities to receive any such payment from the money held by the Trustee.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Money deposited with the Trustee in trust pursuant to this Section 14.05 shall not be subject to the subordination provisions of Article Sixteen.</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FIFTEEN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MEETINGS OF HOLDERS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64"/>
        <w:spacing w:after="0" w:line="279" w:lineRule="auto"/>
        <w:tabs>
          <w:tab w:leader="none" w:pos="7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Trustee may at any time call a meeting of Holders of Securities of any series for any purpose specified in Section 15.01, to be held at such time and at such place in the Borough of Manhattan, the City of New York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63" w:lineRule="exact"/>
        <w:rPr>
          <w:rFonts w:ascii="Arial" w:cs="Arial" w:eastAsia="Arial" w:hAnsi="Arial"/>
          <w:sz w:val="17"/>
          <w:szCs w:val="17"/>
          <w:color w:val="auto"/>
        </w:rPr>
      </w:pPr>
    </w:p>
    <w:p>
      <w:pPr>
        <w:ind w:right="20" w:firstLine="464"/>
        <w:spacing w:after="0" w:line="255" w:lineRule="auto"/>
        <w:tabs>
          <w:tab w:leader="none" w:pos="71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Persons Entitled to Vote at Meetings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be entitled to vote at any meeting of Holders of Securities of any series, a Person shall be (i) a Holder of one or more Outstanding Securities of such series, or (ii)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Quorum; Action</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The Persons entitled to vote a majority in principal amount of the Outstanding Securities of a series shall constitute a quorum for a meeting of Holders of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action is to be taken at such meeting with respect to a consent, waiver, request, demand, notice, authorization, direction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other action that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1120" w:hanging="217"/>
        <w:spacing w:after="0"/>
        <w:tabs>
          <w:tab w:leader="none" w:pos="11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17" w:lineRule="exact"/>
        <w:rPr>
          <w:rFonts w:ascii="Arial" w:cs="Arial" w:eastAsia="Arial" w:hAnsi="Arial"/>
          <w:sz w:val="18"/>
          <w:szCs w:val="18"/>
          <w:color w:val="auto"/>
        </w:rPr>
      </w:pPr>
    </w:p>
    <w:p>
      <w:pPr>
        <w:ind w:left="460" w:right="540" w:firstLine="443"/>
        <w:spacing w:after="0" w:line="264" w:lineRule="auto"/>
        <w:tabs>
          <w:tab w:leader="none" w:pos="116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5" w:lineRule="auto"/>
        <w:tabs>
          <w:tab w:leader="none" w:pos="70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Such regulations may provide that written instruments appointing proxies, regular on their face, may be presumed valid and genuine without the proof specified in Section 1.04 or other proof.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464"/>
        <w:spacing w:after="0" w:line="302" w:lineRule="auto"/>
        <w:tabs>
          <w:tab w:leader="none" w:pos="71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4" w:lineRule="exact"/>
        <w:rPr>
          <w:rFonts w:ascii="Arial" w:cs="Arial" w:eastAsia="Arial" w:hAnsi="Arial"/>
          <w:sz w:val="16"/>
          <w:szCs w:val="16"/>
          <w:color w:val="auto"/>
        </w:rPr>
      </w:pPr>
    </w:p>
    <w:p>
      <w:pPr>
        <w:ind w:firstLine="464"/>
        <w:spacing w:after="0" w:line="259" w:lineRule="auto"/>
        <w:tabs>
          <w:tab w:leader="none" w:pos="70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At any meeting of Holders, each Holder of a Security of such series or proxy shall be entitled to one vote for each $1,000 principal amount of the Outstanding Securities of such series held or represented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firstLine="464"/>
        <w:spacing w:after="0" w:line="264" w:lineRule="auto"/>
        <w:tabs>
          <w:tab w:leader="none" w:pos="71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Counting Votes and Recording Action of Meetings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SIXTEEN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Agreement to Subordinate</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for itself, its successors and assigns, covenants and agrees, and each Holder of Senior Subordinated Securities by his acceptance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Distribution on Dissolution, Liquidation and Reorganization; Subrogation of Subordinated Securities</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80" w:lineRule="exact"/>
        <w:rPr>
          <w:sz w:val="20"/>
          <w:szCs w:val="20"/>
          <w:color w:val="auto"/>
        </w:rPr>
      </w:pPr>
    </w:p>
    <w:p>
      <w:pPr>
        <w:ind w:left="460" w:firstLine="443"/>
        <w:spacing w:after="0" w:line="264" w:lineRule="auto"/>
        <w:tabs>
          <w:tab w:leader="none" w:pos="111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thereof (and premium, if any) and interest due thereon before the Holders of the Subordinated Securities are entitled to receive any payment upon the principal (or premium, if any) or interest, if any, on indebtedness evidenced by the Subordinated Securities; and</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6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73" w:lineRule="exact"/>
        <w:rPr>
          <w:rFonts w:ascii="Arial" w:cs="Arial" w:eastAsia="Arial" w:hAnsi="Arial"/>
          <w:sz w:val="18"/>
          <w:szCs w:val="18"/>
          <w:color w:val="auto"/>
        </w:rPr>
      </w:pPr>
    </w:p>
    <w:p>
      <w:pPr>
        <w:ind w:left="460" w:right="80" w:firstLine="443"/>
        <w:spacing w:after="0" w:line="254" w:lineRule="auto"/>
        <w:tabs>
          <w:tab w:leader="none" w:pos="121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84" w:lineRule="exact"/>
        <w:rPr>
          <w:rFonts w:ascii="Arial" w:cs="Arial" w:eastAsia="Arial" w:hAnsi="Arial"/>
          <w:sz w:val="18"/>
          <w:szCs w:val="18"/>
          <w:color w:val="auto"/>
        </w:rPr>
      </w:pPr>
    </w:p>
    <w:p>
      <w:pPr>
        <w:ind w:left="460" w:right="40" w:firstLine="443"/>
        <w:spacing w:after="0" w:line="293" w:lineRule="auto"/>
        <w:tabs>
          <w:tab w:leader="none" w:pos="120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6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 on the other hand. Nothing contained in this Article Sixteen or elsewhere in this Indenture or in the Subordinated Securities is intended to or shall impair, as between the Company, its creditors other than the holders of Senior Indebtedness, and the Holders of the Subordinated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6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 The Trustee does not owe any fiduciary duties to the holders of Senior Indebtedness, including any holder of Securities other than Securities issued under this Indenture.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No Payment on Subordinated Securities in Event of Default on Senior Indebtedness</w:t>
      </w:r>
      <w:r>
        <w:rPr>
          <w:rFonts w:ascii="Arial" w:cs="Arial" w:eastAsia="Arial" w:hAnsi="Arial"/>
          <w:sz w:val="18"/>
          <w:szCs w:val="18"/>
          <w:color w:val="auto"/>
        </w:rPr>
        <w:t>.</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Payments on Subordinated Securities Permitted</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 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Authorization of Holders to Trustee to Effect Subordination</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Notices to Trustee</w:t>
      </w:r>
      <w:r>
        <w:rPr>
          <w:rFonts w:ascii="Arial" w:cs="Arial" w:eastAsia="Arial" w:hAnsi="Arial"/>
          <w:sz w:val="18"/>
          <w:szCs w:val="18"/>
          <w:color w:val="auto"/>
        </w:rPr>
        <w:t>.</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Notwithstanding the provisions of this Article or any other provisions of this Indenture, neither the Trustee nor any Paying Agent (other than the Company) shall be charged with knowledge of the existence of any Senior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reasonably satisfactory to the Trustee of such holding of Senior Indebtedness or of the authority of such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Trustee as Holder of Senior Indebtedness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Sixteen in respect of any Senior Indebtedness at any time held by it to the same extent as any other holder of Senior Indebtedness and nothing in this Indenture shall be construed to deprive the Trustee of any of its rights as such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Sixteen shall apply to claims of, or payments to, the Trustee under or pursuant to Section 6.06.</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Modifications of Terms of Senior Indebtedness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w:t>
      </w:r>
    </w:p>
    <w:p>
      <w:pPr>
        <w:spacing w:after="0" w:line="11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This Indenture may be executed in any number of counterparts, each of which so executed shall be deemed to be an original, but all such counterparts shall together constitute but one and the same Indenture. The exchange of copies of this Indenture and of signature pages by facsimile, .pdf transmission or electronic mail shall constitute effective execution and delivery of this Indenture for all purposes. Signatures of the parties hereto transmitted by facsimile,</w:t>
      </w:r>
    </w:p>
    <w:p>
      <w:pPr>
        <w:spacing w:after="0"/>
        <w:rPr>
          <w:sz w:val="20"/>
          <w:szCs w:val="20"/>
          <w:color w:val="auto"/>
        </w:rPr>
      </w:pPr>
      <w:r>
        <w:rPr>
          <w:rFonts w:ascii="Arial" w:cs="Arial" w:eastAsia="Arial" w:hAnsi="Arial"/>
          <w:sz w:val="18"/>
          <w:szCs w:val="18"/>
          <w:color w:val="auto"/>
        </w:rPr>
        <w:t>.pdf transmission or electronic mail shall be deemed to be their original signatures for all purposes.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60"/>
          </w:cols>
          <w:pgMar w:left="240" w:top="459" w:right="39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parties hereto have caused this Indenture to be duly executed, as of the day and year first above written.</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240" w:top="459" w:right="7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right="560" w:hanging="452"/>
        <w:spacing w:after="0" w:line="256" w:lineRule="auto"/>
        <w:tabs>
          <w:tab w:leader="none" w:pos="460" w:val="left"/>
        </w:tabs>
        <w:numPr>
          <w:ilvl w:val="0"/>
          <w:numId w:val="263"/>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189230</wp:posOffset>
            </wp:positionV>
            <wp:extent cx="151765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WELLS FARGO BANK, NATIONAL ASSOCIATION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3"/>
          </w:tcPr>
          <w:p>
            <w:pPr>
              <w:jc w:val="center"/>
              <w:ind w:left="3478"/>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60" w:type="dxa"/>
            <w:vAlign w:val="bottom"/>
          </w:tcPr>
          <w:p>
            <w:pPr>
              <w:spacing w:after="0"/>
              <w:rPr>
                <w:sz w:val="20"/>
                <w:szCs w:val="20"/>
                <w:color w:val="auto"/>
              </w:rPr>
            </w:pPr>
          </w:p>
        </w:tc>
      </w:tr>
      <w:tr>
        <w:trPr>
          <w:trHeight w:val="304"/>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3"/>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0"/>
              </w:rPr>
              <w:t>A National Banking Association</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91"/>
              </w:rPr>
              <w:t>94-1347393</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93"/>
              </w:rPr>
              <w:t>(Jurisdiction of incorporation or</w:t>
            </w:r>
          </w:p>
        </w:tc>
        <w:tc>
          <w:tcPr>
            <w:tcW w:w="3560" w:type="dxa"/>
            <w:vAlign w:val="bottom"/>
          </w:tcPr>
          <w:p>
            <w:pPr>
              <w:jc w:val="center"/>
              <w:ind w:righ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4"/>
              </w:rPr>
              <w:t>organization if not a U.S. national bank)</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0"/>
              </w:rPr>
              <w:t>101 North Phillips Avenue</w:t>
            </w:r>
          </w:p>
        </w:tc>
        <w:tc>
          <w:tcPr>
            <w:tcW w:w="3560" w:type="dxa"/>
            <w:vAlign w:val="bottom"/>
          </w:tcPr>
          <w:p>
            <w:pPr>
              <w:spacing w:after="0"/>
              <w:rPr>
                <w:sz w:val="24"/>
                <w:szCs w:val="24"/>
                <w:color w:val="auto"/>
              </w:rPr>
            </w:pPr>
          </w:p>
        </w:tc>
      </w:tr>
      <w:tr>
        <w:trPr>
          <w:trHeight w:val="225"/>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0"/>
              </w:rPr>
              <w:t>Sioux Falls, South Dakota</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87"/>
              </w:rPr>
              <w:t>57104</w:t>
            </w:r>
          </w:p>
        </w:tc>
      </w:tr>
      <w:tr>
        <w:trPr>
          <w:trHeight w:val="186"/>
        </w:trPr>
        <w:tc>
          <w:tcPr>
            <w:tcW w:w="786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5"/>
              </w:rPr>
              <w:t>(Zip code)</w:t>
            </w:r>
          </w:p>
        </w:tc>
      </w:tr>
      <w:tr>
        <w:trPr>
          <w:trHeight w:val="358"/>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2"/>
              </w:rPr>
              <w:t>Wells Fargo &amp; Company</w:t>
            </w:r>
          </w:p>
        </w:tc>
        <w:tc>
          <w:tcPr>
            <w:tcW w:w="3560" w:type="dxa"/>
            <w:vAlign w:val="bottom"/>
          </w:tcPr>
          <w:p>
            <w:pPr>
              <w:spacing w:after="0"/>
              <w:rPr>
                <w:sz w:val="24"/>
                <w:szCs w:val="24"/>
                <w:color w:val="auto"/>
              </w:rPr>
            </w:pPr>
          </w:p>
        </w:tc>
      </w:tr>
      <w:tr>
        <w:trPr>
          <w:trHeight w:val="216"/>
        </w:trPr>
        <w:tc>
          <w:tcPr>
            <w:tcW w:w="7860" w:type="dxa"/>
            <w:vAlign w:val="bottom"/>
            <w:gridSpan w:val="3"/>
          </w:tcPr>
          <w:p>
            <w:pPr>
              <w:jc w:val="center"/>
              <w:ind w:left="3478"/>
              <w:spacing w:after="0"/>
              <w:rPr>
                <w:sz w:val="20"/>
                <w:szCs w:val="20"/>
                <w:color w:val="auto"/>
              </w:rPr>
            </w:pPr>
            <w:r>
              <w:rPr>
                <w:rFonts w:ascii="Arial" w:cs="Arial" w:eastAsia="Arial" w:hAnsi="Arial"/>
                <w:sz w:val="18"/>
                <w:szCs w:val="18"/>
                <w:b w:val="1"/>
                <w:bCs w:val="1"/>
                <w:color w:val="auto"/>
                <w:w w:val="91"/>
              </w:rPr>
              <w:t>Law Department, Trust Section</w:t>
            </w:r>
          </w:p>
        </w:tc>
        <w:tc>
          <w:tcPr>
            <w:tcW w:w="356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6"/>
              </w:rPr>
              <w:t>MAC N9305-175</w:t>
            </w:r>
          </w:p>
        </w:tc>
        <w:tc>
          <w:tcPr>
            <w:tcW w:w="3560" w:type="dxa"/>
            <w:vAlign w:val="bottom"/>
          </w:tcPr>
          <w:p>
            <w:pPr>
              <w:spacing w:after="0"/>
              <w:rPr>
                <w:sz w:val="18"/>
                <w:szCs w:val="18"/>
                <w:color w:val="auto"/>
              </w:rPr>
            </w:pPr>
          </w:p>
        </w:tc>
      </w:tr>
      <w:tr>
        <w:trPr>
          <w:trHeight w:val="216"/>
        </w:trPr>
        <w:tc>
          <w:tcPr>
            <w:tcW w:w="7860" w:type="dxa"/>
            <w:vAlign w:val="bottom"/>
            <w:gridSpan w:val="3"/>
          </w:tcPr>
          <w:p>
            <w:pPr>
              <w:jc w:val="center"/>
              <w:ind w:left="3478"/>
              <w:spacing w:after="0"/>
              <w:rPr>
                <w:sz w:val="20"/>
                <w:szCs w:val="20"/>
                <w:color w:val="auto"/>
              </w:rPr>
            </w:pPr>
            <w:r>
              <w:rPr>
                <w:rFonts w:ascii="Arial" w:cs="Arial" w:eastAsia="Arial" w:hAnsi="Arial"/>
                <w:sz w:val="18"/>
                <w:szCs w:val="18"/>
                <w:b w:val="1"/>
                <w:bCs w:val="1"/>
                <w:color w:val="auto"/>
                <w:w w:val="91"/>
              </w:rPr>
              <w:t>Sixth Street and Marquette Avenue, 17</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356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Minneapolis, Minnesota 55479</w:t>
            </w:r>
          </w:p>
        </w:tc>
        <w:tc>
          <w:tcPr>
            <w:tcW w:w="356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(612) 667-4608</w:t>
            </w:r>
          </w:p>
        </w:tc>
        <w:tc>
          <w:tcPr>
            <w:tcW w:w="9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186"/>
        </w:trPr>
        <w:tc>
          <w:tcPr>
            <w:tcW w:w="7860" w:type="dxa"/>
            <w:vAlign w:val="bottom"/>
            <w:gridSpan w:val="3"/>
          </w:tcPr>
          <w:p>
            <w:pPr>
              <w:jc w:val="center"/>
              <w:ind w:left="347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560" w:type="dxa"/>
            <w:vAlign w:val="bottom"/>
          </w:tcPr>
          <w:p>
            <w:pPr>
              <w:spacing w:after="0"/>
              <w:rPr>
                <w:sz w:val="16"/>
                <w:szCs w:val="16"/>
                <w:color w:val="auto"/>
              </w:rPr>
            </w:pPr>
          </w:p>
        </w:tc>
      </w:tr>
      <w:tr>
        <w:trPr>
          <w:trHeight w:val="309"/>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76"/>
        </w:trPr>
        <w:tc>
          <w:tcPr>
            <w:tcW w:w="4520" w:type="dxa"/>
            <w:vAlign w:val="bottom"/>
          </w:tcPr>
          <w:p>
            <w:pPr>
              <w:spacing w:after="0"/>
              <w:rPr>
                <w:sz w:val="24"/>
                <w:szCs w:val="24"/>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TPG Specialty Lending, Inc.</w:t>
            </w:r>
          </w:p>
        </w:tc>
        <w:tc>
          <w:tcPr>
            <w:tcW w:w="3560" w:type="dxa"/>
            <w:vAlign w:val="bottom"/>
          </w:tcPr>
          <w:p>
            <w:pPr>
              <w:spacing w:after="0"/>
              <w:rPr>
                <w:sz w:val="24"/>
                <w:szCs w:val="24"/>
                <w:color w:val="auto"/>
              </w:rPr>
            </w:pPr>
          </w:p>
        </w:tc>
      </w:tr>
      <w:tr>
        <w:trPr>
          <w:trHeight w:val="186"/>
        </w:trPr>
        <w:tc>
          <w:tcPr>
            <w:tcW w:w="7860" w:type="dxa"/>
            <w:vAlign w:val="bottom"/>
            <w:gridSpan w:val="3"/>
          </w:tcPr>
          <w:p>
            <w:pPr>
              <w:jc w:val="center"/>
              <w:ind w:left="347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60" w:type="dxa"/>
            <w:vAlign w:val="bottom"/>
          </w:tcPr>
          <w:p>
            <w:pPr>
              <w:spacing w:after="0"/>
              <w:rPr>
                <w:sz w:val="16"/>
                <w:szCs w:val="16"/>
                <w:color w:val="auto"/>
              </w:rPr>
            </w:pPr>
          </w:p>
        </w:tc>
      </w:tr>
      <w:tr>
        <w:trPr>
          <w:trHeight w:val="309"/>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3"/>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91"/>
              </w:rPr>
              <w:t>27-3380000</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60" w:type="dxa"/>
            <w:vAlign w:val="bottom"/>
          </w:tcPr>
          <w:p>
            <w:pPr>
              <w:jc w:val="center"/>
              <w:ind w:righ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4"/>
              </w:rPr>
              <w:t>incorporation or organization)</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9"/>
              </w:rPr>
              <w:t>301 Commerce Street, Suite 3300</w:t>
            </w:r>
          </w:p>
        </w:tc>
        <w:tc>
          <w:tcPr>
            <w:tcW w:w="3560" w:type="dxa"/>
            <w:vAlign w:val="bottom"/>
          </w:tcPr>
          <w:p>
            <w:pPr>
              <w:spacing w:after="0"/>
              <w:rPr>
                <w:sz w:val="24"/>
                <w:szCs w:val="24"/>
                <w:color w:val="auto"/>
              </w:rPr>
            </w:pPr>
          </w:p>
        </w:tc>
      </w:tr>
      <w:tr>
        <w:trPr>
          <w:trHeight w:val="225"/>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7"/>
              </w:rPr>
              <w:t>Fort Worth, TX</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87"/>
              </w:rPr>
              <w:t>76102</w:t>
            </w:r>
          </w:p>
        </w:tc>
      </w:tr>
      <w:tr>
        <w:trPr>
          <w:trHeight w:val="186"/>
        </w:trPr>
        <w:tc>
          <w:tcPr>
            <w:tcW w:w="786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8"/>
              </w:rPr>
              <w:t>(Zip Code)</w:t>
            </w:r>
          </w:p>
        </w:tc>
      </w:tr>
      <w:tr>
        <w:trPr>
          <w:trHeight w:val="309"/>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2"/>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8"/>
              </w:rPr>
              <w:t>Debt Securities</w:t>
            </w:r>
          </w:p>
        </w:tc>
        <w:tc>
          <w:tcPr>
            <w:tcW w:w="356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6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1. </w:t>
      </w:r>
      <w:r>
        <w:rPr>
          <w:rFonts w:ascii="Arial" w:cs="Arial" w:eastAsia="Arial" w:hAnsi="Arial"/>
          <w:sz w:val="18"/>
          <w:szCs w:val="18"/>
          <w:u w:val="single" w:color="auto"/>
          <w:color w:val="auto"/>
        </w:rPr>
        <w:t>General Information.</w:t>
      </w:r>
      <w:r>
        <w:rPr>
          <w:rFonts w:ascii="Arial" w:cs="Arial" w:eastAsia="Arial" w:hAnsi="Arial"/>
          <w:sz w:val="18"/>
          <w:szCs w:val="18"/>
          <w:color w:val="auto"/>
        </w:rPr>
        <w:t xml:space="preserve"> Furnish the following information as to the trustee:</w:t>
      </w:r>
    </w:p>
    <w:p>
      <w:pPr>
        <w:spacing w:after="0" w:line="131" w:lineRule="exact"/>
        <w:rPr>
          <w:sz w:val="20"/>
          <w:szCs w:val="20"/>
          <w:color w:val="auto"/>
        </w:rPr>
      </w:pPr>
    </w:p>
    <w:p>
      <w:pPr>
        <w:ind w:left="1480" w:hanging="567"/>
        <w:spacing w:after="0"/>
        <w:tabs>
          <w:tab w:leader="none" w:pos="14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117" w:lineRule="exact"/>
        <w:rPr>
          <w:rFonts w:ascii="Arial" w:cs="Arial" w:eastAsia="Arial" w:hAnsi="Arial"/>
          <w:sz w:val="18"/>
          <w:szCs w:val="18"/>
          <w:color w:val="auto"/>
        </w:rPr>
      </w:pPr>
    </w:p>
    <w:p>
      <w:pPr>
        <w:ind w:left="1500" w:right="7780"/>
        <w:spacing w:after="0" w:line="312" w:lineRule="auto"/>
        <w:rPr>
          <w:rFonts w:ascii="Arial" w:cs="Arial" w:eastAsia="Arial" w:hAnsi="Arial"/>
          <w:sz w:val="18"/>
          <w:szCs w:val="18"/>
          <w:color w:val="auto"/>
        </w:rPr>
      </w:pPr>
      <w:r>
        <w:rPr>
          <w:rFonts w:ascii="Arial" w:cs="Arial" w:eastAsia="Arial" w:hAnsi="Arial"/>
          <w:sz w:val="16"/>
          <w:szCs w:val="16"/>
          <w:color w:val="auto"/>
        </w:rPr>
        <w:t>Comptroller of the Currency Treasury Department Washington, D.C.</w:t>
      </w:r>
    </w:p>
    <w:p>
      <w:pPr>
        <w:spacing w:after="0" w:line="38" w:lineRule="exact"/>
        <w:rPr>
          <w:rFonts w:ascii="Arial" w:cs="Arial" w:eastAsia="Arial" w:hAnsi="Arial"/>
          <w:sz w:val="18"/>
          <w:szCs w:val="18"/>
          <w:color w:val="auto"/>
        </w:rPr>
      </w:pPr>
    </w:p>
    <w:p>
      <w:pPr>
        <w:ind w:left="1500" w:right="7020"/>
        <w:spacing w:after="0" w:line="277" w:lineRule="auto"/>
        <w:rPr>
          <w:rFonts w:ascii="Arial" w:cs="Arial" w:eastAsia="Arial" w:hAnsi="Arial"/>
          <w:sz w:val="18"/>
          <w:szCs w:val="18"/>
          <w:color w:val="auto"/>
        </w:rPr>
      </w:pPr>
      <w:r>
        <w:rPr>
          <w:rFonts w:ascii="Arial" w:cs="Arial" w:eastAsia="Arial" w:hAnsi="Arial"/>
          <w:sz w:val="18"/>
          <w:szCs w:val="18"/>
          <w:color w:val="auto"/>
        </w:rPr>
        <w:t>Federal Deposit Insurance Corporation Washington, D.C.</w:t>
      </w:r>
    </w:p>
    <w:p>
      <w:pPr>
        <w:spacing w:after="0" w:line="62" w:lineRule="exact"/>
        <w:rPr>
          <w:rFonts w:ascii="Arial" w:cs="Arial" w:eastAsia="Arial" w:hAnsi="Arial"/>
          <w:sz w:val="18"/>
          <w:szCs w:val="18"/>
          <w:color w:val="auto"/>
        </w:rPr>
      </w:pPr>
    </w:p>
    <w:p>
      <w:pPr>
        <w:ind w:left="1500" w:right="6980"/>
        <w:spacing w:after="0" w:line="342" w:lineRule="auto"/>
        <w:rPr>
          <w:rFonts w:ascii="Arial" w:cs="Arial" w:eastAsia="Arial" w:hAnsi="Arial"/>
          <w:sz w:val="18"/>
          <w:szCs w:val="18"/>
          <w:color w:val="auto"/>
        </w:rPr>
      </w:pPr>
      <w:r>
        <w:rPr>
          <w:rFonts w:ascii="Arial" w:cs="Arial" w:eastAsia="Arial" w:hAnsi="Arial"/>
          <w:sz w:val="16"/>
          <w:szCs w:val="16"/>
          <w:color w:val="auto"/>
        </w:rPr>
        <w:t>Federal Reserve Bank of San Francisco San Francisco, California 94120</w:t>
      </w:r>
    </w:p>
    <w:p>
      <w:pPr>
        <w:spacing w:after="0" w:line="29" w:lineRule="exact"/>
        <w:rPr>
          <w:rFonts w:ascii="Arial" w:cs="Arial" w:eastAsia="Arial" w:hAnsi="Arial"/>
          <w:sz w:val="18"/>
          <w:szCs w:val="18"/>
          <w:color w:val="auto"/>
        </w:rPr>
      </w:pPr>
    </w:p>
    <w:p>
      <w:pPr>
        <w:jc w:val="both"/>
        <w:ind w:left="1500" w:right="5540" w:hanging="587"/>
        <w:spacing w:after="0" w:line="483" w:lineRule="auto"/>
        <w:tabs>
          <w:tab w:leader="none" w:pos="148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Affiliations with Obligor.</w:t>
      </w:r>
      <w:r>
        <w:rPr>
          <w:rFonts w:ascii="Arial" w:cs="Arial" w:eastAsia="Arial" w:hAnsi="Arial"/>
          <w:sz w:val="18"/>
          <w:szCs w:val="18"/>
          <w:color w:val="auto"/>
        </w:rPr>
        <w:t xml:space="preserve"> If the obligor is an affiliate of the trustee, describe each such affiliation.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 with respect to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 responses are included for Items 3-14 of this Form T-1 because the obligor is not in default as provided under Item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u w:val="single" w:color="auto"/>
          <w:color w:val="auto"/>
        </w:rPr>
        <w:t>Foreign Trustee.</w:t>
      </w:r>
      <w:r>
        <w:rPr>
          <w:rFonts w:ascii="Arial" w:cs="Arial" w:eastAsia="Arial" w:hAnsi="Arial"/>
          <w:sz w:val="18"/>
          <w:szCs w:val="18"/>
          <w:color w:val="auto"/>
        </w:rPr>
        <w:t xml:space="preserve">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16. </w:t>
      </w:r>
      <w:r>
        <w:rPr>
          <w:rFonts w:ascii="Arial" w:cs="Arial" w:eastAsia="Arial" w:hAnsi="Arial"/>
          <w:sz w:val="18"/>
          <w:szCs w:val="18"/>
          <w:u w:val="single" w:color="auto"/>
          <w:color w:val="auto"/>
        </w:rPr>
        <w:t>List of Exhibits.</w:t>
      </w:r>
      <w:r>
        <w:rPr>
          <w:rFonts w:ascii="Arial" w:cs="Arial" w:eastAsia="Arial" w:hAnsi="Arial"/>
          <w:sz w:val="18"/>
          <w:szCs w:val="18"/>
          <w:color w:val="auto"/>
        </w:rPr>
        <w:t xml:space="preserve"> List below all exhibits filed as a part of this Statement of Eligibility.</w:t>
      </w:r>
    </w:p>
    <w:p>
      <w:pPr>
        <w:sectPr>
          <w:pgSz w:w="11900" w:h="16838" w:orient="portrait"/>
          <w:cols w:equalWidth="0" w:num="1">
            <w:col w:w="11320"/>
          </w:cols>
          <w:pgMar w:left="240" w:top="273" w:right="3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1.</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2.</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3.</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4.</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5.</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6.</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7.</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8.</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Articles of Association of the trustee now in effect.*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Comptroller of the Currency Certificate of Corporate Existence for Wells Fargo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dated June 27, 2012.**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Comptroller of the Currency Certification of Fiduciary Powers for Wells Fargo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21, 2011.**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Copy of By-laws of the trustee as now in effect.***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consent of the trustee required by Section 321(b) of the Act.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copy of the latest report of condition of the trustee published pursuant to law or the requirements of its supervising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examining authority.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ectPr>
          <w:pgSz w:w="11900" w:h="16838" w:orient="portrait"/>
          <w:cols w:equalWidth="0" w:num="2">
            <w:col w:w="1320" w:space="720"/>
            <w:col w:w="9280"/>
          </w:cols>
          <w:pgMar w:left="240" w:top="273" w:right="339" w:bottom="1440" w:gutter="0" w:footer="0" w:header="0"/>
          <w:type w:val="continuous"/>
        </w:sectPr>
      </w:pPr>
    </w:p>
    <w:p>
      <w:pPr>
        <w:spacing w:after="0" w:line="52" w:lineRule="exact"/>
        <w:rPr>
          <w:sz w:val="20"/>
          <w:szCs w:val="20"/>
          <w:color w:val="auto"/>
        </w:rPr>
      </w:pPr>
    </w:p>
    <w:p>
      <w:pPr>
        <w:ind w:left="580" w:hanging="572"/>
        <w:spacing w:after="0" w:line="258" w:lineRule="auto"/>
        <w:tabs>
          <w:tab w:leader="none" w:pos="5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December 30, 2005 of file number 333-130784.</w:t>
      </w:r>
    </w:p>
    <w:p>
      <w:pPr>
        <w:spacing w:after="0" w:line="1" w:lineRule="exact"/>
        <w:rPr>
          <w:sz w:val="20"/>
          <w:szCs w:val="20"/>
          <w:color w:val="auto"/>
        </w:rPr>
      </w:pPr>
    </w:p>
    <w:p>
      <w:pPr>
        <w:ind w:left="580" w:right="180" w:hanging="572"/>
        <w:spacing w:after="0" w:line="250" w:lineRule="auto"/>
        <w:tabs>
          <w:tab w:leader="none" w:pos="5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S-3 dated January 23, 2013 of file number 333-186155.</w:t>
      </w:r>
    </w:p>
    <w:p>
      <w:pPr>
        <w:ind w:left="580" w:right="120" w:hanging="572"/>
        <w:spacing w:after="0" w:line="261" w:lineRule="auto"/>
        <w:tabs>
          <w:tab w:leader="none" w:pos="5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ectPr>
          <w:pgSz w:w="11900" w:h="16838" w:orient="portrait"/>
          <w:cols w:equalWidth="0" w:num="1">
            <w:col w:w="11320"/>
          </w:cols>
          <w:pgMar w:left="240" w:top="273" w:right="339" w:bottom="1440" w:gutter="0" w:footer="0" w:header="0"/>
          <w:type w:val="continuous"/>
        </w:sectPr>
      </w:pPr>
    </w:p>
    <w:bookmarkStart w:id="333" w:name="page334"/>
    <w:bookmarkEnd w:id="333"/>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New York and State of New York on the 9th day of July, 2014.</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Yana Kislenko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180"/>
          </w:cols>
          <w:pgMar w:left="240" w:top="273" w:right="479" w:bottom="1440" w:gutter="0" w:footer="0" w:header="0"/>
        </w:sectPr>
      </w:pPr>
    </w:p>
    <w:bookmarkStart w:id="334" w:name="page335"/>
    <w:bookmarkEnd w:id="334"/>
    <w:p>
      <w:pPr>
        <w:jc w:val="center"/>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Yana Kislenko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920"/>
          </w:cols>
          <w:pgMar w:left="240" w:top="274" w:right="7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March 31, 2014, filed in accordance with 12 U.S.C. §161 for National Banks.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Dollar Amounts</w:t>
            </w:r>
          </w:p>
        </w:tc>
      </w:tr>
      <w:tr>
        <w:trPr>
          <w:trHeight w:val="167"/>
        </w:trPr>
        <w:tc>
          <w:tcPr>
            <w:tcW w:w="20" w:type="dxa"/>
            <w:vAlign w:val="bottom"/>
          </w:tcPr>
          <w:p>
            <w:pPr>
              <w:spacing w:after="0"/>
              <w:rPr>
                <w:sz w:val="14"/>
                <w:szCs w:val="14"/>
                <w:color w:val="auto"/>
              </w:rPr>
            </w:pPr>
          </w:p>
        </w:tc>
        <w:tc>
          <w:tcPr>
            <w:tcW w:w="10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In Millions</w:t>
            </w:r>
          </w:p>
        </w:tc>
      </w:tr>
      <w:tr>
        <w:trPr>
          <w:trHeight w:val="196"/>
        </w:trPr>
        <w:tc>
          <w:tcPr>
            <w:tcW w:w="20" w:type="dxa"/>
            <w:vAlign w:val="bottom"/>
          </w:tcPr>
          <w:p>
            <w:pPr>
              <w:spacing w:after="0"/>
              <w:rPr>
                <w:sz w:val="17"/>
                <w:szCs w:val="17"/>
                <w:color w:val="auto"/>
              </w:rPr>
            </w:pPr>
          </w:p>
        </w:tc>
        <w:tc>
          <w:tcPr>
            <w:tcW w:w="10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19,353</w:t>
            </w:r>
          </w:p>
        </w:tc>
      </w:tr>
      <w:tr>
        <w:trPr>
          <w:trHeight w:val="216"/>
        </w:trPr>
        <w:tc>
          <w:tcPr>
            <w:tcW w:w="2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Interest-bearing balances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196,143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Held-to-maturity securities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17,662</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in domestic offices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Securities purchased under agreements to resell</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19,030</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Loans and leases held for sale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 and allowance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Trading Assets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31,189</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21,549</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21,474</w:t>
            </w: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52,924</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1,388,274</w:t>
            </w:r>
          </w:p>
        </w:tc>
        <w:tc>
          <w:tcPr>
            <w:tcW w:w="100" w:type="dxa"/>
            <w:vAlign w:val="bottom"/>
            <w:shd w:val="clear" w:color="auto" w:fill="CCEEFF"/>
          </w:tcPr>
          <w:p>
            <w:pPr>
              <w:spacing w:after="0"/>
              <w:rPr>
                <w:sz w:val="18"/>
                <w:szCs w:val="18"/>
                <w:color w:val="auto"/>
              </w:rPr>
            </w:pP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In domestic offices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1,010,888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Noninterest-bearing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700"/>
              <w:spacing w:after="0"/>
              <w:rPr>
                <w:sz w:val="20"/>
                <w:szCs w:val="20"/>
                <w:color w:val="auto"/>
              </w:rPr>
            </w:pPr>
            <w:r>
              <w:rPr>
                <w:rFonts w:ascii="Arial" w:cs="Arial" w:eastAsia="Arial" w:hAnsi="Arial"/>
                <w:sz w:val="18"/>
                <w:szCs w:val="18"/>
                <w:color w:val="auto"/>
              </w:rPr>
              <w:t>Interest-bearing</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736,019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foreign offices, Edge and Agreement subsidiaries, and IBFs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94,353</w:t>
            </w:r>
          </w:p>
        </w:tc>
      </w:tr>
      <w:tr>
        <w:trPr>
          <w:trHeight w:val="216"/>
        </w:trPr>
        <w:tc>
          <w:tcPr>
            <w:tcW w:w="20" w:type="dxa"/>
            <w:vAlign w:val="bottom"/>
          </w:tcPr>
          <w:p>
            <w:pPr>
              <w:spacing w:after="0"/>
              <w:rPr>
                <w:sz w:val="18"/>
                <w:szCs w:val="18"/>
                <w:color w:val="auto"/>
              </w:rPr>
            </w:pPr>
          </w:p>
        </w:tc>
        <w:tc>
          <w:tcPr>
            <w:tcW w:w="10380" w:type="dxa"/>
            <w:vAlign w:val="bottom"/>
          </w:tcPr>
          <w:p>
            <w:pPr>
              <w:ind w:left="700"/>
              <w:spacing w:after="0"/>
              <w:rPr>
                <w:sz w:val="20"/>
                <w:szCs w:val="20"/>
                <w:color w:val="auto"/>
              </w:rPr>
            </w:pPr>
            <w:r>
              <w:rPr>
                <w:rFonts w:ascii="Arial" w:cs="Arial" w:eastAsia="Arial" w:hAnsi="Arial"/>
                <w:sz w:val="18"/>
                <w:szCs w:val="18"/>
                <w:color w:val="auto"/>
              </w:rPr>
              <w:t>Noninterest-bearing</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93,830</w:t>
            </w: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purchased in domestic offices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10,968</w:t>
            </w:r>
          </w:p>
        </w:tc>
      </w:tr>
      <w:tr>
        <w:trPr>
          <w:trHeight w:val="230"/>
        </w:trPr>
        <w:tc>
          <w:tcPr>
            <w:tcW w:w="2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12,270</w:t>
            </w:r>
          </w:p>
        </w:tc>
      </w:tr>
    </w:tbl>
    <w:p>
      <w:pPr>
        <w:sectPr>
          <w:pgSz w:w="11900" w:h="16838" w:orient="portrait"/>
          <w:cols w:equalWidth="0" w:num="1">
            <w:col w:w="11420"/>
          </w:cols>
          <w:pgMar w:left="240" w:top="274" w:right="239" w:bottom="1440" w:gutter="0" w:footer="0" w:header="0"/>
        </w:sectPr>
      </w:pPr>
    </w:p>
    <w:bookmarkStart w:id="336" w:name="page337"/>
    <w:bookmarkEnd w:id="3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borrowed money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27,614</w:t>
            </w:r>
          </w:p>
        </w:tc>
        <w:tc>
          <w:tcPr>
            <w:tcW w:w="0" w:type="dxa"/>
            <w:vAlign w:val="bottom"/>
          </w:tcPr>
          <w:p>
            <w:pPr>
              <w:spacing w:after="0"/>
              <w:rPr>
                <w:sz w:val="1"/>
                <w:szCs w:val="1"/>
                <w:color w:val="auto"/>
              </w:rPr>
            </w:pPr>
          </w:p>
        </w:tc>
      </w:tr>
      <w:tr>
        <w:trPr>
          <w:trHeight w:val="224"/>
        </w:trPr>
        <w:tc>
          <w:tcPr>
            <w:tcW w:w="10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1,248,988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0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EQUITY CAPITAL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0400" w:type="dxa"/>
            <w:vAlign w:val="bottom"/>
            <w:gridSpan w:val="2"/>
          </w:tcPr>
          <w:p>
            <w:pPr>
              <w:spacing w:after="0"/>
              <w:rPr>
                <w:sz w:val="20"/>
                <w:szCs w:val="20"/>
                <w:color w:val="auto"/>
              </w:rPr>
            </w:pPr>
            <w:r>
              <w:rPr>
                <w:rFonts w:ascii="Arial" w:cs="Arial" w:eastAsia="Arial" w:hAnsi="Arial"/>
                <w:sz w:val="18"/>
                <w:szCs w:val="18"/>
                <w:color w:val="auto"/>
              </w:rPr>
              <w:t>Total bank equity capital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331"/>
        </w:trPr>
        <w:tc>
          <w:tcPr>
            <w:tcW w:w="1040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1,388,274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I, Timothy J. Sloan,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4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Timothy J. Sloan</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EVP &amp; 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Avid Modjtabai</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Michael Loughlin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John Stumpf</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ectPr>
          <w:pgSz w:w="11900" w:h="16838" w:orient="portrait"/>
          <w:cols w:equalWidth="0" w:num="2">
            <w:col w:w="2480" w:space="720"/>
            <w:col w:w="8220"/>
          </w:cols>
          <w:pgMar w:left="240" w:top="257" w:right="239" w:bottom="1440" w:gutter="0" w:footer="0" w:header="0"/>
          <w:type w:val="continuous"/>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(d)(7)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Subscription Certificate]</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THIS OFFER EXPIRES AT</w:t>
      </w:r>
    </w:p>
    <w:p>
      <w:pPr>
        <w:spacing w:after="0" w:line="4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NEW YORK CITY TIME, 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right"/>
        <w:spacing w:after="0" w:line="381" w:lineRule="auto"/>
        <w:rPr>
          <w:sz w:val="20"/>
          <w:szCs w:val="20"/>
          <w:color w:val="auto"/>
        </w:rPr>
      </w:pPr>
      <w:r>
        <w:rPr>
          <w:rFonts w:ascii="Arial" w:cs="Arial" w:eastAsia="Arial" w:hAnsi="Arial"/>
          <w:sz w:val="15"/>
          <w:szCs w:val="15"/>
          <w:color w:val="auto"/>
        </w:rPr>
        <w:t>:00 P.M., , 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ectPr>
          <w:pgSz w:w="11900" w:h="16838" w:orient="portrait"/>
          <w:cols w:equalWidth="0" w:num="3">
            <w:col w:w="6300" w:space="220"/>
            <w:col w:w="660" w:space="160"/>
            <w:col w:w="408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RIGHTS FOR COMMON STOCK</w:t>
      </w:r>
    </w:p>
    <w:p>
      <w:pPr>
        <w:spacing w:after="0" w:line="221"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Each registered holder of this Subscription Certificate (a “</w:t>
      </w:r>
      <w:r>
        <w:rPr>
          <w:rFonts w:ascii="Arial" w:cs="Arial" w:eastAsia="Arial" w:hAnsi="Arial"/>
          <w:sz w:val="16"/>
          <w:szCs w:val="16"/>
          <w:b w:val="1"/>
          <w:bCs w:val="1"/>
          <w:color w:val="auto"/>
        </w:rPr>
        <w:t>Rights Holder</w:t>
      </w:r>
      <w:r>
        <w:rPr>
          <w:rFonts w:ascii="Arial" w:cs="Arial" w:eastAsia="Arial" w:hAnsi="Arial"/>
          <w:sz w:val="16"/>
          <w:szCs w:val="16"/>
          <w:color w:val="auto"/>
        </w:rPr>
        <w:t>”) is entitled to the number of [transferable/non-transferable] subscription rights (each, a “</w:t>
      </w:r>
      <w:r>
        <w:rPr>
          <w:rFonts w:ascii="Arial" w:cs="Arial" w:eastAsia="Arial" w:hAnsi="Arial"/>
          <w:sz w:val="16"/>
          <w:szCs w:val="16"/>
          <w:b w:val="1"/>
          <w:bCs w:val="1"/>
          <w:color w:val="auto"/>
        </w:rPr>
        <w:t>Right</w:t>
      </w:r>
      <w:r>
        <w:rPr>
          <w:rFonts w:ascii="Arial" w:cs="Arial" w:eastAsia="Arial" w:hAnsi="Arial"/>
          <w:sz w:val="16"/>
          <w:szCs w:val="16"/>
          <w:color w:val="auto"/>
        </w:rPr>
        <w:t>”) to subscribe for the number of shares of common stock, par value $0.01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of TPG Specialty Lending,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as specified herein, on the terms and subject to the conditions set forth in the Company’s prospectus</w:t>
      </w:r>
    </w:p>
    <w:p>
      <w:pPr>
        <w:spacing w:after="0" w:line="2"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supplement dated , 20 and the accompanying prospectus dated , 20 (collectively, the “</w:t>
      </w:r>
      <w:r>
        <w:rPr>
          <w:rFonts w:ascii="Arial" w:cs="Arial" w:eastAsia="Arial" w:hAnsi="Arial"/>
          <w:sz w:val="17"/>
          <w:szCs w:val="17"/>
          <w:b w:val="1"/>
          <w:bCs w:val="1"/>
          <w:color w:val="auto"/>
        </w:rPr>
        <w:t>Prospectus</w:t>
      </w:r>
      <w:r>
        <w:rPr>
          <w:rFonts w:ascii="Arial" w:cs="Arial" w:eastAsia="Arial" w:hAnsi="Arial"/>
          <w:sz w:val="17"/>
          <w:szCs w:val="17"/>
          <w:color w:val="auto"/>
        </w:rPr>
        <w:t>”), which are incorporated herein by reference. Pursuant to the rights offering described in the Prospectus (the “</w:t>
      </w:r>
      <w:r>
        <w:rPr>
          <w:rFonts w:ascii="Arial" w:cs="Arial" w:eastAsia="Arial" w:hAnsi="Arial"/>
          <w:sz w:val="17"/>
          <w:szCs w:val="17"/>
          <w:b w:val="1"/>
          <w:bCs w:val="1"/>
          <w:color w:val="auto"/>
        </w:rPr>
        <w:t>Offering</w:t>
      </w:r>
      <w:r>
        <w:rPr>
          <w:rFonts w:ascii="Arial" w:cs="Arial" w:eastAsia="Arial" w:hAnsi="Arial"/>
          <w:sz w:val="17"/>
          <w:szCs w:val="17"/>
          <w:color w:val="auto"/>
        </w:rPr>
        <w:t>”), each stockholder owning Common Stock of the Company as of</w:t>
      </w:r>
    </w:p>
    <w:p>
      <w:pPr>
        <w:jc w:val="center"/>
        <w:ind w:right="340"/>
        <w:spacing w:after="0"/>
        <w:tabs>
          <w:tab w:leader="none" w:pos="200" w:val="left"/>
          <w:tab w:leader="none" w:pos="560" w:val="left"/>
        </w:tabs>
        <w:rPr>
          <w:sz w:val="20"/>
          <w:szCs w:val="20"/>
          <w:color w:val="auto"/>
        </w:rPr>
      </w:pPr>
      <w:r>
        <w:rPr>
          <w:rFonts w:ascii="Arial" w:cs="Arial" w:eastAsia="Arial" w:hAnsi="Arial"/>
          <w:sz w:val="18"/>
          <w:szCs w:val="18"/>
          <w:color w:val="auto"/>
        </w:rPr>
        <w:t>, 20</w:t>
        <w:tab/>
        <w:t>(such date, the “</w:t>
      </w:r>
      <w:r>
        <w:rPr>
          <w:rFonts w:ascii="Arial" w:cs="Arial" w:eastAsia="Arial" w:hAnsi="Arial"/>
          <w:sz w:val="18"/>
          <w:szCs w:val="18"/>
          <w:b w:val="1"/>
          <w:bCs w:val="1"/>
          <w:color w:val="auto"/>
        </w:rPr>
        <w:t>Record Date</w:t>
      </w:r>
      <w:r>
        <w:rPr>
          <w:rFonts w:ascii="Arial" w:cs="Arial" w:eastAsia="Arial" w:hAnsi="Arial"/>
          <w:sz w:val="18"/>
          <w:szCs w:val="18"/>
          <w:color w:val="auto"/>
        </w:rPr>
        <w:t>” and, such stockholder, a “</w:t>
      </w:r>
      <w:r>
        <w:rPr>
          <w:rFonts w:ascii="Arial" w:cs="Arial" w:eastAsia="Arial" w:hAnsi="Arial"/>
          <w:sz w:val="18"/>
          <w:szCs w:val="18"/>
          <w:b w:val="1"/>
          <w:bCs w:val="1"/>
          <w:color w:val="auto"/>
        </w:rPr>
        <w:t>Record Date Stockholder</w:t>
      </w:r>
      <w:r>
        <w:rPr>
          <w:rFonts w:ascii="Arial" w:cs="Arial" w:eastAsia="Arial" w:hAnsi="Arial"/>
          <w:sz w:val="18"/>
          <w:szCs w:val="18"/>
          <w:color w:val="auto"/>
        </w:rPr>
        <w:t>”) is entitled to receive</w:t>
      </w:r>
      <w:r>
        <w:rPr>
          <w:sz w:val="20"/>
          <w:szCs w:val="20"/>
          <w:color w:val="auto"/>
        </w:rPr>
        <w:tab/>
      </w:r>
      <w:r>
        <w:rPr>
          <w:rFonts w:ascii="Arial" w:cs="Arial" w:eastAsia="Arial" w:hAnsi="Arial"/>
          <w:sz w:val="16"/>
          <w:szCs w:val="16"/>
          <w:color w:val="auto"/>
        </w:rPr>
        <w:t>Right[s] for each</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share[s] of Common Stock owned on the Record Date. [The Company will not issue any fractional Rights.] Each Rights Holder is entitled to subscribe for</w:t>
      </w:r>
    </w:p>
    <w:p>
      <w:pPr>
        <w:spacing w:after="0" w:line="32" w:lineRule="exact"/>
        <w:rPr>
          <w:sz w:val="20"/>
          <w:szCs w:val="20"/>
          <w:color w:val="auto"/>
        </w:rPr>
      </w:pPr>
    </w:p>
    <w:p>
      <w:pPr>
        <w:ind w:right="400" w:firstLine="765"/>
        <w:spacing w:after="0" w:line="281" w:lineRule="auto"/>
        <w:rPr>
          <w:sz w:val="20"/>
          <w:szCs w:val="20"/>
          <w:color w:val="auto"/>
        </w:rPr>
      </w:pPr>
      <w:r>
        <w:rPr>
          <w:rFonts w:ascii="Arial" w:cs="Arial" w:eastAsia="Arial" w:hAnsi="Arial"/>
          <w:sz w:val="16"/>
          <w:szCs w:val="16"/>
          <w:color w:val="auto"/>
        </w:rPr>
        <w:t>share[s] of Common Stock for each Right held by such Rights Holder (the “</w:t>
      </w:r>
      <w:r>
        <w:rPr>
          <w:rFonts w:ascii="Arial" w:cs="Arial" w:eastAsia="Arial" w:hAnsi="Arial"/>
          <w:sz w:val="16"/>
          <w:szCs w:val="16"/>
          <w:b w:val="1"/>
          <w:bCs w:val="1"/>
          <w:color w:val="auto"/>
        </w:rPr>
        <w:t>Basic Subscription</w:t>
      </w:r>
      <w:r>
        <w:rPr>
          <w:rFonts w:ascii="Arial" w:cs="Arial" w:eastAsia="Arial" w:hAnsi="Arial"/>
          <w:sz w:val="16"/>
          <w:szCs w:val="16"/>
          <w:color w:val="auto"/>
        </w:rPr>
        <w:t>”) at the subscription price (the “</w:t>
      </w:r>
      <w:r>
        <w:rPr>
          <w:rFonts w:ascii="Arial" w:cs="Arial" w:eastAsia="Arial" w:hAnsi="Arial"/>
          <w:sz w:val="16"/>
          <w:szCs w:val="16"/>
          <w:b w:val="1"/>
          <w:bCs w:val="1"/>
          <w:color w:val="auto"/>
        </w:rPr>
        <w:t>Subscription</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to be calculated as described in the Prospectus. The Rights may be exercised at any time during the subscription period, which commences on</w:t>
      </w:r>
    </w:p>
    <w:p>
      <w:pPr>
        <w:spacing w:after="0" w:line="1"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color w:val="auto"/>
        </w:rPr>
        <w:t>, 20 and ends at :00 p.m., New York City time, on , 20 , unless extended by the Company in its sole discretion (the “</w:t>
      </w:r>
      <w:r>
        <w:rPr>
          <w:rFonts w:ascii="Arial" w:cs="Arial" w:eastAsia="Arial" w:hAnsi="Arial"/>
          <w:sz w:val="18"/>
          <w:szCs w:val="18"/>
          <w:b w:val="1"/>
          <w:bCs w:val="1"/>
          <w:color w:val="auto"/>
        </w:rPr>
        <w:t>Expiration Date</w:t>
      </w:r>
      <w:r>
        <w:rPr>
          <w:rFonts w:ascii="Arial" w:cs="Arial" w:eastAsia="Arial" w:hAnsi="Arial"/>
          <w:sz w:val="18"/>
          <w:szCs w:val="18"/>
          <w:color w:val="auto"/>
        </w:rPr>
        <w:t>”). Set forth below is the number of Rights evidenced by this Subscription Certificate that the Rights Holder is entitled to exercise pursuant to the Basic Subscription.</w:t>
      </w:r>
    </w:p>
    <w:p>
      <w:pPr>
        <w:spacing w:after="0" w:line="19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[If any shares of Common Stock available for purchase in the Offering are not subscribed for by Rights Holders pursuant to the Basic Subscription (“Remaining Shares”), a Record Date Stockholder that has exercised fully its Rights pursuant to the Basic Subscription may subscribe for a number of Remaining Shares, on the terms and subject to the conditions set forth in the Prospectus, including as to proration.] [In addition, any Rights Holder other than a Record Date Stockholder who exercises Rights is entitled to subscribe for any Remaining Shares that are not otherwise subscribed for by Record Date Stockholders pursuant to their over-subscription privilege, on the terms and subject to the conditions set forth in the Prospectus, including as to proration.] [We refer to these over-subscription privileges as the “</w:t>
      </w:r>
      <w:r>
        <w:rPr>
          <w:rFonts w:ascii="Arial" w:cs="Arial" w:eastAsia="Arial" w:hAnsi="Arial"/>
          <w:sz w:val="17"/>
          <w:szCs w:val="17"/>
          <w:b w:val="1"/>
          <w:bCs w:val="1"/>
          <w:color w:val="auto"/>
        </w:rPr>
        <w:t>Over-Subscription Privilege</w:t>
      </w:r>
      <w:r>
        <w:rPr>
          <w:rFonts w:ascii="Arial" w:cs="Arial" w:eastAsia="Arial" w:hAnsi="Arial"/>
          <w:sz w:val="17"/>
          <w:szCs w:val="17"/>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RIGHTS ARE TRANSFERABLE</w:t>
      </w:r>
    </w:p>
    <w:p>
      <w:pPr>
        <w:spacing w:after="0" w:line="22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The Rights are transferable until , 20 or, if the Offering is extended, until . The Rights are expected to be listed for trading on [the New York Stock Exchange] under the symbol “ ” until and including , 20 (or, if the Offering is extended, until ). Rights Holders</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who do not wish to exercise any or all of their Rights may instruct the Subscription Agent (as defined below) to sell any Rights they do not intend to exercise themselves through or to a dealer manager. Subscription Certificates representing the Rights to be sold through or to a dealer manager must be received by the</w:t>
      </w:r>
    </w:p>
    <w:p>
      <w:pPr>
        <w:spacing w:after="0" w:line="1" w:lineRule="exact"/>
        <w:rPr>
          <w:sz w:val="20"/>
          <w:szCs w:val="20"/>
          <w:color w:val="auto"/>
        </w:rPr>
      </w:pPr>
    </w:p>
    <w:p>
      <w:pPr>
        <w:spacing w:after="0"/>
        <w:tabs>
          <w:tab w:leader="none" w:pos="2900" w:val="left"/>
          <w:tab w:leader="none" w:pos="3380" w:val="left"/>
          <w:tab w:leader="none" w:pos="6200" w:val="left"/>
        </w:tabs>
        <w:rPr>
          <w:sz w:val="20"/>
          <w:szCs w:val="20"/>
          <w:color w:val="auto"/>
        </w:rPr>
      </w:pPr>
      <w:r>
        <w:rPr>
          <w:rFonts w:ascii="Arial" w:cs="Arial" w:eastAsia="Arial" w:hAnsi="Arial"/>
          <w:sz w:val="18"/>
          <w:szCs w:val="18"/>
          <w:color w:val="auto"/>
        </w:rPr>
        <w:t>Subscription Agent on or before</w:t>
      </w:r>
      <w:r>
        <w:rPr>
          <w:sz w:val="20"/>
          <w:szCs w:val="20"/>
          <w:color w:val="auto"/>
        </w:rPr>
        <w:tab/>
      </w:r>
      <w:r>
        <w:rPr>
          <w:rFonts w:ascii="Arial" w:cs="Arial" w:eastAsia="Arial" w:hAnsi="Arial"/>
          <w:sz w:val="18"/>
          <w:szCs w:val="18"/>
          <w:color w:val="auto"/>
        </w:rPr>
        <w:t>, 20</w:t>
        <w:tab/>
        <w:t>(or, if the Offering is extended,</w:t>
      </w:r>
      <w:r>
        <w:rPr>
          <w:sz w:val="20"/>
          <w:szCs w:val="20"/>
          <w:color w:val="auto"/>
        </w:rPr>
        <w:tab/>
      </w:r>
      <w:r>
        <w:rPr>
          <w:rFonts w:ascii="Arial" w:cs="Arial" w:eastAsia="Arial" w:hAnsi="Arial"/>
          <w:sz w:val="16"/>
          <w:szCs w:val="16"/>
          <w:color w:val="auto"/>
        </w:rPr>
        <w:t>prior to the extended Expiration Date).]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Control No: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Cusip No.: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Rights Represented by this Subscription Certificate: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Maximum Shares Available for Purchase Pursuant to the Basic</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Subscription: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Unless extended by the Company in its sole discretion.</w:t>
      </w:r>
    </w:p>
    <w:p>
      <w:pPr>
        <w:sectPr>
          <w:pgSz w:w="11900" w:h="16838" w:orient="portrait"/>
          <w:cols w:equalWidth="0" w:num="1">
            <w:col w:w="11420"/>
          </w:cols>
          <w:pgMar w:left="240" w:top="121" w:right="239" w:bottom="1440" w:gutter="0" w:footer="0" w:header="0"/>
          <w:type w:val="continuous"/>
        </w:sectPr>
      </w:pPr>
    </w:p>
    <w:bookmarkStart w:id="338" w:name="page339"/>
    <w:bookmarkEnd w:id="3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OFFERING IS TERMINABLE BY THE COMPANY</w:t>
      </w:r>
    </w:p>
    <w:p>
      <w:pPr>
        <w:spacing w:after="0" w:line="229"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Company reserves the right to terminate the Offering prior to delivery of Common Stock if the subscription price is less than [ ]% of the net asset value attributable to a share of Common Stock disclosed in the most recent periodic report the Company filed with the Securities and Exchange Commission.]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ESTIMATED SUBSCRIPTION PRICE</w:t>
      </w:r>
    </w:p>
    <w:p>
      <w:pPr>
        <w:sectPr>
          <w:pgSz w:w="11900" w:h="16838" w:orient="portrait"/>
          <w:cols w:equalWidth="0" w:num="1">
            <w:col w:w="11400"/>
          </w:cols>
          <w:pgMar w:left="240" w:top="269" w:right="259" w:bottom="1440" w:gutter="0" w:footer="0" w:header="0"/>
        </w:sectPr>
      </w:pP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The estimated subscription price (the “</w:t>
      </w:r>
      <w:r>
        <w:rPr>
          <w:rFonts w:ascii="Arial" w:cs="Arial" w:eastAsia="Arial" w:hAnsi="Arial"/>
          <w:sz w:val="18"/>
          <w:szCs w:val="18"/>
          <w:b w:val="1"/>
          <w:bCs w:val="1"/>
          <w:color w:val="auto"/>
        </w:rPr>
        <w:t>Estimated Subscription Price</w:t>
      </w:r>
      <w:r>
        <w:rPr>
          <w:rFonts w:ascii="Arial" w:cs="Arial" w:eastAsia="Arial" w:hAnsi="Arial"/>
          <w:sz w:val="18"/>
          <w:szCs w:val="18"/>
          <w:color w:val="auto"/>
        </w:rPr>
        <w:t>”) is $ Rights” below.]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per share of Common Stock. [See also “Method of Exercise of</w:t>
      </w:r>
    </w:p>
    <w:p>
      <w:pPr>
        <w:spacing w:after="0" w:line="498" w:lineRule="exact"/>
        <w:rPr>
          <w:sz w:val="20"/>
          <w:szCs w:val="20"/>
          <w:color w:val="auto"/>
        </w:rPr>
      </w:pPr>
    </w:p>
    <w:p>
      <w:pPr>
        <w:sectPr>
          <w:pgSz w:w="11900" w:h="16838" w:orient="portrait"/>
          <w:cols w:equalWidth="0" w:num="2">
            <w:col w:w="5940" w:space="420"/>
            <w:col w:w="5040"/>
          </w:cols>
          <w:pgMar w:left="240" w:top="269" w:right="259"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SUBSCRIPTION PRICE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Subscription Price for the shares of Common Stock to be issued pursuant to the Offering will be [insert price or formula].</w:t>
      </w:r>
    </w:p>
    <w:p>
      <w:pPr>
        <w:sectPr>
          <w:pgSz w:w="11900" w:h="16838" w:orient="portrait"/>
          <w:cols w:equalWidth="0" w:num="1">
            <w:col w:w="11400"/>
          </w:cols>
          <w:pgMar w:left="240" w:top="269" w:right="25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3860" w:right="40" w:hanging="2209"/>
        <w:spacing w:after="0" w:line="282" w:lineRule="auto"/>
        <w:rPr>
          <w:sz w:val="20"/>
          <w:szCs w:val="20"/>
          <w:color w:val="auto"/>
        </w:rPr>
      </w:pPr>
      <w:r>
        <w:rPr>
          <w:rFonts w:ascii="Arial" w:cs="Arial" w:eastAsia="Arial" w:hAnsi="Arial"/>
          <w:sz w:val="18"/>
          <w:szCs w:val="18"/>
          <w:b w:val="1"/>
          <w:bCs w:val="1"/>
          <w:color w:val="auto"/>
        </w:rPr>
        <w:t>SAMPLE CALCULATION FOR A RECORD DATE STOCKHOLDER WHO OWNS BASIC SUBSCRIPTION RIGHT ( -FOR-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w:t>
      </w:r>
    </w:p>
    <w:p>
      <w:pPr>
        <w:spacing w:after="0" w:line="456" w:lineRule="exact"/>
        <w:rPr>
          <w:sz w:val="20"/>
          <w:szCs w:val="20"/>
          <w:color w:val="auto"/>
        </w:rPr>
      </w:pPr>
    </w:p>
    <w:p>
      <w:pPr>
        <w:sectPr>
          <w:pgSz w:w="11900" w:h="16838" w:orient="portrait"/>
          <w:cols w:equalWidth="0" w:num="2">
            <w:col w:w="8340" w:space="720"/>
            <w:col w:w="2340"/>
          </w:cols>
          <w:pgMar w:left="240" w:top="269" w:right="259" w:bottom="1440" w:gutter="0" w:footer="0" w:header="0"/>
          <w:type w:val="continuous"/>
        </w:sectPr>
      </w:pPr>
    </w:p>
    <w:p>
      <w:pPr>
        <w:ind w:left="920"/>
        <w:spacing w:after="0"/>
        <w:tabs>
          <w:tab w:leader="none" w:pos="4280" w:val="left"/>
          <w:tab w:leader="none" w:pos="4960" w:val="left"/>
          <w:tab w:leader="none" w:pos="5660" w:val="left"/>
        </w:tabs>
        <w:rPr>
          <w:sz w:val="20"/>
          <w:szCs w:val="20"/>
          <w:color w:val="auto"/>
        </w:rPr>
      </w:pPr>
      <w:r>
        <w:rPr>
          <w:rFonts w:ascii="Arial" w:cs="Arial" w:eastAsia="Arial" w:hAnsi="Arial"/>
          <w:sz w:val="18"/>
          <w:szCs w:val="18"/>
          <w:color w:val="auto"/>
        </w:rPr>
        <w:t>No. of shares held on the Record 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Rights</w:t>
      </w:r>
    </w:p>
    <w:p>
      <w:pPr>
        <w:spacing w:after="0" w:line="23" w:lineRule="exact"/>
        <w:rPr>
          <w:sz w:val="20"/>
          <w:szCs w:val="20"/>
          <w:color w:val="auto"/>
        </w:rPr>
      </w:pPr>
    </w:p>
    <w:p>
      <w:pPr>
        <w:ind w:left="920"/>
        <w:spacing w:after="0"/>
        <w:tabs>
          <w:tab w:leader="none" w:pos="1360" w:val="left"/>
          <w:tab w:leader="none" w:pos="3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Right[s] for every</w:t>
      </w:r>
      <w:r>
        <w:rPr>
          <w:sz w:val="20"/>
          <w:szCs w:val="20"/>
          <w:color w:val="auto"/>
        </w:rPr>
        <w:tab/>
      </w:r>
      <w:r>
        <w:rPr>
          <w:rFonts w:ascii="Arial" w:cs="Arial" w:eastAsia="Arial" w:hAnsi="Arial"/>
          <w:sz w:val="16"/>
          <w:szCs w:val="16"/>
          <w:color w:val="auto"/>
        </w:rPr>
        <w:t>share[s] of Common Stock held on the Record Date)</w:t>
      </w:r>
    </w:p>
    <w:p>
      <w:pPr>
        <w:sectPr>
          <w:pgSz w:w="11900" w:h="16838" w:orient="portrait"/>
          <w:cols w:equalWidth="0" w:num="1">
            <w:col w:w="11400"/>
          </w:cols>
          <w:pgMar w:left="240" w:top="269" w:right="259" w:bottom="1440" w:gutter="0" w:footer="0" w:header="0"/>
          <w:type w:val="continuous"/>
        </w:sect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of shares of Common Stock issued assuming full exercise of Basic Subscription:</w:t>
      </w:r>
    </w:p>
    <w:p>
      <w:pPr>
        <w:spacing w:after="0" w:line="46" w:lineRule="exact"/>
        <w:rPr>
          <w:sz w:val="20"/>
          <w:szCs w:val="20"/>
          <w:color w:val="auto"/>
        </w:rPr>
      </w:pPr>
    </w:p>
    <w:p>
      <w:pPr>
        <w:ind w:left="2200" w:hanging="739"/>
        <w:spacing w:after="0"/>
        <w:tabs>
          <w:tab w:leader="none" w:pos="22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new shares of Common Stock</w:t>
      </w:r>
    </w:p>
    <w:p>
      <w:pPr>
        <w:sectPr>
          <w:pgSz w:w="11900" w:h="16838" w:orient="portrait"/>
          <w:cols w:equalWidth="0" w:num="1">
            <w:col w:w="11400"/>
          </w:cols>
          <w:pgMar w:left="240" w:top="269" w:right="259" w:bottom="1440" w:gutter="0" w:footer="0" w:header="0"/>
          <w:type w:val="continuous"/>
        </w:sect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payment based on the Estimated Subscription Price: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shares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ectPr>
          <w:pgSz w:w="11900" w:h="16838" w:orient="portrait"/>
          <w:cols w:equalWidth="0" w:num="3">
            <w:col w:w="5080" w:space="580"/>
            <w:col w:w="740" w:space="580"/>
            <w:col w:w="4420"/>
          </w:cols>
          <w:pgMar w:left="240" w:top="269" w:right="259" w:bottom="1440" w:gutter="0" w:footer="0" w:header="0"/>
          <w:type w:val="continuous"/>
        </w:sectPr>
      </w:pPr>
    </w:p>
    <w:p>
      <w:pPr>
        <w:ind w:left="3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METHOD OF EXERCISE OF RIGHTS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To exercise your Rights, (the “</w:t>
      </w:r>
      <w:r>
        <w:rPr>
          <w:rFonts w:ascii="Arial" w:cs="Arial" w:eastAsia="Arial" w:hAnsi="Arial"/>
          <w:sz w:val="17"/>
          <w:szCs w:val="17"/>
          <w:b w:val="1"/>
          <w:bCs w:val="1"/>
          <w:color w:val="auto"/>
        </w:rPr>
        <w:t>Subscription Agent</w:t>
      </w:r>
      <w:r>
        <w:rPr>
          <w:rFonts w:ascii="Arial" w:cs="Arial" w:eastAsia="Arial" w:hAnsi="Arial"/>
          <w:sz w:val="17"/>
          <w:szCs w:val="17"/>
          <w:color w:val="auto"/>
        </w:rPr>
        <w:t>”), must receive, in the manner specified herein, at or prior to :00 P.M., New York City Time, on , 20 , unless extended by the Company in its sole discretion, either (A) a properly completed and duly executed Subscription Certificate and a money order or check or bank draft drawn on a bank or branch located in the United States and payable to “ ” for an amount equal to the number</w:t>
      </w:r>
    </w:p>
    <w:p>
      <w:pPr>
        <w:sectPr>
          <w:pgSz w:w="11900" w:h="16838" w:orient="portrait"/>
          <w:cols w:equalWidth="0" w:num="1">
            <w:col w:w="11400"/>
          </w:cols>
          <w:pgMar w:left="240" w:top="269" w:right="259" w:bottom="1440" w:gutter="0" w:footer="0" w:header="0"/>
          <w:type w:val="continuous"/>
        </w:sectPr>
      </w:pP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of shares of Common Stock subscribed for pursuant to the Basic Subscription [and the Over-Subscription Privilege] multiplied by the Estimated Subscription Price; or (B) a Notice of Guaranteed Delivery guaranteeing delivery of (i) a properly completed and duly executed Subscription Certificate and (ii) a money</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order or check or bank draft drawn on a bank or branch located in the United States and payable to “ ” for an amount equal to the number of shares of Common Stock subscribed for pursuant to the Basic Subscription [and the Over-Subscription Privilege] multiplied by the Estimated Subscription Price (which certificate and full payment must then be delivered at or prior to :00 p.m., New York City time, on the third business day after the Expiration Date or, if the Offering is extended, at or prior to :00 p.m., New York City time, on the third business day after the extended Expiration Date). Payment must be made in U.S. dollars.</w:t>
      </w:r>
    </w:p>
    <w:p>
      <w:pPr>
        <w:spacing w:after="0" w:line="19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method of delivery of this Subscription Certificate and the payment of the Estimated Subscription Price and, if required, any additional payment is at the election and risk of the Rights Holder, but if sent by mail it is recommended that the Subscription Certificate and payment be sent by registered mail, properly insured, with return receipt requested, and that a sufficient number of days be allowed to ensure delivery to the Subscription Agent and clearance of payment prior to :00 p.m., New York City time, on the Expiration Date, as it may be extended, or the date guaranteed payments are due under a Notice of Guaranteed Delivery (as applicable). Because uncertified personal checks may take at least five business days to clear, you are strongly urged to pay, or arrange for payment, by means of certified or cashier’s check or money order.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9" w:right="259" w:bottom="1440" w:gutter="0" w:footer="0" w:header="0"/>
          <w:type w:val="continuous"/>
        </w:sectPr>
      </w:pPr>
    </w:p>
    <w:bookmarkStart w:id="339" w:name="page340"/>
    <w:bookmarkEnd w:id="339"/>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Because Rights Holders must only pay the Estimated Subscription Price per share to exercise their Rights pursuant to the Offering and the Subscription Price may be higher or lower than the Estimated Subscription Price [(and because a Rights Holder may not receive all the shares for which they subscribe pursuant to the Over-Subscription Privilege)], Rights Holders may receive a refund or be required to pay an additional amount equal to: the difference between the Estimated Subscription Price and the Subscription Price, multiplied by the total number of shares for which they have subscribed and been issued [(including pursuant to the Over-Subscription Privilege)]. Any additional payment required from a Rights Holder must be received by the Subscription Agent within ten business days after the confirmation date in order to receive all the shares of Common Stock subscribed for. Any excess payment to be refunded by the Company to a Rights Holder will be mailed by the Subscription Agent as promptly as practicable. No interest will be paid on any amounts refunded.</w:t>
      </w:r>
    </w:p>
    <w:p>
      <w:pPr>
        <w:spacing w:after="0" w:line="16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Stock certificates will not be issued for shares of the Company’s Common Stock offered in the Offering. Stockholders who are record owners will have the shares they acquire credited to their account with the Company’s transfer agent. Stockholders whose Common Stock are held by a nominee will have the shares they acquire credited to the account of such nominee holder.</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Rights Holder exercising Rights will have no right to rescind their subscription after receipt of their payment for shares or a Notice of Guaranteed Delivery by the Subscription Agent[, except as described in the Prospectus]. [Rights may be transferred in the same manner and with the same effect as with a negotiable instrument payable to specific persons, by duly completing this Subscription Certificate. Rights Holders should be aware that if they choose to exercise, assign, transfer or sell only part of their Rights, they may not receive a new Subscription Certificate in sufficient time to exercise, assign, transfer or sell the remaining Rights evidenced thereby.]</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To subscribe for shares of Common Stock pursuant to the Basic Subscription, please complete line “A” and Section 1 below. [To subscribe for shares of Common Stock pursuant to the Over-Subscription Privilege, please complete lines “A” and “B” and Section 1 below.]</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want the Subscription Agent to attempt to sell any of your unexercised Rights, check box “D” below and complete Section 1 below. If you want a new Subscription Certificate evidencing any unexercised Rights delivered to you, check box “E” below and indicate the address to which the shares should be delivered in Section 1 below. If you want some or all of your unexercised rights transferred to a designated transferee, or to a bank or broker to sell for you, check box “F” below and complete Section 2 below.]</w:t>
      </w:r>
    </w:p>
    <w:p>
      <w:pPr>
        <w:spacing w:after="0" w:line="187" w:lineRule="exact"/>
        <w:rPr>
          <w:sz w:val="20"/>
          <w:szCs w:val="20"/>
          <w:color w:val="auto"/>
        </w:rPr>
      </w:pPr>
    </w:p>
    <w:p>
      <w:pPr>
        <w:ind w:right="540" w:firstLine="456"/>
        <w:spacing w:after="0" w:line="291" w:lineRule="auto"/>
        <w:rPr>
          <w:sz w:val="20"/>
          <w:szCs w:val="20"/>
          <w:color w:val="auto"/>
        </w:rPr>
      </w:pPr>
      <w:r>
        <w:rPr>
          <w:rFonts w:ascii="Arial" w:cs="Arial" w:eastAsia="Arial" w:hAnsi="Arial"/>
          <w:sz w:val="16"/>
          <w:szCs w:val="16"/>
          <w:color w:val="auto"/>
        </w:rPr>
        <w:t>FOR A MORE COMPLETE DESCRIPTION OF THE TERMS AND CONDITIONS OF THE OFFERING, PLEASE REFER TO THE PROSPECTUS, WHICH IS INCORPORATED HEREIN BY REFERENCE. COPIES OF THE PROSPECTUS ARE AVAILABLE UPON REQUEST</w:t>
      </w:r>
    </w:p>
    <w:p>
      <w:pPr>
        <w:spacing w:after="0"/>
        <w:tabs>
          <w:tab w:leader="none" w:pos="3980" w:val="left"/>
          <w:tab w:leader="none" w:pos="5880" w:val="left"/>
        </w:tabs>
        <w:rPr>
          <w:sz w:val="20"/>
          <w:szCs w:val="20"/>
          <w:color w:val="auto"/>
        </w:rPr>
      </w:pPr>
      <w:r>
        <w:rPr>
          <w:rFonts w:ascii="Arial" w:cs="Arial" w:eastAsia="Arial" w:hAnsi="Arial"/>
          <w:sz w:val="18"/>
          <w:szCs w:val="18"/>
          <w:color w:val="auto"/>
        </w:rPr>
        <w:t>FROM THE INFORMATION AGENT,</w:t>
      </w:r>
      <w:r>
        <w:rPr>
          <w:sz w:val="20"/>
          <w:szCs w:val="20"/>
          <w:color w:val="auto"/>
        </w:rPr>
        <w:tab/>
      </w:r>
      <w:r>
        <w:rPr>
          <w:rFonts w:ascii="Arial" w:cs="Arial" w:eastAsia="Arial" w:hAnsi="Arial"/>
          <w:sz w:val="18"/>
          <w:szCs w:val="18"/>
          <w:color w:val="auto"/>
        </w:rPr>
        <w:t>, TOLL-FREE AT</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40" w:name="page341"/>
    <w:bookmarkEnd w:id="340"/>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gridSpan w:val="2"/>
          </w:tcPr>
          <w:p>
            <w:pPr>
              <w:spacing w:after="0"/>
              <w:rPr>
                <w:sz w:val="20"/>
                <w:szCs w:val="20"/>
                <w:color w:val="auto"/>
              </w:rPr>
            </w:pPr>
            <w:r>
              <w:rPr>
                <w:rFonts w:ascii="Arial" w:cs="Arial" w:eastAsia="Arial" w:hAnsi="Arial"/>
                <w:sz w:val="16"/>
                <w:szCs w:val="16"/>
                <w:b w:val="1"/>
                <w:bCs w:val="1"/>
                <w:color w:val="auto"/>
                <w:w w:val="95"/>
              </w:rPr>
              <w:t>A. Basic Subscription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90"/>
        </w:trPr>
        <w:tc>
          <w:tcPr>
            <w:tcW w:w="840" w:type="dxa"/>
            <w:vAlign w:val="bottom"/>
          </w:tcPr>
          <w:p>
            <w:pPr>
              <w:ind w:left="5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3600" w:type="dxa"/>
            <w:vAlign w:val="bottom"/>
            <w:gridSpan w:val="8"/>
          </w:tcPr>
          <w:p>
            <w:pPr>
              <w:spacing w:after="0"/>
              <w:rPr>
                <w:sz w:val="20"/>
                <w:szCs w:val="20"/>
                <w:color w:val="auto"/>
              </w:rPr>
            </w:pPr>
            <w:r>
              <w:rPr>
                <w:rFonts w:ascii="Arial" w:cs="Arial" w:eastAsia="Arial" w:hAnsi="Arial"/>
                <w:sz w:val="16"/>
                <w:szCs w:val="16"/>
                <w:color w:val="auto"/>
              </w:rPr>
              <w:t>(No. of Shares) (Estimated Subscription Price)</w:t>
            </w:r>
          </w:p>
        </w:tc>
      </w:tr>
      <w:tr>
        <w:trPr>
          <w:trHeight w:val="446"/>
        </w:trPr>
        <w:tc>
          <w:tcPr>
            <w:tcW w:w="2300" w:type="dxa"/>
            <w:vAlign w:val="bottom"/>
            <w:gridSpan w:val="3"/>
          </w:tcPr>
          <w:p>
            <w:pPr>
              <w:spacing w:after="0"/>
              <w:rPr>
                <w:sz w:val="20"/>
                <w:szCs w:val="20"/>
                <w:color w:val="auto"/>
              </w:rPr>
            </w:pPr>
            <w:r>
              <w:rPr>
                <w:rFonts w:ascii="Arial" w:cs="Arial" w:eastAsia="Arial" w:hAnsi="Arial"/>
                <w:sz w:val="16"/>
                <w:szCs w:val="16"/>
                <w:b w:val="1"/>
                <w:bCs w:val="1"/>
                <w:color w:val="auto"/>
                <w:w w:val="93"/>
              </w:rPr>
              <w:t>[B. Over-Subscription Privilege*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90"/>
        </w:trPr>
        <w:tc>
          <w:tcPr>
            <w:tcW w:w="840" w:type="dxa"/>
            <w:vAlign w:val="bottom"/>
          </w:tcPr>
          <w:p>
            <w:pPr>
              <w:ind w:left="5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3600" w:type="dxa"/>
            <w:vAlign w:val="bottom"/>
            <w:gridSpan w:val="8"/>
          </w:tcPr>
          <w:p>
            <w:pPr>
              <w:spacing w:after="0"/>
              <w:rPr>
                <w:sz w:val="20"/>
                <w:szCs w:val="20"/>
                <w:color w:val="auto"/>
              </w:rPr>
            </w:pPr>
            <w:r>
              <w:rPr>
                <w:rFonts w:ascii="Arial" w:cs="Arial" w:eastAsia="Arial" w:hAnsi="Arial"/>
                <w:sz w:val="16"/>
                <w:szCs w:val="16"/>
                <w:color w:val="auto"/>
              </w:rPr>
              <w:t>(No. of Shares) (Estimated Subscription Price)]</w:t>
            </w:r>
          </w:p>
        </w:tc>
      </w:tr>
      <w:tr>
        <w:trPr>
          <w:trHeight w:val="411"/>
        </w:trPr>
        <w:tc>
          <w:tcPr>
            <w:tcW w:w="230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[C.] Total Amount Enclosed </w:t>
            </w:r>
            <w:r>
              <w:rPr>
                <w:rFonts w:ascii="Arial" w:cs="Arial" w:eastAsia="Arial" w:hAnsi="Arial"/>
                <w:sz w:val="16"/>
                <w:szCs w:val="16"/>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b w:val="1"/>
          <w:bCs w:val="1"/>
          <w:color w:val="auto"/>
        </w:rPr>
        <w:t xml:space="preserve">[D. Sell any unexercised Rights </w:t>
      </w:r>
      <w:r>
        <w:rPr>
          <w:rFonts w:ascii="MS PGothic" w:cs="MS PGothic" w:eastAsia="MS PGothic" w:hAnsi="MS PGothic"/>
          <w:sz w:val="16"/>
          <w:szCs w:val="16"/>
          <w:color w:val="auto"/>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-185420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b w:val="1"/>
          <w:bCs w:val="1"/>
          <w:color w:val="auto"/>
        </w:rPr>
        <w:t>[E. Deliver a certificate representing unexercised Rights to the address in Section 1]</w:t>
      </w:r>
    </w:p>
    <w:p>
      <w:pPr>
        <w:spacing w:after="0" w:line="191"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b w:val="1"/>
          <w:bCs w:val="1"/>
          <w:color w:val="auto"/>
        </w:rPr>
        <w:t>[F. Transfer</w:t>
      </w:r>
      <w:r>
        <w:rPr>
          <w:sz w:val="20"/>
          <w:szCs w:val="20"/>
          <w:color w:val="auto"/>
        </w:rPr>
        <w:tab/>
      </w:r>
      <w:r>
        <w:rPr>
          <w:rFonts w:ascii="Arial" w:cs="Arial" w:eastAsia="Arial" w:hAnsi="Arial"/>
          <w:sz w:val="14"/>
          <w:szCs w:val="14"/>
          <w:b w:val="1"/>
          <w:bCs w:val="1"/>
          <w:color w:val="auto"/>
        </w:rPr>
        <w:t>Rights to the transferee designated in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-4445</wp:posOffset>
            </wp:positionV>
            <wp:extent cx="30861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056" w:lineRule="exact"/>
        <w:rPr>
          <w:sz w:val="20"/>
          <w:szCs w:val="20"/>
          <w:color w:val="auto"/>
        </w:rPr>
      </w:pPr>
    </w:p>
    <w:p>
      <w:pPr>
        <w:sectPr>
          <w:pgSz w:w="11900" w:h="16838" w:orient="portrait"/>
          <w:cols w:equalWidth="0" w:num="2">
            <w:col w:w="5340" w:space="720"/>
            <w:col w:w="5320"/>
          </w:cols>
          <w:pgMar w:left="240" w:top="248" w:right="279" w:bottom="1440" w:gutter="0" w:footer="0" w:header="0"/>
        </w:sectPr>
      </w:pPr>
    </w:p>
    <w:p>
      <w:pPr>
        <w:spacing w:after="0" w:line="18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a Rights Holder is a Record Date Stockholder, the Over-Subscription Privilege may only be exercised if its Basic Subscription is exercised in full.]</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SECTION 1. TO SUBSCRIBE</w:t>
      </w:r>
      <w:r>
        <w:rPr>
          <w:rFonts w:ascii="Arial" w:cs="Arial" w:eastAsia="Arial" w:hAnsi="Arial"/>
          <w:sz w:val="16"/>
          <w:szCs w:val="16"/>
          <w:color w:val="auto"/>
        </w:rPr>
        <w:t>: I acknowledge that I have received the Prospectus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Offering and I hereby irrevocably subscribe for the number of shares of Common Stock indicated as the total of A [and B] above upon the terms and conditions specified in the Prospectus and incorporated by reference herein. I understand and agree that I will be obligated to pay an additional amount if the Subscription Price as determined on the Expiration Date, as it may be extended, is in excess of the Estimated Subscription Price. I hereby agree that if I fail to pay in full for the shares of Common Stock for which I have subscribed, the Company may exercise any of the remedies provided for in the Prospectus.</w:t>
      </w:r>
    </w:p>
    <w:p>
      <w:pPr>
        <w:spacing w:after="0" w:line="221" w:lineRule="exact"/>
        <w:rPr>
          <w:sz w:val="20"/>
          <w:szCs w:val="20"/>
          <w:color w:val="auto"/>
        </w:rPr>
      </w:pPr>
    </w:p>
    <w:p>
      <w:pPr>
        <w:ind w:right="360"/>
        <w:spacing w:after="0" w:line="329" w:lineRule="auto"/>
        <w:rPr>
          <w:sz w:val="20"/>
          <w:szCs w:val="20"/>
          <w:color w:val="auto"/>
        </w:rPr>
      </w:pPr>
      <w:r>
        <w:rPr>
          <w:rFonts w:ascii="Arial" w:cs="Arial" w:eastAsia="Arial" w:hAnsi="Arial"/>
          <w:sz w:val="15"/>
          <w:szCs w:val="15"/>
          <w:color w:val="auto"/>
        </w:rPr>
        <w:t>[TO SELL: If I have checked the box on line D, I authorize the sale of Rights by the Subscription Agent according to the procedures described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36963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Signature(s) of Subscriber(s)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6963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Address for delivery of certificate representing unexercised Rights</w:t>
      </w:r>
    </w:p>
    <w:p>
      <w:pPr>
        <w:spacing w:after="0" w:line="2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If permanent change of address, check here </w:t>
      </w:r>
      <w:r>
        <w:rPr>
          <w:rFonts w:ascii="MS PGothic" w:cs="MS PGothic" w:eastAsia="MS PGothic" w:hAnsi="MS PGothic"/>
          <w:sz w:val="16"/>
          <w:szCs w:val="16"/>
          <w:color w:val="auto"/>
        </w:rPr>
        <w: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gridSpan w:val="4"/>
          </w:tcPr>
          <w:p>
            <w:pPr>
              <w:spacing w:after="0"/>
              <w:rPr>
                <w:sz w:val="20"/>
                <w:szCs w:val="20"/>
                <w:color w:val="auto"/>
              </w:rPr>
            </w:pPr>
            <w:r>
              <w:rPr>
                <w:rFonts w:ascii="Arial" w:cs="Arial" w:eastAsia="Arial" w:hAnsi="Arial"/>
                <w:sz w:val="16"/>
                <w:szCs w:val="16"/>
                <w:color w:val="auto"/>
                <w:w w:val="95"/>
              </w:rPr>
              <w:t>Daytime telephone number (</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426"/>
        </w:trPr>
        <w:tc>
          <w:tcPr>
            <w:tcW w:w="1860" w:type="dxa"/>
            <w:vAlign w:val="bottom"/>
            <w:gridSpan w:val="3"/>
          </w:tcPr>
          <w:p>
            <w:pPr>
              <w:spacing w:after="0"/>
              <w:rPr>
                <w:sz w:val="20"/>
                <w:szCs w:val="20"/>
                <w:color w:val="auto"/>
              </w:rPr>
            </w:pPr>
            <w:r>
              <w:rPr>
                <w:rFonts w:ascii="Arial" w:cs="Arial" w:eastAsia="Arial" w:hAnsi="Arial"/>
                <w:sz w:val="16"/>
                <w:szCs w:val="16"/>
                <w:color w:val="auto"/>
                <w:w w:val="91"/>
              </w:rPr>
              <w:t>Evening telephone number (</w:t>
            </w:r>
          </w:p>
        </w:tc>
        <w:tc>
          <w:tcPr>
            <w:tcW w:w="8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6"/>
                <w:szCs w:val="16"/>
                <w:color w:val="auto"/>
                <w:w w:val="92"/>
              </w:rPr>
              <w:t>Email address:</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complete all applicable information and return to:</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Any questions regarding this Subscription Certificate and the Offering may be</w:t>
      </w:r>
    </w:p>
    <w:p>
      <w:pPr>
        <w:spacing w:after="0" w:line="38" w:lineRule="exact"/>
        <w:rPr>
          <w:sz w:val="20"/>
          <w:szCs w:val="20"/>
          <w:color w:val="auto"/>
        </w:rPr>
      </w:pPr>
    </w:p>
    <w:p>
      <w:pPr>
        <w:spacing w:after="0"/>
        <w:tabs>
          <w:tab w:leader="none" w:pos="2900" w:val="left"/>
          <w:tab w:leader="none" w:pos="4200" w:val="left"/>
        </w:tabs>
        <w:rPr>
          <w:sz w:val="20"/>
          <w:szCs w:val="20"/>
          <w:color w:val="auto"/>
        </w:rPr>
      </w:pPr>
      <w:r>
        <w:rPr>
          <w:rFonts w:ascii="Arial" w:cs="Arial" w:eastAsia="Arial" w:hAnsi="Arial"/>
          <w:sz w:val="16"/>
          <w:szCs w:val="16"/>
          <w:b w:val="1"/>
          <w:bCs w:val="1"/>
          <w:color w:val="auto"/>
        </w:rPr>
        <w:t>directed to the Information Agent,</w:t>
      </w:r>
      <w:r>
        <w:rPr>
          <w:sz w:val="20"/>
          <w:szCs w:val="20"/>
          <w:color w:val="auto"/>
        </w:rPr>
        <w:tab/>
      </w:r>
      <w:r>
        <w:rPr>
          <w:rFonts w:ascii="Arial" w:cs="Arial" w:eastAsia="Arial" w:hAnsi="Arial"/>
          <w:sz w:val="16"/>
          <w:szCs w:val="16"/>
          <w:b w:val="1"/>
          <w:bCs w:val="1"/>
          <w:color w:val="auto"/>
        </w:rPr>
        <w:t>, toll free at</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40" w:right="360" w:hanging="850"/>
        <w:spacing w:after="0" w:line="287" w:lineRule="auto"/>
        <w:rPr>
          <w:sz w:val="20"/>
          <w:szCs w:val="20"/>
          <w:color w:val="auto"/>
        </w:rPr>
      </w:pPr>
      <w:r>
        <w:rPr>
          <w:rFonts w:ascii="Arial" w:cs="Arial" w:eastAsia="Arial" w:hAnsi="Arial"/>
          <w:sz w:val="15"/>
          <w:szCs w:val="15"/>
          <w:b w:val="1"/>
          <w:bCs w:val="1"/>
          <w:color w:val="auto"/>
        </w:rPr>
        <w:t xml:space="preserve">[SECTION 2. TO TRANSFER RIGHTS </w:t>
      </w:r>
      <w:r>
        <w:rPr>
          <w:rFonts w:ascii="Arial" w:cs="Arial" w:eastAsia="Arial" w:hAnsi="Arial"/>
          <w:sz w:val="15"/>
          <w:szCs w:val="15"/>
          <w:color w:val="auto"/>
        </w:rPr>
        <w:t>(Per Line F): For value received,</w:t>
      </w:r>
      <w:r>
        <w:rPr>
          <w:rFonts w:ascii="Arial" w:cs="Arial" w:eastAsia="Arial" w:hAnsi="Arial"/>
          <w:sz w:val="15"/>
          <w:szCs w:val="15"/>
          <w:b w:val="1"/>
          <w:bCs w:val="1"/>
          <w:color w:val="auto"/>
        </w:rPr>
        <w:t xml:space="preserve"> </w:t>
      </w:r>
      <w:r>
        <w:rPr>
          <w:rFonts w:ascii="Arial" w:cs="Arial" w:eastAsia="Arial" w:hAnsi="Arial"/>
          <w:sz w:val="15"/>
          <w:szCs w:val="15"/>
          <w:color w:val="auto"/>
        </w:rPr>
        <w:t>of the Rights represented by this Subscription Certificate are</w:t>
      </w:r>
    </w:p>
    <w:p>
      <w:pPr>
        <w:spacing w:after="0"/>
        <w:rPr>
          <w:sz w:val="20"/>
          <w:szCs w:val="20"/>
          <w:color w:val="auto"/>
        </w:rPr>
      </w:pPr>
      <w:r>
        <w:rPr>
          <w:rFonts w:ascii="Arial" w:cs="Arial" w:eastAsia="Arial" w:hAnsi="Arial"/>
          <w:sz w:val="16"/>
          <w:szCs w:val="16"/>
          <w:color w:val="auto"/>
        </w:rPr>
        <w:t>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34048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(Print full name of Assignee and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34048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(Print full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34048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(Signature(s) of Assignor(s))</w:t>
      </w:r>
    </w:p>
    <w:p>
      <w:pPr>
        <w:spacing w:after="0" w:line="262"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The signature(s) on the Subscription Certificate must correspond with the name(s) of the registered holder(s) exactly as it appears on the Subscription Certificate without any alteration or change whatsoever. In the case of joint registered holders, each person must sign the Subscription Certificate in accordance with the foregoing. If you sign the Subscription Certificate in your capacity as a trustee, executor, administrator, guardian, attorney-in-fact, agent, officer of a corporation or other fiduciary or representative, you must indicate the capacity in which you are signing when you sign and, if requested by the Subscription Agent in its sole and absolute discretion, you must present to the Subscription Agent satisfactory evidence of your authority to sign in that capacity.</w:t>
      </w:r>
    </w:p>
    <w:p>
      <w:pPr>
        <w:spacing w:after="0" w:line="196" w:lineRule="exact"/>
        <w:rPr>
          <w:sz w:val="20"/>
          <w:szCs w:val="20"/>
          <w:color w:val="auto"/>
        </w:rPr>
      </w:pPr>
    </w:p>
    <w:p>
      <w:pPr>
        <w:ind w:right="60"/>
        <w:spacing w:after="0" w:line="324" w:lineRule="auto"/>
        <w:rPr>
          <w:sz w:val="20"/>
          <w:szCs w:val="20"/>
          <w:color w:val="auto"/>
        </w:rPr>
      </w:pPr>
      <w:r>
        <w:rPr>
          <w:rFonts w:ascii="Arial" w:cs="Arial" w:eastAsia="Arial" w:hAnsi="Arial"/>
          <w:sz w:val="14"/>
          <w:szCs w:val="14"/>
          <w:color w:val="auto"/>
        </w:rPr>
        <w:t>The signature must be guaranteed by an Eligible Guarantor Institution, as that term is defined in Rule 17Ad-15 of the Securities Exchange Act of 1934, as amended, which may include: (a) a commercial bank or trust company; (b) a member firm of a domestic stock exchange; or (c) a savings bank or credit union.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Signature (name of bank or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-6985</wp:posOffset>
            </wp:positionV>
            <wp:extent cx="6172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42" w:lineRule="exact"/>
        <w:rPr>
          <w:sz w:val="20"/>
          <w:szCs w:val="20"/>
          <w:color w:val="auto"/>
        </w:rPr>
      </w:pPr>
    </w:p>
    <w:p>
      <w:pPr>
        <w:spacing w:after="0"/>
        <w:tabs>
          <w:tab w:leader="none" w:pos="3140" w:val="left"/>
        </w:tabs>
        <w:rPr>
          <w:sz w:val="20"/>
          <w:szCs w:val="20"/>
          <w:color w:val="auto"/>
        </w:rPr>
      </w:pPr>
      <w:r>
        <w:rPr>
          <w:rFonts w:ascii="Arial" w:cs="Arial" w:eastAsia="Arial" w:hAnsi="Arial"/>
          <w:sz w:val="16"/>
          <w:szCs w:val="16"/>
          <w:color w:val="auto"/>
        </w:rPr>
        <w:t>Guaranteed by (signature/title):</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-6985</wp:posOffset>
            </wp:positionV>
            <wp:extent cx="7200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BY FIRST CLASS MAIL ONLY: BY OVERNIGHT DELIVERY:</w:t>
      </w:r>
    </w:p>
    <w:p>
      <w:pPr>
        <w:spacing w:after="0" w:line="852" w:lineRule="exact"/>
        <w:rPr>
          <w:sz w:val="20"/>
          <w:szCs w:val="20"/>
          <w:color w:val="auto"/>
        </w:rPr>
      </w:pPr>
    </w:p>
    <w:p>
      <w:pPr>
        <w:sectPr>
          <w:pgSz w:w="11900" w:h="16838" w:orient="portrait"/>
          <w:cols w:equalWidth="0" w:num="2">
            <w:col w:w="5820" w:space="240"/>
            <w:col w:w="5320"/>
          </w:cols>
          <w:pgMar w:left="240" w:top="248" w:right="279" w:bottom="1440" w:gutter="0" w:footer="0" w:header="0"/>
          <w:type w:val="continuous"/>
        </w:sectPr>
      </w:pPr>
    </w:p>
    <w:p>
      <w:pPr>
        <w:spacing w:after="0" w:line="40" w:lineRule="exact"/>
        <w:rPr>
          <w:sz w:val="20"/>
          <w:szCs w:val="20"/>
          <w:color w:val="auto"/>
        </w:rPr>
      </w:pPr>
    </w:p>
    <w:p>
      <w:pPr>
        <w:jc w:val="center"/>
        <w:ind w:left="260" w:right="220"/>
        <w:spacing w:after="0" w:line="298" w:lineRule="auto"/>
        <w:rPr>
          <w:sz w:val="20"/>
          <w:szCs w:val="20"/>
          <w:color w:val="auto"/>
        </w:rPr>
      </w:pPr>
      <w:r>
        <w:rPr>
          <w:rFonts w:ascii="Arial" w:cs="Arial" w:eastAsia="Arial" w:hAnsi="Arial"/>
          <w:sz w:val="16"/>
          <w:szCs w:val="16"/>
          <w:b w:val="1"/>
          <w:bCs w:val="1"/>
          <w:color w:val="auto"/>
        </w:rPr>
        <w:t>DELIVERY OF THIS SUBSCRIPTION CERTIFICATE TO AN ADDRESS OTHER THAN AS SET FORTH ABOVE DOES NOT CONSTITUTE A VALID DELIVERY.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48" w:right="279" w:bottom="1440" w:gutter="0" w:footer="0" w:header="0"/>
          <w:type w:val="continuous"/>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(h)(1)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117" w:lineRule="exact"/>
        <w:rPr>
          <w:sz w:val="20"/>
          <w:szCs w:val="20"/>
          <w:color w:val="auto"/>
        </w:rPr>
      </w:pPr>
    </w:p>
    <w:p>
      <w:pPr>
        <w:ind w:left="3820" w:hanging="107"/>
        <w:spacing w:after="0"/>
        <w:tabs>
          <w:tab w:leader="none" w:pos="38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Shares of Common Stock (Par Value $0.01 Per Share)</w:t>
      </w:r>
    </w:p>
    <w:p>
      <w:pPr>
        <w:spacing w:after="0" w:line="23" w:lineRule="exact"/>
        <w:rPr>
          <w:rFonts w:ascii="Arial" w:cs="Arial" w:eastAsia="Arial" w:hAnsi="Arial"/>
          <w:sz w:val="18"/>
          <w:szCs w:val="18"/>
          <w:color w:val="auto"/>
        </w:rPr>
      </w:pPr>
    </w:p>
    <w:p>
      <w:pPr>
        <w:jc w:val="center"/>
        <w:ind w:left="5580" w:right="3840" w:hanging="1741"/>
        <w:spacing w:after="0" w:line="250" w:lineRule="auto"/>
        <w:tabs>
          <w:tab w:leader="none" w:pos="3943" w:val="left"/>
        </w:tabs>
        <w:numPr>
          <w:ilvl w:val="2"/>
          <w:numId w:val="269"/>
        </w:numPr>
        <w:rPr>
          <w:rFonts w:ascii="Arial" w:cs="Arial" w:eastAsia="Arial" w:hAnsi="Arial"/>
          <w:sz w:val="18"/>
          <w:szCs w:val="18"/>
          <w:color w:val="auto"/>
        </w:rPr>
      </w:pPr>
      <w:r>
        <w:rPr>
          <w:rFonts w:ascii="Arial" w:cs="Arial" w:eastAsia="Arial" w:hAnsi="Arial"/>
          <w:sz w:val="18"/>
          <w:szCs w:val="18"/>
          <w:color w:val="auto"/>
        </w:rPr>
        <w:t>Shares of Preferred Stock (Par Value $• Per Share) and</w:t>
      </w:r>
    </w:p>
    <w:p>
      <w:pPr>
        <w:ind w:left="3740" w:hanging="110"/>
        <w:spacing w:after="0"/>
        <w:tabs>
          <w:tab w:leader="none" w:pos="37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Warrants to Purchase Common Stock or Preferred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 of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 listed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TPG Specialty Lending, Inc., a Delaware corporation (the “Company”), proposes to issue and sell to the several Underwriters listed in Schedule 1</w:t>
      </w:r>
    </w:p>
    <w:p>
      <w:pPr>
        <w:spacing w:after="0" w:line="3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hereto (the “Underwriters”), for whom you are acting as Representative[s] (the “Representative[s]”), [an aggregate of [ ] shares of common stock, par value $0.01 per share, of the Company (the “Common Stock),] [an aggregate of [ ] shares of preferred stock, par value $• per share, of the Company (the “Preferred Stock”), [an aggregate of [ ] warrants (the “Warrants”) to purchase Common Stock or Preferred Stock, or both, ] (each of the aforesaid, the “Underwritten Securities”) and, at the option of the Underwriters, up to an additional [ ] of [ ], solely to cover overallotments (the “Option</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Securities”). The Underwritten Securities and the Option Securities are herein referred to as the “Securities.” “Warrant Securities” shall mean the Common Stock or Preferred Stock issuable upon exercise of Warrants. [The Preferred Stock may be offered in the form of depositary shares (the “Depositary Shares”) represented by depositary receipts (the “Depositary Receipts”).] [ The Warrants will be issued under one or more warrant agreements (the warrant agreement relating to any issue of Warrants to be sold pursuant to this Agreement is referred to herein as the “Warrant Agreement”) between the Company and the Warrant Agent identified in such Warrant Agreement (the “Warrant Agent”).] The Common Stock, Preferred Stock and Warrants may be offered either together or separately. Each issue of Preferred Stock may vary, as applicable, as to the specific number of shares, title, issuance price, any redemption or sinking fund requirements, any conversion provisions and any other variable terms as set forth in the applicable certificate of designation (each, a “Certificate of Designation”) relating to such Preferred Stock. Each issue of Warrants may vary, as applicable, as to the title, specific number of shares of Common Stock or Preferred Stock receivable upon exercise, issuance price, exercise dates, exercise conditions and any other variable terms as set forth in the applicable Warrant Agreement relating to such Warrants.</w:t>
      </w:r>
    </w:p>
    <w:p>
      <w:pPr>
        <w:sectPr>
          <w:pgSz w:w="11900" w:h="16838" w:orient="portrait"/>
          <w:cols w:equalWidth="0" w:num="1">
            <w:col w:w="11420"/>
          </w:cols>
          <w:pgMar w:left="240" w:top="121" w:right="239" w:bottom="1440" w:gutter="0" w:footer="0" w:header="0"/>
        </w:sectPr>
      </w:pPr>
    </w:p>
    <w:bookmarkStart w:id="342" w:name="page343"/>
    <w:bookmarkEnd w:id="34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hereby confirms its agreement with the several Underwriters concerning the purchase and sale of the Securities, as follows:</w:t>
      </w:r>
    </w:p>
    <w:p>
      <w:pPr>
        <w:spacing w:after="0" w:line="129" w:lineRule="exact"/>
        <w:rPr>
          <w:sz w:val="20"/>
          <w:szCs w:val="20"/>
          <w:color w:val="auto"/>
        </w:rPr>
      </w:pPr>
    </w:p>
    <w:p>
      <w:pPr>
        <w:ind w:firstLine="464"/>
        <w:spacing w:after="0" w:line="291" w:lineRule="auto"/>
        <w:tabs>
          <w:tab w:leader="none" w:pos="636"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w:t>
      </w:r>
    </w:p>
    <w:p>
      <w:pPr>
        <w:spacing w:after="0"/>
        <w:rPr>
          <w:rFonts w:ascii="Arial" w:cs="Arial" w:eastAsia="Arial" w:hAnsi="Arial"/>
          <w:sz w:val="16"/>
          <w:szCs w:val="16"/>
          <w:color w:val="auto"/>
        </w:rPr>
      </w:pPr>
      <w:r>
        <w:rPr>
          <w:rFonts w:ascii="Arial" w:cs="Arial" w:eastAsia="Arial" w:hAnsi="Arial"/>
          <w:sz w:val="16"/>
          <w:szCs w:val="16"/>
          <w:color w:val="auto"/>
        </w:rPr>
        <w:t>Form N-2 (File No. 333-196969), relating to the Securities and certain of the Company’s other securities, which registration statement was declared effective</w:t>
      </w:r>
    </w:p>
    <w:p>
      <w:pPr>
        <w:spacing w:after="0" w:line="2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by the Commission. The Company has also filed with the Commission a preliminary prospectus supplement, dated· , which contains a base prospectus, dated · (the “Base Prospectus” and collectively, the “Preliminary Prospectus”). Promptly after execution and delivery of this Agreement, the</w:t>
      </w:r>
    </w:p>
    <w:p>
      <w:pPr>
        <w:ind w:right="40"/>
        <w:spacing w:after="0" w:line="267" w:lineRule="auto"/>
        <w:rPr>
          <w:sz w:val="20"/>
          <w:szCs w:val="20"/>
          <w:color w:val="auto"/>
        </w:rPr>
      </w:pPr>
      <w:r>
        <w:rPr>
          <w:rFonts w:ascii="Arial" w:cs="Arial" w:eastAsia="Arial" w:hAnsi="Arial"/>
          <w:sz w:val="17"/>
          <w:szCs w:val="17"/>
          <w:color w:val="auto"/>
        </w:rPr>
        <w:t>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Securities,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13,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left="460" w:right="360"/>
        <w:spacing w:after="0" w:line="432" w:lineRule="auto"/>
        <w:rPr>
          <w:sz w:val="20"/>
          <w:szCs w:val="20"/>
          <w:color w:val="auto"/>
        </w:rPr>
      </w:pPr>
      <w:r>
        <w:rPr>
          <w:rFonts w:ascii="Arial" w:cs="Arial" w:eastAsia="Arial" w:hAnsi="Arial"/>
          <w:sz w:val="16"/>
          <w:szCs w:val="16"/>
          <w:color w:val="auto"/>
        </w:rPr>
        <w:t>The Company has also entered into an Administration Agreement, dated as of March 15, 2011 (the “Administration Agreement”) with the Adviser. At or prior to the Applicable Time (as defined below), the Company had prepared the Preliminary Prospectus, which together with the pricing</w:t>
      </w:r>
    </w:p>
    <w:p>
      <w:pPr>
        <w:spacing w:after="0"/>
        <w:rPr>
          <w:sz w:val="20"/>
          <w:szCs w:val="20"/>
          <w:color w:val="auto"/>
        </w:rPr>
      </w:pPr>
      <w:r>
        <w:rPr>
          <w:rFonts w:ascii="Arial" w:cs="Arial" w:eastAsia="Arial" w:hAnsi="Arial"/>
          <w:sz w:val="18"/>
          <w:szCs w:val="18"/>
          <w:color w:val="auto"/>
        </w:rPr>
        <w:t>information set forth on Annex A, comprises the “Pricing Disclosure Package.</w:t>
      </w:r>
    </w:p>
    <w:p>
      <w:pPr>
        <w:sectPr>
          <w:pgSz w:w="11900" w:h="16838" w:orient="portrait"/>
          <w:cols w:equalWidth="0" w:num="1">
            <w:col w:w="11420"/>
          </w:cols>
          <w:pgMar w:left="240" w:top="273" w:right="239" w:bottom="1440" w:gutter="0" w:footer="0" w:header="0"/>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“Applicable Time” means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P.M.], New York City time, on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3">
            <w:col w:w="2440" w:space="540"/>
            <w:col w:w="2700" w:space="540"/>
            <w:col w:w="5200"/>
          </w:cols>
          <w:pgMar w:left="240" w:top="273" w:right="239" w:bottom="1440" w:gutter="0" w:footer="0" w:header="0"/>
          <w:type w:val="continuous"/>
        </w:sectPr>
      </w:pPr>
    </w:p>
    <w:bookmarkStart w:id="343" w:name="page344"/>
    <w:bookmarkEnd w:id="343"/>
    <w:p>
      <w:pPr>
        <w:ind w:left="640" w:hanging="176"/>
        <w:spacing w:after="0"/>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of the Securities by the Underwriters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88" w:lineRule="auto"/>
        <w:tabs>
          <w:tab w:leader="none" w:pos="70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Company agrees to issue and sell the Underwritten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Securities set forth opposite such Underwriter’s name in Schedule 1 hereto at a price</w:t>
      </w:r>
    </w:p>
    <w:p>
      <w:pPr>
        <w:spacing w:after="0"/>
        <w:tabs>
          <w:tab w:leader="none" w:pos="3220" w:val="left"/>
        </w:tabs>
        <w:rPr>
          <w:sz w:val="20"/>
          <w:szCs w:val="20"/>
          <w:color w:val="auto"/>
        </w:rPr>
      </w:pPr>
      <w:r>
        <w:rPr>
          <w:rFonts w:ascii="Arial" w:cs="Arial" w:eastAsia="Arial" w:hAnsi="Arial"/>
          <w:sz w:val="18"/>
          <w:szCs w:val="18"/>
          <w:color w:val="auto"/>
        </w:rPr>
        <w:t>per share (the “Purchase Price”) of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the Company agrees to issue and sell the Option Securities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Securities at the Purchase Price less an amount per share equal to any dividends or distributions declared by the Company and payable on the Underwritten Securities but not payable on the Option Securities.</w:t>
      </w:r>
    </w:p>
    <w:p>
      <w:pPr>
        <w:spacing w:after="0" w:line="17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If any Option Securities are to be purchased, the number of Option Securities to be purchased by each Underwriter shall be the number of Option Securities which bears the same ratio to the aggregate number of Option Securities being purchased as the number of Underwritten Securities set forth opposite the name of such Underwriter in Schedule 1 hereto (or such number increased as set forth in Section 11 hereof) bears to the aggregate number of Underwritten Securities being purchased from the Company by the several Underwriters, subject, however, to such adjustments to eliminate any fractional Securities as the Representative[s] in their sole discretion shall make.</w:t>
      </w:r>
    </w:p>
    <w:p>
      <w:pPr>
        <w:spacing w:after="0" w:line="1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 Underwriters may exercise the option to purchase Option Securities at any time in whole, or from time to time in part, on or before the thirtieth day following the date of the Prospectus, by written notice from the Representative[s] to the Company. Such notice shall set forth the aggregate number of Option Securities as to which the option is being exercised and the date and time when the Option Securities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78" w:lineRule="exact"/>
        <w:rPr>
          <w:sz w:val="20"/>
          <w:szCs w:val="20"/>
          <w:color w:val="auto"/>
        </w:rPr>
      </w:pPr>
    </w:p>
    <w:p>
      <w:pPr>
        <w:ind w:right="60" w:firstLine="464"/>
        <w:spacing w:after="0" w:line="286" w:lineRule="auto"/>
        <w:tabs>
          <w:tab w:leader="none" w:pos="711"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Prospectus. The Company acknowledges and agrees that the Underwriters may offer and sell Securities to or through any affiliate of an Underwriter.</w:t>
      </w:r>
    </w:p>
    <w:p>
      <w:pPr>
        <w:spacing w:after="0" w:line="165" w:lineRule="exact"/>
        <w:rPr>
          <w:rFonts w:ascii="Arial" w:cs="Arial" w:eastAsia="Arial" w:hAnsi="Arial"/>
          <w:sz w:val="17"/>
          <w:szCs w:val="17"/>
          <w:color w:val="auto"/>
        </w:rPr>
      </w:pPr>
    </w:p>
    <w:p>
      <w:pPr>
        <w:ind w:left="700" w:hanging="236"/>
        <w:spacing w:after="0"/>
        <w:tabs>
          <w:tab w:leader="none" w:pos="7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Payment for the Securities shall be made by wire transfer in immediately available funds to the account specified by the Company to the</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Representative[s] in the case of the Underwritten Securities, at the offices of [ ], at 10:00 A.M., New York City time, on [ ], or at such other time or place on the same or such other date, not later than the fifth business day thereafter, as the Representative[s] and the Company may agree upon in writing or, in the case of the Option Securities, on the date and at the time and place specified by the Representative[s] in the written notice of the Underwriters’ election to purchase such Option Securities. The time and date of such payment for the Underwritten Securities is referred to herein as the “Closing Date”, and the time and date for such payment for the Option Securities, if other than the Closing Date, is herein referred to as the “Additional Closing Date.”</w:t>
      </w:r>
    </w:p>
    <w:p>
      <w:pPr>
        <w:sectPr>
          <w:pgSz w:w="11900" w:h="16838" w:orient="portrait"/>
          <w:cols w:equalWidth="0" w:num="1">
            <w:col w:w="11400"/>
          </w:cols>
          <w:pgMar w:left="240" w:top="273" w:right="259" w:bottom="1440" w:gutter="0" w:footer="0" w:header="0"/>
        </w:sectPr>
      </w:pPr>
    </w:p>
    <w:bookmarkStart w:id="344" w:name="page345"/>
    <w:bookmarkEnd w:id="344"/>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for the Securities to be purchased on the Closing Date or the Additional Closing Date, as the case may be, shall be made against delivery to the Representative[s] for the respective accounts of the several Underwriters of the Securities to be purchased on such date with any transfer taxes payable in connection with the sale of such Securities duly paid by the Company. Delivery of the Securities shall be made through the facilities of The Depository Trust Company (“DTC”) unless the Representative[s] shall otherwise instruct.</w:t>
      </w:r>
    </w:p>
    <w:p>
      <w:pPr>
        <w:spacing w:after="0" w:line="187" w:lineRule="exact"/>
        <w:rPr>
          <w:sz w:val="20"/>
          <w:szCs w:val="20"/>
          <w:color w:val="auto"/>
        </w:rPr>
      </w:pPr>
    </w:p>
    <w:p>
      <w:pPr>
        <w:ind w:right="60" w:firstLine="464"/>
        <w:spacing w:after="0" w:line="271" w:lineRule="auto"/>
        <w:tabs>
          <w:tab w:leader="none" w:pos="711"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640" w:hanging="176"/>
        <w:spacing w:after="0"/>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117" w:lineRule="exact"/>
        <w:rPr>
          <w:rFonts w:ascii="Arial" w:cs="Arial" w:eastAsia="Arial" w:hAnsi="Arial"/>
          <w:sz w:val="18"/>
          <w:szCs w:val="18"/>
          <w:color w:val="auto"/>
        </w:rPr>
      </w:pPr>
    </w:p>
    <w:p>
      <w:pPr>
        <w:ind w:left="460" w:firstLine="443"/>
        <w:spacing w:after="0" w:line="254" w:lineRule="auto"/>
        <w:tabs>
          <w:tab w:leader="none" w:pos="1143" w:val="left"/>
        </w:tabs>
        <w:numPr>
          <w:ilvl w:val="1"/>
          <w:numId w:val="275"/>
        </w:numPr>
        <w:rPr>
          <w:rFonts w:ascii="Arial" w:cs="Arial" w:eastAsia="Arial" w:hAnsi="Arial"/>
          <w:sz w:val="18"/>
          <w:szCs w:val="18"/>
          <w:color w:val="auto"/>
        </w:rPr>
      </w:pPr>
      <w:r>
        <w:rPr>
          <w:rFonts w:ascii="Arial" w:cs="Arial" w:eastAsia="Arial" w:hAnsi="Arial"/>
          <w:sz w:val="18"/>
          <w:szCs w:val="18"/>
          <w:i w:val="1"/>
          <w:iCs w:val="1"/>
          <w:color w:val="auto"/>
        </w:rPr>
        <w:t>Preliminary Prospectus</w:t>
      </w:r>
      <w:r>
        <w:rPr>
          <w:rFonts w:ascii="Arial" w:cs="Arial" w:eastAsia="Arial" w:hAnsi="Arial"/>
          <w:sz w:val="18"/>
          <w:szCs w:val="18"/>
          <w:color w:val="auto"/>
        </w:rPr>
        <w:t>. No order preventing or suspending the use of any Preliminary Prospectus has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84" w:lineRule="exact"/>
        <w:rPr>
          <w:rFonts w:ascii="Arial" w:cs="Arial" w:eastAsia="Arial" w:hAnsi="Arial"/>
          <w:sz w:val="18"/>
          <w:szCs w:val="18"/>
          <w:color w:val="auto"/>
        </w:rPr>
      </w:pPr>
    </w:p>
    <w:p>
      <w:pPr>
        <w:ind w:left="460" w:firstLine="443"/>
        <w:spacing w:after="0" w:line="272" w:lineRule="auto"/>
        <w:tabs>
          <w:tab w:leader="none" w:pos="1153" w:val="left"/>
        </w:tabs>
        <w:numPr>
          <w:ilvl w:val="1"/>
          <w:numId w:val="275"/>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the Pricing Disclosure Package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69" w:lineRule="exact"/>
        <w:rPr>
          <w:rFonts w:ascii="Arial" w:cs="Arial" w:eastAsia="Arial" w:hAnsi="Arial"/>
          <w:sz w:val="17"/>
          <w:szCs w:val="17"/>
          <w:color w:val="auto"/>
        </w:rPr>
      </w:pPr>
    </w:p>
    <w:p>
      <w:pPr>
        <w:ind w:left="460" w:right="80" w:firstLine="443"/>
        <w:spacing w:after="0" w:line="264" w:lineRule="auto"/>
        <w:tabs>
          <w:tab w:leader="none" w:pos="1143" w:val="left"/>
        </w:tabs>
        <w:numPr>
          <w:ilvl w:val="1"/>
          <w:numId w:val="275"/>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initial confidential submission to the Commission of its registration statement on Form N-2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its initial public offering, through the date hereof, the Company has been and is an “emerging growth company,” as defined in Section 2(a)(19) of the Securities Act (an “Emerging Growth Company”).</w:t>
      </w:r>
    </w:p>
    <w:p>
      <w:pPr>
        <w:sectPr>
          <w:pgSz w:w="11900" w:h="16838" w:orient="portrait"/>
          <w:cols w:equalWidth="0" w:num="1">
            <w:col w:w="11360"/>
          </w:cols>
          <w:pgMar w:left="240" w:top="274" w:right="299" w:bottom="1440" w:gutter="0" w:footer="0" w:header="0"/>
        </w:sectPr>
      </w:pPr>
    </w:p>
    <w:bookmarkStart w:id="345" w:name="page346"/>
    <w:bookmarkEnd w:id="345"/>
    <w:p>
      <w:pPr>
        <w:ind w:left="-4" w:firstLine="443"/>
        <w:spacing w:after="0" w:line="286" w:lineRule="auto"/>
        <w:tabs>
          <w:tab w:leader="none" w:pos="688" w:val="left"/>
        </w:tabs>
        <w:numPr>
          <w:ilvl w:val="1"/>
          <w:numId w:val="27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Registration Statement and Prospectus. </w:t>
      </w:r>
      <w:r>
        <w:rPr>
          <w:rFonts w:ascii="Arial" w:cs="Arial" w:eastAsia="Arial" w:hAnsi="Arial"/>
          <w:sz w:val="16"/>
          <w:szCs w:val="16"/>
          <w:color w:val="auto"/>
        </w:rPr>
        <w:t>The Company is eligible to use Form N-2. The Registration Statement has been declared effective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and the Investment Company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63" w:lineRule="exact"/>
        <w:rPr>
          <w:rFonts w:ascii="Arial" w:cs="Arial" w:eastAsia="Arial" w:hAnsi="Arial"/>
          <w:sz w:val="16"/>
          <w:szCs w:val="16"/>
          <w:color w:val="auto"/>
        </w:rPr>
      </w:pPr>
    </w:p>
    <w:p>
      <w:pPr>
        <w:ind w:left="-4" w:firstLine="443"/>
        <w:spacing w:after="0" w:line="270" w:lineRule="auto"/>
        <w:tabs>
          <w:tab w:leader="none" w:pos="678" w:val="left"/>
        </w:tabs>
        <w:numPr>
          <w:ilvl w:val="1"/>
          <w:numId w:val="276"/>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73" w:lineRule="exact"/>
        <w:rPr>
          <w:rFonts w:ascii="Arial" w:cs="Arial" w:eastAsia="Arial" w:hAnsi="Arial"/>
          <w:sz w:val="17"/>
          <w:szCs w:val="17"/>
          <w:color w:val="auto"/>
        </w:rPr>
      </w:pPr>
    </w:p>
    <w:p>
      <w:pPr>
        <w:jc w:val="both"/>
        <w:ind w:left="-4" w:right="40" w:firstLine="443"/>
        <w:spacing w:after="0" w:line="291" w:lineRule="auto"/>
        <w:tabs>
          <w:tab w:leader="none" w:pos="658" w:val="left"/>
        </w:tabs>
        <w:numPr>
          <w:ilvl w:val="1"/>
          <w:numId w:val="276"/>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left="-4" w:right="40" w:firstLine="4"/>
        <w:spacing w:after="0" w:line="252" w:lineRule="auto"/>
        <w:tabs>
          <w:tab w:leader="none" w:pos="21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w:t>
      </w:r>
    </w:p>
    <w:p>
      <w:pPr>
        <w:sectPr>
          <w:pgSz w:w="11900" w:h="16838" w:orient="portrait"/>
          <w:cols w:equalWidth="0" w:num="1">
            <w:col w:w="10936"/>
          </w:cols>
          <w:pgMar w:left="704" w:top="274" w:right="259" w:bottom="1440" w:gutter="0" w:footer="0" w:header="0"/>
        </w:sectPr>
      </w:pPr>
    </w:p>
    <w:bookmarkStart w:id="346" w:name="page347"/>
    <w:bookmarkEnd w:id="346"/>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39" w:lineRule="exact"/>
        <w:rPr>
          <w:sz w:val="20"/>
          <w:szCs w:val="20"/>
          <w:color w:val="auto"/>
        </w:rPr>
      </w:pPr>
    </w:p>
    <w:p>
      <w:pPr>
        <w:ind w:right="100" w:firstLine="443"/>
        <w:spacing w:after="0" w:line="270" w:lineRule="auto"/>
        <w:tabs>
          <w:tab w:leader="none" w:pos="693" w:val="left"/>
        </w:tabs>
        <w:numPr>
          <w:ilvl w:val="0"/>
          <w:numId w:val="278"/>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Investment Management Agreement and the Administration Agreement [and the Warrant Agreement] [and the Deposit Agreement] (a “Material Adverse Effect”). The subsidiaries listed in Schedule 2 to this Agreement are the only subsidiaries of the Company.</w:t>
      </w:r>
    </w:p>
    <w:p>
      <w:pPr>
        <w:spacing w:after="0" w:line="73" w:lineRule="exact"/>
        <w:rPr>
          <w:rFonts w:ascii="Arial" w:cs="Arial" w:eastAsia="Arial" w:hAnsi="Arial"/>
          <w:sz w:val="17"/>
          <w:szCs w:val="17"/>
          <w:color w:val="auto"/>
        </w:rPr>
      </w:pPr>
    </w:p>
    <w:p>
      <w:pPr>
        <w:ind w:firstLine="443"/>
        <w:spacing w:after="0" w:line="286" w:lineRule="auto"/>
        <w:tabs>
          <w:tab w:leader="none" w:pos="693" w:val="left"/>
        </w:tabs>
        <w:numPr>
          <w:ilvl w:val="0"/>
          <w:numId w:val="278"/>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 ], the Company had the authorized capitalization as set forth in the Registration Statement, the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in “Capitalization” under the heading “Actual,” and, after giving effect to the offering pursuant to this Agreement and the use of proceeds thereof, would have had the authorized capitalization as set forth in column entitled “As Adjusted”;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63" w:lineRule="exact"/>
        <w:rPr>
          <w:rFonts w:ascii="Arial" w:cs="Arial" w:eastAsia="Arial" w:hAnsi="Arial"/>
          <w:sz w:val="16"/>
          <w:szCs w:val="16"/>
          <w:color w:val="auto"/>
        </w:rPr>
      </w:pPr>
    </w:p>
    <w:p>
      <w:pPr>
        <w:ind w:left="660" w:hanging="217"/>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pacing w:after="0" w:line="117" w:lineRule="exact"/>
        <w:rPr>
          <w:rFonts w:ascii="Arial" w:cs="Arial" w:eastAsia="Arial" w:hAnsi="Arial"/>
          <w:sz w:val="18"/>
          <w:szCs w:val="18"/>
          <w:color w:val="auto"/>
        </w:rPr>
      </w:pPr>
    </w:p>
    <w:p>
      <w:pPr>
        <w:jc w:val="both"/>
        <w:ind w:right="380" w:firstLine="443"/>
        <w:spacing w:after="0" w:line="264" w:lineRule="auto"/>
        <w:tabs>
          <w:tab w:leader="none" w:pos="653"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corporate power and authority to execute and deliver this Agreement and at the applicable time had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power and authority to execute and deliver the Investment Management Agreement and the Administration Agreement [and the Warrant Agreement][and the Deposit Agreement] and to perform its obligations</w:t>
      </w:r>
    </w:p>
    <w:p>
      <w:pPr>
        <w:sectPr>
          <w:pgSz w:w="11900" w:h="16838" w:orient="portrait"/>
          <w:cols w:equalWidth="0" w:num="1">
            <w:col w:w="10960"/>
          </w:cols>
          <w:pgMar w:left="700" w:top="274" w:right="239" w:bottom="1440" w:gutter="0" w:footer="0" w:header="0"/>
        </w:sectPr>
      </w:pPr>
    </w:p>
    <w:bookmarkStart w:id="347" w:name="page348"/>
    <w:bookmarkEnd w:id="347"/>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and thereunder; and all action required to be taken for the due and proper authorization, execution and delivery by it of this Agreement and each of the Investment Management Agreement and the Administration Agreement [and the Warrant Agreement] [and the Deposit Agreement] and the consummation by it of the transactions contemplated hereby and thereby has been duly and validly taken.</w:t>
      </w:r>
    </w:p>
    <w:p>
      <w:pPr>
        <w:spacing w:after="0" w:line="57" w:lineRule="exact"/>
        <w:rPr>
          <w:sz w:val="20"/>
          <w:szCs w:val="20"/>
          <w:color w:val="auto"/>
        </w:rPr>
      </w:pPr>
    </w:p>
    <w:p>
      <w:pPr>
        <w:ind w:left="700" w:hanging="257"/>
        <w:spacing w:after="0"/>
        <w:tabs>
          <w:tab w:leader="none" w:pos="700"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40" w:firstLine="443"/>
        <w:spacing w:after="0" w:line="302" w:lineRule="auto"/>
        <w:tabs>
          <w:tab w:leader="none" w:pos="653" w:val="left"/>
        </w:tabs>
        <w:numPr>
          <w:ilvl w:val="0"/>
          <w:numId w:val="279"/>
        </w:numPr>
        <w:rPr>
          <w:rFonts w:ascii="Arial" w:cs="Arial" w:eastAsia="Arial" w:hAnsi="Arial"/>
          <w:sz w:val="16"/>
          <w:szCs w:val="16"/>
          <w:color w:val="auto"/>
        </w:rPr>
      </w:pPr>
      <w:r>
        <w:rPr>
          <w:rFonts w:ascii="Arial" w:cs="Arial" w:eastAsia="Arial" w:hAnsi="Arial"/>
          <w:sz w:val="16"/>
          <w:szCs w:val="16"/>
          <w:i w:val="1"/>
          <w:iCs w:val="1"/>
          <w:color w:val="auto"/>
        </w:rPr>
        <w:t xml:space="preserve">Investment Management Agreement and the Administration Agreement. </w:t>
      </w:r>
      <w:r>
        <w:rPr>
          <w:rFonts w:ascii="Arial" w:cs="Arial" w:eastAsia="Arial" w:hAnsi="Arial"/>
          <w:sz w:val="16"/>
          <w:szCs w:val="16"/>
          <w:color w:val="auto"/>
        </w:rPr>
        <w:t>The Investment Management Agreement and the Administration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Warrant Agreement] [and the Deposit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46" w:lineRule="exact"/>
        <w:rPr>
          <w:rFonts w:ascii="Arial" w:cs="Arial" w:eastAsia="Arial" w:hAnsi="Arial"/>
          <w:sz w:val="16"/>
          <w:szCs w:val="16"/>
          <w:color w:val="auto"/>
        </w:rPr>
      </w:pPr>
    </w:p>
    <w:p>
      <w:pPr>
        <w:ind w:firstLine="443"/>
        <w:spacing w:after="0" w:line="286" w:lineRule="auto"/>
        <w:tabs>
          <w:tab w:leader="none" w:pos="743" w:val="left"/>
        </w:tabs>
        <w:numPr>
          <w:ilvl w:val="0"/>
          <w:numId w:val="279"/>
        </w:numPr>
        <w:rPr>
          <w:rFonts w:ascii="Arial" w:cs="Arial" w:eastAsia="Arial" w:hAnsi="Arial"/>
          <w:sz w:val="16"/>
          <w:szCs w:val="16"/>
          <w:color w:val="auto"/>
        </w:rPr>
      </w:pPr>
      <w:r>
        <w:rPr>
          <w:rFonts w:ascii="Arial" w:cs="Arial" w:eastAsia="Arial" w:hAnsi="Arial"/>
          <w:sz w:val="16"/>
          <w:szCs w:val="16"/>
          <w:i w:val="1"/>
          <w:iCs w:val="1"/>
          <w:color w:val="auto"/>
        </w:rPr>
        <w:t xml:space="preserve">The Securities. </w:t>
      </w:r>
      <w:r>
        <w:rPr>
          <w:rFonts w:ascii="Arial" w:cs="Arial" w:eastAsia="Arial" w:hAnsi="Arial"/>
          <w:sz w:val="16"/>
          <w:szCs w:val="16"/>
          <w:color w:val="auto"/>
        </w:rPr>
        <w:t>The Securities to be issued and sold by the Company hereunder have been duly authorized and, when issued and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and paid for as provided herein will be duly and validly issued, will be fully paid and nonassessable and will conform in all material respects to the descriptions thereof in the Registration Statement, the Pricing Disclosure Package and the Prospectus; and the issuance of the Securities is not subject to any preemptive or similar rights. [The shares of Common Stock issuable upon conversion of any issue of the Preferred Stock have been duly authorized and reserved for issuance upon such exercise, and when issued upon such exercise, will be duly and validly issued, will be fully paid and nonassessable and not subject to any preemptive or similar rights and will conform in all material respects to the descriptions thereof in the Registration Statement, the Pricing Disclosure Package and the Prospectus.] [The Warrant Securities issuable upon exercise of the Warrants have been duly authorized and reserved for issuance upon such exercise, and when issued upon such exercise pursuant to the provisions of the Warrant Agreement, will be duly and validly issued, will be fully paid and nonassessable and not subject to any preemptive or similar rights and will conform in all material respects to the descriptions thereof in the Registration Statement, the Pricing Disclosure Package and the Prospectus.][Upon execution and delivery thereof pursuant to the terms of the Deposit Agreement, the persons in whose names the Depositary Receipts are registered will be entitled to the rights specified therein and in the Deposit Agreement, except as enforceability may be limited by applicable bankruptcy, insolvency or similar laws affecting creditors’ rights generally or by equitable principles relating to enforceability.]</w:t>
      </w:r>
    </w:p>
    <w:p>
      <w:pPr>
        <w:spacing w:after="0" w:line="66" w:lineRule="exact"/>
        <w:rPr>
          <w:rFonts w:ascii="Arial" w:cs="Arial" w:eastAsia="Arial" w:hAnsi="Arial"/>
          <w:sz w:val="16"/>
          <w:szCs w:val="16"/>
          <w:color w:val="auto"/>
        </w:rPr>
      </w:pPr>
    </w:p>
    <w:p>
      <w:pPr>
        <w:ind w:right="180" w:firstLine="443"/>
        <w:spacing w:after="0" w:line="264" w:lineRule="auto"/>
        <w:tabs>
          <w:tab w:leader="none" w:pos="693"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73" w:lineRule="exact"/>
        <w:rPr>
          <w:rFonts w:ascii="Arial" w:cs="Arial" w:eastAsia="Arial" w:hAnsi="Arial"/>
          <w:sz w:val="18"/>
          <w:szCs w:val="18"/>
          <w:color w:val="auto"/>
        </w:rPr>
      </w:pPr>
    </w:p>
    <w:p>
      <w:pPr>
        <w:ind w:right="60" w:firstLine="443"/>
        <w:spacing w:after="0" w:line="255" w:lineRule="auto"/>
        <w:tabs>
          <w:tab w:leader="none" w:pos="693"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w:t>
      </w:r>
    </w:p>
    <w:p>
      <w:pPr>
        <w:sectPr>
          <w:pgSz w:w="11900" w:h="16838" w:orient="portrait"/>
          <w:cols w:equalWidth="0" w:num="1">
            <w:col w:w="10940"/>
          </w:cols>
          <w:pgMar w:left="700" w:top="273" w:right="259" w:bottom="1440" w:gutter="0" w:footer="0" w:header="0"/>
        </w:sectPr>
      </w:pPr>
    </w:p>
    <w:bookmarkStart w:id="348" w:name="page349"/>
    <w:bookmarkEnd w:id="348"/>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3" w:lineRule="exact"/>
        <w:rPr>
          <w:sz w:val="20"/>
          <w:szCs w:val="20"/>
          <w:color w:val="auto"/>
        </w:rPr>
      </w:pPr>
    </w:p>
    <w:p>
      <w:pPr>
        <w:ind w:right="60" w:firstLine="443"/>
        <w:spacing w:after="0" w:line="287" w:lineRule="auto"/>
        <w:tabs>
          <w:tab w:leader="none" w:pos="693" w:val="left"/>
        </w:tabs>
        <w:numPr>
          <w:ilvl w:val="0"/>
          <w:numId w:val="280"/>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the issuance and sale of the Securities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transactions contemplated by this Agreement and the performance by the Company of the Investment Management Agreement and the Administration Agreement [and the Warrant Agreement][and the Deposit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64" w:lineRule="exact"/>
        <w:rPr>
          <w:rFonts w:ascii="Arial" w:cs="Arial" w:eastAsia="Arial" w:hAnsi="Arial"/>
          <w:sz w:val="16"/>
          <w:szCs w:val="16"/>
          <w:color w:val="auto"/>
        </w:rPr>
      </w:pPr>
    </w:p>
    <w:p>
      <w:pPr>
        <w:ind w:firstLine="443"/>
        <w:spacing w:after="0" w:line="289" w:lineRule="auto"/>
        <w:tabs>
          <w:tab w:leader="none" w:pos="693" w:val="left"/>
        </w:tabs>
        <w:numPr>
          <w:ilvl w:val="0"/>
          <w:numId w:val="280"/>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license,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Company of this Agreement, the issuance and sale of the Securities and the consummation of the transactions contemplated by this Agreement or the performance by the Company of the Investment Management Agreement and the Administration Agreement [and the Warrant Agreement][and the Deposit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[applicable stock exchange]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58" w:lineRule="exact"/>
        <w:rPr>
          <w:rFonts w:ascii="Arial" w:cs="Arial" w:eastAsia="Arial" w:hAnsi="Arial"/>
          <w:sz w:val="16"/>
          <w:szCs w:val="16"/>
          <w:color w:val="auto"/>
        </w:rPr>
      </w:pPr>
    </w:p>
    <w:p>
      <w:pPr>
        <w:ind w:firstLine="443"/>
        <w:spacing w:after="0" w:line="291" w:lineRule="auto"/>
        <w:tabs>
          <w:tab w:leader="none" w:pos="663" w:val="left"/>
        </w:tabs>
        <w:numPr>
          <w:ilvl w:val="0"/>
          <w:numId w:val="280"/>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w:t>
      </w:r>
    </w:p>
    <w:p>
      <w:pPr>
        <w:sectPr>
          <w:pgSz w:w="11900" w:h="16838" w:orient="portrait"/>
          <w:cols w:equalWidth="0" w:num="1">
            <w:col w:w="10940"/>
          </w:cols>
          <w:pgMar w:left="700" w:top="274" w:right="259" w:bottom="1440" w:gutter="0" w:footer="0" w:header="0"/>
        </w:sectPr>
      </w:pPr>
    </w:p>
    <w:bookmarkStart w:id="349" w:name="page350"/>
    <w:bookmarkEnd w:id="34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79" w:lineRule="exact"/>
        <w:rPr>
          <w:sz w:val="20"/>
          <w:szCs w:val="20"/>
          <w:color w:val="auto"/>
        </w:rPr>
      </w:pPr>
    </w:p>
    <w:p>
      <w:pPr>
        <w:ind w:right="60" w:firstLine="443"/>
        <w:spacing w:after="0" w:line="259" w:lineRule="auto"/>
        <w:tabs>
          <w:tab w:leader="none" w:pos="673"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100" w:firstLine="443"/>
        <w:spacing w:after="0" w:line="271" w:lineRule="auto"/>
        <w:tabs>
          <w:tab w:leader="none" w:pos="653" w:val="left"/>
        </w:tabs>
        <w:numPr>
          <w:ilvl w:val="0"/>
          <w:numId w:val="281"/>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Securities, as of the Closing Date and as of any Additional Closing Date, the operations of the Company are in compliance in all material respects with the provisions of the Investment Company Act applicable to business development companies.</w:t>
      </w:r>
    </w:p>
    <w:p>
      <w:pPr>
        <w:spacing w:after="0" w:line="70" w:lineRule="exact"/>
        <w:rPr>
          <w:rFonts w:ascii="Arial" w:cs="Arial" w:eastAsia="Arial" w:hAnsi="Arial"/>
          <w:sz w:val="17"/>
          <w:szCs w:val="17"/>
          <w:color w:val="auto"/>
        </w:rPr>
      </w:pPr>
    </w:p>
    <w:p>
      <w:pPr>
        <w:ind w:right="60" w:firstLine="443"/>
        <w:spacing w:after="0" w:line="286" w:lineRule="auto"/>
        <w:tabs>
          <w:tab w:leader="none" w:pos="693" w:val="left"/>
        </w:tabs>
        <w:numPr>
          <w:ilvl w:val="0"/>
          <w:numId w:val="281"/>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57" w:lineRule="exact"/>
        <w:rPr>
          <w:rFonts w:ascii="Arial" w:cs="Arial" w:eastAsia="Arial" w:hAnsi="Arial"/>
          <w:sz w:val="17"/>
          <w:szCs w:val="17"/>
          <w:color w:val="auto"/>
        </w:rPr>
      </w:pPr>
    </w:p>
    <w:p>
      <w:pPr>
        <w:ind w:firstLine="443"/>
        <w:spacing w:after="0" w:line="293" w:lineRule="auto"/>
        <w:tabs>
          <w:tab w:leader="none" w:pos="693" w:val="left"/>
        </w:tabs>
        <w:numPr>
          <w:ilvl w:val="0"/>
          <w:numId w:val="281"/>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3(w))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56" w:lineRule="exact"/>
        <w:rPr>
          <w:rFonts w:ascii="Arial" w:cs="Arial" w:eastAsia="Arial" w:hAnsi="Arial"/>
          <w:sz w:val="16"/>
          <w:szCs w:val="16"/>
          <w:color w:val="auto"/>
        </w:rPr>
      </w:pPr>
    </w:p>
    <w:p>
      <w:pPr>
        <w:ind w:right="20" w:firstLine="443"/>
        <w:spacing w:after="0" w:line="257" w:lineRule="auto"/>
        <w:tabs>
          <w:tab w:leader="none" w:pos="733"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Title to Intellectual Property</w:t>
      </w:r>
      <w:r>
        <w:rPr>
          <w:rFonts w:ascii="Arial" w:cs="Arial" w:eastAsia="Arial" w:hAnsi="Arial"/>
          <w:sz w:val="18"/>
          <w:szCs w:val="18"/>
          <w:color w:val="auto"/>
        </w:rPr>
        <w:t>. Except as would not reasonably be expected, individually or in the aggregate, to have a Material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w:t>
      </w:r>
    </w:p>
    <w:p>
      <w:pPr>
        <w:sectPr>
          <w:pgSz w:w="11900" w:h="16838" w:orient="portrait"/>
          <w:cols w:equalWidth="0" w:num="1">
            <w:col w:w="10940"/>
          </w:cols>
          <w:pgMar w:left="700" w:top="274" w:right="259" w:bottom="1440" w:gutter="0" w:footer="0" w:header="0"/>
        </w:sectPr>
      </w:pPr>
    </w:p>
    <w:bookmarkStart w:id="350" w:name="page351"/>
    <w:bookmarkEnd w:id="350"/>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57" w:lineRule="exact"/>
        <w:rPr>
          <w:sz w:val="20"/>
          <w:szCs w:val="20"/>
          <w:color w:val="auto"/>
        </w:rPr>
      </w:pPr>
    </w:p>
    <w:p>
      <w:pPr>
        <w:ind w:right="40" w:firstLine="443"/>
        <w:spacing w:after="0" w:line="259" w:lineRule="auto"/>
        <w:tabs>
          <w:tab w:leader="none" w:pos="693" w:val="left"/>
        </w:tabs>
        <w:numPr>
          <w:ilvl w:val="0"/>
          <w:numId w:val="282"/>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firstLine="443"/>
        <w:spacing w:after="0" w:line="297" w:lineRule="auto"/>
        <w:tabs>
          <w:tab w:leader="none" w:pos="693" w:val="left"/>
        </w:tabs>
        <w:numPr>
          <w:ilvl w:val="0"/>
          <w:numId w:val="282"/>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is not and its subsidiaries are not, and, after giving effect to the offering and sale of the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50" w:lineRule="exact"/>
        <w:rPr>
          <w:rFonts w:ascii="Arial" w:cs="Arial" w:eastAsia="Arial" w:hAnsi="Arial"/>
          <w:sz w:val="16"/>
          <w:szCs w:val="16"/>
          <w:color w:val="auto"/>
        </w:rPr>
      </w:pPr>
    </w:p>
    <w:p>
      <w:pPr>
        <w:ind w:right="40" w:firstLine="443"/>
        <w:spacing w:after="0" w:line="293" w:lineRule="auto"/>
        <w:tabs>
          <w:tab w:leader="none" w:pos="683" w:val="left"/>
        </w:tabs>
        <w:numPr>
          <w:ilvl w:val="0"/>
          <w:numId w:val="282"/>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57" w:lineRule="exact"/>
        <w:rPr>
          <w:sz w:val="20"/>
          <w:szCs w:val="20"/>
          <w:color w:val="auto"/>
        </w:rPr>
      </w:pPr>
    </w:p>
    <w:p>
      <w:pPr>
        <w:ind w:firstLine="443"/>
        <w:spacing w:after="0" w:line="270" w:lineRule="auto"/>
        <w:tabs>
          <w:tab w:leader="none" w:pos="763" w:val="left"/>
        </w:tabs>
        <w:numPr>
          <w:ilvl w:val="0"/>
          <w:numId w:val="283"/>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licenses, certificates, permits and other authorizations issued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73" w:lineRule="exact"/>
        <w:rPr>
          <w:rFonts w:ascii="Arial" w:cs="Arial" w:eastAsia="Arial" w:hAnsi="Arial"/>
          <w:sz w:val="17"/>
          <w:szCs w:val="17"/>
          <w:color w:val="auto"/>
        </w:rPr>
      </w:pPr>
    </w:p>
    <w:p>
      <w:pPr>
        <w:ind w:right="180" w:firstLine="443"/>
        <w:spacing w:after="0" w:line="264" w:lineRule="auto"/>
        <w:tabs>
          <w:tab w:leader="none" w:pos="783"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maintains an effective system of “disclosure controls and procedures” (as defined in Rule 13a-15(e)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that complies with the requirements of the Exchange Act and that has been designed to ensure that information required to be disclosed by the Company in reports that it files or submits under the Exchange</w:t>
      </w:r>
    </w:p>
    <w:p>
      <w:pPr>
        <w:sectPr>
          <w:pgSz w:w="11900" w:h="16838" w:orient="portrait"/>
          <w:cols w:equalWidth="0" w:num="1">
            <w:col w:w="10940"/>
          </w:cols>
          <w:pgMar w:left="700" w:top="274" w:right="259" w:bottom="1440" w:gutter="0" w:footer="0" w:header="0"/>
        </w:sectPr>
      </w:pPr>
    </w:p>
    <w:bookmarkStart w:id="351" w:name="page352"/>
    <w:bookmarkEnd w:id="35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79" w:lineRule="exact"/>
        <w:rPr>
          <w:sz w:val="20"/>
          <w:szCs w:val="20"/>
          <w:color w:val="auto"/>
        </w:rPr>
      </w:pPr>
    </w:p>
    <w:p>
      <w:pPr>
        <w:ind w:firstLine="443"/>
        <w:spacing w:after="0" w:line="284" w:lineRule="auto"/>
        <w:tabs>
          <w:tab w:leader="none" w:pos="763" w:val="left"/>
        </w:tabs>
        <w:numPr>
          <w:ilvl w:val="1"/>
          <w:numId w:val="284"/>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w:t>
      </w:r>
    </w:p>
    <w:p>
      <w:pPr>
        <w:spacing w:after="0" w:line="2" w:lineRule="exact"/>
        <w:rPr>
          <w:rFonts w:ascii="Arial" w:cs="Arial" w:eastAsia="Arial" w:hAnsi="Arial"/>
          <w:sz w:val="16"/>
          <w:szCs w:val="16"/>
          <w:color w:val="auto"/>
        </w:rPr>
      </w:pPr>
    </w:p>
    <w:p>
      <w:pPr>
        <w:ind w:firstLine="4"/>
        <w:spacing w:after="0" w:line="267" w:lineRule="auto"/>
        <w:tabs>
          <w:tab w:leader="none" w:pos="31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8" w:lineRule="exact"/>
        <w:rPr>
          <w:rFonts w:ascii="Arial" w:cs="Arial" w:eastAsia="Arial" w:hAnsi="Arial"/>
          <w:sz w:val="17"/>
          <w:szCs w:val="17"/>
          <w:color w:val="auto"/>
        </w:rPr>
      </w:pPr>
    </w:p>
    <w:p>
      <w:pPr>
        <w:ind w:right="60" w:firstLine="443"/>
        <w:spacing w:after="0" w:line="288" w:lineRule="auto"/>
        <w:tabs>
          <w:tab w:leader="none" w:pos="783" w:val="left"/>
        </w:tabs>
        <w:numPr>
          <w:ilvl w:val="1"/>
          <w:numId w:val="285"/>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ind w:firstLine="4"/>
        <w:spacing w:after="0" w:line="254" w:lineRule="auto"/>
        <w:tabs>
          <w:tab w:leader="none" w:pos="21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81" w:lineRule="exact"/>
        <w:rPr>
          <w:rFonts w:ascii="Arial" w:cs="Arial" w:eastAsia="Arial" w:hAnsi="Arial"/>
          <w:sz w:val="18"/>
          <w:szCs w:val="18"/>
          <w:color w:val="auto"/>
        </w:rPr>
      </w:pPr>
    </w:p>
    <w:p>
      <w:pPr>
        <w:ind w:right="100" w:firstLine="443"/>
        <w:spacing w:after="0" w:line="308" w:lineRule="auto"/>
        <w:tabs>
          <w:tab w:leader="none" w:pos="763" w:val="left"/>
        </w:tabs>
        <w:numPr>
          <w:ilvl w:val="1"/>
          <w:numId w:val="286"/>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any director, officer, or employee of the Company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nor, to the knowledge of the Company, any agent, affiliate or other person associated with or acting on behalf of the</w:t>
      </w:r>
    </w:p>
    <w:p>
      <w:pPr>
        <w:sectPr>
          <w:pgSz w:w="11900" w:h="16838" w:orient="portrait"/>
          <w:cols w:equalWidth="0" w:num="1">
            <w:col w:w="10920"/>
          </w:cols>
          <w:pgMar w:left="700" w:top="274" w:right="279" w:bottom="1440" w:gutter="0" w:footer="0" w:header="0"/>
        </w:sectPr>
      </w:pPr>
    </w:p>
    <w:bookmarkStart w:id="352" w:name="page353"/>
    <w:bookmarkEnd w:id="352"/>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75" w:lineRule="exact"/>
        <w:rPr>
          <w:sz w:val="20"/>
          <w:szCs w:val="20"/>
          <w:color w:val="auto"/>
        </w:rPr>
      </w:pPr>
    </w:p>
    <w:p>
      <w:pPr>
        <w:ind w:right="100" w:firstLine="443"/>
        <w:spacing w:after="0" w:line="291" w:lineRule="auto"/>
        <w:tabs>
          <w:tab w:leader="none" w:pos="720" w:val="left"/>
        </w:tabs>
        <w:numPr>
          <w:ilvl w:val="0"/>
          <w:numId w:val="287"/>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Company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59" w:lineRule="exact"/>
        <w:rPr>
          <w:rFonts w:ascii="Arial" w:cs="Arial" w:eastAsia="Arial" w:hAnsi="Arial"/>
          <w:sz w:val="16"/>
          <w:szCs w:val="16"/>
          <w:color w:val="auto"/>
        </w:rPr>
      </w:pPr>
    </w:p>
    <w:p>
      <w:pPr>
        <w:jc w:val="both"/>
        <w:ind w:right="180" w:firstLine="443"/>
        <w:spacing w:after="0" w:line="288" w:lineRule="auto"/>
        <w:tabs>
          <w:tab w:leader="none" w:pos="783" w:val="left"/>
        </w:tabs>
        <w:numPr>
          <w:ilvl w:val="0"/>
          <w:numId w:val="287"/>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its subsidiaries, directors, officers or employees, nor,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w:t>
      </w:r>
    </w:p>
    <w:p>
      <w:pPr>
        <w:spacing w:after="0" w:line="286" w:lineRule="auto"/>
        <w:rPr>
          <w:rFonts w:ascii="Arial" w:cs="Arial" w:eastAsia="Arial" w:hAnsi="Arial"/>
          <w:sz w:val="16"/>
          <w:szCs w:val="16"/>
          <w:color w:val="auto"/>
        </w:rPr>
      </w:pPr>
      <w:r>
        <w:rPr>
          <w:rFonts w:ascii="Arial" w:cs="Arial" w:eastAsia="Arial" w:hAnsi="Arial"/>
          <w:sz w:val="16"/>
          <w:szCs w:val="16"/>
          <w:color w:val="auto"/>
        </w:rPr>
        <w:t>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any of its subsidiaries located, organized or resident in a country or territory that is the subject or the target of Sanctions, including, without limitation, Cuba, Iran, North Korea, Sudan and Syria,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Country.</w:t>
      </w:r>
    </w:p>
    <w:p>
      <w:pPr>
        <w:sectPr>
          <w:pgSz w:w="11900" w:h="16838" w:orient="portrait"/>
          <w:cols w:equalWidth="0" w:num="1">
            <w:col w:w="10960"/>
          </w:cols>
          <w:pgMar w:left="700" w:top="273" w:right="239" w:bottom="1440" w:gutter="0" w:footer="0" w:header="0"/>
        </w:sectPr>
      </w:pPr>
    </w:p>
    <w:bookmarkStart w:id="353" w:name="page354"/>
    <w:bookmarkEnd w:id="353"/>
    <w:p>
      <w:pPr>
        <w:ind w:left="-443" w:right="60" w:firstLine="443"/>
        <w:spacing w:after="0" w:line="257" w:lineRule="auto"/>
        <w:tabs>
          <w:tab w:leader="none" w:pos="34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80" w:lineRule="exact"/>
        <w:rPr>
          <w:rFonts w:ascii="Arial" w:cs="Arial" w:eastAsia="Arial" w:hAnsi="Arial"/>
          <w:sz w:val="18"/>
          <w:szCs w:val="18"/>
          <w:color w:val="auto"/>
        </w:rPr>
      </w:pPr>
    </w:p>
    <w:p>
      <w:pPr>
        <w:jc w:val="both"/>
        <w:ind w:left="-443" w:right="320" w:firstLine="443"/>
        <w:spacing w:after="0" w:line="264" w:lineRule="auto"/>
        <w:tabs>
          <w:tab w:leader="none" w:pos="26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73" w:lineRule="exact"/>
        <w:rPr>
          <w:rFonts w:ascii="Arial" w:cs="Arial" w:eastAsia="Arial" w:hAnsi="Arial"/>
          <w:sz w:val="18"/>
          <w:szCs w:val="18"/>
          <w:color w:val="auto"/>
        </w:rPr>
      </w:pPr>
    </w:p>
    <w:p>
      <w:pPr>
        <w:ind w:left="-443" w:right="140" w:firstLine="443"/>
        <w:spacing w:after="0" w:line="308" w:lineRule="auto"/>
        <w:tabs>
          <w:tab w:leader="none" w:pos="260"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Securities.</w:t>
      </w:r>
    </w:p>
    <w:p>
      <w:pPr>
        <w:spacing w:after="0" w:line="38" w:lineRule="exact"/>
        <w:rPr>
          <w:rFonts w:ascii="Arial" w:cs="Arial" w:eastAsia="Arial" w:hAnsi="Arial"/>
          <w:sz w:val="17"/>
          <w:szCs w:val="17"/>
          <w:color w:val="auto"/>
        </w:rPr>
      </w:pPr>
    </w:p>
    <w:p>
      <w:pPr>
        <w:ind w:left="-443" w:right="20" w:firstLine="443"/>
        <w:spacing w:after="0" w:line="264" w:lineRule="auto"/>
        <w:tabs>
          <w:tab w:leader="none" w:pos="34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set forth in Section 4(q) with respect to the Adviser, the Company has not taken, directly or indirectly,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giving effect to any activities by the Underwriters, any action designed to or that would reasonably be expected to cause or result in any stabilization or manipulation of the price of the Securities.</w:t>
      </w:r>
    </w:p>
    <w:p>
      <w:pPr>
        <w:spacing w:after="0" w:line="73" w:lineRule="exact"/>
        <w:rPr>
          <w:rFonts w:ascii="Arial" w:cs="Arial" w:eastAsia="Arial" w:hAnsi="Arial"/>
          <w:sz w:val="18"/>
          <w:szCs w:val="18"/>
          <w:color w:val="auto"/>
        </w:rPr>
      </w:pPr>
    </w:p>
    <w:p>
      <w:pPr>
        <w:ind w:left="-443" w:firstLine="443"/>
        <w:spacing w:after="0" w:line="264" w:lineRule="auto"/>
        <w:tabs>
          <w:tab w:leader="none" w:pos="26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left="-443" w:right="100" w:firstLine="443"/>
        <w:spacing w:after="0" w:line="264" w:lineRule="auto"/>
        <w:tabs>
          <w:tab w:leader="none" w:pos="44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in the Registration Statement, the Pricing Disclosure Package and the Prospectus is not based on or derived from sources that are reasonably reliable and accurate in all material respects.</w:t>
      </w:r>
    </w:p>
    <w:p>
      <w:pPr>
        <w:spacing w:after="0" w:line="73" w:lineRule="exact"/>
        <w:rPr>
          <w:rFonts w:ascii="Arial" w:cs="Arial" w:eastAsia="Arial" w:hAnsi="Arial"/>
          <w:sz w:val="18"/>
          <w:szCs w:val="18"/>
          <w:color w:val="auto"/>
        </w:rPr>
      </w:pPr>
    </w:p>
    <w:p>
      <w:pPr>
        <w:jc w:val="both"/>
        <w:ind w:left="-443" w:firstLine="443"/>
        <w:spacing w:after="0" w:line="259" w:lineRule="auto"/>
        <w:tabs>
          <w:tab w:leader="none" w:pos="34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left="-443" w:right="40" w:firstLine="443"/>
        <w:spacing w:after="0" w:line="286" w:lineRule="auto"/>
        <w:tabs>
          <w:tab w:leader="none" w:pos="340"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ectPr>
          <w:pgSz w:w="11900" w:h="16838" w:orient="portrait"/>
          <w:cols w:equalWidth="0" w:num="1">
            <w:col w:w="10477"/>
          </w:cols>
          <w:pgMar w:left="1143" w:top="274" w:right="279" w:bottom="1440" w:gutter="0" w:footer="0" w:header="0"/>
        </w:sectPr>
      </w:pPr>
    </w:p>
    <w:bookmarkStart w:id="354" w:name="page355"/>
    <w:bookmarkEnd w:id="354"/>
    <w:p>
      <w:pPr>
        <w:jc w:val="both"/>
        <w:ind w:right="20" w:firstLine="443"/>
        <w:spacing w:after="0" w:line="259" w:lineRule="auto"/>
        <w:tabs>
          <w:tab w:leader="none" w:pos="783" w:val="left"/>
        </w:tabs>
        <w:numPr>
          <w:ilvl w:val="1"/>
          <w:numId w:val="2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Regulated Investment Company</w:t>
      </w:r>
      <w:r>
        <w:rPr>
          <w:rFonts w:ascii="Arial" w:cs="Arial" w:eastAsia="Arial" w:hAnsi="Arial"/>
          <w:sz w:val="18"/>
          <w:szCs w:val="18"/>
          <w:color w:val="auto"/>
        </w:rPr>
        <w:t>. The Company has elected to be treated, and has operated, and intends to continue to operate, its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firstLine="443"/>
        <w:spacing w:after="0" w:line="291" w:lineRule="auto"/>
        <w:tabs>
          <w:tab w:leader="none" w:pos="683" w:val="left"/>
        </w:tabs>
        <w:numPr>
          <w:ilvl w:val="1"/>
          <w:numId w:val="290"/>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4" w:lineRule="exact"/>
        <w:rPr>
          <w:rFonts w:ascii="Arial" w:cs="Arial" w:eastAsia="Arial" w:hAnsi="Arial"/>
          <w:sz w:val="16"/>
          <w:szCs w:val="16"/>
          <w:color w:val="auto"/>
        </w:rPr>
      </w:pPr>
    </w:p>
    <w:p>
      <w:pPr>
        <w:ind w:right="60" w:firstLine="443"/>
        <w:spacing w:after="0" w:line="271" w:lineRule="auto"/>
        <w:tabs>
          <w:tab w:leader="none" w:pos="693" w:val="left"/>
        </w:tabs>
        <w:numPr>
          <w:ilvl w:val="1"/>
          <w:numId w:val="290"/>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Adviser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0" w:lineRule="exact"/>
        <w:rPr>
          <w:rFonts w:ascii="Arial" w:cs="Arial" w:eastAsia="Arial" w:hAnsi="Arial"/>
          <w:sz w:val="17"/>
          <w:szCs w:val="17"/>
          <w:color w:val="auto"/>
        </w:rPr>
      </w:pPr>
    </w:p>
    <w:p>
      <w:pPr>
        <w:ind w:right="20" w:firstLine="443"/>
        <w:spacing w:after="0" w:line="276" w:lineRule="auto"/>
        <w:tabs>
          <w:tab w:leader="none" w:pos="683" w:val="left"/>
        </w:tabs>
        <w:numPr>
          <w:ilvl w:val="1"/>
          <w:numId w:val="290"/>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1"/>
          <w:numId w:val="290"/>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220" w:firstLine="443"/>
        <w:spacing w:after="0" w:line="279" w:lineRule="auto"/>
        <w:tabs>
          <w:tab w:leader="none" w:pos="683" w:val="left"/>
        </w:tabs>
        <w:numPr>
          <w:ilvl w:val="1"/>
          <w:numId w:val="290"/>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the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ectPr>
          <w:pgSz w:w="11900" w:h="16838" w:orient="portrait"/>
          <w:cols w:equalWidth="0" w:num="1">
            <w:col w:w="10900"/>
          </w:cols>
          <w:pgMar w:left="700" w:top="274" w:right="299" w:bottom="1440" w:gutter="0" w:footer="0" w:header="0"/>
        </w:sectPr>
      </w:pPr>
    </w:p>
    <w:bookmarkStart w:id="355" w:name="page356"/>
    <w:bookmarkEnd w:id="355"/>
    <w:p>
      <w:pPr>
        <w:ind w:right="40" w:firstLine="443"/>
        <w:spacing w:after="0" w:line="271" w:lineRule="auto"/>
        <w:tabs>
          <w:tab w:leader="none" w:pos="663" w:val="left"/>
        </w:tabs>
        <w:numPr>
          <w:ilvl w:val="0"/>
          <w:numId w:val="29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Violation or Default. </w:t>
      </w:r>
      <w:r>
        <w:rPr>
          <w:rFonts w:ascii="Arial" w:cs="Arial" w:eastAsia="Arial" w:hAnsi="Arial"/>
          <w:sz w:val="17"/>
          <w:szCs w:val="17"/>
          <w:color w:val="auto"/>
        </w:rPr>
        <w:t>Neither the Adviser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0" w:lineRule="exact"/>
        <w:rPr>
          <w:rFonts w:ascii="Arial" w:cs="Arial" w:eastAsia="Arial" w:hAnsi="Arial"/>
          <w:sz w:val="17"/>
          <w:szCs w:val="17"/>
          <w:color w:val="auto"/>
        </w:rPr>
      </w:pPr>
    </w:p>
    <w:p>
      <w:pPr>
        <w:ind w:left="700" w:hanging="257"/>
        <w:spacing w:after="0"/>
        <w:tabs>
          <w:tab w:leader="none" w:pos="700" w:val="left"/>
        </w:tabs>
        <w:numPr>
          <w:ilvl w:val="0"/>
          <w:numId w:val="29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58" w:lineRule="exact"/>
        <w:rPr>
          <w:rFonts w:ascii="Arial" w:cs="Arial" w:eastAsia="Arial" w:hAnsi="Arial"/>
          <w:sz w:val="17"/>
          <w:szCs w:val="17"/>
          <w:color w:val="auto"/>
        </w:rPr>
      </w:pPr>
    </w:p>
    <w:p>
      <w:pPr>
        <w:ind w:right="140" w:firstLine="443"/>
        <w:spacing w:after="0" w:line="255" w:lineRule="auto"/>
        <w:tabs>
          <w:tab w:leader="none" w:pos="693" w:val="left"/>
        </w:tabs>
        <w:numPr>
          <w:ilvl w:val="0"/>
          <w:numId w:val="291"/>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right="60" w:firstLine="443"/>
        <w:spacing w:after="0" w:line="291" w:lineRule="auto"/>
        <w:tabs>
          <w:tab w:leader="none" w:pos="653" w:val="left"/>
        </w:tabs>
        <w:numPr>
          <w:ilvl w:val="0"/>
          <w:numId w:val="291"/>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w:t>
      </w:r>
    </w:p>
    <w:p>
      <w:pPr>
        <w:sectPr>
          <w:pgSz w:w="11900" w:h="16838" w:orient="portrait"/>
          <w:cols w:equalWidth="0" w:num="1">
            <w:col w:w="10920"/>
          </w:cols>
          <w:pgMar w:left="700" w:top="273" w:right="279" w:bottom="1440" w:gutter="0" w:footer="0" w:header="0"/>
        </w:sectPr>
      </w:pPr>
    </w:p>
    <w:bookmarkStart w:id="356" w:name="page357"/>
    <w:bookmarkEnd w:id="356"/>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73" w:lineRule="exact"/>
        <w:rPr>
          <w:sz w:val="20"/>
          <w:szCs w:val="20"/>
          <w:color w:val="auto"/>
        </w:rPr>
      </w:pPr>
    </w:p>
    <w:p>
      <w:pPr>
        <w:ind w:firstLine="443"/>
        <w:spacing w:after="0" w:line="289" w:lineRule="auto"/>
        <w:tabs>
          <w:tab w:leader="none" w:pos="653" w:val="left"/>
        </w:tabs>
        <w:numPr>
          <w:ilvl w:val="1"/>
          <w:numId w:val="292"/>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Adviser and its subsidiaries possess all licenses, certificates, permits and other authorizations issued by,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58" w:lineRule="exact"/>
        <w:rPr>
          <w:rFonts w:ascii="Arial" w:cs="Arial" w:eastAsia="Arial" w:hAnsi="Arial"/>
          <w:sz w:val="16"/>
          <w:szCs w:val="16"/>
          <w:color w:val="auto"/>
        </w:rPr>
      </w:pPr>
    </w:p>
    <w:p>
      <w:pPr>
        <w:ind w:right="180" w:firstLine="443"/>
        <w:spacing w:after="0" w:line="312" w:lineRule="auto"/>
        <w:tabs>
          <w:tab w:leader="none" w:pos="693" w:val="left"/>
        </w:tabs>
        <w:numPr>
          <w:ilvl w:val="1"/>
          <w:numId w:val="292"/>
        </w:numPr>
        <w:rPr>
          <w:rFonts w:ascii="Arial" w:cs="Arial" w:eastAsia="Arial" w:hAnsi="Arial"/>
          <w:sz w:val="16"/>
          <w:szCs w:val="16"/>
          <w:color w:val="auto"/>
        </w:rPr>
      </w:pPr>
      <w:r>
        <w:rPr>
          <w:rFonts w:ascii="Arial" w:cs="Arial" w:eastAsia="Arial" w:hAnsi="Arial"/>
          <w:sz w:val="16"/>
          <w:szCs w:val="16"/>
          <w:i w:val="1"/>
          <w:iCs w:val="1"/>
          <w:color w:val="auto"/>
        </w:rPr>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38" w:lineRule="exact"/>
        <w:rPr>
          <w:rFonts w:ascii="Arial" w:cs="Arial" w:eastAsia="Arial" w:hAnsi="Arial"/>
          <w:sz w:val="16"/>
          <w:szCs w:val="16"/>
          <w:color w:val="auto"/>
        </w:rPr>
      </w:pPr>
    </w:p>
    <w:p>
      <w:pPr>
        <w:ind w:right="440" w:firstLine="443"/>
        <w:spacing w:after="0" w:line="264" w:lineRule="auto"/>
        <w:tabs>
          <w:tab w:leader="none" w:pos="653" w:val="left"/>
        </w:tabs>
        <w:numPr>
          <w:ilvl w:val="1"/>
          <w:numId w:val="292"/>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740" w:hanging="297"/>
        <w:spacing w:after="0"/>
        <w:tabs>
          <w:tab w:leader="none" w:pos="740" w:val="left"/>
        </w:tabs>
        <w:numPr>
          <w:ilvl w:val="1"/>
          <w:numId w:val="292"/>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 The Adviser maintains a system of internal accounting controls sufficient to provide reasonable assurance that</w:t>
      </w:r>
    </w:p>
    <w:p>
      <w:pPr>
        <w:spacing w:after="0" w:line="23" w:lineRule="exact"/>
        <w:rPr>
          <w:rFonts w:ascii="Arial" w:cs="Arial" w:eastAsia="Arial" w:hAnsi="Arial"/>
          <w:sz w:val="18"/>
          <w:szCs w:val="18"/>
          <w:color w:val="auto"/>
        </w:rPr>
      </w:pPr>
    </w:p>
    <w:p>
      <w:pPr>
        <w:ind w:right="20" w:firstLine="4"/>
        <w:spacing w:after="0" w:line="281" w:lineRule="auto"/>
        <w:tabs>
          <w:tab w:leader="none" w:pos="21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access to assets of the Company and its subsidiaries is permitted only in accordance with its management’s general or specific authorization; and</w:t>
      </w:r>
    </w:p>
    <w:p>
      <w:pPr>
        <w:spacing w:after="0" w:line="32" w:lineRule="exact"/>
        <w:rPr>
          <w:rFonts w:ascii="Arial" w:cs="Arial" w:eastAsia="Arial" w:hAnsi="Arial"/>
          <w:sz w:val="16"/>
          <w:szCs w:val="16"/>
          <w:color w:val="auto"/>
        </w:rPr>
      </w:pPr>
    </w:p>
    <w:p>
      <w:pPr>
        <w:ind w:right="260" w:firstLine="4"/>
        <w:spacing w:after="0" w:line="261" w:lineRule="auto"/>
        <w:tabs>
          <w:tab w:leader="none" w:pos="30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existing assets at reasonable intervals and appropriate action is taken with respect to any differences.</w:t>
      </w:r>
    </w:p>
    <w:p>
      <w:pPr>
        <w:spacing w:after="0" w:line="75" w:lineRule="exact"/>
        <w:rPr>
          <w:rFonts w:ascii="Arial" w:cs="Arial" w:eastAsia="Arial" w:hAnsi="Arial"/>
          <w:sz w:val="18"/>
          <w:szCs w:val="18"/>
          <w:color w:val="auto"/>
        </w:rPr>
      </w:pPr>
    </w:p>
    <w:p>
      <w:pPr>
        <w:ind w:firstLine="443"/>
        <w:spacing w:after="0" w:line="257" w:lineRule="auto"/>
        <w:tabs>
          <w:tab w:leader="none" w:pos="693" w:val="left"/>
        </w:tabs>
        <w:numPr>
          <w:ilvl w:val="1"/>
          <w:numId w:val="294"/>
        </w:numPr>
        <w:rPr>
          <w:rFonts w:ascii="Arial" w:cs="Arial" w:eastAsia="Arial" w:hAnsi="Arial"/>
          <w:sz w:val="18"/>
          <w:szCs w:val="18"/>
          <w:color w:val="auto"/>
        </w:rPr>
      </w:pPr>
      <w:r>
        <w:rPr>
          <w:rFonts w:ascii="Arial" w:cs="Arial" w:eastAsia="Arial" w:hAnsi="Arial"/>
          <w:sz w:val="18"/>
          <w:szCs w:val="18"/>
          <w:i w:val="1"/>
          <w:iCs w:val="1"/>
          <w:color w:val="auto"/>
        </w:rPr>
        <w:t xml:space="preserve">No Unlawful Payments. </w:t>
      </w:r>
      <w:r>
        <w:rPr>
          <w:rFonts w:ascii="Arial" w:cs="Arial" w:eastAsia="Arial" w:hAnsi="Arial"/>
          <w:sz w:val="18"/>
          <w:szCs w:val="18"/>
          <w:color w:val="auto"/>
        </w:rPr>
        <w:t>Neither the Adviser nor any of its subsidiaries nor any director, officer, or employee of the Adviser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w:t>
      </w:r>
    </w:p>
    <w:p>
      <w:pPr>
        <w:sectPr>
          <w:pgSz w:w="11900" w:h="16838" w:orient="portrait"/>
          <w:cols w:equalWidth="0" w:num="1">
            <w:col w:w="10940"/>
          </w:cols>
          <w:pgMar w:left="700" w:top="274" w:right="259" w:bottom="1440" w:gutter="0" w:footer="0" w:header="0"/>
        </w:sectPr>
      </w:pPr>
    </w:p>
    <w:bookmarkStart w:id="357" w:name="page358"/>
    <w:bookmarkEnd w:id="35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w:t>
      </w:r>
    </w:p>
    <w:p>
      <w:pPr>
        <w:ind w:right="220" w:firstLine="4"/>
        <w:spacing w:after="0" w:line="254" w:lineRule="auto"/>
        <w:tabs>
          <w:tab w:leader="none" w:pos="30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81" w:lineRule="exact"/>
        <w:rPr>
          <w:rFonts w:ascii="Arial" w:cs="Arial" w:eastAsia="Arial" w:hAnsi="Arial"/>
          <w:sz w:val="18"/>
          <w:szCs w:val="18"/>
          <w:color w:val="auto"/>
        </w:rPr>
      </w:pPr>
    </w:p>
    <w:p>
      <w:pPr>
        <w:ind w:right="80" w:firstLine="443"/>
        <w:spacing w:after="0" w:line="276" w:lineRule="auto"/>
        <w:tabs>
          <w:tab w:leader="none" w:pos="693" w:val="left"/>
        </w:tabs>
        <w:numPr>
          <w:ilvl w:val="1"/>
          <w:numId w:val="295"/>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64" w:lineRule="exact"/>
        <w:rPr>
          <w:rFonts w:ascii="Arial" w:cs="Arial" w:eastAsia="Arial" w:hAnsi="Arial"/>
          <w:sz w:val="17"/>
          <w:szCs w:val="17"/>
          <w:color w:val="auto"/>
        </w:rPr>
      </w:pPr>
    </w:p>
    <w:p>
      <w:pPr>
        <w:ind w:right="60" w:firstLine="443"/>
        <w:spacing w:after="0" w:line="276" w:lineRule="auto"/>
        <w:tabs>
          <w:tab w:leader="none" w:pos="693" w:val="left"/>
        </w:tabs>
        <w:numPr>
          <w:ilvl w:val="1"/>
          <w:numId w:val="295"/>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64" w:lineRule="exact"/>
        <w:rPr>
          <w:rFonts w:ascii="Arial" w:cs="Arial" w:eastAsia="Arial" w:hAnsi="Arial"/>
          <w:sz w:val="17"/>
          <w:szCs w:val="17"/>
          <w:color w:val="auto"/>
        </w:rPr>
      </w:pPr>
    </w:p>
    <w:p>
      <w:pPr>
        <w:ind w:right="460" w:firstLine="443"/>
        <w:spacing w:after="0" w:line="264" w:lineRule="auto"/>
        <w:tabs>
          <w:tab w:leader="none" w:pos="693" w:val="left"/>
        </w:tabs>
        <w:numPr>
          <w:ilvl w:val="1"/>
          <w:numId w:val="29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Adviser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Securities, other than permitted activity pursuant to Regulation M and Rule 10b-18 under the Exchange Act.</w:t>
      </w:r>
    </w:p>
    <w:p>
      <w:pPr>
        <w:spacing w:after="0" w:line="73" w:lineRule="exact"/>
        <w:rPr>
          <w:rFonts w:ascii="Arial" w:cs="Arial" w:eastAsia="Arial" w:hAnsi="Arial"/>
          <w:sz w:val="18"/>
          <w:szCs w:val="18"/>
          <w:color w:val="auto"/>
        </w:rPr>
      </w:pPr>
    </w:p>
    <w:p>
      <w:pPr>
        <w:jc w:val="both"/>
        <w:ind w:firstLine="443"/>
        <w:spacing w:after="0" w:line="279" w:lineRule="auto"/>
        <w:tabs>
          <w:tab w:leader="none" w:pos="663" w:val="left"/>
        </w:tabs>
        <w:numPr>
          <w:ilvl w:val="1"/>
          <w:numId w:val="295"/>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63" w:lineRule="exact"/>
        <w:rPr>
          <w:rFonts w:ascii="Arial" w:cs="Arial" w:eastAsia="Arial" w:hAnsi="Arial"/>
          <w:sz w:val="17"/>
          <w:szCs w:val="17"/>
          <w:color w:val="auto"/>
        </w:rPr>
      </w:pPr>
    </w:p>
    <w:p>
      <w:pPr>
        <w:ind w:right="100" w:firstLine="443"/>
        <w:spacing w:after="0" w:line="259" w:lineRule="auto"/>
        <w:tabs>
          <w:tab w:leader="none" w:pos="673" w:val="left"/>
        </w:tabs>
        <w:numPr>
          <w:ilvl w:val="1"/>
          <w:numId w:val="295"/>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ectPr>
          <w:pgSz w:w="11900" w:h="16838" w:orient="portrait"/>
          <w:cols w:equalWidth="0" w:num="1">
            <w:col w:w="10960"/>
          </w:cols>
          <w:pgMar w:left="700" w:top="274" w:right="239" w:bottom="1440" w:gutter="0" w:footer="0" w:header="0"/>
        </w:sectPr>
      </w:pPr>
    </w:p>
    <w:bookmarkStart w:id="358" w:name="page359"/>
    <w:bookmarkEnd w:id="358"/>
    <w:p>
      <w:pPr>
        <w:ind w:left="180" w:hanging="176"/>
        <w:spacing w:after="0"/>
        <w:tabs>
          <w:tab w:leader="none" w:pos="18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right="120" w:firstLine="443"/>
        <w:spacing w:after="0" w:line="272" w:lineRule="auto"/>
        <w:tabs>
          <w:tab w:leader="none" w:pos="683" w:val="left"/>
        </w:tabs>
        <w:numPr>
          <w:ilvl w:val="1"/>
          <w:numId w:val="296"/>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69" w:lineRule="exact"/>
        <w:rPr>
          <w:rFonts w:ascii="Arial" w:cs="Arial" w:eastAsia="Arial" w:hAnsi="Arial"/>
          <w:sz w:val="17"/>
          <w:szCs w:val="17"/>
          <w:color w:val="auto"/>
        </w:rPr>
      </w:pPr>
    </w:p>
    <w:p>
      <w:pPr>
        <w:ind w:right="80" w:firstLine="443"/>
        <w:spacing w:after="0" w:line="291" w:lineRule="auto"/>
        <w:tabs>
          <w:tab w:leader="none" w:pos="693" w:val="left"/>
        </w:tabs>
        <w:numPr>
          <w:ilvl w:val="1"/>
          <w:numId w:val="296"/>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electronic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w:t>
      </w: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83" w:lineRule="exact"/>
        <w:rPr>
          <w:rFonts w:ascii="Arial" w:cs="Arial" w:eastAsia="Arial" w:hAnsi="Arial"/>
          <w:sz w:val="16"/>
          <w:szCs w:val="16"/>
          <w:color w:val="auto"/>
        </w:rPr>
      </w:pPr>
    </w:p>
    <w:p>
      <w:pPr>
        <w:ind w:firstLine="443"/>
        <w:spacing w:after="0" w:line="259" w:lineRule="auto"/>
        <w:tabs>
          <w:tab w:leader="none" w:pos="683" w:val="left"/>
        </w:tabs>
        <w:numPr>
          <w:ilvl w:val="1"/>
          <w:numId w:val="29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pacing w:after="0" w:line="78" w:lineRule="exact"/>
        <w:rPr>
          <w:rFonts w:ascii="Arial" w:cs="Arial" w:eastAsia="Arial" w:hAnsi="Arial"/>
          <w:sz w:val="18"/>
          <w:szCs w:val="18"/>
          <w:color w:val="auto"/>
        </w:rPr>
      </w:pPr>
    </w:p>
    <w:p>
      <w:pPr>
        <w:ind w:right="40" w:firstLine="443"/>
        <w:spacing w:after="0" w:line="286" w:lineRule="auto"/>
        <w:tabs>
          <w:tab w:leader="none" w:pos="693" w:val="left"/>
        </w:tabs>
        <w:numPr>
          <w:ilvl w:val="1"/>
          <w:numId w:val="296"/>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sectPr>
          <w:pgSz w:w="11900" w:h="16838" w:orient="portrait"/>
          <w:cols w:equalWidth="0" w:num="1">
            <w:col w:w="10920"/>
          </w:cols>
          <w:pgMar w:left="700" w:top="274" w:right="279" w:bottom="1440" w:gutter="0" w:footer="0" w:header="0"/>
        </w:sectPr>
      </w:pPr>
    </w:p>
    <w:bookmarkStart w:id="359" w:name="page360"/>
    <w:bookmarkEnd w:id="359"/>
    <w:p>
      <w:pPr>
        <w:ind w:left="-443" w:right="40" w:firstLine="443"/>
        <w:spacing w:after="0" w:line="268" w:lineRule="auto"/>
        <w:tabs>
          <w:tab w:leader="none" w:pos="240" w:val="left"/>
        </w:tabs>
        <w:numPr>
          <w:ilvl w:val="0"/>
          <w:numId w:val="29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Ongoing Compliance. </w:t>
      </w:r>
      <w:r>
        <w:rPr>
          <w:rFonts w:ascii="Arial" w:cs="Arial" w:eastAsia="Arial" w:hAnsi="Arial"/>
          <w:sz w:val="17"/>
          <w:szCs w:val="17"/>
          <w:color w:val="auto"/>
        </w:rPr>
        <w:t>(1) If during the Prospectus Delivery Period (i) any event or development shall occur or condition shall exist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72" w:lineRule="exact"/>
        <w:rPr>
          <w:rFonts w:ascii="Arial" w:cs="Arial" w:eastAsia="Arial" w:hAnsi="Arial"/>
          <w:sz w:val="17"/>
          <w:szCs w:val="17"/>
          <w:color w:val="auto"/>
        </w:rPr>
      </w:pPr>
    </w:p>
    <w:p>
      <w:pPr>
        <w:ind w:left="-443" w:firstLine="443"/>
        <w:spacing w:after="0" w:line="255" w:lineRule="auto"/>
        <w:tabs>
          <w:tab w:leader="none" w:pos="220"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use commercially reasonable efforts, in cooperation with the Representative[s], to qualify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for offer and sale under 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5" w:lineRule="exact"/>
        <w:rPr>
          <w:rFonts w:ascii="Arial" w:cs="Arial" w:eastAsia="Arial" w:hAnsi="Arial"/>
          <w:sz w:val="18"/>
          <w:szCs w:val="18"/>
          <w:color w:val="auto"/>
        </w:rPr>
      </w:pPr>
    </w:p>
    <w:p>
      <w:pPr>
        <w:ind w:left="-443" w:right="80" w:firstLine="443"/>
        <w:spacing w:after="0" w:line="257" w:lineRule="auto"/>
        <w:tabs>
          <w:tab w:leader="none" w:pos="250"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after the effective date of the Registration Statement as defined in Rule 158;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80" w:lineRule="exact"/>
        <w:rPr>
          <w:rFonts w:ascii="Arial" w:cs="Arial" w:eastAsia="Arial" w:hAnsi="Arial"/>
          <w:sz w:val="18"/>
          <w:szCs w:val="18"/>
          <w:color w:val="auto"/>
        </w:rPr>
      </w:pPr>
    </w:p>
    <w:p>
      <w:pPr>
        <w:ind w:left="-443" w:right="120" w:firstLine="443"/>
        <w:spacing w:after="0" w:line="264" w:lineRule="auto"/>
        <w:tabs>
          <w:tab w:leader="none" w:pos="250"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For a period of [ ] days after the date of the Prospectus, the Company will not (i) offer, pledge, sell, contract to sell, sell</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or contract to purchase, purchase any option or contract to sell, grant any option, right or warrant to purchase, or otherwise transfer or dispose of, directly or indirectly, or file with the Commission a registration</w:t>
      </w:r>
    </w:p>
    <w:p>
      <w:pPr>
        <w:sectPr>
          <w:pgSz w:w="11900" w:h="16838" w:orient="portrait"/>
          <w:cols w:equalWidth="0" w:num="1">
            <w:col w:w="10517"/>
          </w:cols>
          <w:pgMar w:left="1143" w:top="274" w:right="239" w:bottom="1440" w:gutter="0" w:footer="0" w:header="0"/>
        </w:sectPr>
      </w:pPr>
    </w:p>
    <w:bookmarkStart w:id="360" w:name="page361"/>
    <w:bookmarkEnd w:id="360"/>
    <w:p>
      <w:pPr>
        <w:ind w:right="5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under the Securities Act relating to, any [shares of Common Stock][Securities] or any securities convertible into or exercisable or exchangeable for [Common Stock][the Securities], or publicly disclose the intention to make any such offer, sale, pledge, disposition or filing, or</w:t>
      </w:r>
    </w:p>
    <w:p>
      <w:pPr>
        <w:ind w:right="160" w:firstLine="4"/>
        <w:spacing w:after="0" w:line="281" w:lineRule="auto"/>
        <w:tabs>
          <w:tab w:leader="none" w:pos="26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any of the economic consequences of ownership of the [Common Stock] [Securities] or any such other securities, whether any such transaction described in clause (i) or (ii) above is to be settled by delivery of [Common Stock][Securities] or such other securities, in cash or otherwise, without the prior written consent of the Representative[s] on behalf of the Underwriters, other than the (A) Securities to be sold hereunder [or issuance of the Warrant Securities upon exercise of the Warrants], and (B) Stock</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issued or delivered in connection with the Company’s dividend reinvestment plan. Notwithstanding the foregoing, if the Company is not then an</w:t>
      </w:r>
    </w:p>
    <w:p>
      <w:pPr>
        <w:spacing w:after="0" w:line="20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Emerging Growth Company, then if (1) during the last 17 days of the [ ]-day restricted period, the Company issues an earnings release or material news or a material event relating to the Company occurs; or (2) prior to the expiration of the [ ]-day restricted period, the Company announces that it will release earnings results during the 16-day period beginning on the last day of the [ ]-day period, the restrictions imposed</w:t>
      </w:r>
    </w:p>
    <w:p>
      <w:pPr>
        <w:ind w:right="160"/>
        <w:spacing w:after="0" w:line="261" w:lineRule="auto"/>
        <w:rPr>
          <w:sz w:val="20"/>
          <w:szCs w:val="20"/>
          <w:color w:val="auto"/>
        </w:rPr>
      </w:pPr>
      <w:r>
        <w:rPr>
          <w:rFonts w:ascii="Arial" w:cs="Arial" w:eastAsia="Arial" w:hAnsi="Arial"/>
          <w:sz w:val="18"/>
          <w:szCs w:val="18"/>
          <w:color w:val="auto"/>
        </w:rPr>
        <w:t>by this Agreement shall continue to apply until the expiration of the 18-day period beginning on the issuance of the earnings release or the occurrence of the material news or material event.</w:t>
      </w:r>
    </w:p>
    <w:p>
      <w:pPr>
        <w:spacing w:after="0" w:line="76" w:lineRule="exact"/>
        <w:rPr>
          <w:sz w:val="20"/>
          <w:szCs w:val="20"/>
          <w:color w:val="auto"/>
        </w:rPr>
      </w:pPr>
    </w:p>
    <w:p>
      <w:pPr>
        <w:ind w:right="780" w:firstLine="443"/>
        <w:spacing w:after="0" w:line="308" w:lineRule="auto"/>
        <w:tabs>
          <w:tab w:leader="none" w:pos="653" w:val="left"/>
        </w:tabs>
        <w:numPr>
          <w:ilvl w:val="0"/>
          <w:numId w:val="299"/>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Securities in all material respects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 under the heading “Use of Proceeds”.</w:t>
      </w:r>
    </w:p>
    <w:p>
      <w:pPr>
        <w:spacing w:after="0" w:line="38" w:lineRule="exact"/>
        <w:rPr>
          <w:rFonts w:ascii="Arial" w:cs="Arial" w:eastAsia="Arial" w:hAnsi="Arial"/>
          <w:sz w:val="17"/>
          <w:szCs w:val="17"/>
          <w:color w:val="auto"/>
        </w:rPr>
      </w:pPr>
    </w:p>
    <w:p>
      <w:pPr>
        <w:ind w:right="20" w:firstLine="443"/>
        <w:spacing w:after="0" w:line="264" w:lineRule="auto"/>
        <w:tabs>
          <w:tab w:leader="none" w:pos="653" w:val="left"/>
        </w:tabs>
        <w:numPr>
          <w:ilvl w:val="0"/>
          <w:numId w:val="29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described in 3(ll) herein, the Company will not take, directly or indirectly, without giving effect to any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any action designed to or that would reasonably be expected to cause or result in any stabilization or manipulation of the price of the Stock or the Securities.</w:t>
      </w:r>
    </w:p>
    <w:p>
      <w:pPr>
        <w:spacing w:after="0" w:line="73" w:lineRule="exact"/>
        <w:rPr>
          <w:sz w:val="20"/>
          <w:szCs w:val="20"/>
          <w:color w:val="auto"/>
        </w:rPr>
      </w:pPr>
    </w:p>
    <w:p>
      <w:pPr>
        <w:ind w:left="440"/>
        <w:spacing w:after="0"/>
        <w:tabs>
          <w:tab w:leader="none" w:pos="10820" w:val="left"/>
        </w:tabs>
        <w:rPr>
          <w:sz w:val="20"/>
          <w:szCs w:val="20"/>
          <w:color w:val="auto"/>
        </w:rPr>
      </w:pPr>
      <w:r>
        <w:rPr>
          <w:rFonts w:ascii="Arial" w:cs="Arial" w:eastAsia="Arial" w:hAnsi="Arial"/>
          <w:sz w:val="17"/>
          <w:szCs w:val="17"/>
          <w:color w:val="auto"/>
        </w:rPr>
        <w:t xml:space="preserve">(k) </w:t>
      </w:r>
      <w:r>
        <w:rPr>
          <w:rFonts w:ascii="Arial" w:cs="Arial" w:eastAsia="Arial" w:hAnsi="Arial"/>
          <w:sz w:val="17"/>
          <w:szCs w:val="17"/>
          <w:i w:val="1"/>
          <w:iCs w:val="1"/>
          <w:color w:val="auto"/>
        </w:rPr>
        <w:t>Exchange Listing.</w:t>
      </w:r>
      <w:r>
        <w:rPr>
          <w:rFonts w:ascii="Arial" w:cs="Arial" w:eastAsia="Arial" w:hAnsi="Arial"/>
          <w:sz w:val="17"/>
          <w:szCs w:val="17"/>
          <w:color w:val="auto"/>
        </w:rPr>
        <w:t xml:space="preserve"> The Company will use commercially reasonable efforts to effect and maintain the quotation of [the Securities] on [</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right="200" w:firstLine="443"/>
        <w:spacing w:after="0" w:line="257" w:lineRule="auto"/>
        <w:tabs>
          <w:tab w:leader="none" w:pos="653"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Securities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80" w:lineRule="exact"/>
        <w:rPr>
          <w:rFonts w:ascii="Arial" w:cs="Arial" w:eastAsia="Arial" w:hAnsi="Arial"/>
          <w:sz w:val="18"/>
          <w:szCs w:val="18"/>
          <w:color w:val="auto"/>
        </w:rPr>
      </w:pPr>
    </w:p>
    <w:p>
      <w:pPr>
        <w:ind w:right="80" w:firstLine="443"/>
        <w:spacing w:after="0" w:line="291" w:lineRule="auto"/>
        <w:tabs>
          <w:tab w:leader="none" w:pos="743" w:val="left"/>
        </w:tabs>
        <w:numPr>
          <w:ilvl w:val="0"/>
          <w:numId w:val="300"/>
        </w:numPr>
        <w:rPr>
          <w:rFonts w:ascii="Arial" w:cs="Arial" w:eastAsia="Arial" w:hAnsi="Arial"/>
          <w:sz w:val="16"/>
          <w:szCs w:val="16"/>
          <w:color w:val="auto"/>
        </w:rPr>
      </w:pPr>
      <w:r>
        <w:rPr>
          <w:rFonts w:ascii="Arial" w:cs="Arial" w:eastAsia="Arial" w:hAnsi="Arial"/>
          <w:sz w:val="16"/>
          <w:szCs w:val="16"/>
          <w:i w:val="1"/>
          <w:iCs w:val="1"/>
          <w:color w:val="auto"/>
        </w:rPr>
        <w:t>Emerging Growth Company</w:t>
      </w:r>
      <w:r>
        <w:rPr>
          <w:rFonts w:ascii="Arial" w:cs="Arial" w:eastAsia="Arial" w:hAnsi="Arial"/>
          <w:sz w:val="16"/>
          <w:szCs w:val="16"/>
          <w:color w:val="auto"/>
        </w:rPr>
        <w:t>. The Company will promptly notify the Representative[s] if the Company ceases to be an Emerging Growth</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any time prior to the later of (i) completion of the distribution of Securities within the meaning of the Securities Act and (ii) completion of</w:t>
      </w:r>
    </w:p>
    <w:p>
      <w:pPr>
        <w:spacing w:after="0"/>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6"/>
          <w:szCs w:val="16"/>
          <w:color w:val="auto"/>
        </w:rPr>
        <w:t>]-day restricted period referred to in Section 5(h) hereof.</w:t>
      </w:r>
    </w:p>
    <w:p>
      <w:pPr>
        <w:spacing w:after="0" w:line="102" w:lineRule="exact"/>
        <w:rPr>
          <w:rFonts w:ascii="Arial" w:cs="Arial" w:eastAsia="Arial" w:hAnsi="Arial"/>
          <w:sz w:val="16"/>
          <w:szCs w:val="16"/>
          <w:color w:val="auto"/>
        </w:rPr>
      </w:pPr>
    </w:p>
    <w:p>
      <w:pPr>
        <w:ind w:right="60" w:firstLine="443"/>
        <w:spacing w:after="0" w:line="279" w:lineRule="auto"/>
        <w:tabs>
          <w:tab w:leader="none" w:pos="693" w:val="left"/>
        </w:tabs>
        <w:numPr>
          <w:ilvl w:val="0"/>
          <w:numId w:val="300"/>
        </w:numPr>
        <w:rPr>
          <w:rFonts w:ascii="Arial" w:cs="Arial" w:eastAsia="Arial" w:hAnsi="Arial"/>
          <w:sz w:val="17"/>
          <w:szCs w:val="17"/>
          <w:color w:val="auto"/>
        </w:rPr>
      </w:pPr>
      <w:r>
        <w:rPr>
          <w:rFonts w:ascii="Arial" w:cs="Arial" w:eastAsia="Arial" w:hAnsi="Arial"/>
          <w:sz w:val="17"/>
          <w:szCs w:val="17"/>
          <w:i w:val="1"/>
          <w:iCs w:val="1"/>
          <w:color w:val="auto"/>
        </w:rPr>
        <w:t>Business Development Company</w:t>
      </w:r>
      <w:r>
        <w:rPr>
          <w:rFonts w:ascii="Arial" w:cs="Arial" w:eastAsia="Arial" w:hAnsi="Arial"/>
          <w:sz w:val="17"/>
          <w:szCs w:val="17"/>
          <w:color w:val="auto"/>
        </w:rPr>
        <w:t>. The Company, during a period of twelve months from the Closing Date, will use commercially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efforts to maintain its status as a business development company under the Investment Company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ectPr>
          <w:pgSz w:w="11900" w:h="16838" w:orient="portrait"/>
          <w:cols w:equalWidth="0" w:num="1">
            <w:col w:w="10960"/>
          </w:cols>
          <w:pgMar w:left="700" w:top="273" w:right="239" w:bottom="1440" w:gutter="0" w:footer="0" w:header="0"/>
        </w:sectPr>
      </w:pPr>
    </w:p>
    <w:bookmarkStart w:id="361" w:name="page362"/>
    <w:bookmarkEnd w:id="361"/>
    <w:p>
      <w:pPr>
        <w:ind w:left="-4" w:right="120" w:firstLine="443"/>
        <w:spacing w:after="0" w:line="264" w:lineRule="auto"/>
        <w:tabs>
          <w:tab w:leader="none" w:pos="688" w:val="left"/>
        </w:tabs>
        <w:numPr>
          <w:ilvl w:val="1"/>
          <w:numId w:val="30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Regulated Investment Company. </w:t>
      </w:r>
      <w:r>
        <w:rPr>
          <w:rFonts w:ascii="Arial" w:cs="Arial" w:eastAsia="Arial" w:hAnsi="Arial"/>
          <w:sz w:val="18"/>
          <w:szCs w:val="18"/>
          <w:color w:val="auto"/>
        </w:rPr>
        <w:t>The Company will use commercially reasonable efforts to maintain in effect its qualification and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left="-4" w:right="180" w:firstLine="443"/>
        <w:spacing w:after="0" w:line="257" w:lineRule="auto"/>
        <w:tabs>
          <w:tab w:leader="none" w:pos="688" w:val="left"/>
        </w:tabs>
        <w:numPr>
          <w:ilvl w:val="1"/>
          <w:numId w:val="301"/>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80" w:lineRule="exact"/>
        <w:rPr>
          <w:rFonts w:ascii="Arial" w:cs="Arial" w:eastAsia="Arial" w:hAnsi="Arial"/>
          <w:sz w:val="18"/>
          <w:szCs w:val="18"/>
          <w:color w:val="auto"/>
        </w:rPr>
      </w:pPr>
    </w:p>
    <w:p>
      <w:pPr>
        <w:ind w:left="-4" w:right="180" w:firstLine="443"/>
        <w:spacing w:after="0" w:line="255" w:lineRule="auto"/>
        <w:tabs>
          <w:tab w:leader="none" w:pos="688" w:val="left"/>
        </w:tabs>
        <w:numPr>
          <w:ilvl w:val="1"/>
          <w:numId w:val="301"/>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The Company represents and agrees that, without the prior consent of the Representative[s] (i)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any offering material other than the Registration Statement, the Pricing Disclosures Package or the Prospectus, and (ii) it has not made and will not make any offer relating to the Securities that would constitute a “free writing prospectus” as defined in Rule 405 under the Act and which the parties agree, for the purposes of this Agreement, includes (x) any “advertisement” as defined in Rule 482 under the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9" w:lineRule="exact"/>
        <w:rPr>
          <w:rFonts w:ascii="Arial" w:cs="Arial" w:eastAsia="Arial" w:hAnsi="Arial"/>
          <w:sz w:val="18"/>
          <w:szCs w:val="18"/>
          <w:color w:val="auto"/>
        </w:rPr>
      </w:pPr>
    </w:p>
    <w:p>
      <w:pPr>
        <w:ind w:left="176" w:hanging="176"/>
        <w:spacing w:after="0"/>
        <w:tabs>
          <w:tab w:leader="none" w:pos="176"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left="-4" w:right="20" w:firstLine="443"/>
        <w:spacing w:after="0" w:line="259" w:lineRule="auto"/>
        <w:tabs>
          <w:tab w:leader="none" w:pos="679" w:val="left"/>
        </w:tabs>
        <w:numPr>
          <w:ilvl w:val="1"/>
          <w:numId w:val="302"/>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spacing w:after="0" w:line="78" w:lineRule="exact"/>
        <w:rPr>
          <w:rFonts w:ascii="Arial" w:cs="Arial" w:eastAsia="Arial" w:hAnsi="Arial"/>
          <w:sz w:val="18"/>
          <w:szCs w:val="18"/>
          <w:color w:val="auto"/>
        </w:rPr>
      </w:pPr>
    </w:p>
    <w:p>
      <w:pPr>
        <w:ind w:left="-4" w:right="840" w:firstLine="443"/>
        <w:spacing w:after="0" w:line="342" w:lineRule="auto"/>
        <w:tabs>
          <w:tab w:leader="none" w:pos="689" w:val="left"/>
        </w:tabs>
        <w:numPr>
          <w:ilvl w:val="1"/>
          <w:numId w:val="302"/>
        </w:numPr>
        <w:rPr>
          <w:rFonts w:ascii="Arial" w:cs="Arial" w:eastAsia="Arial" w:hAnsi="Arial"/>
          <w:sz w:val="16"/>
          <w:szCs w:val="16"/>
          <w:color w:val="auto"/>
        </w:rPr>
      </w:pPr>
      <w:r>
        <w:rPr>
          <w:rFonts w:ascii="Arial" w:cs="Arial" w:eastAsia="Arial" w:hAnsi="Arial"/>
          <w:sz w:val="16"/>
          <w:szCs w:val="16"/>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23" w:lineRule="exact"/>
        <w:rPr>
          <w:rFonts w:ascii="Arial" w:cs="Arial" w:eastAsia="Arial" w:hAnsi="Arial"/>
          <w:sz w:val="16"/>
          <w:szCs w:val="16"/>
          <w:color w:val="auto"/>
        </w:rPr>
      </w:pPr>
    </w:p>
    <w:p>
      <w:pPr>
        <w:ind w:left="-464" w:firstLine="464"/>
        <w:spacing w:after="0" w:line="264" w:lineRule="auto"/>
        <w:tabs>
          <w:tab w:leader="none" w:pos="17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4" w:right="200" w:firstLine="443"/>
        <w:spacing w:after="0" w:line="279" w:lineRule="auto"/>
        <w:tabs>
          <w:tab w:leader="none" w:pos="678" w:val="left"/>
        </w:tabs>
        <w:numPr>
          <w:ilvl w:val="1"/>
          <w:numId w:val="302"/>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Representative[s].</w:t>
      </w:r>
    </w:p>
    <w:p>
      <w:pPr>
        <w:sectPr>
          <w:pgSz w:w="11900" w:h="16838" w:orient="portrait"/>
          <w:cols w:equalWidth="0" w:num="1">
            <w:col w:w="10956"/>
          </w:cols>
          <w:pgMar w:left="704" w:top="274" w:right="239" w:bottom="1440" w:gutter="0" w:footer="0" w:header="0"/>
        </w:sectPr>
      </w:pPr>
    </w:p>
    <w:bookmarkStart w:id="362" w:name="page363"/>
    <w:bookmarkEnd w:id="362"/>
    <w:p>
      <w:pPr>
        <w:ind w:firstLine="443"/>
        <w:spacing w:after="0" w:line="259" w:lineRule="auto"/>
        <w:tabs>
          <w:tab w:leader="none" w:pos="693"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firstLine="443"/>
        <w:spacing w:after="0" w:line="276" w:lineRule="auto"/>
        <w:tabs>
          <w:tab w:leader="none" w:pos="683" w:val="left"/>
        </w:tabs>
        <w:numPr>
          <w:ilvl w:val="0"/>
          <w:numId w:val="303"/>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3(f) and Section 4(a) hereof shall have occurred or shall</w:t>
      </w:r>
      <w:r>
        <w:rPr>
          <w:rFonts w:ascii="Arial" w:cs="Arial" w:eastAsia="Arial" w:hAnsi="Arial"/>
          <w:sz w:val="17"/>
          <w:szCs w:val="17"/>
          <w:i w:val="1"/>
          <w:iCs w:val="1"/>
          <w:color w:val="auto"/>
        </w:rPr>
        <w:t xml:space="preserve"> </w:t>
      </w:r>
      <w:r>
        <w:rPr>
          <w:rFonts w:ascii="Arial" w:cs="Arial" w:eastAsia="Arial" w:hAnsi="Arial"/>
          <w:sz w:val="17"/>
          <w:szCs w:val="17"/>
          <w:color w:val="auto"/>
        </w:rPr>
        <w:t>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right="80" w:firstLine="443"/>
        <w:spacing w:after="0" w:line="289" w:lineRule="auto"/>
        <w:tabs>
          <w:tab w:leader="none" w:pos="693" w:val="left"/>
        </w:tabs>
        <w:numPr>
          <w:ilvl w:val="0"/>
          <w:numId w:val="303"/>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Representative[s] shall have received on and as of the Closing Date or the Additional Closing Date,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may be, a certificate, which shall be delivered on behalf of the Company and not the signatories in their individual capacity, of the chief financial officer or chief accounting officer (or other authorized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Sections 3(b)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paragraphs (a) above and, with respect to the Company and its subsidiaries, to the effect set forth in paragraph (c) above.</w:t>
      </w:r>
    </w:p>
    <w:p>
      <w:pPr>
        <w:spacing w:after="0" w:line="58" w:lineRule="exact"/>
        <w:rPr>
          <w:rFonts w:ascii="Arial" w:cs="Arial" w:eastAsia="Arial" w:hAnsi="Arial"/>
          <w:sz w:val="16"/>
          <w:szCs w:val="16"/>
          <w:color w:val="auto"/>
        </w:rPr>
      </w:pPr>
    </w:p>
    <w:p>
      <w:pPr>
        <w:ind w:right="80" w:firstLine="443"/>
        <w:spacing w:after="0" w:line="255" w:lineRule="auto"/>
        <w:tabs>
          <w:tab w:leader="none" w:pos="683"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Representative[s] shall have received on and as of the Closing Date or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may be, a certificate, which 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85" w:lineRule="exact"/>
        <w:rPr>
          <w:rFonts w:ascii="Arial" w:cs="Arial" w:eastAsia="Arial" w:hAnsi="Arial"/>
          <w:sz w:val="18"/>
          <w:szCs w:val="18"/>
          <w:color w:val="auto"/>
        </w:rPr>
      </w:pPr>
    </w:p>
    <w:p>
      <w:pPr>
        <w:ind w:right="40" w:firstLine="443"/>
        <w:spacing w:after="0" w:line="291" w:lineRule="auto"/>
        <w:tabs>
          <w:tab w:leader="none" w:pos="663" w:val="left"/>
        </w:tabs>
        <w:numPr>
          <w:ilvl w:val="0"/>
          <w:numId w:val="303"/>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furnished to the Representative[s], at the request of the Company, letters, dated the respective dates of delivery thereof and addressed to the</w:t>
      </w:r>
    </w:p>
    <w:p>
      <w:pPr>
        <w:jc w:val="both"/>
        <w:ind w:right="320"/>
        <w:spacing w:after="0" w:line="281" w:lineRule="auto"/>
        <w:rPr>
          <w:sz w:val="20"/>
          <w:szCs w:val="20"/>
          <w:color w:val="auto"/>
        </w:rPr>
      </w:pPr>
      <w:r>
        <w:rPr>
          <w:rFonts w:ascii="Arial" w:cs="Arial" w:eastAsia="Arial" w:hAnsi="Arial"/>
          <w:sz w:val="16"/>
          <w:szCs w:val="16"/>
          <w:color w:val="auto"/>
        </w:rPr>
        <w:t>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Closing Date, as the case may be, shall use a “cut-off” date no more than business days prior to such Closing Date or such Additional Closing Date, as the case may be.</w:t>
      </w:r>
    </w:p>
    <w:p>
      <w:pPr>
        <w:sectPr>
          <w:pgSz w:w="11900" w:h="16838" w:orient="portrait"/>
          <w:cols w:equalWidth="0" w:num="1">
            <w:col w:w="10960"/>
          </w:cols>
          <w:pgMar w:left="700" w:top="274" w:right="239" w:bottom="1440" w:gutter="0" w:footer="0" w:header="0"/>
        </w:sectPr>
      </w:pPr>
    </w:p>
    <w:bookmarkStart w:id="363" w:name="page364"/>
    <w:bookmarkEnd w:id="363"/>
    <w:p>
      <w:pPr>
        <w:jc w:val="both"/>
        <w:ind w:right="60" w:firstLine="443"/>
        <w:spacing w:after="0" w:line="259" w:lineRule="auto"/>
        <w:tabs>
          <w:tab w:leader="none" w:pos="693"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Opinion and 10b-5 Statement of Counsel for the Company and Adviser. </w:t>
      </w:r>
      <w:r>
        <w:rPr>
          <w:rFonts w:ascii="Arial" w:cs="Arial" w:eastAsia="Arial" w:hAnsi="Arial"/>
          <w:sz w:val="18"/>
          <w:szCs w:val="18"/>
          <w:color w:val="auto"/>
        </w:rPr>
        <w:t>Cleary Gottlieb Steen &amp; Hamilton LLP, counsel for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0"/>
          <w:numId w:val="304"/>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 the</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 Closing Date, as the case may be, an opinion and 10b-5 statement of ,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82" w:lineRule="exact"/>
        <w:rPr>
          <w:sz w:val="20"/>
          <w:szCs w:val="20"/>
          <w:color w:val="auto"/>
        </w:rPr>
      </w:pPr>
    </w:p>
    <w:p>
      <w:pPr>
        <w:ind w:right="40" w:firstLine="443"/>
        <w:spacing w:after="0" w:line="302" w:lineRule="auto"/>
        <w:tabs>
          <w:tab w:leader="none" w:pos="653" w:val="left"/>
        </w:tabs>
        <w:numPr>
          <w:ilvl w:val="0"/>
          <w:numId w:val="305"/>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w:t>
      </w:r>
      <w:r>
        <w:rPr>
          <w:rFonts w:ascii="Arial" w:cs="Arial" w:eastAsia="Arial" w:hAnsi="Arial"/>
          <w:sz w:val="16"/>
          <w:szCs w:val="16"/>
          <w:color w:val="auto"/>
        </w:rPr>
        <w:t>No action shall have been taken and no statute, rule, regulation or order shall have been enacted, adopted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any federal, state or foreign governmental or regulatory authority that would, as of the Closing Date or the Additional Closing Date, as the case may be, prevent the issuance or sale of the Securities; and no injunction or order of any federal, state or foreign court shall have been issued that would, as of the Closing Date or the Additional Closing Date, as the case may be, prevent the issuance or sale of the Securities.</w:t>
      </w:r>
    </w:p>
    <w:p>
      <w:pPr>
        <w:spacing w:after="0" w:line="46" w:lineRule="exact"/>
        <w:rPr>
          <w:rFonts w:ascii="Arial" w:cs="Arial" w:eastAsia="Arial" w:hAnsi="Arial"/>
          <w:sz w:val="16"/>
          <w:szCs w:val="16"/>
          <w:color w:val="auto"/>
        </w:rPr>
      </w:pPr>
    </w:p>
    <w:p>
      <w:pPr>
        <w:ind w:right="200" w:firstLine="443"/>
        <w:spacing w:after="0" w:line="279" w:lineRule="auto"/>
        <w:tabs>
          <w:tab w:leader="none" w:pos="653" w:val="left"/>
        </w:tabs>
        <w:numPr>
          <w:ilvl w:val="0"/>
          <w:numId w:val="305"/>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63" w:lineRule="exact"/>
        <w:rPr>
          <w:rFonts w:ascii="Arial" w:cs="Arial" w:eastAsia="Arial" w:hAnsi="Arial"/>
          <w:sz w:val="17"/>
          <w:szCs w:val="17"/>
          <w:color w:val="auto"/>
        </w:rPr>
      </w:pPr>
    </w:p>
    <w:p>
      <w:pPr>
        <w:ind w:right="600" w:firstLine="443"/>
        <w:spacing w:after="0" w:line="277" w:lineRule="auto"/>
        <w:tabs>
          <w:tab w:leader="none" w:pos="69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Listing.</w:t>
      </w:r>
      <w:r>
        <w:rPr>
          <w:rFonts w:ascii="Arial" w:cs="Arial" w:eastAsia="Arial" w:hAnsi="Arial"/>
          <w:sz w:val="18"/>
          <w:szCs w:val="18"/>
          <w:color w:val="auto"/>
        </w:rPr>
        <w:t xml:space="preserve"> The Securities to be delivered on the Closing Date or Additional Closing Date, as the case may be, shall have been approved for listing on , subject to official notice of issuance.]</w:t>
      </w:r>
    </w:p>
    <w:p>
      <w:pPr>
        <w:spacing w:after="0" w:line="62" w:lineRule="exact"/>
        <w:rPr>
          <w:rFonts w:ascii="Arial" w:cs="Arial" w:eastAsia="Arial" w:hAnsi="Arial"/>
          <w:sz w:val="18"/>
          <w:szCs w:val="18"/>
          <w:color w:val="auto"/>
        </w:rPr>
      </w:pPr>
    </w:p>
    <w:p>
      <w:pPr>
        <w:ind w:right="20" w:firstLine="443"/>
        <w:spacing w:after="0" w:line="259" w:lineRule="auto"/>
        <w:tabs>
          <w:tab w:leader="none" w:pos="65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A-1 hereto, between you and the persons listed on Schedule 3, and in the form of Exhibit A-2 hereto, between you and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78" w:lineRule="exact"/>
        <w:rPr>
          <w:rFonts w:ascii="Arial" w:cs="Arial" w:eastAsia="Arial" w:hAnsi="Arial"/>
          <w:sz w:val="18"/>
          <w:szCs w:val="18"/>
          <w:color w:val="auto"/>
        </w:rPr>
      </w:pPr>
    </w:p>
    <w:p>
      <w:pPr>
        <w:ind w:firstLine="443"/>
        <w:spacing w:after="0" w:line="255" w:lineRule="auto"/>
        <w:tabs>
          <w:tab w:leader="none" w:pos="743"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 any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ectPr>
          <w:pgSz w:w="11900" w:h="16838" w:orient="portrait"/>
          <w:cols w:equalWidth="0" w:num="1">
            <w:col w:w="10960"/>
          </w:cols>
          <w:pgMar w:left="700" w:top="274" w:right="239" w:bottom="1440" w:gutter="0" w:footer="0" w:header="0"/>
        </w:sectPr>
      </w:pPr>
    </w:p>
    <w:bookmarkStart w:id="364" w:name="page365"/>
    <w:bookmarkEnd w:id="364"/>
    <w:p>
      <w:pPr>
        <w:ind w:left="460" w:right="60" w:firstLine="443"/>
        <w:spacing w:after="0" w:line="277" w:lineRule="auto"/>
        <w:tabs>
          <w:tab w:leader="none" w:pos="1153"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8" w:lineRule="auto"/>
        <w:tabs>
          <w:tab w:leader="none" w:pos="701" w:val="left"/>
        </w:tabs>
        <w:numPr>
          <w:ilvl w:val="0"/>
          <w:numId w:val="308"/>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85" w:lineRule="exact"/>
        <w:rPr>
          <w:rFonts w:ascii="Arial" w:cs="Arial" w:eastAsia="Arial" w:hAnsi="Arial"/>
          <w:sz w:val="17"/>
          <w:szCs w:val="17"/>
          <w:color w:val="auto"/>
        </w:rPr>
      </w:pPr>
    </w:p>
    <w:p>
      <w:pPr>
        <w:ind w:right="100" w:firstLine="464"/>
        <w:spacing w:after="0" w:line="290" w:lineRule="auto"/>
        <w:tabs>
          <w:tab w:leader="none" w:pos="711"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 directors, its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w:t>
      </w:r>
    </w:p>
    <w:p>
      <w:pPr>
        <w:spacing w:after="0" w:line="166" w:lineRule="exact"/>
        <w:rPr>
          <w:rFonts w:ascii="Arial" w:cs="Arial" w:eastAsia="Arial" w:hAnsi="Arial"/>
          <w:sz w:val="16"/>
          <w:szCs w:val="16"/>
          <w:color w:val="auto"/>
        </w:rPr>
      </w:pPr>
    </w:p>
    <w:p>
      <w:pPr>
        <w:ind w:right="20" w:firstLine="464"/>
        <w:spacing w:after="0" w:line="302" w:lineRule="auto"/>
        <w:tabs>
          <w:tab w:leader="none" w:pos="701"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w:t>
      </w:r>
    </w:p>
    <w:p>
      <w:pPr>
        <w:sectPr>
          <w:pgSz w:w="11900" w:h="16838" w:orient="portrait"/>
          <w:cols w:equalWidth="0" w:num="1">
            <w:col w:w="11400"/>
          </w:cols>
          <w:pgMar w:left="240" w:top="274" w:right="259" w:bottom="1440" w:gutter="0" w:footer="0" w:header="0"/>
        </w:sectPr>
      </w:pPr>
    </w:p>
    <w:bookmarkStart w:id="365" w:name="page366"/>
    <w:bookmarkEnd w:id="36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w:t>
      </w:r>
    </w:p>
    <w:p>
      <w:pPr>
        <w:ind w:firstLine="8"/>
        <w:spacing w:after="0" w:line="281" w:lineRule="auto"/>
        <w:tabs>
          <w:tab w:leader="none" w:pos="25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w:t>
      </w:r>
    </w:p>
    <w:p>
      <w:pPr>
        <w:spacing w:after="0" w:line="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firm for any Underwriter, its affiliates, directors and officers and any control persons of such Underwriter shall be designated in writing by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1" w:lineRule="exact"/>
        <w:rPr>
          <w:sz w:val="20"/>
          <w:szCs w:val="20"/>
          <w:color w:val="auto"/>
        </w:rPr>
      </w:pPr>
    </w:p>
    <w:p>
      <w:pPr>
        <w:ind w:right="40" w:firstLine="464"/>
        <w:spacing w:after="0" w:line="293" w:lineRule="auto"/>
        <w:tabs>
          <w:tab w:leader="none" w:pos="711" w:val="left"/>
        </w:tabs>
        <w:numPr>
          <w:ilvl w:val="0"/>
          <w:numId w:val="310"/>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and (b) above is unavailable to an Indemnified Person or insufficient in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w:t>
      </w:r>
    </w:p>
    <w:p>
      <w:pPr>
        <w:sectPr>
          <w:pgSz w:w="11900" w:h="16838" w:orient="portrait"/>
          <w:cols w:equalWidth="0" w:num="1">
            <w:col w:w="11340"/>
          </w:cols>
          <w:pgMar w:left="240" w:top="273" w:right="319" w:bottom="1440" w:gutter="0" w:footer="0" w:header="0"/>
        </w:sectPr>
      </w:pPr>
    </w:p>
    <w:bookmarkStart w:id="366" w:name="page367"/>
    <w:bookmarkEnd w:id="366"/>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1940 Act.</w:t>
      </w:r>
    </w:p>
    <w:p>
      <w:pPr>
        <w:spacing w:after="0" w:line="182" w:lineRule="exact"/>
        <w:rPr>
          <w:sz w:val="20"/>
          <w:szCs w:val="20"/>
          <w:color w:val="auto"/>
        </w:rPr>
      </w:pPr>
    </w:p>
    <w:p>
      <w:pPr>
        <w:ind w:left="700" w:hanging="236"/>
        <w:spacing w:after="0"/>
        <w:tabs>
          <w:tab w:leader="none" w:pos="700" w:val="left"/>
        </w:tabs>
        <w:numPr>
          <w:ilvl w:val="1"/>
          <w:numId w:val="311"/>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firstLine="8"/>
        <w:spacing w:after="0" w:line="268" w:lineRule="auto"/>
        <w:tabs>
          <w:tab w:leader="none" w:pos="25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220" w:firstLine="464"/>
        <w:spacing w:after="0" w:line="277" w:lineRule="auto"/>
        <w:tabs>
          <w:tab w:leader="none" w:pos="681" w:val="left"/>
        </w:tabs>
        <w:numPr>
          <w:ilvl w:val="1"/>
          <w:numId w:val="312"/>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170" w:lineRule="exact"/>
        <w:rPr>
          <w:sz w:val="20"/>
          <w:szCs w:val="20"/>
          <w:color w:val="auto"/>
        </w:rPr>
      </w:pPr>
    </w:p>
    <w:p>
      <w:pPr>
        <w:ind w:left="640" w:hanging="176"/>
        <w:spacing w:after="0"/>
        <w:tabs>
          <w:tab w:leader="none" w:pos="64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20" w:firstLine="464"/>
        <w:spacing w:after="0" w:line="253" w:lineRule="auto"/>
        <w:tabs>
          <w:tab w:leader="none" w:pos="726"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ectPr>
          <w:pgSz w:w="11900" w:h="16838" w:orient="portrait"/>
          <w:cols w:equalWidth="0" w:num="1">
            <w:col w:w="11400"/>
          </w:cols>
          <w:pgMar w:left="240" w:top="273" w:right="259" w:bottom="1440" w:gutter="0" w:footer="0" w:header="0"/>
        </w:sectPr>
      </w:pPr>
    </w:p>
    <w:bookmarkStart w:id="367" w:name="page368"/>
    <w:bookmarkEnd w:id="367"/>
    <w:p>
      <w:pPr>
        <w:ind w:left="256" w:hanging="256"/>
        <w:spacing w:after="0"/>
        <w:tabs>
          <w:tab w:leader="none" w:pos="256"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225" w:lineRule="exact"/>
        <w:rPr>
          <w:sz w:val="20"/>
          <w:szCs w:val="20"/>
          <w:color w:val="auto"/>
        </w:rPr>
      </w:pPr>
    </w:p>
    <w:p>
      <w:pPr>
        <w:ind w:left="-464" w:firstLine="464"/>
        <w:spacing w:after="0" w:line="287" w:lineRule="auto"/>
        <w:tabs>
          <w:tab w:leader="none" w:pos="237"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72" w:lineRule="exact"/>
        <w:rPr>
          <w:rFonts w:ascii="Arial" w:cs="Arial" w:eastAsia="Arial" w:hAnsi="Arial"/>
          <w:sz w:val="16"/>
          <w:szCs w:val="16"/>
          <w:color w:val="auto"/>
        </w:rPr>
      </w:pPr>
    </w:p>
    <w:p>
      <w:pPr>
        <w:ind w:left="-464" w:right="180" w:firstLine="464"/>
        <w:spacing w:after="0" w:line="293" w:lineRule="auto"/>
        <w:tabs>
          <w:tab w:leader="none" w:pos="247"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does not exceed one-eleventh of the aggregate number of Securities to be purchased on such date, then the Company shall have the right to require each non-defaulting Underwriter to purchase the number of Securities that such Underwriter agreed to purchase hereunder on such date plus such Underwriter’s pro rata share (based on the number of Securities that such Underwriter agreed to purchase on such date) of the Securities of such defaulting Underwriter or Underwriters for which such arrangements have not been made.</w:t>
      </w:r>
    </w:p>
    <w:p>
      <w:pPr>
        <w:spacing w:after="0" w:line="164" w:lineRule="exact"/>
        <w:rPr>
          <w:rFonts w:ascii="Arial" w:cs="Arial" w:eastAsia="Arial" w:hAnsi="Arial"/>
          <w:sz w:val="16"/>
          <w:szCs w:val="16"/>
          <w:color w:val="auto"/>
        </w:rPr>
      </w:pPr>
    </w:p>
    <w:p>
      <w:pPr>
        <w:ind w:left="-464" w:right="180" w:firstLine="464"/>
        <w:spacing w:after="0" w:line="254" w:lineRule="auto"/>
        <w:tabs>
          <w:tab w:leader="none" w:pos="23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exceeds one-eleventh of the 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92" w:lineRule="exact"/>
        <w:rPr>
          <w:rFonts w:ascii="Arial" w:cs="Arial" w:eastAsia="Arial" w:hAnsi="Arial"/>
          <w:sz w:val="18"/>
          <w:szCs w:val="18"/>
          <w:color w:val="auto"/>
        </w:rPr>
      </w:pPr>
    </w:p>
    <w:p>
      <w:pPr>
        <w:ind w:left="-464" w:right="140" w:firstLine="464"/>
        <w:spacing w:after="0" w:line="277" w:lineRule="auto"/>
        <w:tabs>
          <w:tab w:leader="none" w:pos="24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ectPr>
          <w:pgSz w:w="11900" w:h="16838" w:orient="portrait"/>
          <w:cols w:equalWidth="0" w:num="1">
            <w:col w:w="10936"/>
          </w:cols>
          <w:pgMar w:left="704" w:top="274" w:right="259" w:bottom="1440" w:gutter="0" w:footer="0" w:header="0"/>
        </w:sectPr>
      </w:pPr>
    </w:p>
    <w:bookmarkStart w:id="368" w:name="page369"/>
    <w:bookmarkEnd w:id="368"/>
    <w:p>
      <w:pPr>
        <w:ind w:left="740" w:hanging="276"/>
        <w:spacing w:after="0"/>
        <w:tabs>
          <w:tab w:leader="none" w:pos="74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right="60" w:firstLine="464"/>
        <w:spacing w:after="0" w:line="283" w:lineRule="auto"/>
        <w:tabs>
          <w:tab w:leader="none" w:pos="701" w:val="left"/>
        </w:tabs>
        <w:numPr>
          <w:ilvl w:val="1"/>
          <w:numId w:val="317"/>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Warrant Securities issuable upon exercise of the Warrants]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[and any Warrant Securities issuable upon exercise of the Warrants]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all filing fees and the reasonable fees and expenses incurred in connection with any filing with, and clearance of the offering by, FINRA (such fees and</w:t>
      </w:r>
    </w:p>
    <w:p>
      <w:pPr>
        <w:spacing w:after="0" w:line="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expenses pursuant to this clause (vii) and clause (iv), in the aggregate, shall not exceed $[ ]); (viii) all expenses incurred by the Company in connection with any “road show” presentation to potential investors,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Underwriters shall be responsible for 50% of the third-party costs of any chartered private aircraft incurred in connection with such road show; and (ix) all expenses and application fees related to the listing of the Securities [or any Warrant Securities issuable upon exercise of the Warrants] on [applicable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92" w:lineRule="exact"/>
        <w:rPr>
          <w:sz w:val="20"/>
          <w:szCs w:val="20"/>
          <w:color w:val="auto"/>
        </w:rPr>
      </w:pPr>
    </w:p>
    <w:p>
      <w:pPr>
        <w:ind w:left="720" w:hanging="256"/>
        <w:spacing w:after="0"/>
        <w:tabs>
          <w:tab w:leader="none" w:pos="72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w:t>
      </w:r>
    </w:p>
    <w:p>
      <w:pPr>
        <w:spacing w:after="0" w:line="46" w:lineRule="exact"/>
        <w:rPr>
          <w:rFonts w:ascii="Arial" w:cs="Arial" w:eastAsia="Arial" w:hAnsi="Arial"/>
          <w:sz w:val="16"/>
          <w:szCs w:val="16"/>
          <w:color w:val="auto"/>
        </w:rPr>
      </w:pPr>
    </w:p>
    <w:p>
      <w:pPr>
        <w:ind w:firstLine="8"/>
        <w:spacing w:after="0" w:line="253" w:lineRule="auto"/>
        <w:tabs>
          <w:tab w:leader="none" w:pos="26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91" w:lineRule="exact"/>
        <w:rPr>
          <w:sz w:val="20"/>
          <w:szCs w:val="20"/>
          <w:color w:val="auto"/>
        </w:rPr>
      </w:pPr>
    </w:p>
    <w:p>
      <w:pPr>
        <w:ind w:right="120" w:firstLine="464"/>
        <w:spacing w:after="0" w:line="279" w:lineRule="auto"/>
        <w:tabs>
          <w:tab w:leader="none" w:pos="726"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1" w:lineRule="exact"/>
        <w:rPr>
          <w:rFonts w:ascii="Arial" w:cs="Arial" w:eastAsia="Arial" w:hAnsi="Arial"/>
          <w:sz w:val="17"/>
          <w:szCs w:val="17"/>
          <w:color w:val="auto"/>
        </w:rPr>
      </w:pPr>
    </w:p>
    <w:p>
      <w:pPr>
        <w:jc w:val="both"/>
        <w:ind w:right="280" w:firstLine="464"/>
        <w:spacing w:after="0" w:line="279" w:lineRule="auto"/>
        <w:tabs>
          <w:tab w:leader="none" w:pos="726"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ectPr>
          <w:pgSz w:w="11900" w:h="16838" w:orient="portrait"/>
          <w:cols w:equalWidth="0" w:num="1">
            <w:col w:w="11380"/>
          </w:cols>
          <w:pgMar w:left="240" w:top="274" w:right="279" w:bottom="1440" w:gutter="0" w:footer="0" w:header="0"/>
        </w:sectPr>
      </w:pPr>
    </w:p>
    <w:bookmarkStart w:id="369" w:name="page370"/>
    <w:bookmarkEnd w:id="369"/>
    <w:p>
      <w:pPr>
        <w:ind w:left="-40" w:right="60" w:firstLine="464"/>
        <w:spacing w:after="0" w:line="286" w:lineRule="auto"/>
        <w:tabs>
          <w:tab w:leader="none" w:pos="686"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00" w:hanging="276"/>
        <w:spacing w:after="0"/>
        <w:tabs>
          <w:tab w:leader="none" w:pos="70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0" w:right="180" w:firstLine="464"/>
        <w:spacing w:after="0" w:line="259" w:lineRule="auto"/>
        <w:tabs>
          <w:tab w:leader="none" w:pos="661"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Representative[s] at [address of underwriter]. Notices to the Company or the Adviser shall be given to either of them at TPG Specialty Lending, Inc., 345 California Street, Suite 3300, San Francisco, California 94104 (fax: (917) 463-0175), Attention: David Stiepleman.</w:t>
      </w:r>
    </w:p>
    <w:p>
      <w:pPr>
        <w:spacing w:after="0" w:line="186" w:lineRule="exact"/>
        <w:rPr>
          <w:rFonts w:ascii="Arial" w:cs="Arial" w:eastAsia="Arial" w:hAnsi="Arial"/>
          <w:sz w:val="18"/>
          <w:szCs w:val="18"/>
          <w:color w:val="auto"/>
        </w:rPr>
      </w:pPr>
    </w:p>
    <w:p>
      <w:pPr>
        <w:ind w:left="-40" w:firstLine="464"/>
        <w:spacing w:after="0" w:line="264" w:lineRule="auto"/>
        <w:tabs>
          <w:tab w:leader="none" w:pos="671"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rFonts w:ascii="Arial" w:cs="Arial" w:eastAsia="Arial" w:hAnsi="Arial"/>
          <w:sz w:val="18"/>
          <w:szCs w:val="18"/>
          <w:color w:val="auto"/>
        </w:rPr>
      </w:pPr>
    </w:p>
    <w:p>
      <w:pPr>
        <w:ind w:left="-40" w:right="660" w:firstLine="464"/>
        <w:spacing w:after="0" w:line="308" w:lineRule="auto"/>
        <w:tabs>
          <w:tab w:leader="none" w:pos="661" w:val="left"/>
        </w:tabs>
        <w:numPr>
          <w:ilvl w:val="0"/>
          <w:numId w:val="323"/>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left="-40" w:right="1340" w:firstLine="464"/>
        <w:spacing w:after="0" w:line="308" w:lineRule="auto"/>
        <w:tabs>
          <w:tab w:leader="none" w:pos="671" w:val="left"/>
        </w:tabs>
        <w:numPr>
          <w:ilvl w:val="0"/>
          <w:numId w:val="323"/>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left="-40" w:right="320" w:firstLine="464"/>
        <w:spacing w:after="0" w:line="277" w:lineRule="auto"/>
        <w:tabs>
          <w:tab w:leader="none" w:pos="661"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40" w:right="620" w:firstLine="464"/>
        <w:spacing w:after="0" w:line="277" w:lineRule="auto"/>
        <w:tabs>
          <w:tab w:leader="none" w:pos="641"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1340"/>
          </w:cols>
          <w:pgMar w:left="280" w:top="274" w:right="279" w:bottom="1440" w:gutter="0" w:footer="0" w:header="0"/>
        </w:sectPr>
      </w:pPr>
    </w:p>
    <w:bookmarkStart w:id="370" w:name="page371"/>
    <w:bookmarkEnd w:id="37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-130810</wp:posOffset>
            </wp:positionV>
            <wp:extent cx="263271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-130810</wp:posOffset>
            </wp:positionV>
            <wp:extent cx="263271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3" w:right="1440"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3" w:right="1440"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48" w:lineRule="exact"/>
        <w:rPr>
          <w:sz w:val="20"/>
          <w:szCs w:val="20"/>
          <w:color w:val="auto"/>
        </w:rPr>
      </w:pPr>
    </w:p>
    <w:p>
      <w:pPr>
        <w:ind w:left="640"/>
        <w:spacing w:after="0"/>
        <w:tabs>
          <w:tab w:leader="none" w:pos="7140" w:val="left"/>
        </w:tabs>
        <w:rPr>
          <w:sz w:val="20"/>
          <w:szCs w:val="20"/>
          <w:color w:val="auto"/>
        </w:rPr>
      </w:pPr>
      <w:r>
        <w:rPr>
          <w:rFonts w:ascii="Arial" w:cs="Arial" w:eastAsia="Arial" w:hAnsi="Arial"/>
          <w:sz w:val="14"/>
          <w:szCs w:val="14"/>
          <w:u w:val="single" w:color="auto"/>
          <w:color w:val="auto"/>
        </w:rPr>
        <w:t>Underwriter</w:t>
      </w:r>
      <w:r>
        <w:rPr>
          <w:sz w:val="20"/>
          <w:szCs w:val="20"/>
          <w:color w:val="auto"/>
        </w:rPr>
        <w:tab/>
      </w:r>
      <w:r>
        <w:rPr>
          <w:rFonts w:ascii="Arial" w:cs="Arial" w:eastAsia="Arial" w:hAnsi="Arial"/>
          <w:sz w:val="14"/>
          <w:szCs w:val="14"/>
          <w:u w:val="single" w:color="auto"/>
          <w:color w:val="auto"/>
        </w:rPr>
        <w:t>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1522095</wp:posOffset>
            </wp:positionV>
            <wp:extent cx="7886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14605</wp:posOffset>
            </wp:positionV>
            <wp:extent cx="7886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31750</wp:posOffset>
            </wp:positionV>
            <wp:extent cx="7886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252"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TSL MR, LLC</w:t>
      </w:r>
    </w:p>
    <w:p>
      <w:pPr>
        <w:sectPr>
          <w:pgSz w:w="11900" w:h="16838" w:orient="portrait"/>
          <w:cols w:equalWidth="0" w:num="1">
            <w:col w:w="11420"/>
          </w:cols>
          <w:pgMar w:left="240" w:top="274"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[List of persons and entities subject to lock-up]</w:t>
      </w:r>
    </w:p>
    <w:p>
      <w:pPr>
        <w:sectPr>
          <w:pgSz w:w="11900" w:h="16838" w:orient="portrait"/>
          <w:cols w:equalWidth="0" w:num="1">
            <w:col w:w="10220"/>
          </w:cols>
          <w:pgMar w:left="1440" w:top="274" w:right="23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w:t>
      </w:r>
    </w:p>
    <w:p>
      <w:pPr>
        <w:spacing w:after="0" w:line="135"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Public Offering Price Per Securities:</w:t>
      </w:r>
    </w:p>
    <w:p>
      <w:pPr>
        <w:sectPr>
          <w:pgSz w:w="11900" w:h="16838" w:orient="portrait"/>
          <w:cols w:equalWidth="0" w:num="1">
            <w:col w:w="11420"/>
          </w:cols>
          <w:pgMar w:left="240" w:top="269" w:right="23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(h)(2)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117" w:lineRule="exact"/>
        <w:rPr>
          <w:sz w:val="20"/>
          <w:szCs w:val="20"/>
          <w:color w:val="auto"/>
        </w:rPr>
      </w:pPr>
    </w:p>
    <w:p>
      <w:pPr>
        <w:ind w:left="4280" w:hanging="488"/>
        <w:spacing w:after="0"/>
        <w:tabs>
          <w:tab w:leader="none" w:pos="42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Aggregate Principal Amount Senior Securities</w:t>
      </w:r>
    </w:p>
    <w:p>
      <w:pPr>
        <w:spacing w:after="0" w:line="23" w:lineRule="exact"/>
        <w:rPr>
          <w:sz w:val="20"/>
          <w:szCs w:val="20"/>
          <w:color w:val="auto"/>
        </w:rPr>
      </w:pPr>
    </w:p>
    <w:p>
      <w:pPr>
        <w:ind w:left="5580" w:right="3540" w:hanging="2033"/>
        <w:spacing w:after="0" w:line="250" w:lineRule="auto"/>
        <w:tabs>
          <w:tab w:leader="none" w:pos="403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Aggregate Principal Amount Subordinated Securities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Warrants to Purchase Debt Securities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[Names of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Schedule 1 hereto]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TPG Specialty Lending, Inc., a Delaware corporation (the “Company”), proposes to issue and sell to the several Underwriters listed in Schedule 1</w:t>
      </w:r>
    </w:p>
    <w:p>
      <w:pPr>
        <w:spacing w:after="0" w:line="35"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hereto (the “Underwriters”), for whom you are acting as Representative[s] (the “Representative[s]”), [$ aggregate principal amount of senior debt securities (the “Senior Securities”)] [$ aggregate principal amount of subordinated debt securities (the “Subordinated Securities”)] [• Warrants (the</w:t>
      </w:r>
    </w:p>
    <w:p>
      <w:pPr>
        <w:spacing w:after="0"/>
        <w:rPr>
          <w:sz w:val="20"/>
          <w:szCs w:val="20"/>
          <w:color w:val="auto"/>
        </w:rPr>
      </w:pPr>
      <w:r>
        <w:rPr>
          <w:rFonts w:ascii="Arial" w:cs="Arial" w:eastAsia="Arial" w:hAnsi="Arial"/>
          <w:sz w:val="16"/>
          <w:szCs w:val="16"/>
          <w:color w:val="auto"/>
        </w:rPr>
        <w:t>“Warrants”) to purchase Senior Securities or Subordinated Securities, or both, of the Company] (each of the aforesaid, the “Underwritten Securities”) and, at</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option of the Underwriters, up to an additional [ ] of [ ], solely to cover overallotments (the “Option Securities”). The Underwritten Securities and the Option Securities are herein referred to as the “Securities.” “Warrant Securities” shall mean the Senior Securities or Subordinated Securities issuable upon exercise of Warrants.</w:t>
      </w:r>
    </w:p>
    <w:p>
      <w:pPr>
        <w:spacing w:after="0" w:line="190" w:lineRule="exact"/>
        <w:rPr>
          <w:sz w:val="20"/>
          <w:szCs w:val="20"/>
          <w:color w:val="auto"/>
        </w:rPr>
      </w:pPr>
    </w:p>
    <w:p>
      <w:pPr>
        <w:jc w:val="center"/>
        <w:ind w:right="580"/>
        <w:spacing w:after="0" w:line="291" w:lineRule="auto"/>
        <w:rPr>
          <w:sz w:val="20"/>
          <w:szCs w:val="20"/>
          <w:color w:val="auto"/>
        </w:rPr>
      </w:pPr>
      <w:r>
        <w:rPr>
          <w:rFonts w:ascii="Arial" w:cs="Arial" w:eastAsia="Arial" w:hAnsi="Arial"/>
          <w:sz w:val="16"/>
          <w:szCs w:val="16"/>
          <w:color w:val="auto"/>
        </w:rPr>
        <w:t>The [Senior Securities][Subordinated Securities] will be issued under an indenture to be dated as of [        ] (the “Base Indenture”), as supplemented by a supplemental indenture, dated as of [        ], (the “Supplemental Indenture”, together with the Base Indenture, the “Indenture”)</w:t>
      </w:r>
    </w:p>
    <w:p>
      <w:pPr>
        <w:ind w:right="160"/>
        <w:spacing w:after="0" w:line="290" w:lineRule="auto"/>
        <w:rPr>
          <w:sz w:val="20"/>
          <w:szCs w:val="20"/>
          <w:color w:val="auto"/>
        </w:rPr>
      </w:pPr>
      <w:r>
        <w:rPr>
          <w:rFonts w:ascii="Arial" w:cs="Arial" w:eastAsia="Arial" w:hAnsi="Arial"/>
          <w:sz w:val="16"/>
          <w:szCs w:val="16"/>
          <w:color w:val="auto"/>
        </w:rPr>
        <w:t>between the Company and Wells Fargo Bank, National Association, as trustee (the “Trustee”). [The Warrants will be issued under one or more warrant agreements (the warrant agreement relating to any issue of Warrants to be sold pursuant to this Agreement is referred to herein as the “Warrant Agreement”) between the Company and the Warrant Agent identified in such Warrant Agreement (the “Warrant Agent”). ] Each issue of Senior Securities, Subordinated Securities and Warrants may vary, as applicable, as to aggregate principal amount, maturity date, interest rate or formula and timing of payments thereof, redemption provisions, conversion provisions and sinking fund requirements, if any, and any other variable terms which the Indenture or any Warrant Agreement, as the case may be, contemplates may be set forth in the Senior Securities, Subordinated Securities and Warrants as issued from time to time.</w:t>
      </w:r>
    </w:p>
    <w:p>
      <w:pPr>
        <w:spacing w:after="0" w:line="16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Securities will be issued in book-entry form to Cede &amp; Co. as nominee of the Depository Trust Company (“DTC”) pursuant to a blanket letter of representations, dated as of March 24, 2014, between the Company and DTC.</w:t>
      </w:r>
    </w:p>
    <w:p>
      <w:pPr>
        <w:sectPr>
          <w:pgSz w:w="11900" w:h="16838" w:orient="portrait"/>
          <w:cols w:equalWidth="0" w:num="1">
            <w:col w:w="11420"/>
          </w:cols>
          <w:pgMar w:left="240" w:top="121" w:right="239" w:bottom="1440" w:gutter="0" w:footer="0" w:header="0"/>
        </w:sectPr>
      </w:pPr>
    </w:p>
    <w:bookmarkStart w:id="377" w:name="page378"/>
    <w:bookmarkEnd w:id="37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hereby confirms its agreement with the several Underwriters concerning the purchase and sale of the Securities, as follows:</w:t>
      </w:r>
    </w:p>
    <w:p>
      <w:pPr>
        <w:spacing w:after="0" w:line="129" w:lineRule="exact"/>
        <w:rPr>
          <w:sz w:val="20"/>
          <w:szCs w:val="20"/>
          <w:color w:val="auto"/>
        </w:rPr>
      </w:pPr>
    </w:p>
    <w:p>
      <w:pPr>
        <w:ind w:firstLine="464"/>
        <w:spacing w:after="0" w:line="291" w:lineRule="auto"/>
        <w:tabs>
          <w:tab w:leader="none" w:pos="636"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w:t>
      </w:r>
    </w:p>
    <w:p>
      <w:pPr>
        <w:spacing w:after="0"/>
        <w:rPr>
          <w:rFonts w:ascii="Arial" w:cs="Arial" w:eastAsia="Arial" w:hAnsi="Arial"/>
          <w:sz w:val="16"/>
          <w:szCs w:val="16"/>
          <w:color w:val="auto"/>
        </w:rPr>
      </w:pPr>
      <w:r>
        <w:rPr>
          <w:rFonts w:ascii="Arial" w:cs="Arial" w:eastAsia="Arial" w:hAnsi="Arial"/>
          <w:sz w:val="16"/>
          <w:szCs w:val="16"/>
          <w:color w:val="auto"/>
        </w:rPr>
        <w:t>Form N-2 (File No. 333-196969), relating to the Securities and certain of the Company’s other securities, which registration statement was declared effective</w:t>
      </w:r>
    </w:p>
    <w:p>
      <w:pPr>
        <w:spacing w:after="0" w:line="20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by the Commission. The Indenture has been qualified under the Trust Indenture Act of 1939, as amended (the “1939 Act”). The Company has also filed with the Commission a preliminary prospectus supplement, dated , which contains a base prospectus, dated (the “Base</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Prospectus” and collectively, the “Preliminary Prospectus”). Promptly after execution and delivery of this Agreement, the 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Securities,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6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13,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also entered into an Administration Agreement, dated as of March 15, 2011 (the “Administration Agreement”) with the Adviser.</w:t>
      </w:r>
    </w:p>
    <w:p>
      <w:pPr>
        <w:spacing w:after="0" w:line="23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which together with the pricing information set forth on Annex A, comprises the “Pricing Disclosure Package.</w:t>
      </w:r>
    </w:p>
    <w:p>
      <w:pPr>
        <w:spacing w:after="0" w:line="170" w:lineRule="exact"/>
        <w:rPr>
          <w:sz w:val="20"/>
          <w:szCs w:val="20"/>
          <w:color w:val="auto"/>
        </w:rPr>
      </w:pPr>
    </w:p>
    <w:p>
      <w:pPr>
        <w:ind w:left="460"/>
        <w:spacing w:after="0"/>
        <w:tabs>
          <w:tab w:leader="none" w:pos="2960" w:val="left"/>
          <w:tab w:leader="none" w:pos="6200" w:val="left"/>
        </w:tabs>
        <w:rPr>
          <w:sz w:val="20"/>
          <w:szCs w:val="20"/>
          <w:color w:val="auto"/>
        </w:rPr>
      </w:pPr>
      <w:r>
        <w:rPr>
          <w:rFonts w:ascii="Arial" w:cs="Arial" w:eastAsia="Arial" w:hAnsi="Arial"/>
          <w:sz w:val="18"/>
          <w:szCs w:val="18"/>
          <w:color w:val="auto"/>
        </w:rPr>
        <w:t>“Applicable Time” means [</w:t>
      </w:r>
      <w:r>
        <w:rPr>
          <w:sz w:val="20"/>
          <w:szCs w:val="20"/>
          <w:color w:val="auto"/>
        </w:rPr>
        <w:tab/>
      </w:r>
      <w:r>
        <w:rPr>
          <w:rFonts w:ascii="Arial" w:cs="Arial" w:eastAsia="Arial" w:hAnsi="Arial"/>
          <w:sz w:val="18"/>
          <w:szCs w:val="18"/>
          <w:color w:val="auto"/>
        </w:rPr>
        <w:t>][A./ P.M.], New York City time, on [</w:t>
      </w:r>
      <w:r>
        <w:rPr>
          <w:sz w:val="20"/>
          <w:szCs w:val="20"/>
          <w:color w:val="auto"/>
        </w:rPr>
        <w:tab/>
      </w:r>
      <w:r>
        <w:rPr>
          <w:rFonts w:ascii="Arial" w:cs="Arial" w:eastAsia="Arial" w:hAnsi="Arial"/>
          <w:sz w:val="17"/>
          <w:szCs w:val="17"/>
          <w:color w:val="auto"/>
        </w:rPr>
        <w:t>].</w:t>
      </w:r>
    </w:p>
    <w:p>
      <w:pPr>
        <w:sectPr>
          <w:pgSz w:w="11900" w:h="16838" w:orient="portrait"/>
          <w:cols w:equalWidth="0" w:num="1">
            <w:col w:w="11420"/>
          </w:cols>
          <w:pgMar w:left="240" w:top="273" w:right="239" w:bottom="1440" w:gutter="0" w:footer="0" w:header="0"/>
        </w:sectPr>
      </w:pPr>
    </w:p>
    <w:bookmarkStart w:id="378" w:name="page379"/>
    <w:bookmarkEnd w:id="378"/>
    <w:p>
      <w:pPr>
        <w:ind w:left="640" w:hanging="176"/>
        <w:spacing w:after="0"/>
        <w:tabs>
          <w:tab w:leader="none" w:pos="6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of the Securities by the Underwriters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59" w:lineRule="auto"/>
        <w:tabs>
          <w:tab w:leader="none" w:pos="70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Company agrees to issue and sell the Underwritten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aggregate principal amount of][the number of] Underwritten Securities set forth opposite such Underwriter’s name in Schedule 1 hereto at the price (the “Purchase Price”) set forth in Schedule 1 hereto.</w:t>
      </w:r>
    </w:p>
    <w:p>
      <w:pPr>
        <w:spacing w:after="0" w:line="18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In addition, the Company agrees to issue and sell the Option Securities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Securities at the Purchase Price.</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any Option Securities are to be purchased, the [aggregate principal amount] [number] of Option Securities to be purchased by each Underwriter shall be the [aggregate principal amount] [number] of Option Securities which bears the same ratio to the [aggregate principal amount] [aggregate number] of Option Securities being purchased as the number of Underwritten Securities set forth opposite the name of such Underwriter in Schedule 1 hereto (or such number increased as set forth in Section 11 hereof) bears to the [aggregate principal amount] [aggregate number] of Underwritten Securities being purchased from the Company by the several Underwriters.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Underwriters may exercise the option to purchase Option Securities at any time in whole, or from time to time in part, on or before the thirtieth day following the date of the Prospectus, by written notice from the Representative[s] to the Company. Such notice shall set forth the [aggregate principal amount] [aggregate number] of Option Securities as to which the option is being exercised and the date and time when the Option Securities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65" w:lineRule="exact"/>
        <w:rPr>
          <w:sz w:val="20"/>
          <w:szCs w:val="20"/>
          <w:color w:val="auto"/>
        </w:rPr>
      </w:pPr>
    </w:p>
    <w:p>
      <w:pPr>
        <w:ind w:right="80" w:firstLine="464"/>
        <w:spacing w:after="0" w:line="286" w:lineRule="auto"/>
        <w:tabs>
          <w:tab w:leader="none" w:pos="711"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Prospectus. The Company acknowledges and agrees that the Underwriters may offer and sell Securities to or through any affiliate of an Underwriter.</w:t>
      </w:r>
    </w:p>
    <w:p>
      <w:pPr>
        <w:spacing w:after="0" w:line="165" w:lineRule="exact"/>
        <w:rPr>
          <w:rFonts w:ascii="Arial" w:cs="Arial" w:eastAsia="Arial" w:hAnsi="Arial"/>
          <w:sz w:val="17"/>
          <w:szCs w:val="17"/>
          <w:color w:val="auto"/>
        </w:rPr>
      </w:pPr>
    </w:p>
    <w:p>
      <w:pPr>
        <w:ind w:left="700" w:hanging="236"/>
        <w:spacing w:after="0"/>
        <w:tabs>
          <w:tab w:leader="none" w:pos="70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Payment for the Securities shall be made by wire transfer in immediately available funds to the account specified by the Company to the</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Representative[s] in the case of the Underwritten Securities, at the offices of [ ], at 10:00 A.M., New York City time, on [ ], or at such other time or place on the same or such other date, not later than the fifth business day thereafter, as the Representative[s] and the Company may agree upon in writing or, in the case of the Option Securities, on the date and at the time and place specified by the Representative[s] in the written notice of the Underwriters’ election to purchase such Option Securities. The time and date of such payment for the Underwritten Securities is referred to herein as the “Closing Date”, and the time and date for such payment for the Option Securities, if other than the Closing Date, is herein referred to as the “Additional Closing Date.”</w:t>
      </w:r>
    </w:p>
    <w:p>
      <w:pPr>
        <w:sectPr>
          <w:pgSz w:w="11900" w:h="16838" w:orient="portrait"/>
          <w:cols w:equalWidth="0" w:num="1">
            <w:col w:w="11420"/>
          </w:cols>
          <w:pgMar w:left="240" w:top="274" w:right="239" w:bottom="1440" w:gutter="0" w:footer="0" w:header="0"/>
        </w:sectPr>
      </w:pPr>
    </w:p>
    <w:bookmarkStart w:id="379" w:name="page380"/>
    <w:bookmarkEnd w:id="379"/>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for the Securities to be purchased on the Closing Date or the Additional Closing Date, as the case may be, shall be made against delivery to the Representative[s] for the respective accounts of the several Underwriters of the Securities to be purchased on such date with any transfer taxes payable in connection with the sale of such Securities duly paid by the Company. Delivery of the Securities shall be made through the facilities of The Depository Trust Company (“DTC”) unless the Representative[s] shall otherwise instruct.</w:t>
      </w:r>
    </w:p>
    <w:p>
      <w:pPr>
        <w:spacing w:after="0" w:line="187" w:lineRule="exact"/>
        <w:rPr>
          <w:sz w:val="20"/>
          <w:szCs w:val="20"/>
          <w:color w:val="auto"/>
        </w:rPr>
      </w:pPr>
    </w:p>
    <w:p>
      <w:pPr>
        <w:ind w:right="60" w:firstLine="464"/>
        <w:spacing w:after="0" w:line="271" w:lineRule="auto"/>
        <w:tabs>
          <w:tab w:leader="none" w:pos="71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640" w:hanging="176"/>
        <w:spacing w:after="0"/>
        <w:tabs>
          <w:tab w:leader="none" w:pos="64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117" w:lineRule="exact"/>
        <w:rPr>
          <w:rFonts w:ascii="Arial" w:cs="Arial" w:eastAsia="Arial" w:hAnsi="Arial"/>
          <w:sz w:val="18"/>
          <w:szCs w:val="18"/>
          <w:color w:val="auto"/>
        </w:rPr>
      </w:pPr>
    </w:p>
    <w:p>
      <w:pPr>
        <w:ind w:left="460" w:firstLine="443"/>
        <w:spacing w:after="0" w:line="254" w:lineRule="auto"/>
        <w:tabs>
          <w:tab w:leader="none" w:pos="1143" w:val="left"/>
        </w:tabs>
        <w:numPr>
          <w:ilvl w:val="1"/>
          <w:numId w:val="333"/>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84" w:lineRule="exact"/>
        <w:rPr>
          <w:rFonts w:ascii="Arial" w:cs="Arial" w:eastAsia="Arial" w:hAnsi="Arial"/>
          <w:sz w:val="18"/>
          <w:szCs w:val="18"/>
          <w:color w:val="auto"/>
        </w:rPr>
      </w:pPr>
    </w:p>
    <w:p>
      <w:pPr>
        <w:ind w:left="460" w:firstLine="443"/>
        <w:spacing w:after="0" w:line="272" w:lineRule="auto"/>
        <w:tabs>
          <w:tab w:leader="none" w:pos="1153" w:val="left"/>
        </w:tabs>
        <w:numPr>
          <w:ilvl w:val="1"/>
          <w:numId w:val="333"/>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the Pricing Disclosure Package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69" w:lineRule="exact"/>
        <w:rPr>
          <w:rFonts w:ascii="Arial" w:cs="Arial" w:eastAsia="Arial" w:hAnsi="Arial"/>
          <w:sz w:val="17"/>
          <w:szCs w:val="17"/>
          <w:color w:val="auto"/>
        </w:rPr>
      </w:pPr>
    </w:p>
    <w:p>
      <w:pPr>
        <w:ind w:left="460" w:right="80" w:firstLine="443"/>
        <w:spacing w:after="0" w:line="264" w:lineRule="auto"/>
        <w:tabs>
          <w:tab w:leader="none" w:pos="1143" w:val="left"/>
        </w:tabs>
        <w:numPr>
          <w:ilvl w:val="1"/>
          <w:numId w:val="333"/>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initial confidential submission to the Commission of its registration statement on Form N-2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its initial public offering, through the date hereof, the Company has been and is an “emerging growth company,” as defined in Section 2(a)(19) of the Securities Act (an “Emerging Growth Company”).</w:t>
      </w:r>
    </w:p>
    <w:p>
      <w:pPr>
        <w:sectPr>
          <w:pgSz w:w="11900" w:h="16838" w:orient="portrait"/>
          <w:cols w:equalWidth="0" w:num="1">
            <w:col w:w="11360"/>
          </w:cols>
          <w:pgMar w:left="240" w:top="274" w:right="299" w:bottom="1440" w:gutter="0" w:footer="0" w:header="0"/>
        </w:sectPr>
      </w:pPr>
    </w:p>
    <w:bookmarkStart w:id="380" w:name="page381"/>
    <w:bookmarkEnd w:id="380"/>
    <w:p>
      <w:pPr>
        <w:ind w:left="-4" w:firstLine="443"/>
        <w:spacing w:after="0" w:line="286" w:lineRule="auto"/>
        <w:tabs>
          <w:tab w:leader="none" w:pos="688" w:val="left"/>
        </w:tabs>
        <w:numPr>
          <w:ilvl w:val="1"/>
          <w:numId w:val="3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Registration Statement and Prospectus. </w:t>
      </w:r>
      <w:r>
        <w:rPr>
          <w:rFonts w:ascii="Arial" w:cs="Arial" w:eastAsia="Arial" w:hAnsi="Arial"/>
          <w:sz w:val="16"/>
          <w:szCs w:val="16"/>
          <w:color w:val="auto"/>
        </w:rPr>
        <w:t>The Company is eligible to use Form N-2. The Registration Statement has been declared effective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and the Investment Company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63" w:lineRule="exact"/>
        <w:rPr>
          <w:rFonts w:ascii="Arial" w:cs="Arial" w:eastAsia="Arial" w:hAnsi="Arial"/>
          <w:sz w:val="16"/>
          <w:szCs w:val="16"/>
          <w:color w:val="auto"/>
        </w:rPr>
      </w:pPr>
    </w:p>
    <w:p>
      <w:pPr>
        <w:ind w:left="-4" w:firstLine="443"/>
        <w:spacing w:after="0" w:line="270" w:lineRule="auto"/>
        <w:tabs>
          <w:tab w:leader="none" w:pos="678" w:val="left"/>
        </w:tabs>
        <w:numPr>
          <w:ilvl w:val="1"/>
          <w:numId w:val="334"/>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73" w:lineRule="exact"/>
        <w:rPr>
          <w:rFonts w:ascii="Arial" w:cs="Arial" w:eastAsia="Arial" w:hAnsi="Arial"/>
          <w:sz w:val="17"/>
          <w:szCs w:val="17"/>
          <w:color w:val="auto"/>
        </w:rPr>
      </w:pPr>
    </w:p>
    <w:p>
      <w:pPr>
        <w:jc w:val="both"/>
        <w:ind w:left="-4" w:right="40" w:firstLine="443"/>
        <w:spacing w:after="0" w:line="291" w:lineRule="auto"/>
        <w:tabs>
          <w:tab w:leader="none" w:pos="658" w:val="left"/>
        </w:tabs>
        <w:numPr>
          <w:ilvl w:val="1"/>
          <w:numId w:val="334"/>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left="-4" w:right="40" w:firstLine="4"/>
        <w:spacing w:after="0" w:line="253" w:lineRule="auto"/>
        <w:tabs>
          <w:tab w:leader="none" w:pos="21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w:t>
      </w:r>
    </w:p>
    <w:p>
      <w:pPr>
        <w:sectPr>
          <w:pgSz w:w="11900" w:h="16838" w:orient="portrait"/>
          <w:cols w:equalWidth="0" w:num="1">
            <w:col w:w="10936"/>
          </w:cols>
          <w:pgMar w:left="704" w:top="273" w:right="259" w:bottom="1440" w:gutter="0" w:footer="0" w:header="0"/>
        </w:sectPr>
      </w:pPr>
    </w:p>
    <w:bookmarkStart w:id="381" w:name="page382"/>
    <w:bookmarkEnd w:id="381"/>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0" w:lineRule="exact"/>
        <w:rPr>
          <w:sz w:val="20"/>
          <w:szCs w:val="20"/>
          <w:color w:val="auto"/>
        </w:rPr>
      </w:pPr>
    </w:p>
    <w:p>
      <w:pPr>
        <w:ind w:right="120" w:firstLine="443"/>
        <w:spacing w:after="0" w:line="270" w:lineRule="auto"/>
        <w:tabs>
          <w:tab w:leader="none" w:pos="693" w:val="left"/>
        </w:tabs>
        <w:numPr>
          <w:ilvl w:val="0"/>
          <w:numId w:val="336"/>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Investment Management Agreement and the Administration Agreement [and the Warrant Agreement] (a “Material Adverse Effect”). The subsidiaries listed in Schedule 2 to this Agreement are the only subsidiaries of the Company.</w:t>
      </w:r>
    </w:p>
    <w:p>
      <w:pPr>
        <w:spacing w:after="0" w:line="73" w:lineRule="exact"/>
        <w:rPr>
          <w:rFonts w:ascii="Arial" w:cs="Arial" w:eastAsia="Arial" w:hAnsi="Arial"/>
          <w:sz w:val="17"/>
          <w:szCs w:val="17"/>
          <w:color w:val="auto"/>
        </w:rPr>
      </w:pPr>
    </w:p>
    <w:p>
      <w:pPr>
        <w:ind w:firstLine="443"/>
        <w:spacing w:after="0" w:line="286" w:lineRule="auto"/>
        <w:tabs>
          <w:tab w:leader="none" w:pos="693" w:val="left"/>
        </w:tabs>
        <w:numPr>
          <w:ilvl w:val="0"/>
          <w:numId w:val="336"/>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 ], the Company had the authorized capitalization as set forth in the Registration Statement, the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in “Capitalization” under the heading “Actual,” and, after giving effect to the offering pursuant to this Agreement and the use of proceeds thereof, would have had the authorized capitalization as set forth in column entitled “As Adjusted”;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63" w:lineRule="exact"/>
        <w:rPr>
          <w:rFonts w:ascii="Arial" w:cs="Arial" w:eastAsia="Arial" w:hAnsi="Arial"/>
          <w:sz w:val="16"/>
          <w:szCs w:val="16"/>
          <w:color w:val="auto"/>
        </w:rPr>
      </w:pPr>
    </w:p>
    <w:p>
      <w:pPr>
        <w:ind w:left="660" w:hanging="217"/>
        <w:spacing w:after="0"/>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ectPr>
          <w:pgSz w:w="11900" w:h="16838" w:orient="portrait"/>
          <w:cols w:equalWidth="0" w:num="1">
            <w:col w:w="10960"/>
          </w:cols>
          <w:pgMar w:left="700" w:top="274" w:right="239" w:bottom="1440" w:gutter="0" w:footer="0" w:header="0"/>
        </w:sectPr>
      </w:pPr>
    </w:p>
    <w:bookmarkStart w:id="382" w:name="page383"/>
    <w:bookmarkEnd w:id="382"/>
    <w:p>
      <w:pPr>
        <w:ind w:left="-443" w:right="160" w:firstLine="443"/>
        <w:spacing w:after="0" w:line="255" w:lineRule="auto"/>
        <w:tabs>
          <w:tab w:leader="none" w:pos="21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Due Authorization. </w:t>
      </w:r>
      <w:r>
        <w:rPr>
          <w:rFonts w:ascii="Arial" w:cs="Arial" w:eastAsia="Arial" w:hAnsi="Arial"/>
          <w:sz w:val="18"/>
          <w:szCs w:val="18"/>
          <w:color w:val="auto"/>
        </w:rPr>
        <w:t>The Company has corporate power and authority to execute and deliver this Agreement and the Indenture and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had corporate power and authority to execute and deliver the Investment Management Agreement and the Administration Agreement [and the Warrant Agreement] and to perform its obligations hereunder and thereunder; and all action required to be taken for the due and proper authorization, execution and delivery by it of this Agreement, the Indenture and each of the Investment Management Agreement and the Administration Agreement [and the Warrant Agreement] and the consummation by it of the transactions contemplated hereby and thereby has been duly and validly taken.</w:t>
      </w:r>
    </w:p>
    <w:p>
      <w:pPr>
        <w:spacing w:after="0" w:line="85" w:lineRule="exact"/>
        <w:rPr>
          <w:rFonts w:ascii="Arial" w:cs="Arial" w:eastAsia="Arial" w:hAnsi="Arial"/>
          <w:sz w:val="18"/>
          <w:szCs w:val="18"/>
          <w:color w:val="auto"/>
        </w:rPr>
      </w:pPr>
    </w:p>
    <w:p>
      <w:pPr>
        <w:ind w:left="257" w:hanging="257"/>
        <w:spacing w:after="0"/>
        <w:tabs>
          <w:tab w:leader="none" w:pos="257"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43" w:right="20" w:firstLine="443"/>
        <w:spacing w:after="0" w:line="269" w:lineRule="auto"/>
        <w:tabs>
          <w:tab w:leader="none" w:pos="210" w:val="left"/>
        </w:tabs>
        <w:numPr>
          <w:ilvl w:val="0"/>
          <w:numId w:val="337"/>
        </w:numPr>
        <w:rPr>
          <w:rFonts w:ascii="Arial" w:cs="Arial" w:eastAsia="Arial" w:hAnsi="Arial"/>
          <w:sz w:val="17"/>
          <w:szCs w:val="17"/>
          <w:color w:val="auto"/>
        </w:rPr>
      </w:pPr>
      <w:r>
        <w:rPr>
          <w:rFonts w:ascii="Arial" w:cs="Arial" w:eastAsia="Arial" w:hAnsi="Arial"/>
          <w:sz w:val="17"/>
          <w:szCs w:val="17"/>
          <w:i w:val="1"/>
          <w:iCs w:val="1"/>
          <w:color w:val="auto"/>
        </w:rPr>
        <w:t xml:space="preserve">Indenture, Investment Management Agreement and Administration Agreement. </w:t>
      </w:r>
      <w:r>
        <w:rPr>
          <w:rFonts w:ascii="Arial" w:cs="Arial" w:eastAsia="Arial" w:hAnsi="Arial"/>
          <w:sz w:val="17"/>
          <w:szCs w:val="17"/>
          <w:color w:val="auto"/>
        </w:rPr>
        <w:t>The Investment Management Agreement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The Indenture has been duly authorized, executed and delivered by the Company, and when executed and delivered by the Trustee, the Base Indenture constituted and the Supplemental Indenture will constitute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[The Warrant Agreement will have been duly authorized, executed and delivered by the Company prior to the issuance of any applicable Warrants and, when executed and delivered by the Warrant Agent,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74" w:lineRule="exact"/>
        <w:rPr>
          <w:rFonts w:ascii="Arial" w:cs="Arial" w:eastAsia="Arial" w:hAnsi="Arial"/>
          <w:sz w:val="17"/>
          <w:szCs w:val="17"/>
          <w:color w:val="auto"/>
        </w:rPr>
      </w:pPr>
    </w:p>
    <w:p>
      <w:pPr>
        <w:ind w:left="-443" w:firstLine="443"/>
        <w:spacing w:after="0" w:line="289" w:lineRule="auto"/>
        <w:tabs>
          <w:tab w:leader="none" w:pos="300" w:val="left"/>
        </w:tabs>
        <w:numPr>
          <w:ilvl w:val="0"/>
          <w:numId w:val="337"/>
        </w:numPr>
        <w:rPr>
          <w:rFonts w:ascii="Arial" w:cs="Arial" w:eastAsia="Arial" w:hAnsi="Arial"/>
          <w:sz w:val="16"/>
          <w:szCs w:val="16"/>
          <w:color w:val="auto"/>
        </w:rPr>
      </w:pPr>
      <w:r>
        <w:rPr>
          <w:rFonts w:ascii="Arial" w:cs="Arial" w:eastAsia="Arial" w:hAnsi="Arial"/>
          <w:sz w:val="16"/>
          <w:szCs w:val="16"/>
          <w:i w:val="1"/>
          <w:iCs w:val="1"/>
          <w:color w:val="auto"/>
        </w:rPr>
        <w:t xml:space="preserve">The Securities. </w:t>
      </w:r>
      <w:r>
        <w:rPr>
          <w:rFonts w:ascii="Arial" w:cs="Arial" w:eastAsia="Arial" w:hAnsi="Arial"/>
          <w:sz w:val="16"/>
          <w:szCs w:val="16"/>
          <w:color w:val="auto"/>
        </w:rPr>
        <w:t>(i) The Securities to be issued and sold by the Company hereunder have been duly authorized for issuance and sale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authenticated and delivered by the Company and authenticated by the Trustee pursuant to the provisions of this Agreement and the Indenture, against payment of the consideration set forth in this Agreement, will be valid and legally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conform in all material respects to the descriptions thereof in the Registration Statement, the Pricing Disclosure Package and the Prospectus. [The Warrant Securities issuable upon exercise of the Warrants have been duly authorized and reserved for issuance upon such exercise, and when issued upon such exercise pursuant to the provisions of the Warrant Agreement, will be duly and validly issued, will be fully paid and nonassessable and not subject to any preemptive or similar rights and will conform in all material respects to the descriptions thereof in the Registration Statement, the Pricing Disclosure Package and the Prospectus.]</w:t>
      </w:r>
    </w:p>
    <w:p>
      <w:pPr>
        <w:spacing w:after="0" w:line="58" w:lineRule="exact"/>
        <w:rPr>
          <w:rFonts w:ascii="Arial" w:cs="Arial" w:eastAsia="Arial" w:hAnsi="Arial"/>
          <w:sz w:val="16"/>
          <w:szCs w:val="16"/>
          <w:color w:val="auto"/>
        </w:rPr>
      </w:pPr>
    </w:p>
    <w:p>
      <w:pPr>
        <w:jc w:val="both"/>
        <w:ind w:left="17" w:right="160" w:firstLine="1"/>
        <w:spacing w:after="0" w:line="264" w:lineRule="auto"/>
        <w:tabs>
          <w:tab w:leader="none" w:pos="282" w:val="left"/>
        </w:tabs>
        <w:numPr>
          <w:ilvl w:val="1"/>
          <w:numId w:val="337"/>
        </w:numPr>
        <w:rPr>
          <w:rFonts w:ascii="Arial" w:cs="Arial" w:eastAsia="Arial" w:hAnsi="Arial"/>
          <w:sz w:val="18"/>
          <w:szCs w:val="18"/>
          <w:color w:val="auto"/>
        </w:rPr>
      </w:pPr>
      <w:r>
        <w:rPr>
          <w:rFonts w:ascii="Arial" w:cs="Arial" w:eastAsia="Arial" w:hAnsi="Arial"/>
          <w:sz w:val="18"/>
          <w:szCs w:val="18"/>
          <w:color w:val="auto"/>
        </w:rPr>
        <w:t>[Upon issuance and delivery of the Securities in accordance with this Agreement and the Indenture, the Securities will be convertible at the option of the holder thereof into [cash][shares of Common Stock (the “Underlying Securities”), par value $0.01 per share, of the Company (the “Common Stock”)][or a combination of cash and Underlying</w:t>
      </w:r>
    </w:p>
    <w:p>
      <w:pPr>
        <w:sectPr>
          <w:pgSz w:w="11900" w:h="16838" w:orient="portrait"/>
          <w:cols w:equalWidth="0" w:num="1">
            <w:col w:w="10477"/>
          </w:cols>
          <w:pgMar w:left="1143" w:top="273" w:right="279" w:bottom="1440" w:gutter="0" w:footer="0" w:header="0"/>
        </w:sectPr>
      </w:pPr>
    </w:p>
    <w:bookmarkStart w:id="383" w:name="page384"/>
    <w:bookmarkEnd w:id="383"/>
    <w:p>
      <w:pPr>
        <w:ind w:left="17"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at the Company’s election], in accordance with the terms of the Securities and the Indenture, the Underlying Securities reserved for issuance upon conversion of the Securities will have been duly authorized and reserved and, if issued upon conversion of the Securities in accordance with the terms of the Securities, will be validly issued, fully paid and non-assessable and the issuance of the Underlying Securities will not be subject to any preemptive or similar rights.]</w:t>
      </w:r>
    </w:p>
    <w:p>
      <w:pPr>
        <w:spacing w:after="0" w:line="79" w:lineRule="exact"/>
        <w:rPr>
          <w:sz w:val="20"/>
          <w:szCs w:val="20"/>
          <w:color w:val="auto"/>
        </w:rPr>
      </w:pPr>
    </w:p>
    <w:p>
      <w:pPr>
        <w:ind w:left="-443" w:right="160" w:firstLine="443"/>
        <w:spacing w:after="0" w:line="264" w:lineRule="auto"/>
        <w:tabs>
          <w:tab w:leader="none" w:pos="250"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73" w:lineRule="exact"/>
        <w:rPr>
          <w:rFonts w:ascii="Arial" w:cs="Arial" w:eastAsia="Arial" w:hAnsi="Arial"/>
          <w:sz w:val="18"/>
          <w:szCs w:val="18"/>
          <w:color w:val="auto"/>
        </w:rPr>
      </w:pPr>
    </w:p>
    <w:p>
      <w:pPr>
        <w:ind w:left="-443" w:right="40" w:firstLine="443"/>
        <w:spacing w:after="0" w:line="271" w:lineRule="auto"/>
        <w:tabs>
          <w:tab w:leader="none" w:pos="250" w:val="left"/>
        </w:tabs>
        <w:numPr>
          <w:ilvl w:val="0"/>
          <w:numId w:val="338"/>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0" w:lineRule="exact"/>
        <w:rPr>
          <w:rFonts w:ascii="Arial" w:cs="Arial" w:eastAsia="Arial" w:hAnsi="Arial"/>
          <w:sz w:val="17"/>
          <w:szCs w:val="17"/>
          <w:color w:val="auto"/>
        </w:rPr>
      </w:pPr>
    </w:p>
    <w:p>
      <w:pPr>
        <w:ind w:left="-443" w:firstLine="443"/>
        <w:spacing w:after="0" w:line="287" w:lineRule="auto"/>
        <w:tabs>
          <w:tab w:leader="none" w:pos="250" w:val="left"/>
        </w:tabs>
        <w:numPr>
          <w:ilvl w:val="0"/>
          <w:numId w:val="338"/>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and the Indenture, the issuance and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[(including issuance of the Underlying Securities upon conversion thereof)] and the consummation of the transactions contemplated by this Agreement and the Indenture and the performance by the Company of the Investment Management Agreement and the Administration Agreement [and the Warrant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60" w:lineRule="exact"/>
        <w:rPr>
          <w:rFonts w:ascii="Arial" w:cs="Arial" w:eastAsia="Arial" w:hAnsi="Arial"/>
          <w:sz w:val="16"/>
          <w:szCs w:val="16"/>
          <w:color w:val="auto"/>
        </w:rPr>
      </w:pPr>
    </w:p>
    <w:p>
      <w:pPr>
        <w:ind w:left="-443" w:right="60" w:firstLine="443"/>
        <w:spacing w:after="0" w:line="279" w:lineRule="auto"/>
        <w:tabs>
          <w:tab w:leader="none" w:pos="250" w:val="left"/>
        </w:tabs>
        <w:numPr>
          <w:ilvl w:val="0"/>
          <w:numId w:val="338"/>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license,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this Agreement, the issuance and sale of the Securities and the consummation of the transactions contemplated by this Agreement and the Indenture or the performance by the Company of the Investment Management Agreement and the Administration Agreement [and the Warrant</w:t>
      </w:r>
    </w:p>
    <w:p>
      <w:pPr>
        <w:sectPr>
          <w:pgSz w:w="11900" w:h="16838" w:orient="portrait"/>
          <w:cols w:equalWidth="0" w:num="1">
            <w:col w:w="10477"/>
          </w:cols>
          <w:pgMar w:left="1143" w:top="274" w:right="279" w:bottom="1440" w:gutter="0" w:footer="0" w:header="0"/>
        </w:sectPr>
      </w:pPr>
    </w:p>
    <w:bookmarkStart w:id="384" w:name="page385"/>
    <w:bookmarkEnd w:id="38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[applicable stock exchange]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85" w:lineRule="exact"/>
        <w:rPr>
          <w:sz w:val="20"/>
          <w:szCs w:val="20"/>
          <w:color w:val="auto"/>
        </w:rPr>
      </w:pPr>
    </w:p>
    <w:p>
      <w:pPr>
        <w:ind w:right="20" w:firstLine="443"/>
        <w:spacing w:after="0" w:line="269" w:lineRule="auto"/>
        <w:tabs>
          <w:tab w:leader="none" w:pos="663" w:val="left"/>
        </w:tabs>
        <w:numPr>
          <w:ilvl w:val="0"/>
          <w:numId w:val="339"/>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74" w:lineRule="exact"/>
        <w:rPr>
          <w:rFonts w:ascii="Arial" w:cs="Arial" w:eastAsia="Arial" w:hAnsi="Arial"/>
          <w:sz w:val="17"/>
          <w:szCs w:val="17"/>
          <w:color w:val="auto"/>
        </w:rPr>
      </w:pPr>
    </w:p>
    <w:p>
      <w:pPr>
        <w:ind w:right="80" w:firstLine="443"/>
        <w:spacing w:after="0" w:line="259" w:lineRule="auto"/>
        <w:tabs>
          <w:tab w:leader="none" w:pos="673" w:val="left"/>
        </w:tabs>
        <w:numPr>
          <w:ilvl w:val="0"/>
          <w:numId w:val="339"/>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120" w:firstLine="443"/>
        <w:spacing w:after="0" w:line="271" w:lineRule="auto"/>
        <w:tabs>
          <w:tab w:leader="none" w:pos="653" w:val="left"/>
        </w:tabs>
        <w:numPr>
          <w:ilvl w:val="0"/>
          <w:numId w:val="339"/>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Securities, as of the Closing Date and as of any Additional Closing Date, the operations of the Company are in compliance in all material respects with the provisions of the Investment Company Act applicable to business development companies.</w:t>
      </w:r>
    </w:p>
    <w:p>
      <w:pPr>
        <w:spacing w:after="0" w:line="70" w:lineRule="exact"/>
        <w:rPr>
          <w:rFonts w:ascii="Arial" w:cs="Arial" w:eastAsia="Arial" w:hAnsi="Arial"/>
          <w:sz w:val="17"/>
          <w:szCs w:val="17"/>
          <w:color w:val="auto"/>
        </w:rPr>
      </w:pPr>
    </w:p>
    <w:p>
      <w:pPr>
        <w:ind w:right="80" w:firstLine="443"/>
        <w:spacing w:after="0" w:line="286" w:lineRule="auto"/>
        <w:tabs>
          <w:tab w:leader="none" w:pos="693" w:val="left"/>
        </w:tabs>
        <w:numPr>
          <w:ilvl w:val="0"/>
          <w:numId w:val="339"/>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ectPr>
          <w:pgSz w:w="11900" w:h="16838" w:orient="portrait"/>
          <w:cols w:equalWidth="0" w:num="1">
            <w:col w:w="10960"/>
          </w:cols>
          <w:pgMar w:left="700" w:top="274" w:right="239" w:bottom="1440" w:gutter="0" w:footer="0" w:header="0"/>
        </w:sectPr>
      </w:pPr>
    </w:p>
    <w:bookmarkStart w:id="385" w:name="page386"/>
    <w:bookmarkEnd w:id="385"/>
    <w:p>
      <w:pPr>
        <w:ind w:left="-443" w:right="20" w:firstLine="443"/>
        <w:spacing w:after="0" w:line="293" w:lineRule="auto"/>
        <w:tabs>
          <w:tab w:leader="none" w:pos="250" w:val="left"/>
        </w:tabs>
        <w:numPr>
          <w:ilvl w:val="0"/>
          <w:numId w:val="34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3(w))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56" w:lineRule="exact"/>
        <w:rPr>
          <w:rFonts w:ascii="Arial" w:cs="Arial" w:eastAsia="Arial" w:hAnsi="Arial"/>
          <w:sz w:val="16"/>
          <w:szCs w:val="16"/>
          <w:color w:val="auto"/>
        </w:rPr>
      </w:pPr>
    </w:p>
    <w:p>
      <w:pPr>
        <w:ind w:left="-443" w:right="20" w:firstLine="443"/>
        <w:spacing w:after="0" w:line="271" w:lineRule="auto"/>
        <w:tabs>
          <w:tab w:leader="none" w:pos="290" w:val="left"/>
        </w:tabs>
        <w:numPr>
          <w:ilvl w:val="0"/>
          <w:numId w:val="340"/>
        </w:numPr>
        <w:rPr>
          <w:rFonts w:ascii="Arial" w:cs="Arial" w:eastAsia="Arial" w:hAnsi="Arial"/>
          <w:sz w:val="17"/>
          <w:szCs w:val="17"/>
          <w:color w:val="auto"/>
        </w:rPr>
      </w:pPr>
      <w:r>
        <w:rPr>
          <w:rFonts w:ascii="Arial" w:cs="Arial" w:eastAsia="Arial" w:hAnsi="Arial"/>
          <w:sz w:val="17"/>
          <w:szCs w:val="17"/>
          <w:i w:val="1"/>
          <w:iCs w:val="1"/>
          <w:color w:val="auto"/>
        </w:rPr>
        <w:t>Title to Intellectual Property</w:t>
      </w:r>
      <w:r>
        <w:rPr>
          <w:rFonts w:ascii="Arial" w:cs="Arial" w:eastAsia="Arial" w:hAnsi="Arial"/>
          <w:sz w:val="17"/>
          <w:szCs w:val="17"/>
          <w:color w:val="auto"/>
        </w:rPr>
        <w:t>. Except as would not reasonably be expected, individually or in the aggregate, to have a Material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70" w:lineRule="exact"/>
        <w:rPr>
          <w:rFonts w:ascii="Arial" w:cs="Arial" w:eastAsia="Arial" w:hAnsi="Arial"/>
          <w:sz w:val="17"/>
          <w:szCs w:val="17"/>
          <w:color w:val="auto"/>
        </w:rPr>
      </w:pPr>
    </w:p>
    <w:p>
      <w:pPr>
        <w:ind w:left="-443" w:right="60" w:firstLine="443"/>
        <w:spacing w:after="0" w:line="259" w:lineRule="auto"/>
        <w:tabs>
          <w:tab w:leader="none" w:pos="250" w:val="left"/>
        </w:tabs>
        <w:numPr>
          <w:ilvl w:val="0"/>
          <w:numId w:val="340"/>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left="-443" w:firstLine="443"/>
        <w:spacing w:after="0" w:line="297" w:lineRule="auto"/>
        <w:tabs>
          <w:tab w:leader="none" w:pos="250" w:val="left"/>
        </w:tabs>
        <w:numPr>
          <w:ilvl w:val="0"/>
          <w:numId w:val="340"/>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is not and its subsidiaries are not, and, after giving effect to the offering and sale of the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50" w:lineRule="exact"/>
        <w:rPr>
          <w:rFonts w:ascii="Arial" w:cs="Arial" w:eastAsia="Arial" w:hAnsi="Arial"/>
          <w:sz w:val="16"/>
          <w:szCs w:val="16"/>
          <w:color w:val="auto"/>
        </w:rPr>
      </w:pPr>
    </w:p>
    <w:p>
      <w:pPr>
        <w:ind w:left="-443" w:right="60" w:firstLine="443"/>
        <w:spacing w:after="0" w:line="293" w:lineRule="auto"/>
        <w:tabs>
          <w:tab w:leader="none" w:pos="240" w:val="left"/>
        </w:tabs>
        <w:numPr>
          <w:ilvl w:val="0"/>
          <w:numId w:val="340"/>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ectPr>
          <w:pgSz w:w="11900" w:h="16838" w:orient="portrait"/>
          <w:cols w:equalWidth="0" w:num="1">
            <w:col w:w="10517"/>
          </w:cols>
          <w:pgMar w:left="1143" w:top="273" w:right="239" w:bottom="1440" w:gutter="0" w:footer="0" w:header="0"/>
        </w:sectPr>
      </w:pPr>
    </w:p>
    <w:bookmarkStart w:id="386" w:name="page387"/>
    <w:bookmarkEnd w:id="386"/>
    <w:p>
      <w:pPr>
        <w:ind w:left="-4" w:firstLine="443"/>
        <w:spacing w:after="0" w:line="270" w:lineRule="auto"/>
        <w:tabs>
          <w:tab w:leader="none" w:pos="758" w:val="left"/>
        </w:tabs>
        <w:numPr>
          <w:ilvl w:val="1"/>
          <w:numId w:val="34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Licenses and Permits. </w:t>
      </w:r>
      <w:r>
        <w:rPr>
          <w:rFonts w:ascii="Arial" w:cs="Arial" w:eastAsia="Arial" w:hAnsi="Arial"/>
          <w:sz w:val="17"/>
          <w:szCs w:val="17"/>
          <w:color w:val="auto"/>
        </w:rPr>
        <w:t>The Company and its subsidiaries possess all licenses, certificates, permits and other authorizations issued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73" w:lineRule="exact"/>
        <w:rPr>
          <w:rFonts w:ascii="Arial" w:cs="Arial" w:eastAsia="Arial" w:hAnsi="Arial"/>
          <w:sz w:val="17"/>
          <w:szCs w:val="17"/>
          <w:color w:val="auto"/>
        </w:rPr>
      </w:pPr>
    </w:p>
    <w:p>
      <w:pPr>
        <w:ind w:left="-4" w:right="100" w:firstLine="443"/>
        <w:spacing w:after="0" w:line="293" w:lineRule="auto"/>
        <w:tabs>
          <w:tab w:leader="none" w:pos="779" w:val="left"/>
        </w:tabs>
        <w:numPr>
          <w:ilvl w:val="1"/>
          <w:numId w:val="341"/>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maintains an effective system of “disclosure controls and procedures” (as defined in Rule 13a-15(e)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56" w:lineRule="exact"/>
        <w:rPr>
          <w:rFonts w:ascii="Arial" w:cs="Arial" w:eastAsia="Arial" w:hAnsi="Arial"/>
          <w:sz w:val="16"/>
          <w:szCs w:val="16"/>
          <w:color w:val="auto"/>
        </w:rPr>
      </w:pPr>
    </w:p>
    <w:p>
      <w:pPr>
        <w:ind w:left="-4" w:right="20" w:firstLine="443"/>
        <w:spacing w:after="0" w:line="284" w:lineRule="auto"/>
        <w:tabs>
          <w:tab w:leader="none" w:pos="758" w:val="left"/>
        </w:tabs>
        <w:numPr>
          <w:ilvl w:val="1"/>
          <w:numId w:val="341"/>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w:t>
      </w:r>
    </w:p>
    <w:p>
      <w:pPr>
        <w:spacing w:after="0" w:line="2" w:lineRule="exact"/>
        <w:rPr>
          <w:rFonts w:ascii="Arial" w:cs="Arial" w:eastAsia="Arial" w:hAnsi="Arial"/>
          <w:sz w:val="16"/>
          <w:szCs w:val="16"/>
          <w:color w:val="auto"/>
        </w:rPr>
      </w:pPr>
    </w:p>
    <w:p>
      <w:pPr>
        <w:ind w:left="-4" w:right="40" w:firstLine="4"/>
        <w:spacing w:after="0" w:line="252" w:lineRule="auto"/>
        <w:tabs>
          <w:tab w:leader="none" w:pos="31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w:t>
      </w:r>
    </w:p>
    <w:p>
      <w:pPr>
        <w:sectPr>
          <w:pgSz w:w="11900" w:h="16838" w:orient="portrait"/>
          <w:cols w:equalWidth="0" w:num="1">
            <w:col w:w="10936"/>
          </w:cols>
          <w:pgMar w:left="704" w:top="274" w:right="259" w:bottom="1440" w:gutter="0" w:footer="0" w:header="0"/>
        </w:sectPr>
      </w:pPr>
    </w:p>
    <w:bookmarkStart w:id="387" w:name="page388"/>
    <w:bookmarkEnd w:id="38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9" w:lineRule="exact"/>
        <w:rPr>
          <w:sz w:val="20"/>
          <w:szCs w:val="20"/>
          <w:color w:val="auto"/>
        </w:rPr>
      </w:pPr>
    </w:p>
    <w:p>
      <w:pPr>
        <w:ind w:right="80" w:firstLine="443"/>
        <w:spacing w:after="0" w:line="288" w:lineRule="auto"/>
        <w:tabs>
          <w:tab w:leader="none" w:pos="783" w:val="left"/>
        </w:tabs>
        <w:numPr>
          <w:ilvl w:val="1"/>
          <w:numId w:val="343"/>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ind w:right="20" w:firstLine="4"/>
        <w:spacing w:after="0" w:line="254" w:lineRule="auto"/>
        <w:tabs>
          <w:tab w:leader="none" w:pos="21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81" w:lineRule="exact"/>
        <w:rPr>
          <w:rFonts w:ascii="Arial" w:cs="Arial" w:eastAsia="Arial" w:hAnsi="Arial"/>
          <w:sz w:val="18"/>
          <w:szCs w:val="18"/>
          <w:color w:val="auto"/>
        </w:rPr>
      </w:pPr>
    </w:p>
    <w:p>
      <w:pPr>
        <w:ind w:firstLine="443"/>
        <w:spacing w:after="0" w:line="284" w:lineRule="auto"/>
        <w:tabs>
          <w:tab w:leader="none" w:pos="763" w:val="left"/>
        </w:tabs>
        <w:numPr>
          <w:ilvl w:val="1"/>
          <w:numId w:val="344"/>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right="200" w:firstLine="4"/>
        <w:spacing w:after="0" w:line="252" w:lineRule="auto"/>
        <w:tabs>
          <w:tab w:leader="none" w:pos="31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84" w:lineRule="exact"/>
        <w:rPr>
          <w:rFonts w:ascii="Arial" w:cs="Arial" w:eastAsia="Arial" w:hAnsi="Arial"/>
          <w:sz w:val="18"/>
          <w:szCs w:val="18"/>
          <w:color w:val="auto"/>
        </w:rPr>
      </w:pPr>
    </w:p>
    <w:p>
      <w:pPr>
        <w:ind w:right="80" w:firstLine="443"/>
        <w:spacing w:after="0" w:line="291" w:lineRule="auto"/>
        <w:tabs>
          <w:tab w:leader="none" w:pos="720" w:val="left"/>
        </w:tabs>
        <w:numPr>
          <w:ilvl w:val="1"/>
          <w:numId w:val="345"/>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Company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ectPr>
          <w:pgSz w:w="11900" w:h="16838" w:orient="portrait"/>
          <w:cols w:equalWidth="0" w:num="1">
            <w:col w:w="10940"/>
          </w:cols>
          <w:pgMar w:left="700" w:top="273" w:right="259" w:bottom="1440" w:gutter="0" w:footer="0" w:header="0"/>
        </w:sectPr>
      </w:pPr>
    </w:p>
    <w:bookmarkStart w:id="388" w:name="page389"/>
    <w:bookmarkEnd w:id="388"/>
    <w:p>
      <w:pPr>
        <w:jc w:val="both"/>
        <w:ind w:right="180" w:firstLine="443"/>
        <w:spacing w:after="0" w:line="288" w:lineRule="auto"/>
        <w:tabs>
          <w:tab w:leader="none" w:pos="783" w:val="left"/>
        </w:tabs>
        <w:numPr>
          <w:ilvl w:val="0"/>
          <w:numId w:val="34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Conflicts with Sanctions Laws. </w:t>
      </w:r>
      <w:r>
        <w:rPr>
          <w:rFonts w:ascii="Arial" w:cs="Arial" w:eastAsia="Arial" w:hAnsi="Arial"/>
          <w:sz w:val="16"/>
          <w:szCs w:val="16"/>
          <w:color w:val="auto"/>
        </w:rPr>
        <w:t>Neither the Company nor any of its subsidiaries, directors, officers or employees, nor,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w:t>
      </w:r>
    </w:p>
    <w:p>
      <w:pPr>
        <w:spacing w:after="0" w:line="286" w:lineRule="auto"/>
        <w:rPr>
          <w:rFonts w:ascii="Arial" w:cs="Arial" w:eastAsia="Arial" w:hAnsi="Arial"/>
          <w:sz w:val="16"/>
          <w:szCs w:val="16"/>
          <w:color w:val="auto"/>
        </w:rPr>
      </w:pPr>
      <w:r>
        <w:rPr>
          <w:rFonts w:ascii="Arial" w:cs="Arial" w:eastAsia="Arial" w:hAnsi="Arial"/>
          <w:sz w:val="16"/>
          <w:szCs w:val="16"/>
          <w:color w:val="auto"/>
        </w:rPr>
        <w:t>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any of its subsidiaries located, organized or resident in a country or territory that is the subject or the target of Sanctions, including, without limitation, Cuba, Iran, North Korea, Sudan and Syria,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58" w:lineRule="exact"/>
        <w:rPr>
          <w:rFonts w:ascii="Arial" w:cs="Arial" w:eastAsia="Arial" w:hAnsi="Arial"/>
          <w:sz w:val="16"/>
          <w:szCs w:val="16"/>
          <w:color w:val="auto"/>
        </w:rPr>
      </w:pPr>
    </w:p>
    <w:p>
      <w:pPr>
        <w:ind w:right="100" w:firstLine="443"/>
        <w:spacing w:after="0" w:line="257" w:lineRule="auto"/>
        <w:tabs>
          <w:tab w:leader="none" w:pos="783"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80" w:lineRule="exact"/>
        <w:rPr>
          <w:rFonts w:ascii="Arial" w:cs="Arial" w:eastAsia="Arial" w:hAnsi="Arial"/>
          <w:sz w:val="18"/>
          <w:szCs w:val="18"/>
          <w:color w:val="auto"/>
        </w:rPr>
      </w:pPr>
    </w:p>
    <w:p>
      <w:pPr>
        <w:jc w:val="both"/>
        <w:ind w:right="360" w:firstLine="443"/>
        <w:spacing w:after="0" w:line="264" w:lineRule="auto"/>
        <w:tabs>
          <w:tab w:leader="none" w:pos="703"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73" w:lineRule="exact"/>
        <w:rPr>
          <w:rFonts w:ascii="Arial" w:cs="Arial" w:eastAsia="Arial" w:hAnsi="Arial"/>
          <w:sz w:val="18"/>
          <w:szCs w:val="18"/>
          <w:color w:val="auto"/>
        </w:rPr>
      </w:pPr>
    </w:p>
    <w:p>
      <w:pPr>
        <w:ind w:right="180" w:firstLine="443"/>
        <w:spacing w:after="0" w:line="308" w:lineRule="auto"/>
        <w:tabs>
          <w:tab w:leader="none" w:pos="703" w:val="left"/>
        </w:tabs>
        <w:numPr>
          <w:ilvl w:val="0"/>
          <w:numId w:val="346"/>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Securities.</w:t>
      </w:r>
    </w:p>
    <w:p>
      <w:pPr>
        <w:spacing w:after="0" w:line="38" w:lineRule="exact"/>
        <w:rPr>
          <w:rFonts w:ascii="Arial" w:cs="Arial" w:eastAsia="Arial" w:hAnsi="Arial"/>
          <w:sz w:val="17"/>
          <w:szCs w:val="17"/>
          <w:color w:val="auto"/>
        </w:rPr>
      </w:pPr>
    </w:p>
    <w:p>
      <w:pPr>
        <w:ind w:right="60" w:firstLine="443"/>
        <w:spacing w:after="0" w:line="264" w:lineRule="auto"/>
        <w:tabs>
          <w:tab w:leader="none" w:pos="783"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set forth in Section 4(q) with respect to the Adviser, the Company has not taken, directly or indirectly,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giving effect to any activities by the Underwriters, any action designed to or that would reasonably be expected to cause or result in any stabilization or manipulation of the price of the Securities.</w:t>
      </w:r>
    </w:p>
    <w:p>
      <w:pPr>
        <w:spacing w:after="0" w:line="73" w:lineRule="exact"/>
        <w:rPr>
          <w:rFonts w:ascii="Arial" w:cs="Arial" w:eastAsia="Arial" w:hAnsi="Arial"/>
          <w:sz w:val="18"/>
          <w:szCs w:val="18"/>
          <w:color w:val="auto"/>
        </w:rPr>
      </w:pPr>
    </w:p>
    <w:p>
      <w:pPr>
        <w:ind w:right="60" w:firstLine="443"/>
        <w:spacing w:after="0" w:line="264" w:lineRule="auto"/>
        <w:tabs>
          <w:tab w:leader="none" w:pos="703"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Pricing Disclosure Package or the Prospectus has been made or reaffirmed without a reasonable basis or has been disclosed other than in good faith.</w:t>
      </w:r>
    </w:p>
    <w:p>
      <w:pPr>
        <w:sectPr>
          <w:pgSz w:w="11900" w:h="16838" w:orient="portrait"/>
          <w:cols w:equalWidth="0" w:num="1">
            <w:col w:w="10960"/>
          </w:cols>
          <w:pgMar w:left="700" w:top="274" w:right="239" w:bottom="1440" w:gutter="0" w:footer="0" w:header="0"/>
        </w:sectPr>
      </w:pPr>
    </w:p>
    <w:bookmarkStart w:id="389" w:name="page390"/>
    <w:bookmarkEnd w:id="389"/>
    <w:p>
      <w:pPr>
        <w:ind w:right="100" w:firstLine="443"/>
        <w:spacing w:after="0" w:line="264" w:lineRule="auto"/>
        <w:tabs>
          <w:tab w:leader="none" w:pos="883" w:val="left"/>
        </w:tabs>
        <w:numPr>
          <w:ilvl w:val="1"/>
          <w:numId w:val="3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Statistical and Market Data. </w:t>
      </w:r>
      <w:r>
        <w:rPr>
          <w:rFonts w:ascii="Arial" w:cs="Arial" w:eastAsia="Arial" w:hAnsi="Arial"/>
          <w:sz w:val="18"/>
          <w:szCs w:val="18"/>
          <w:color w:val="auto"/>
        </w:rPr>
        <w:t>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in the Registration Statement, the Pricing Disclosure Package and the Prospectus is not based on or derived from sources that are reasonably reliable and accurate in all material respects.</w:t>
      </w:r>
    </w:p>
    <w:p>
      <w:pPr>
        <w:spacing w:after="0" w:line="73" w:lineRule="exact"/>
        <w:rPr>
          <w:rFonts w:ascii="Arial" w:cs="Arial" w:eastAsia="Arial" w:hAnsi="Arial"/>
          <w:sz w:val="18"/>
          <w:szCs w:val="18"/>
          <w:color w:val="auto"/>
        </w:rPr>
      </w:pPr>
    </w:p>
    <w:p>
      <w:pPr>
        <w:jc w:val="both"/>
        <w:ind w:firstLine="443"/>
        <w:spacing w:after="0" w:line="259" w:lineRule="auto"/>
        <w:tabs>
          <w:tab w:leader="none" w:pos="783" w:val="left"/>
        </w:tabs>
        <w:numPr>
          <w:ilvl w:val="1"/>
          <w:numId w:val="34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right="40" w:firstLine="443"/>
        <w:spacing w:after="0" w:line="286" w:lineRule="auto"/>
        <w:tabs>
          <w:tab w:leader="none" w:pos="783" w:val="left"/>
        </w:tabs>
        <w:numPr>
          <w:ilvl w:val="1"/>
          <w:numId w:val="347"/>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57" w:lineRule="exact"/>
        <w:rPr>
          <w:rFonts w:ascii="Arial" w:cs="Arial" w:eastAsia="Arial" w:hAnsi="Arial"/>
          <w:sz w:val="17"/>
          <w:szCs w:val="17"/>
          <w:color w:val="auto"/>
        </w:rPr>
      </w:pPr>
    </w:p>
    <w:p>
      <w:pPr>
        <w:jc w:val="both"/>
        <w:ind w:right="40" w:firstLine="443"/>
        <w:spacing w:after="0" w:line="259" w:lineRule="auto"/>
        <w:tabs>
          <w:tab w:leader="none" w:pos="783" w:val="left"/>
        </w:tabs>
        <w:numPr>
          <w:ilvl w:val="1"/>
          <w:numId w:val="347"/>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right="20" w:firstLine="443"/>
        <w:spacing w:after="0" w:line="291" w:lineRule="auto"/>
        <w:tabs>
          <w:tab w:leader="none" w:pos="683" w:val="left"/>
        </w:tabs>
        <w:numPr>
          <w:ilvl w:val="1"/>
          <w:numId w:val="348"/>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100"/>
        <w:spacing w:after="0" w:line="292" w:lineRule="auto"/>
        <w:rPr>
          <w:rFonts w:ascii="Arial" w:cs="Arial" w:eastAsia="Arial" w:hAnsi="Arial"/>
          <w:sz w:val="16"/>
          <w:szCs w:val="16"/>
          <w:color w:val="auto"/>
        </w:rPr>
      </w:pPr>
      <w:r>
        <w:rPr>
          <w:rFonts w:ascii="Arial" w:cs="Arial" w:eastAsia="Arial" w:hAnsi="Arial"/>
          <w:sz w:val="16"/>
          <w:szCs w:val="16"/>
          <w:color w:val="auto"/>
        </w:rPr>
        <w:t>(i)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4" w:lineRule="exact"/>
        <w:rPr>
          <w:rFonts w:ascii="Arial" w:cs="Arial" w:eastAsia="Arial" w:hAnsi="Arial"/>
          <w:sz w:val="16"/>
          <w:szCs w:val="16"/>
          <w:color w:val="auto"/>
        </w:rPr>
      </w:pPr>
    </w:p>
    <w:p>
      <w:pPr>
        <w:ind w:right="80" w:firstLine="443"/>
        <w:spacing w:after="0" w:line="255" w:lineRule="auto"/>
        <w:tabs>
          <w:tab w:leader="none" w:pos="693" w:val="left"/>
        </w:tabs>
        <w:numPr>
          <w:ilvl w:val="1"/>
          <w:numId w:val="348"/>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The Adviser and each of its subsidiaries have been duly organized and are validly existing and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w:t>
      </w:r>
    </w:p>
    <w:p>
      <w:pPr>
        <w:sectPr>
          <w:pgSz w:w="11900" w:h="16838" w:orient="portrait"/>
          <w:cols w:equalWidth="0" w:num="1">
            <w:col w:w="10920"/>
          </w:cols>
          <w:pgMar w:left="700" w:top="274" w:right="279" w:bottom="1440" w:gutter="0" w:footer="0" w:header="0"/>
        </w:sectPr>
      </w:pPr>
    </w:p>
    <w:bookmarkStart w:id="390" w:name="page391"/>
    <w:bookmarkEnd w:id="39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3" w:lineRule="exact"/>
        <w:rPr>
          <w:sz w:val="20"/>
          <w:szCs w:val="20"/>
          <w:color w:val="auto"/>
        </w:rPr>
      </w:pPr>
    </w:p>
    <w:p>
      <w:pPr>
        <w:ind w:right="40" w:firstLine="443"/>
        <w:spacing w:after="0" w:line="276" w:lineRule="auto"/>
        <w:tabs>
          <w:tab w:leader="none" w:pos="683" w:val="left"/>
        </w:tabs>
        <w:numPr>
          <w:ilvl w:val="0"/>
          <w:numId w:val="349"/>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0"/>
          <w:numId w:val="349"/>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240" w:firstLine="443"/>
        <w:spacing w:after="0" w:line="279" w:lineRule="auto"/>
        <w:tabs>
          <w:tab w:leader="none" w:pos="683" w:val="left"/>
        </w:tabs>
        <w:numPr>
          <w:ilvl w:val="0"/>
          <w:numId w:val="349"/>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the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right="40" w:firstLine="443"/>
        <w:spacing w:after="0" w:line="271" w:lineRule="auto"/>
        <w:tabs>
          <w:tab w:leader="none" w:pos="663" w:val="left"/>
        </w:tabs>
        <w:numPr>
          <w:ilvl w:val="0"/>
          <w:numId w:val="349"/>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Adviser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0" w:lineRule="exact"/>
        <w:rPr>
          <w:rFonts w:ascii="Arial" w:cs="Arial" w:eastAsia="Arial" w:hAnsi="Arial"/>
          <w:sz w:val="17"/>
          <w:szCs w:val="17"/>
          <w:color w:val="auto"/>
        </w:rPr>
      </w:pPr>
    </w:p>
    <w:p>
      <w:pPr>
        <w:ind w:left="700" w:hanging="257"/>
        <w:spacing w:after="0"/>
        <w:tabs>
          <w:tab w:leader="none" w:pos="700" w:val="left"/>
        </w:tabs>
        <w:numPr>
          <w:ilvl w:val="0"/>
          <w:numId w:val="349"/>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ectPr>
          <w:pgSz w:w="11900" w:h="16838" w:orient="portrait"/>
          <w:cols w:equalWidth="0" w:num="1">
            <w:col w:w="10920"/>
          </w:cols>
          <w:pgMar w:left="700" w:top="274" w:right="279" w:bottom="1440" w:gutter="0" w:footer="0" w:header="0"/>
        </w:sectPr>
      </w:pPr>
    </w:p>
    <w:bookmarkStart w:id="391" w:name="page392"/>
    <w:bookmarkEnd w:id="391"/>
    <w:p>
      <w:pPr>
        <w:ind w:left="-443" w:right="160" w:firstLine="443"/>
        <w:spacing w:after="0" w:line="255" w:lineRule="auto"/>
        <w:tabs>
          <w:tab w:leader="none" w:pos="250"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left="-443" w:right="80" w:firstLine="443"/>
        <w:spacing w:after="0" w:line="270" w:lineRule="auto"/>
        <w:tabs>
          <w:tab w:leader="none" w:pos="210" w:val="left"/>
        </w:tabs>
        <w:numPr>
          <w:ilvl w:val="0"/>
          <w:numId w:val="350"/>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69" w:lineRule="exact"/>
        <w:rPr>
          <w:rFonts w:ascii="Arial" w:cs="Arial" w:eastAsia="Arial" w:hAnsi="Arial"/>
          <w:sz w:val="17"/>
          <w:szCs w:val="17"/>
          <w:color w:val="auto"/>
        </w:rPr>
      </w:pPr>
    </w:p>
    <w:p>
      <w:pPr>
        <w:ind w:left="-443" w:firstLine="443"/>
        <w:spacing w:after="0" w:line="289" w:lineRule="auto"/>
        <w:tabs>
          <w:tab w:leader="none" w:pos="210" w:val="left"/>
        </w:tabs>
        <w:numPr>
          <w:ilvl w:val="0"/>
          <w:numId w:val="350"/>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Adviser and its subsidiaries possess all licenses, certificates, permits and other authorizations issued by,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58" w:lineRule="exact"/>
        <w:rPr>
          <w:rFonts w:ascii="Arial" w:cs="Arial" w:eastAsia="Arial" w:hAnsi="Arial"/>
          <w:sz w:val="16"/>
          <w:szCs w:val="16"/>
          <w:color w:val="auto"/>
        </w:rPr>
      </w:pPr>
    </w:p>
    <w:p>
      <w:pPr>
        <w:ind w:left="-443" w:right="180" w:firstLine="443"/>
        <w:spacing w:after="0" w:line="312" w:lineRule="auto"/>
        <w:tabs>
          <w:tab w:leader="none" w:pos="250" w:val="left"/>
        </w:tabs>
        <w:numPr>
          <w:ilvl w:val="0"/>
          <w:numId w:val="350"/>
        </w:numPr>
        <w:rPr>
          <w:rFonts w:ascii="Arial" w:cs="Arial" w:eastAsia="Arial" w:hAnsi="Arial"/>
          <w:sz w:val="16"/>
          <w:szCs w:val="16"/>
          <w:color w:val="auto"/>
        </w:rPr>
      </w:pPr>
      <w:r>
        <w:rPr>
          <w:rFonts w:ascii="Arial" w:cs="Arial" w:eastAsia="Arial" w:hAnsi="Arial"/>
          <w:sz w:val="16"/>
          <w:szCs w:val="16"/>
          <w:i w:val="1"/>
          <w:iCs w:val="1"/>
          <w:color w:val="auto"/>
        </w:rPr>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ectPr>
          <w:pgSz w:w="11900" w:h="16838" w:orient="portrait"/>
          <w:cols w:equalWidth="0" w:num="1">
            <w:col w:w="10497"/>
          </w:cols>
          <w:pgMar w:left="1143" w:top="274" w:right="259" w:bottom="1440" w:gutter="0" w:footer="0" w:header="0"/>
        </w:sectPr>
      </w:pPr>
    </w:p>
    <w:bookmarkStart w:id="392" w:name="page393"/>
    <w:bookmarkEnd w:id="392"/>
    <w:p>
      <w:pPr>
        <w:ind w:left="-4" w:right="440" w:firstLine="443"/>
        <w:spacing w:after="0" w:line="264" w:lineRule="auto"/>
        <w:tabs>
          <w:tab w:leader="none" w:pos="649" w:val="left"/>
        </w:tabs>
        <w:numPr>
          <w:ilvl w:val="1"/>
          <w:numId w:val="3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736" w:hanging="297"/>
        <w:spacing w:after="0"/>
        <w:tabs>
          <w:tab w:leader="none" w:pos="736" w:val="left"/>
        </w:tabs>
        <w:numPr>
          <w:ilvl w:val="1"/>
          <w:numId w:val="351"/>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 The Adviser maintains a system of internal accounting controls sufficient to provide reasonable assurance that</w:t>
      </w:r>
    </w:p>
    <w:p>
      <w:pPr>
        <w:spacing w:after="0" w:line="23" w:lineRule="exact"/>
        <w:rPr>
          <w:rFonts w:ascii="Arial" w:cs="Arial" w:eastAsia="Arial" w:hAnsi="Arial"/>
          <w:sz w:val="18"/>
          <w:szCs w:val="18"/>
          <w:color w:val="auto"/>
        </w:rPr>
      </w:pPr>
    </w:p>
    <w:p>
      <w:pPr>
        <w:ind w:left="-4" w:right="20" w:firstLine="4"/>
        <w:spacing w:after="0" w:line="281" w:lineRule="auto"/>
        <w:tabs>
          <w:tab w:leader="none" w:pos="211"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2" w:lineRule="exact"/>
        <w:rPr>
          <w:rFonts w:ascii="Arial" w:cs="Arial" w:eastAsia="Arial" w:hAnsi="Arial"/>
          <w:sz w:val="16"/>
          <w:szCs w:val="16"/>
          <w:color w:val="auto"/>
        </w:rPr>
      </w:pPr>
    </w:p>
    <w:p>
      <w:pPr>
        <w:ind w:left="316" w:hanging="316"/>
        <w:spacing w:after="0"/>
        <w:tabs>
          <w:tab w:leader="none" w:pos="31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access to assets of the Company and its subsidiaries is permitted only in accordance with its management’s general or specific authorization; and</w:t>
      </w:r>
    </w:p>
    <w:p>
      <w:pPr>
        <w:spacing w:after="0" w:line="32" w:lineRule="exact"/>
        <w:rPr>
          <w:rFonts w:ascii="Arial" w:cs="Arial" w:eastAsia="Arial" w:hAnsi="Arial"/>
          <w:sz w:val="16"/>
          <w:szCs w:val="16"/>
          <w:color w:val="auto"/>
        </w:rPr>
      </w:pPr>
    </w:p>
    <w:p>
      <w:pPr>
        <w:ind w:left="-4" w:right="260" w:firstLine="4"/>
        <w:spacing w:after="0" w:line="261" w:lineRule="auto"/>
        <w:tabs>
          <w:tab w:leader="none" w:pos="30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existing assets at reasonable intervals and appropriate action is taken with respect to any differences.</w:t>
      </w:r>
    </w:p>
    <w:p>
      <w:pPr>
        <w:spacing w:after="0" w:line="75" w:lineRule="exact"/>
        <w:rPr>
          <w:rFonts w:ascii="Arial" w:cs="Arial" w:eastAsia="Arial" w:hAnsi="Arial"/>
          <w:sz w:val="18"/>
          <w:szCs w:val="18"/>
          <w:color w:val="auto"/>
        </w:rPr>
      </w:pPr>
    </w:p>
    <w:p>
      <w:pPr>
        <w:ind w:left="-4" w:firstLine="443"/>
        <w:spacing w:after="0" w:line="284" w:lineRule="auto"/>
        <w:tabs>
          <w:tab w:leader="none" w:pos="688" w:val="left"/>
        </w:tabs>
        <w:numPr>
          <w:ilvl w:val="1"/>
          <w:numId w:val="353"/>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Adviser nor any of its subsidiaries nor any director, officer, or employee of the Adviser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left="-4" w:right="60" w:firstLine="4"/>
        <w:spacing w:after="0" w:line="254" w:lineRule="auto"/>
        <w:tabs>
          <w:tab w:leader="none" w:pos="311" w:val="left"/>
        </w:tabs>
        <w:numPr>
          <w:ilvl w:val="0"/>
          <w:numId w:val="354"/>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81" w:lineRule="exact"/>
        <w:rPr>
          <w:rFonts w:ascii="Arial" w:cs="Arial" w:eastAsia="Arial" w:hAnsi="Arial"/>
          <w:sz w:val="18"/>
          <w:szCs w:val="18"/>
          <w:color w:val="auto"/>
        </w:rPr>
      </w:pPr>
    </w:p>
    <w:p>
      <w:pPr>
        <w:ind w:left="-4" w:right="60" w:firstLine="443"/>
        <w:spacing w:after="0" w:line="276" w:lineRule="auto"/>
        <w:tabs>
          <w:tab w:leader="none" w:pos="688" w:val="left"/>
        </w:tabs>
        <w:numPr>
          <w:ilvl w:val="1"/>
          <w:numId w:val="354"/>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64" w:lineRule="exact"/>
        <w:rPr>
          <w:rFonts w:ascii="Arial" w:cs="Arial" w:eastAsia="Arial" w:hAnsi="Arial"/>
          <w:sz w:val="17"/>
          <w:szCs w:val="17"/>
          <w:color w:val="auto"/>
        </w:rPr>
      </w:pPr>
    </w:p>
    <w:p>
      <w:pPr>
        <w:ind w:left="-4" w:right="40" w:firstLine="443"/>
        <w:spacing w:after="0" w:line="276" w:lineRule="auto"/>
        <w:tabs>
          <w:tab w:leader="none" w:pos="688" w:val="left"/>
        </w:tabs>
        <w:numPr>
          <w:ilvl w:val="1"/>
          <w:numId w:val="354"/>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ectPr>
          <w:pgSz w:w="11900" w:h="16838" w:orient="portrait"/>
          <w:cols w:equalWidth="0" w:num="1">
            <w:col w:w="10936"/>
          </w:cols>
          <w:pgMar w:left="704" w:top="273" w:right="259" w:bottom="1440" w:gutter="0" w:footer="0" w:header="0"/>
        </w:sectPr>
      </w:pPr>
    </w:p>
    <w:bookmarkStart w:id="393" w:name="page394"/>
    <w:bookmarkEnd w:id="393"/>
    <w:p>
      <w:pPr>
        <w:ind w:right="420" w:firstLine="443"/>
        <w:spacing w:after="0" w:line="264" w:lineRule="auto"/>
        <w:tabs>
          <w:tab w:leader="none" w:pos="693" w:val="left"/>
        </w:tabs>
        <w:numPr>
          <w:ilvl w:val="1"/>
          <w:numId w:val="35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Stabilization. </w:t>
      </w:r>
      <w:r>
        <w:rPr>
          <w:rFonts w:ascii="Arial" w:cs="Arial" w:eastAsia="Arial" w:hAnsi="Arial"/>
          <w:sz w:val="18"/>
          <w:szCs w:val="18"/>
          <w:color w:val="auto"/>
        </w:rPr>
        <w:t>The Adviser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Securities, other than permitted activity pursuant to Regulation M and Rule 10b-18 under the Exchange Act.</w:t>
      </w:r>
    </w:p>
    <w:p>
      <w:pPr>
        <w:spacing w:after="0" w:line="73" w:lineRule="exact"/>
        <w:rPr>
          <w:rFonts w:ascii="Arial" w:cs="Arial" w:eastAsia="Arial" w:hAnsi="Arial"/>
          <w:sz w:val="18"/>
          <w:szCs w:val="18"/>
          <w:color w:val="auto"/>
        </w:rPr>
      </w:pPr>
    </w:p>
    <w:p>
      <w:pPr>
        <w:jc w:val="both"/>
        <w:ind w:right="220" w:firstLine="443"/>
        <w:spacing w:after="0" w:line="302" w:lineRule="auto"/>
        <w:tabs>
          <w:tab w:leader="none" w:pos="663" w:val="left"/>
        </w:tabs>
        <w:numPr>
          <w:ilvl w:val="1"/>
          <w:numId w:val="355"/>
        </w:numPr>
        <w:rPr>
          <w:rFonts w:ascii="Arial" w:cs="Arial" w:eastAsia="Arial" w:hAnsi="Arial"/>
          <w:sz w:val="16"/>
          <w:szCs w:val="16"/>
          <w:color w:val="auto"/>
        </w:rPr>
      </w:pPr>
      <w:r>
        <w:rPr>
          <w:rFonts w:ascii="Arial" w:cs="Arial" w:eastAsia="Arial" w:hAnsi="Arial"/>
          <w:sz w:val="16"/>
          <w:szCs w:val="16"/>
          <w:i w:val="1"/>
          <w:iCs w:val="1"/>
          <w:color w:val="auto"/>
        </w:rPr>
        <w:t xml:space="preserve">Key Employees. </w:t>
      </w:r>
      <w:r>
        <w:rPr>
          <w:rFonts w:ascii="Arial" w:cs="Arial" w:eastAsia="Arial" w:hAnsi="Arial"/>
          <w:sz w:val="16"/>
          <w:szCs w:val="16"/>
          <w:color w:val="auto"/>
        </w:rPr>
        <w:t>The Adviser is not aware that (i) any of its executives, key employees or significant group of employees plans to terminate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46" w:lineRule="exact"/>
        <w:rPr>
          <w:rFonts w:ascii="Arial" w:cs="Arial" w:eastAsia="Arial" w:hAnsi="Arial"/>
          <w:sz w:val="16"/>
          <w:szCs w:val="16"/>
          <w:color w:val="auto"/>
        </w:rPr>
      </w:pPr>
    </w:p>
    <w:p>
      <w:pPr>
        <w:ind w:right="60" w:firstLine="443"/>
        <w:spacing w:after="0" w:line="259" w:lineRule="auto"/>
        <w:tabs>
          <w:tab w:leader="none" w:pos="673" w:val="left"/>
        </w:tabs>
        <w:numPr>
          <w:ilvl w:val="1"/>
          <w:numId w:val="355"/>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right="120" w:firstLine="443"/>
        <w:spacing w:after="0" w:line="272" w:lineRule="auto"/>
        <w:tabs>
          <w:tab w:leader="none" w:pos="683" w:val="left"/>
        </w:tabs>
        <w:numPr>
          <w:ilvl w:val="1"/>
          <w:numId w:val="356"/>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69" w:lineRule="exact"/>
        <w:rPr>
          <w:rFonts w:ascii="Arial" w:cs="Arial" w:eastAsia="Arial" w:hAnsi="Arial"/>
          <w:sz w:val="17"/>
          <w:szCs w:val="17"/>
          <w:color w:val="auto"/>
        </w:rPr>
      </w:pPr>
    </w:p>
    <w:p>
      <w:pPr>
        <w:ind w:right="80" w:firstLine="443"/>
        <w:spacing w:after="0" w:line="291" w:lineRule="auto"/>
        <w:tabs>
          <w:tab w:leader="none" w:pos="693" w:val="left"/>
        </w:tabs>
        <w:numPr>
          <w:ilvl w:val="1"/>
          <w:numId w:val="356"/>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electronic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w:t>
      </w: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83" w:lineRule="exact"/>
        <w:rPr>
          <w:rFonts w:ascii="Arial" w:cs="Arial" w:eastAsia="Arial" w:hAnsi="Arial"/>
          <w:sz w:val="16"/>
          <w:szCs w:val="16"/>
          <w:color w:val="auto"/>
        </w:rPr>
      </w:pPr>
    </w:p>
    <w:p>
      <w:pPr>
        <w:ind w:firstLine="443"/>
        <w:spacing w:after="0" w:line="259" w:lineRule="auto"/>
        <w:tabs>
          <w:tab w:leader="none" w:pos="683" w:val="left"/>
        </w:tabs>
        <w:numPr>
          <w:ilvl w:val="1"/>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ectPr>
          <w:pgSz w:w="11900" w:h="16838" w:orient="portrait"/>
          <w:cols w:equalWidth="0" w:num="1">
            <w:col w:w="10920"/>
          </w:cols>
          <w:pgMar w:left="700" w:top="274" w:right="279" w:bottom="1440" w:gutter="0" w:footer="0" w:header="0"/>
        </w:sectPr>
      </w:pPr>
    </w:p>
    <w:bookmarkStart w:id="394" w:name="page395"/>
    <w:bookmarkEnd w:id="394"/>
    <w:p>
      <w:pPr>
        <w:ind w:left="-443" w:right="40" w:firstLine="443"/>
        <w:spacing w:after="0" w:line="286" w:lineRule="auto"/>
        <w:tabs>
          <w:tab w:leader="none" w:pos="250" w:val="left"/>
        </w:tabs>
        <w:numPr>
          <w:ilvl w:val="0"/>
          <w:numId w:val="3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to the Representative[s]. </w:t>
      </w:r>
      <w:r>
        <w:rPr>
          <w:rFonts w:ascii="Arial" w:cs="Arial" w:eastAsia="Arial" w:hAnsi="Arial"/>
          <w:sz w:val="16"/>
          <w:szCs w:val="16"/>
          <w:color w:val="auto"/>
        </w:rPr>
        <w:t>The Company will advise the Representative[s] promptly, and confirm such advice in writing, (i) when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spacing w:after="0" w:line="60" w:lineRule="exact"/>
        <w:rPr>
          <w:rFonts w:ascii="Arial" w:cs="Arial" w:eastAsia="Arial" w:hAnsi="Arial"/>
          <w:sz w:val="16"/>
          <w:szCs w:val="16"/>
          <w:color w:val="auto"/>
        </w:rPr>
      </w:pPr>
    </w:p>
    <w:p>
      <w:pPr>
        <w:ind w:left="-443" w:firstLine="443"/>
        <w:spacing w:after="0" w:line="268" w:lineRule="auto"/>
        <w:tabs>
          <w:tab w:leader="none" w:pos="240" w:val="left"/>
        </w:tabs>
        <w:numPr>
          <w:ilvl w:val="0"/>
          <w:numId w:val="357"/>
        </w:numPr>
        <w:rPr>
          <w:rFonts w:ascii="Arial" w:cs="Arial" w:eastAsia="Arial" w:hAnsi="Arial"/>
          <w:sz w:val="17"/>
          <w:szCs w:val="17"/>
          <w:color w:val="auto"/>
        </w:rPr>
      </w:pPr>
      <w:r>
        <w:rPr>
          <w:rFonts w:ascii="Arial" w:cs="Arial" w:eastAsia="Arial" w:hAnsi="Arial"/>
          <w:sz w:val="17"/>
          <w:szCs w:val="17"/>
          <w:i w:val="1"/>
          <w:iCs w:val="1"/>
          <w:color w:val="auto"/>
        </w:rPr>
        <w:t xml:space="preserve">Ongoing Compliance. </w:t>
      </w:r>
      <w:r>
        <w:rPr>
          <w:rFonts w:ascii="Arial" w:cs="Arial" w:eastAsia="Arial" w:hAnsi="Arial"/>
          <w:sz w:val="17"/>
          <w:szCs w:val="17"/>
          <w:color w:val="auto"/>
        </w:rPr>
        <w:t>(1) If during the Prospectus Delivery Period (i) any event or development shall occur or condition shall exist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ectPr>
          <w:pgSz w:w="11900" w:h="16838" w:orient="portrait"/>
          <w:cols w:equalWidth="0" w:num="1">
            <w:col w:w="10477"/>
          </w:cols>
          <w:pgMar w:left="1143" w:top="274" w:right="279" w:bottom="1440" w:gutter="0" w:footer="0" w:header="0"/>
        </w:sectPr>
      </w:pPr>
    </w:p>
    <w:bookmarkStart w:id="395" w:name="page396"/>
    <w:bookmarkEnd w:id="395"/>
    <w:p>
      <w:pPr>
        <w:ind w:firstLine="443"/>
        <w:spacing w:after="0" w:line="255" w:lineRule="auto"/>
        <w:tabs>
          <w:tab w:leader="none" w:pos="663" w:val="left"/>
        </w:tabs>
        <w:numPr>
          <w:ilvl w:val="0"/>
          <w:numId w:val="35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Blue Sky Compliance. </w:t>
      </w:r>
      <w:r>
        <w:rPr>
          <w:rFonts w:ascii="Arial" w:cs="Arial" w:eastAsia="Arial" w:hAnsi="Arial"/>
          <w:sz w:val="18"/>
          <w:szCs w:val="18"/>
          <w:color w:val="auto"/>
        </w:rPr>
        <w:t>The Company will use commercially reasonable efforts, in cooperation with the Representative[s], to qualify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for offer and sale under 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5" w:lineRule="exact"/>
        <w:rPr>
          <w:rFonts w:ascii="Arial" w:cs="Arial" w:eastAsia="Arial" w:hAnsi="Arial"/>
          <w:sz w:val="18"/>
          <w:szCs w:val="18"/>
          <w:color w:val="auto"/>
        </w:rPr>
      </w:pPr>
    </w:p>
    <w:p>
      <w:pPr>
        <w:ind w:right="80" w:firstLine="443"/>
        <w:spacing w:after="0" w:line="257" w:lineRule="auto"/>
        <w:tabs>
          <w:tab w:leader="none" w:pos="693" w:val="left"/>
        </w:tabs>
        <w:numPr>
          <w:ilvl w:val="0"/>
          <w:numId w:val="358"/>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after the effective date of the Registration Statement as defined in Rule 158;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80" w:lineRule="exact"/>
        <w:rPr>
          <w:rFonts w:ascii="Arial" w:cs="Arial" w:eastAsia="Arial" w:hAnsi="Arial"/>
          <w:sz w:val="18"/>
          <w:szCs w:val="18"/>
          <w:color w:val="auto"/>
        </w:rPr>
      </w:pPr>
    </w:p>
    <w:p>
      <w:pPr>
        <w:ind w:firstLine="443"/>
        <w:spacing w:after="0" w:line="283" w:lineRule="auto"/>
        <w:tabs>
          <w:tab w:leader="none" w:pos="693" w:val="left"/>
        </w:tabs>
        <w:numPr>
          <w:ilvl w:val="0"/>
          <w:numId w:val="358"/>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 ] days after the date of the Prospectus, the Company will not (i) offer, pledge, sell, contract to sell, sell</w:t>
      </w:r>
      <w:r>
        <w:rPr>
          <w:rFonts w:ascii="Arial" w:cs="Arial" w:eastAsia="Arial" w:hAnsi="Arial"/>
          <w:sz w:val="16"/>
          <w:szCs w:val="16"/>
          <w:i w:val="1"/>
          <w:iCs w:val="1"/>
          <w:color w:val="auto"/>
        </w:rPr>
        <w:t xml:space="preserve"> </w:t>
      </w:r>
      <w:r>
        <w:rPr>
          <w:rFonts w:ascii="Arial" w:cs="Arial" w:eastAsia="Arial" w:hAnsi="Arial"/>
          <w:sz w:val="16"/>
          <w:szCs w:val="16"/>
          <w:color w:val="auto"/>
        </w:rPr>
        <w:t>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Stock][Securities] or any securities convertible into or exercisable or exchangeable for [Common Stock][the Securities], or publicly disclose the intention to make any such offer, sale, pledge, disposition or filing, or (ii) enter into any swap or other agreement that transfers, in whole or in part, any of the economic consequences of ownership of the [Common Stock][Securities] or any such other securities, whether any such transaction described in clause (i) or (ii) above is to be settled by delivery of [Common Stock][Securities] or such other securities, in cash or otherwise, without the prior written consent of the Representative[s] on behalf of the Underwriters, other than the (A) Securities to be sold hereunder [or the issuance of the Underlying Securities upon conversion of the Securities][or issuance of the Warrant Securities upon exercise of the Warrants], and (B) Stock issued or delivered in connection with the Company’s dividend reinvestment plan. Notwithstanding the foregoing, if the Company is not then an Emerging Growth Company,</w:t>
      </w:r>
    </w:p>
    <w:p>
      <w:pPr>
        <w:spacing w:after="0" w:line="6"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then if (1) during the last 17 days of the [</w:t>
      </w:r>
      <w:r>
        <w:rPr>
          <w:sz w:val="20"/>
          <w:szCs w:val="20"/>
          <w:color w:val="auto"/>
        </w:rPr>
        <w:tab/>
      </w:r>
      <w:r>
        <w:rPr>
          <w:rFonts w:ascii="Arial" w:cs="Arial" w:eastAsia="Arial" w:hAnsi="Arial"/>
          <w:sz w:val="16"/>
          <w:szCs w:val="16"/>
          <w:color w:val="auto"/>
        </w:rPr>
        <w:t>]-day restricted period, the Company issues an earnings release or material news or a material event</w:t>
      </w:r>
    </w:p>
    <w:p>
      <w:pPr>
        <w:spacing w:after="0" w:line="9"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relating to the Company occurs; or (2) prior to the expiration of the [</w:t>
      </w:r>
      <w:r>
        <w:rPr>
          <w:sz w:val="20"/>
          <w:szCs w:val="20"/>
          <w:color w:val="auto"/>
        </w:rPr>
        <w:tab/>
      </w:r>
      <w:r>
        <w:rPr>
          <w:rFonts w:ascii="Arial" w:cs="Arial" w:eastAsia="Arial" w:hAnsi="Arial"/>
          <w:sz w:val="16"/>
          <w:szCs w:val="16"/>
          <w:color w:val="auto"/>
        </w:rPr>
        <w:t>]-day restricted period, the Company announces that it will release earnings</w:t>
      </w:r>
    </w:p>
    <w:p>
      <w:pPr>
        <w:spacing w:after="0" w:line="9"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results during the 16-day period beginning on the last day of the [ ]-day period, the restrictions imposed by this Agreement shall continue to apply until the expiration of the 18-day period beginning on the issuance of the earnings release or the occurrence of the material news or material event.</w:t>
      </w:r>
    </w:p>
    <w:p>
      <w:pPr>
        <w:spacing w:after="0" w:line="82" w:lineRule="exact"/>
        <w:rPr>
          <w:sz w:val="20"/>
          <w:szCs w:val="20"/>
          <w:color w:val="auto"/>
        </w:rPr>
      </w:pPr>
    </w:p>
    <w:p>
      <w:pPr>
        <w:ind w:right="780" w:firstLine="443"/>
        <w:spacing w:after="0" w:line="308" w:lineRule="auto"/>
        <w:tabs>
          <w:tab w:leader="none" w:pos="653" w:val="left"/>
        </w:tabs>
        <w:numPr>
          <w:ilvl w:val="0"/>
          <w:numId w:val="359"/>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Securities in all material respects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 under the heading “Use of Proceeds”.</w:t>
      </w:r>
    </w:p>
    <w:p>
      <w:pPr>
        <w:sectPr>
          <w:pgSz w:w="11900" w:h="16838" w:orient="portrait"/>
          <w:cols w:equalWidth="0" w:num="1">
            <w:col w:w="10960"/>
          </w:cols>
          <w:pgMar w:left="700" w:top="274" w:right="239" w:bottom="1440" w:gutter="0" w:footer="0" w:header="0"/>
        </w:sectPr>
      </w:pPr>
    </w:p>
    <w:bookmarkStart w:id="396" w:name="page397"/>
    <w:bookmarkEnd w:id="396"/>
    <w:p>
      <w:pPr>
        <w:ind w:firstLine="443"/>
        <w:spacing w:after="0" w:line="312" w:lineRule="auto"/>
        <w:tabs>
          <w:tab w:leader="none" w:pos="653" w:val="left"/>
        </w:tabs>
        <w:numPr>
          <w:ilvl w:val="0"/>
          <w:numId w:val="3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Underlying Securities</w:t>
      </w:r>
      <w:r>
        <w:rPr>
          <w:rFonts w:ascii="Arial" w:cs="Arial" w:eastAsia="Arial" w:hAnsi="Arial"/>
          <w:sz w:val="16"/>
          <w:szCs w:val="16"/>
          <w:color w:val="auto"/>
        </w:rPr>
        <w:t>. The Company will reserve and keep available at all times, free of preemptive rights, shares of Common Stock for the purpose of enabling the Company to satisfy all obligations to issue the Underlying Securities upon conversion of the Securities. [The Company will use its commercially reasonable efforts to cause the Underlying Securities to be listed on the [applicable stock exchange] and to maintain such listing]].</w:t>
      </w:r>
    </w:p>
    <w:p>
      <w:pPr>
        <w:spacing w:after="0" w:line="38" w:lineRule="exact"/>
        <w:rPr>
          <w:rFonts w:ascii="Arial" w:cs="Arial" w:eastAsia="Arial" w:hAnsi="Arial"/>
          <w:sz w:val="16"/>
          <w:szCs w:val="16"/>
          <w:color w:val="auto"/>
        </w:rPr>
      </w:pPr>
    </w:p>
    <w:p>
      <w:pPr>
        <w:jc w:val="both"/>
        <w:ind w:right="80" w:firstLine="443"/>
        <w:spacing w:after="0" w:line="264" w:lineRule="auto"/>
        <w:tabs>
          <w:tab w:leader="none" w:pos="693"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described in 3(kk) herein, the Company will not take, directly or indirectly, without giving effect to any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by the Underwriters, any action designed to or that would reasonably be expected to cause or result in any stabilization or manipulation of the price of the Stock or the Securities.</w:t>
      </w:r>
    </w:p>
    <w:p>
      <w:pPr>
        <w:spacing w:after="0" w:line="73" w:lineRule="exact"/>
        <w:rPr>
          <w:rFonts w:ascii="Arial" w:cs="Arial" w:eastAsia="Arial" w:hAnsi="Arial"/>
          <w:sz w:val="18"/>
          <w:szCs w:val="18"/>
          <w:color w:val="auto"/>
        </w:rPr>
      </w:pPr>
    </w:p>
    <w:p>
      <w:pPr>
        <w:ind w:left="660" w:hanging="217"/>
        <w:spacing w:after="0"/>
        <w:tabs>
          <w:tab w:leader="none" w:pos="660" w:val="left"/>
        </w:tabs>
        <w:numPr>
          <w:ilvl w:val="0"/>
          <w:numId w:val="360"/>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commercially reasonable efforts to effect and maintain the quotation of [the Securities] on</w:t>
      </w:r>
    </w:p>
    <w:p>
      <w:pPr>
        <w:spacing w:after="0" w:line="35" w:lineRule="exact"/>
        <w:rPr>
          <w:sz w:val="20"/>
          <w:szCs w:val="20"/>
          <w:color w:val="auto"/>
        </w:rPr>
      </w:pPr>
    </w:p>
    <w:p>
      <w:pPr>
        <w:ind w:left="960" w:hanging="956"/>
        <w:spacing w:after="0"/>
        <w:tabs>
          <w:tab w:leader="none" w:pos="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right="80" w:firstLine="443"/>
        <w:spacing w:after="0" w:line="257" w:lineRule="auto"/>
        <w:tabs>
          <w:tab w:leader="none" w:pos="743" w:val="left"/>
        </w:tabs>
        <w:numPr>
          <w:ilvl w:val="1"/>
          <w:numId w:val="361"/>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Securities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80" w:lineRule="exact"/>
        <w:rPr>
          <w:rFonts w:ascii="Arial" w:cs="Arial" w:eastAsia="Arial" w:hAnsi="Arial"/>
          <w:sz w:val="18"/>
          <w:szCs w:val="18"/>
          <w:color w:val="auto"/>
        </w:rPr>
      </w:pPr>
    </w:p>
    <w:p>
      <w:pPr>
        <w:ind w:right="40" w:firstLine="443"/>
        <w:spacing w:after="0" w:line="291" w:lineRule="auto"/>
        <w:tabs>
          <w:tab w:leader="none" w:pos="693" w:val="left"/>
        </w:tabs>
        <w:numPr>
          <w:ilvl w:val="1"/>
          <w:numId w:val="361"/>
        </w:numPr>
        <w:rPr>
          <w:rFonts w:ascii="Arial" w:cs="Arial" w:eastAsia="Arial" w:hAnsi="Arial"/>
          <w:sz w:val="16"/>
          <w:szCs w:val="16"/>
          <w:color w:val="auto"/>
        </w:rPr>
      </w:pPr>
      <w:r>
        <w:rPr>
          <w:rFonts w:ascii="Arial" w:cs="Arial" w:eastAsia="Arial" w:hAnsi="Arial"/>
          <w:sz w:val="16"/>
          <w:szCs w:val="16"/>
          <w:i w:val="1"/>
          <w:iCs w:val="1"/>
          <w:color w:val="auto"/>
        </w:rPr>
        <w:t>Emerging Growth Company</w:t>
      </w:r>
      <w:r>
        <w:rPr>
          <w:rFonts w:ascii="Arial" w:cs="Arial" w:eastAsia="Arial" w:hAnsi="Arial"/>
          <w:sz w:val="16"/>
          <w:szCs w:val="16"/>
          <w:color w:val="auto"/>
        </w:rPr>
        <w:t>. The Company will promptly notify the Representative[s] if the Company ceases to be an Emerging Growth</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any time prior to the later of (i) completion of the distribution of Securities within the meaning of the Securities Act and (ii) completion of</w:t>
      </w:r>
    </w:p>
    <w:p>
      <w:pPr>
        <w:spacing w:after="0"/>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6"/>
          <w:szCs w:val="16"/>
          <w:color w:val="auto"/>
        </w:rPr>
        <w:t>]-day restricted period referred to in Section 5(h) hereof.</w:t>
      </w:r>
    </w:p>
    <w:p>
      <w:pPr>
        <w:spacing w:after="0" w:line="102" w:lineRule="exact"/>
        <w:rPr>
          <w:rFonts w:ascii="Arial" w:cs="Arial" w:eastAsia="Arial" w:hAnsi="Arial"/>
          <w:sz w:val="16"/>
          <w:szCs w:val="16"/>
          <w:color w:val="auto"/>
        </w:rPr>
      </w:pPr>
    </w:p>
    <w:p>
      <w:pPr>
        <w:ind w:right="20" w:firstLine="443"/>
        <w:spacing w:after="0" w:line="279" w:lineRule="auto"/>
        <w:tabs>
          <w:tab w:leader="none" w:pos="693" w:val="left"/>
        </w:tabs>
        <w:numPr>
          <w:ilvl w:val="1"/>
          <w:numId w:val="361"/>
        </w:numPr>
        <w:rPr>
          <w:rFonts w:ascii="Arial" w:cs="Arial" w:eastAsia="Arial" w:hAnsi="Arial"/>
          <w:sz w:val="17"/>
          <w:szCs w:val="17"/>
          <w:color w:val="auto"/>
        </w:rPr>
      </w:pPr>
      <w:r>
        <w:rPr>
          <w:rFonts w:ascii="Arial" w:cs="Arial" w:eastAsia="Arial" w:hAnsi="Arial"/>
          <w:sz w:val="17"/>
          <w:szCs w:val="17"/>
          <w:i w:val="1"/>
          <w:iCs w:val="1"/>
          <w:color w:val="auto"/>
        </w:rPr>
        <w:t>Business Development Company</w:t>
      </w:r>
      <w:r>
        <w:rPr>
          <w:rFonts w:ascii="Arial" w:cs="Arial" w:eastAsia="Arial" w:hAnsi="Arial"/>
          <w:sz w:val="17"/>
          <w:szCs w:val="17"/>
          <w:color w:val="auto"/>
        </w:rPr>
        <w:t>. The Company, during a period of twelve months from the Closing Date, will use commercially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efforts to maintain its status as a business development company under the Investment Company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63" w:lineRule="exact"/>
        <w:rPr>
          <w:rFonts w:ascii="Arial" w:cs="Arial" w:eastAsia="Arial" w:hAnsi="Arial"/>
          <w:sz w:val="17"/>
          <w:szCs w:val="17"/>
          <w:color w:val="auto"/>
        </w:rPr>
      </w:pPr>
    </w:p>
    <w:p>
      <w:pPr>
        <w:ind w:right="80" w:firstLine="443"/>
        <w:spacing w:after="0" w:line="264" w:lineRule="auto"/>
        <w:tabs>
          <w:tab w:leader="none" w:pos="693" w:val="left"/>
        </w:tabs>
        <w:numPr>
          <w:ilvl w:val="1"/>
          <w:numId w:val="361"/>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right="140" w:firstLine="443"/>
        <w:spacing w:after="0" w:line="257" w:lineRule="auto"/>
        <w:tabs>
          <w:tab w:leader="none" w:pos="693" w:val="left"/>
        </w:tabs>
        <w:numPr>
          <w:ilvl w:val="1"/>
          <w:numId w:val="361"/>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80" w:lineRule="exact"/>
        <w:rPr>
          <w:rFonts w:ascii="Arial" w:cs="Arial" w:eastAsia="Arial" w:hAnsi="Arial"/>
          <w:sz w:val="18"/>
          <w:szCs w:val="18"/>
          <w:color w:val="auto"/>
        </w:rPr>
      </w:pPr>
    </w:p>
    <w:p>
      <w:pPr>
        <w:ind w:right="140" w:firstLine="443"/>
        <w:spacing w:after="0" w:line="259" w:lineRule="auto"/>
        <w:tabs>
          <w:tab w:leader="none" w:pos="663" w:val="left"/>
        </w:tabs>
        <w:numPr>
          <w:ilvl w:val="1"/>
          <w:numId w:val="361"/>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The Company represents and agrees that, without the prior consent of the Representative[s] (i)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any offering material other than the Registration Statement, the Pricing Disclosures Package or the Prospectus, and (ii) it has not made and will not make any offer relating to the Securities that would constitute a “free writing prospectus” as defined in Rule 405 under the Act and which the parties agree, for the</w:t>
      </w:r>
    </w:p>
    <w:p>
      <w:pPr>
        <w:sectPr>
          <w:pgSz w:w="11900" w:h="16838" w:orient="portrait"/>
          <w:cols w:equalWidth="0" w:num="1">
            <w:col w:w="10920"/>
          </w:cols>
          <w:pgMar w:left="700" w:top="274" w:right="279" w:bottom="1440" w:gutter="0" w:footer="0" w:header="0"/>
        </w:sectPr>
      </w:pPr>
    </w:p>
    <w:bookmarkStart w:id="397" w:name="page398"/>
    <w:bookmarkEnd w:id="397"/>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of this Agreement, includes (x) any “advertisement” as defined in Rule 482 under the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47" w:lineRule="exact"/>
        <w:rPr>
          <w:sz w:val="20"/>
          <w:szCs w:val="20"/>
          <w:color w:val="auto"/>
        </w:rPr>
      </w:pPr>
    </w:p>
    <w:p>
      <w:pPr>
        <w:ind w:left="180" w:hanging="176"/>
        <w:spacing w:after="0"/>
        <w:tabs>
          <w:tab w:leader="none" w:pos="18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right="20" w:firstLine="443"/>
        <w:spacing w:after="0" w:line="259" w:lineRule="auto"/>
        <w:tabs>
          <w:tab w:leader="none" w:pos="68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spacing w:after="0" w:line="78" w:lineRule="exact"/>
        <w:rPr>
          <w:rFonts w:ascii="Arial" w:cs="Arial" w:eastAsia="Arial" w:hAnsi="Arial"/>
          <w:sz w:val="18"/>
          <w:szCs w:val="18"/>
          <w:color w:val="auto"/>
        </w:rPr>
      </w:pPr>
    </w:p>
    <w:p>
      <w:pPr>
        <w:ind w:right="840" w:firstLine="443"/>
        <w:spacing w:after="0" w:line="342" w:lineRule="auto"/>
        <w:tabs>
          <w:tab w:leader="none" w:pos="693" w:val="left"/>
        </w:tabs>
        <w:numPr>
          <w:ilvl w:val="1"/>
          <w:numId w:val="362"/>
        </w:numPr>
        <w:rPr>
          <w:rFonts w:ascii="Arial" w:cs="Arial" w:eastAsia="Arial" w:hAnsi="Arial"/>
          <w:sz w:val="16"/>
          <w:szCs w:val="16"/>
          <w:color w:val="auto"/>
        </w:rPr>
      </w:pPr>
      <w:r>
        <w:rPr>
          <w:rFonts w:ascii="Arial" w:cs="Arial" w:eastAsia="Arial" w:hAnsi="Arial"/>
          <w:sz w:val="16"/>
          <w:szCs w:val="16"/>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23" w:lineRule="exact"/>
        <w:rPr>
          <w:rFonts w:ascii="Arial" w:cs="Arial" w:eastAsia="Arial" w:hAnsi="Arial"/>
          <w:sz w:val="16"/>
          <w:szCs w:val="16"/>
          <w:color w:val="auto"/>
        </w:rPr>
      </w:pPr>
    </w:p>
    <w:p>
      <w:pPr>
        <w:ind w:left="-460" w:firstLine="464"/>
        <w:spacing w:after="0" w:line="264" w:lineRule="auto"/>
        <w:tabs>
          <w:tab w:leader="none" w:pos="176"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right="200" w:firstLine="443"/>
        <w:spacing w:after="0" w:line="279" w:lineRule="auto"/>
        <w:tabs>
          <w:tab w:leader="none" w:pos="683" w:val="left"/>
        </w:tabs>
        <w:numPr>
          <w:ilvl w:val="1"/>
          <w:numId w:val="362"/>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Representative[s].</w:t>
      </w:r>
    </w:p>
    <w:p>
      <w:pPr>
        <w:spacing w:after="0" w:line="63" w:lineRule="exact"/>
        <w:rPr>
          <w:rFonts w:ascii="Arial" w:cs="Arial" w:eastAsia="Arial" w:hAnsi="Arial"/>
          <w:sz w:val="17"/>
          <w:szCs w:val="17"/>
          <w:color w:val="auto"/>
        </w:rPr>
      </w:pPr>
    </w:p>
    <w:p>
      <w:pPr>
        <w:ind w:firstLine="443"/>
        <w:spacing w:after="0" w:line="259" w:lineRule="auto"/>
        <w:tabs>
          <w:tab w:leader="none" w:pos="693" w:val="left"/>
        </w:tabs>
        <w:numPr>
          <w:ilvl w:val="1"/>
          <w:numId w:val="362"/>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firstLine="443"/>
        <w:spacing w:after="0" w:line="276" w:lineRule="auto"/>
        <w:tabs>
          <w:tab w:leader="none" w:pos="683" w:val="left"/>
        </w:tabs>
        <w:numPr>
          <w:ilvl w:val="1"/>
          <w:numId w:val="362"/>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3(f) and Section 4(a) hereof shall have occurred or shall</w:t>
      </w:r>
      <w:r>
        <w:rPr>
          <w:rFonts w:ascii="Arial" w:cs="Arial" w:eastAsia="Arial" w:hAnsi="Arial"/>
          <w:sz w:val="17"/>
          <w:szCs w:val="17"/>
          <w:i w:val="1"/>
          <w:iCs w:val="1"/>
          <w:color w:val="auto"/>
        </w:rPr>
        <w:t xml:space="preserve"> </w:t>
      </w:r>
      <w:r>
        <w:rPr>
          <w:rFonts w:ascii="Arial" w:cs="Arial" w:eastAsia="Arial" w:hAnsi="Arial"/>
          <w:sz w:val="17"/>
          <w:szCs w:val="17"/>
          <w:color w:val="auto"/>
        </w:rPr>
        <w:t>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right="200" w:firstLine="443"/>
        <w:spacing w:after="0" w:line="308" w:lineRule="auto"/>
        <w:tabs>
          <w:tab w:leader="none" w:pos="693" w:val="left"/>
        </w:tabs>
        <w:numPr>
          <w:ilvl w:val="1"/>
          <w:numId w:val="362"/>
        </w:numPr>
        <w:rPr>
          <w:rFonts w:ascii="Arial" w:cs="Arial" w:eastAsia="Arial" w:hAnsi="Arial"/>
          <w:sz w:val="17"/>
          <w:szCs w:val="17"/>
          <w:color w:val="auto"/>
        </w:rPr>
      </w:pPr>
      <w:r>
        <w:rPr>
          <w:rFonts w:ascii="Arial" w:cs="Arial" w:eastAsia="Arial" w:hAnsi="Arial"/>
          <w:sz w:val="17"/>
          <w:szCs w:val="17"/>
          <w:i w:val="1"/>
          <w:iCs w:val="1"/>
          <w:color w:val="auto"/>
        </w:rPr>
        <w:t xml:space="preserve">Company’s Officer’s Certificate. </w:t>
      </w:r>
      <w:r>
        <w:rPr>
          <w:rFonts w:ascii="Arial" w:cs="Arial" w:eastAsia="Arial" w:hAnsi="Arial"/>
          <w:sz w:val="17"/>
          <w:szCs w:val="17"/>
          <w:color w:val="auto"/>
        </w:rPr>
        <w:t>The Representative[s] shall have received on and as of the Closing Date or the Additional Closing Date,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case may be, a certificate, which shall be delivered on behalf of the Company and not the signatories in their individual capacity,</w:t>
      </w:r>
    </w:p>
    <w:p>
      <w:pPr>
        <w:sectPr>
          <w:pgSz w:w="11900" w:h="16838" w:orient="portrait"/>
          <w:cols w:equalWidth="0" w:num="1">
            <w:col w:w="10960"/>
          </w:cols>
          <w:pgMar w:left="700" w:top="273" w:right="239" w:bottom="1440" w:gutter="0" w:footer="0" w:header="0"/>
        </w:sectPr>
      </w:pPr>
    </w:p>
    <w:bookmarkStart w:id="398" w:name="page399"/>
    <w:bookmarkEnd w:id="39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chief financial officer or chief accounting officer (or other authorized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Sections 3(b)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paragraphs (a) above and, with respect to the Company and its subsidiaries, to the effect set forth in paragraph (c) above.</w:t>
      </w:r>
    </w:p>
    <w:p>
      <w:pPr>
        <w:spacing w:after="0" w:line="59" w:lineRule="exact"/>
        <w:rPr>
          <w:sz w:val="20"/>
          <w:szCs w:val="20"/>
          <w:color w:val="auto"/>
        </w:rPr>
      </w:pPr>
    </w:p>
    <w:p>
      <w:pPr>
        <w:ind w:right="40" w:firstLine="443"/>
        <w:spacing w:after="0" w:line="255" w:lineRule="auto"/>
        <w:tabs>
          <w:tab w:leader="none" w:pos="683"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Representative[s] shall have received on and as of the Closing Date or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may be, a certificate, which 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85" w:lineRule="exact"/>
        <w:rPr>
          <w:rFonts w:ascii="Arial" w:cs="Arial" w:eastAsia="Arial" w:hAnsi="Arial"/>
          <w:sz w:val="18"/>
          <w:szCs w:val="18"/>
          <w:color w:val="auto"/>
        </w:rPr>
      </w:pPr>
    </w:p>
    <w:p>
      <w:pPr>
        <w:ind w:firstLine="443"/>
        <w:spacing w:after="0" w:line="288" w:lineRule="auto"/>
        <w:tabs>
          <w:tab w:leader="none" w:pos="663" w:val="left"/>
        </w:tabs>
        <w:numPr>
          <w:ilvl w:val="0"/>
          <w:numId w:val="363"/>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w:t>
      </w:r>
    </w:p>
    <w:p>
      <w:pPr>
        <w:ind w:right="300"/>
        <w:spacing w:after="0" w:line="281" w:lineRule="auto"/>
        <w:rPr>
          <w:sz w:val="20"/>
          <w:szCs w:val="20"/>
          <w:color w:val="auto"/>
        </w:rPr>
      </w:pPr>
      <w:r>
        <w:rPr>
          <w:rFonts w:ascii="Arial" w:cs="Arial" w:eastAsia="Arial" w:hAnsi="Arial"/>
          <w:sz w:val="16"/>
          <w:szCs w:val="16"/>
          <w:color w:val="auto"/>
        </w:rPr>
        <w:t>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Closing Date, as the case may be, shall use a “cut-off” date no more than business days prior to such Closing Date or such Additional Closing Date, as the case may be.</w:t>
      </w:r>
    </w:p>
    <w:p>
      <w:pPr>
        <w:spacing w:after="0" w:line="76" w:lineRule="exact"/>
        <w:rPr>
          <w:sz w:val="20"/>
          <w:szCs w:val="20"/>
          <w:color w:val="auto"/>
        </w:rPr>
      </w:pPr>
    </w:p>
    <w:p>
      <w:pPr>
        <w:jc w:val="both"/>
        <w:ind w:right="20" w:firstLine="443"/>
        <w:spacing w:after="0" w:line="259" w:lineRule="auto"/>
        <w:tabs>
          <w:tab w:leader="none" w:pos="693"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and Adviser. </w:t>
      </w:r>
      <w:r>
        <w:rPr>
          <w:rFonts w:ascii="Arial" w:cs="Arial" w:eastAsia="Arial" w:hAnsi="Arial"/>
          <w:sz w:val="18"/>
          <w:szCs w:val="18"/>
          <w:color w:val="auto"/>
        </w:rPr>
        <w:t>Cleary Gottlieb Steen &amp; Hamilton LLP, counsel for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 the</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 Closing Date, as the case may be, an opinion and 10b-5 statement of ,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82" w:lineRule="exact"/>
        <w:rPr>
          <w:sz w:val="20"/>
          <w:szCs w:val="20"/>
          <w:color w:val="auto"/>
        </w:rPr>
      </w:pPr>
    </w:p>
    <w:p>
      <w:pPr>
        <w:ind w:firstLine="443"/>
        <w:spacing w:after="0" w:line="264" w:lineRule="auto"/>
        <w:tabs>
          <w:tab w:leader="none" w:pos="653"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 enacted, adopted or</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any federal, state or foreign governmental or regulatory authority that would, as of the Closing Date or the Additional Closing Date, as the case may be, prevent the issuance or sale of the Securities [(including the</w:t>
      </w:r>
    </w:p>
    <w:p>
      <w:pPr>
        <w:sectPr>
          <w:pgSz w:w="11900" w:h="16838" w:orient="portrait"/>
          <w:cols w:equalWidth="0" w:num="1">
            <w:col w:w="10920"/>
          </w:cols>
          <w:pgMar w:left="700" w:top="273" w:right="279" w:bottom="1440" w:gutter="0" w:footer="0" w:header="0"/>
        </w:sectPr>
      </w:pPr>
    </w:p>
    <w:bookmarkStart w:id="399" w:name="page400"/>
    <w:bookmarkEnd w:id="399"/>
    <w:p>
      <w:pPr>
        <w:ind w:left="46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the Underlying Securities upon conversion thereof)]; and no injunction or order of any federal, state or foreign court shall have been issued that would, as of the Closing Date or the Additional Closing Date, as the case may be, prevent the issuance or sale of the Securities [(including the issuance of the Underlying Securities upon conversion thereof)].</w:t>
      </w:r>
    </w:p>
    <w:p>
      <w:pPr>
        <w:spacing w:after="0" w:line="73" w:lineRule="exact"/>
        <w:rPr>
          <w:sz w:val="20"/>
          <w:szCs w:val="20"/>
          <w:color w:val="auto"/>
        </w:rPr>
      </w:pPr>
    </w:p>
    <w:p>
      <w:pPr>
        <w:ind w:left="460" w:right="200" w:firstLine="443"/>
        <w:spacing w:after="0" w:line="279" w:lineRule="auto"/>
        <w:tabs>
          <w:tab w:leader="none" w:pos="1113" w:val="left"/>
        </w:tabs>
        <w:numPr>
          <w:ilvl w:val="0"/>
          <w:numId w:val="366"/>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Listing.</w:t>
      </w:r>
      <w:r>
        <w:rPr>
          <w:rFonts w:ascii="Arial" w:cs="Arial" w:eastAsia="Arial" w:hAnsi="Arial"/>
          <w:sz w:val="17"/>
          <w:szCs w:val="17"/>
          <w:color w:val="auto"/>
        </w:rPr>
        <w:t xml:space="preserve"> The Securities to be delivered on the Closing Date or Additional Closing Date, as the case may be, shall have been</w:t>
      </w:r>
    </w:p>
    <w:p>
      <w:pPr>
        <w:spacing w:after="0" w:line="35" w:lineRule="exact"/>
        <w:rPr>
          <w:sz w:val="20"/>
          <w:szCs w:val="20"/>
          <w:color w:val="auto"/>
        </w:rPr>
      </w:pPr>
    </w:p>
    <w:p>
      <w:pPr>
        <w:ind w:left="460"/>
        <w:spacing w:after="0"/>
        <w:tabs>
          <w:tab w:leader="none" w:pos="2500" w:val="left"/>
        </w:tabs>
        <w:rPr>
          <w:sz w:val="20"/>
          <w:szCs w:val="20"/>
          <w:color w:val="auto"/>
        </w:rPr>
      </w:pPr>
      <w:r>
        <w:rPr>
          <w:rFonts w:ascii="Arial" w:cs="Arial" w:eastAsia="Arial" w:hAnsi="Arial"/>
          <w:sz w:val="18"/>
          <w:szCs w:val="18"/>
          <w:color w:val="auto"/>
        </w:rPr>
        <w:t>approved for listing on</w:t>
      </w:r>
      <w:r>
        <w:rPr>
          <w:sz w:val="20"/>
          <w:szCs w:val="20"/>
          <w:color w:val="auto"/>
        </w:rPr>
        <w:tab/>
      </w:r>
      <w:r>
        <w:rPr>
          <w:rFonts w:ascii="Arial" w:cs="Arial" w:eastAsia="Arial" w:hAnsi="Arial"/>
          <w:sz w:val="16"/>
          <w:szCs w:val="16"/>
          <w:color w:val="auto"/>
        </w:rPr>
        <w:t>, subject to official notice of issuance.]</w:t>
      </w:r>
    </w:p>
    <w:p>
      <w:pPr>
        <w:spacing w:after="0" w:line="103" w:lineRule="exact"/>
        <w:rPr>
          <w:sz w:val="20"/>
          <w:szCs w:val="20"/>
          <w:color w:val="auto"/>
        </w:rPr>
      </w:pPr>
    </w:p>
    <w:p>
      <w:pPr>
        <w:ind w:left="460" w:right="20" w:firstLine="443"/>
        <w:spacing w:after="0" w:line="259" w:lineRule="auto"/>
        <w:tabs>
          <w:tab w:leader="none" w:pos="1113"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A-1 hereto, between you and the persons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3, and in the form of Exhibit A-2 hereto, between you and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78" w:lineRule="exact"/>
        <w:rPr>
          <w:rFonts w:ascii="Arial" w:cs="Arial" w:eastAsia="Arial" w:hAnsi="Arial"/>
          <w:sz w:val="18"/>
          <w:szCs w:val="18"/>
          <w:color w:val="auto"/>
        </w:rPr>
      </w:pPr>
    </w:p>
    <w:p>
      <w:pPr>
        <w:ind w:left="460" w:firstLine="443"/>
        <w:spacing w:after="0" w:line="255" w:lineRule="auto"/>
        <w:tabs>
          <w:tab w:leader="none" w:pos="1203"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 any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55" w:lineRule="auto"/>
        <w:tabs>
          <w:tab w:leader="none" w:pos="701" w:val="left"/>
        </w:tabs>
        <w:numPr>
          <w:ilvl w:val="0"/>
          <w:numId w:val="369"/>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Underwriters. </w:t>
      </w:r>
      <w:r>
        <w:rPr>
          <w:rFonts w:ascii="Arial" w:cs="Arial" w:eastAsia="Arial" w:hAnsi="Arial"/>
          <w:sz w:val="18"/>
          <w:szCs w:val="18"/>
          <w:color w:val="auto"/>
        </w:rPr>
        <w:t>The Company agrees to indemnify and hold harmless each Underwriter, its affiliates, directors and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w:t>
      </w:r>
    </w:p>
    <w:p>
      <w:pPr>
        <w:sectPr>
          <w:pgSz w:w="11900" w:h="16838" w:orient="portrait"/>
          <w:cols w:equalWidth="0" w:num="1">
            <w:col w:w="11420"/>
          </w:cols>
          <w:pgMar w:left="240" w:top="274" w:right="239" w:bottom="1440" w:gutter="0" w:footer="0" w:header="0"/>
        </w:sectPr>
      </w:pPr>
    </w:p>
    <w:bookmarkStart w:id="400" w:name="page401"/>
    <w:bookmarkEnd w:id="40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66" w:lineRule="exact"/>
        <w:rPr>
          <w:sz w:val="20"/>
          <w:szCs w:val="20"/>
          <w:color w:val="auto"/>
        </w:rPr>
      </w:pPr>
    </w:p>
    <w:p>
      <w:pPr>
        <w:ind w:right="120" w:firstLine="464"/>
        <w:spacing w:after="0" w:line="284" w:lineRule="auto"/>
        <w:tabs>
          <w:tab w:leader="none" w:pos="711" w:val="left"/>
        </w:tabs>
        <w:numPr>
          <w:ilvl w:val="0"/>
          <w:numId w:val="370"/>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 directors, its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 (including any Pricing Disclosure Package that has subsequently been amended), it being understood and agreed upon that the only such information</w:t>
      </w:r>
    </w:p>
    <w:p>
      <w:pPr>
        <w:spacing w:after="0" w:line="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furnished by any Underwriter consists of the following information in the Prospectus furnished on behalf of each Underwriter:</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ind w:right="20" w:firstLine="464"/>
        <w:spacing w:after="0" w:line="285" w:lineRule="auto"/>
        <w:tabs>
          <w:tab w:leader="none" w:pos="701" w:val="left"/>
        </w:tabs>
        <w:numPr>
          <w:ilvl w:val="0"/>
          <w:numId w:val="371"/>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w:t>
      </w:r>
    </w:p>
    <w:p>
      <w:pPr>
        <w:sectPr>
          <w:pgSz w:w="11900" w:h="16838" w:orient="portrait"/>
          <w:cols w:equalWidth="0" w:num="1">
            <w:col w:w="11420"/>
          </w:cols>
          <w:pgMar w:left="240" w:top="274" w:right="239" w:bottom="1440" w:gutter="0" w:footer="0" w:header="0"/>
        </w:sectPr>
      </w:pPr>
    </w:p>
    <w:bookmarkStart w:id="401" w:name="page402"/>
    <w:bookmarkEnd w:id="401"/>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w:t>
      </w:r>
    </w:p>
    <w:p>
      <w:pPr>
        <w:spacing w:after="0" w:line="281" w:lineRule="auto"/>
        <w:rPr>
          <w:sz w:val="20"/>
          <w:szCs w:val="20"/>
          <w:color w:val="auto"/>
        </w:rPr>
      </w:pPr>
      <w:r>
        <w:rPr>
          <w:rFonts w:ascii="Arial" w:cs="Arial" w:eastAsia="Arial" w:hAnsi="Arial"/>
          <w:sz w:val="16"/>
          <w:szCs w:val="16"/>
          <w:color w:val="auto"/>
        </w:rPr>
        <w:t>by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w:t>
      </w:r>
    </w:p>
    <w:p>
      <w:pPr>
        <w:spacing w:after="0" w:line="4" w:lineRule="exact"/>
        <w:rPr>
          <w:sz w:val="20"/>
          <w:szCs w:val="20"/>
          <w:color w:val="auto"/>
        </w:rPr>
      </w:pPr>
    </w:p>
    <w:p>
      <w:pPr>
        <w:ind w:firstLine="8"/>
        <w:spacing w:after="0" w:line="252" w:lineRule="auto"/>
        <w:tabs>
          <w:tab w:leader="none" w:pos="21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93" w:lineRule="exact"/>
        <w:rPr>
          <w:rFonts w:ascii="Arial" w:cs="Arial" w:eastAsia="Arial" w:hAnsi="Arial"/>
          <w:sz w:val="18"/>
          <w:szCs w:val="18"/>
          <w:color w:val="auto"/>
        </w:rPr>
      </w:pPr>
    </w:p>
    <w:p>
      <w:pPr>
        <w:ind w:right="80" w:firstLine="464"/>
        <w:spacing w:after="0" w:line="268" w:lineRule="auto"/>
        <w:tabs>
          <w:tab w:leader="none" w:pos="711" w:val="left"/>
        </w:tabs>
        <w:numPr>
          <w:ilvl w:val="1"/>
          <w:numId w:val="372"/>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1940 Act.</w:t>
      </w:r>
    </w:p>
    <w:p>
      <w:pPr>
        <w:spacing w:after="0" w:line="183" w:lineRule="exact"/>
        <w:rPr>
          <w:rFonts w:ascii="Arial" w:cs="Arial" w:eastAsia="Arial" w:hAnsi="Arial"/>
          <w:sz w:val="17"/>
          <w:szCs w:val="17"/>
          <w:color w:val="auto"/>
        </w:rPr>
      </w:pPr>
    </w:p>
    <w:p>
      <w:pPr>
        <w:ind w:left="700" w:hanging="236"/>
        <w:spacing w:after="0"/>
        <w:tabs>
          <w:tab w:leader="none" w:pos="700" w:val="left"/>
        </w:tabs>
        <w:numPr>
          <w:ilvl w:val="1"/>
          <w:numId w:val="372"/>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5" w:lineRule="exact"/>
        <w:rPr>
          <w:sz w:val="20"/>
          <w:szCs w:val="20"/>
          <w:color w:val="auto"/>
        </w:rPr>
      </w:pPr>
    </w:p>
    <w:p>
      <w:pPr>
        <w:ind w:right="160" w:firstLine="8"/>
        <w:spacing w:after="0" w:line="261" w:lineRule="auto"/>
        <w:tabs>
          <w:tab w:leader="none" w:pos="25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above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(even if the Underwriters were treated as one entity for such purpose) or by any other method of allocation that does not take account of the equitable considerations referred to in paragraph (d) above.</w:t>
      </w:r>
    </w:p>
    <w:p>
      <w:pPr>
        <w:sectPr>
          <w:pgSz w:w="11900" w:h="16838" w:orient="portrait"/>
          <w:cols w:equalWidth="0" w:num="1">
            <w:col w:w="11400"/>
          </w:cols>
          <w:pgMar w:left="240" w:top="274" w:right="259" w:bottom="1440" w:gutter="0" w:footer="0" w:header="0"/>
        </w:sectPr>
      </w:pPr>
    </w:p>
    <w:bookmarkStart w:id="402" w:name="page403"/>
    <w:bookmarkEnd w:id="40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66" w:lineRule="exact"/>
        <w:rPr>
          <w:sz w:val="20"/>
          <w:szCs w:val="20"/>
          <w:color w:val="auto"/>
        </w:rPr>
      </w:pPr>
    </w:p>
    <w:p>
      <w:pPr>
        <w:ind w:right="240" w:firstLine="464"/>
        <w:spacing w:after="0" w:line="277" w:lineRule="auto"/>
        <w:tabs>
          <w:tab w:leader="none" w:pos="681"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170" w:lineRule="exact"/>
        <w:rPr>
          <w:sz w:val="20"/>
          <w:szCs w:val="20"/>
          <w:color w:val="auto"/>
        </w:rPr>
      </w:pPr>
    </w:p>
    <w:p>
      <w:pPr>
        <w:ind w:left="640" w:hanging="176"/>
        <w:spacing w:after="0"/>
        <w:tabs>
          <w:tab w:leader="none" w:pos="64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40" w:firstLine="464"/>
        <w:spacing w:after="0" w:line="253" w:lineRule="auto"/>
        <w:tabs>
          <w:tab w:leader="none" w:pos="726"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197" w:lineRule="exact"/>
        <w:rPr>
          <w:rFonts w:ascii="Arial" w:cs="Arial" w:eastAsia="Arial" w:hAnsi="Arial"/>
          <w:sz w:val="18"/>
          <w:szCs w:val="18"/>
          <w:color w:val="auto"/>
        </w:rPr>
      </w:pPr>
    </w:p>
    <w:p>
      <w:pPr>
        <w:ind w:left="720" w:hanging="256"/>
        <w:spacing w:after="0"/>
        <w:tabs>
          <w:tab w:leader="none" w:pos="72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87" w:lineRule="auto"/>
        <w:tabs>
          <w:tab w:leader="none" w:pos="70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ectPr>
          <w:pgSz w:w="11900" w:h="16838" w:orient="portrait"/>
          <w:cols w:equalWidth="0" w:num="1">
            <w:col w:w="11420"/>
          </w:cols>
          <w:pgMar w:left="240" w:top="273" w:right="239" w:bottom="1440" w:gutter="0" w:footer="0" w:header="0"/>
        </w:sectPr>
      </w:pPr>
    </w:p>
    <w:bookmarkStart w:id="403" w:name="page404"/>
    <w:bookmarkEnd w:id="403"/>
    <w:p>
      <w:pPr>
        <w:ind w:left="-8" w:right="60" w:firstLine="464"/>
        <w:spacing w:after="0" w:line="272" w:lineRule="auto"/>
        <w:tabs>
          <w:tab w:leader="none" w:pos="703" w:val="left"/>
        </w:tabs>
        <w:numPr>
          <w:ilvl w:val="0"/>
          <w:numId w:val="3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after giving effect to any arrangements for the purchase of the Securities of a defaulting Underwriter or Underwriters by the non-defaulting Underwriters and the Company as provided in paragraph (a) above, the [aggregate principal amount][aggregate number] of Securities that remain unpurchased on the Closing Date or the Additional Closing Date, as the case may be, does not exceed one-eleventh of the [aggregate principal amount] [aggregate number] of Securities to be purchased on such date, then the Company shall have the right to require each non-defaulting Underwriter to purchase the [aggregate principal amount][number] of Securities that such Underwriter agreed to purchase hereunder on such date plus such Underwriter’s pro rata share (based on the [aggregate principal amount][number] of Securities that such Underwriter agreed to purchase on such date) of the Securities of such defaulting Underwriter or Underwriters for which such arrangements have not been made.</w:t>
      </w:r>
    </w:p>
    <w:p>
      <w:pPr>
        <w:spacing w:after="0" w:line="177" w:lineRule="exact"/>
        <w:rPr>
          <w:rFonts w:ascii="Arial" w:cs="Arial" w:eastAsia="Arial" w:hAnsi="Arial"/>
          <w:sz w:val="17"/>
          <w:szCs w:val="17"/>
          <w:color w:val="auto"/>
        </w:rPr>
      </w:pPr>
    </w:p>
    <w:p>
      <w:pPr>
        <w:ind w:left="-8" w:firstLine="464"/>
        <w:spacing w:after="0" w:line="271" w:lineRule="auto"/>
        <w:tabs>
          <w:tab w:leader="none" w:pos="69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 non-defaulting Underwriters and the Company as provided in paragraph (a) above, the [aggregate principal amount][aggregate number] of Securities that remain unpurchased on the Closing Date or the Additional Closing Date, as the case may be, exceeds one-eleventh of the [aggregate principal amount][aggregate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78" w:lineRule="exact"/>
        <w:rPr>
          <w:rFonts w:ascii="Arial" w:cs="Arial" w:eastAsia="Arial" w:hAnsi="Arial"/>
          <w:sz w:val="17"/>
          <w:szCs w:val="17"/>
          <w:color w:val="auto"/>
        </w:rPr>
      </w:pPr>
    </w:p>
    <w:p>
      <w:pPr>
        <w:ind w:left="-8" w:right="140" w:firstLine="464"/>
        <w:spacing w:after="0" w:line="277" w:lineRule="auto"/>
        <w:tabs>
          <w:tab w:leader="none" w:pos="70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32" w:hanging="276"/>
        <w:spacing w:after="0"/>
        <w:tabs>
          <w:tab w:leader="none" w:pos="732"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left="-8" w:right="40" w:firstLine="464"/>
        <w:spacing w:after="0" w:line="283" w:lineRule="auto"/>
        <w:tabs>
          <w:tab w:leader="none" w:pos="693" w:val="left"/>
        </w:tabs>
        <w:numPr>
          <w:ilvl w:val="1"/>
          <w:numId w:val="379"/>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Warrant Securities issuable upon exercise of the Warrants]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[and any Warrant Securities issuable upon exercise of the Warrants]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in connection with the issuance and sale of any Underlying Securities;</w:t>
      </w:r>
    </w:p>
    <w:p>
      <w:pPr>
        <w:spacing w:after="0" w:line="5" w:lineRule="exact"/>
        <w:rPr>
          <w:rFonts w:ascii="Arial" w:cs="Arial" w:eastAsia="Arial" w:hAnsi="Arial"/>
          <w:sz w:val="16"/>
          <w:szCs w:val="16"/>
          <w:color w:val="auto"/>
        </w:rPr>
      </w:pPr>
    </w:p>
    <w:p>
      <w:pPr>
        <w:ind w:left="-8" w:right="160" w:firstLine="8"/>
        <w:spacing w:after="0" w:line="255" w:lineRule="auto"/>
        <w:tabs>
          <w:tab w:leader="none" w:pos="29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costs and charges of any transfer agent and any registrar in connection with the issuance and sale of any Underlying Securities; [(vii) all filing fees and the reasonable fees and expenses incurred in connection with any filing with, and clearance of the offering by, FINRA (such fees and expenses pursuant to this clause (vii)</w:t>
      </w:r>
    </w:p>
    <w:p>
      <w:pPr>
        <w:sectPr>
          <w:pgSz w:w="11900" w:h="16838" w:orient="portrait"/>
          <w:cols w:equalWidth="0" w:num="1">
            <w:col w:w="11392"/>
          </w:cols>
          <w:pgMar w:left="248" w:top="273" w:right="259" w:bottom="1440" w:gutter="0" w:footer="0" w:header="0"/>
        </w:sectPr>
      </w:pPr>
    </w:p>
    <w:bookmarkStart w:id="404" w:name="page405"/>
    <w:bookmarkEnd w:id="40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clause (iv), in the aggregate, shall not exceed $[ ])]; (viii) all expenses incurred by the Company in connection with any “road show” presentation to potential investors,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Underwriters shall be responsible for 50% of the third-party costs of any chartered private aircraft incurred in connection with such road show; (ix) the fees and expenses of the Trustee with respect to the Securities; and (x) all expenses and application fees related to the listing of the Securities, the Underlying Securities [or any Warrant Securities issuable upon exercise of the Warrants] on [applicable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79" w:lineRule="exact"/>
        <w:rPr>
          <w:sz w:val="20"/>
          <w:szCs w:val="20"/>
          <w:color w:val="auto"/>
        </w:rPr>
      </w:pPr>
    </w:p>
    <w:p>
      <w:pPr>
        <w:ind w:left="720" w:hanging="256"/>
        <w:spacing w:after="0"/>
        <w:tabs>
          <w:tab w:leader="none" w:pos="720" w:val="left"/>
        </w:tabs>
        <w:numPr>
          <w:ilvl w:val="1"/>
          <w:numId w:val="381"/>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w:t>
      </w:r>
    </w:p>
    <w:p>
      <w:pPr>
        <w:spacing w:after="0" w:line="46" w:lineRule="exact"/>
        <w:rPr>
          <w:rFonts w:ascii="Arial" w:cs="Arial" w:eastAsia="Arial" w:hAnsi="Arial"/>
          <w:sz w:val="16"/>
          <w:szCs w:val="16"/>
          <w:color w:val="auto"/>
        </w:rPr>
      </w:pPr>
    </w:p>
    <w:p>
      <w:pPr>
        <w:ind w:firstLine="8"/>
        <w:spacing w:after="0" w:line="253" w:lineRule="auto"/>
        <w:tabs>
          <w:tab w:leader="none" w:pos="26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91" w:lineRule="exact"/>
        <w:rPr>
          <w:sz w:val="20"/>
          <w:szCs w:val="20"/>
          <w:color w:val="auto"/>
        </w:rPr>
      </w:pPr>
    </w:p>
    <w:p>
      <w:pPr>
        <w:ind w:right="120" w:firstLine="464"/>
        <w:spacing w:after="0" w:line="279" w:lineRule="auto"/>
        <w:tabs>
          <w:tab w:leader="none" w:pos="726"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1" w:lineRule="exact"/>
        <w:rPr>
          <w:rFonts w:ascii="Arial" w:cs="Arial" w:eastAsia="Arial" w:hAnsi="Arial"/>
          <w:sz w:val="17"/>
          <w:szCs w:val="17"/>
          <w:color w:val="auto"/>
        </w:rPr>
      </w:pPr>
    </w:p>
    <w:p>
      <w:pPr>
        <w:jc w:val="both"/>
        <w:ind w:right="280" w:firstLine="464"/>
        <w:spacing w:after="0" w:line="279" w:lineRule="auto"/>
        <w:tabs>
          <w:tab w:leader="none" w:pos="726"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71" w:lineRule="exact"/>
        <w:rPr>
          <w:rFonts w:ascii="Arial" w:cs="Arial" w:eastAsia="Arial" w:hAnsi="Arial"/>
          <w:sz w:val="17"/>
          <w:szCs w:val="17"/>
          <w:color w:val="auto"/>
        </w:rPr>
      </w:pPr>
    </w:p>
    <w:p>
      <w:pPr>
        <w:ind w:right="60" w:firstLine="464"/>
        <w:spacing w:after="0" w:line="286" w:lineRule="auto"/>
        <w:tabs>
          <w:tab w:leader="none" w:pos="726"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59" w:lineRule="auto"/>
        <w:tabs>
          <w:tab w:leader="none" w:pos="701"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Representative[s] at [address of underwriter]. Notices to the Company or the Adviser shall be given to either of them at TPG Specialty Lending, Inc., 345 California Street, Suite 3300, San Francisco, California 94104 (fax: (917) 463-0175), Attention: David Stiepleman.</w:t>
      </w:r>
    </w:p>
    <w:p>
      <w:pPr>
        <w:sectPr>
          <w:pgSz w:w="11900" w:h="16838" w:orient="portrait"/>
          <w:cols w:equalWidth="0" w:num="1">
            <w:col w:w="11380"/>
          </w:cols>
          <w:pgMar w:left="240" w:top="274" w:right="279" w:bottom="1440" w:gutter="0" w:footer="0" w:header="0"/>
        </w:sectPr>
      </w:pPr>
    </w:p>
    <w:bookmarkStart w:id="405" w:name="page406"/>
    <w:bookmarkEnd w:id="405"/>
    <w:p>
      <w:pPr>
        <w:ind w:left="-40" w:firstLine="464"/>
        <w:spacing w:after="0" w:line="264" w:lineRule="auto"/>
        <w:tabs>
          <w:tab w:leader="none" w:pos="671"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rFonts w:ascii="Arial" w:cs="Arial" w:eastAsia="Arial" w:hAnsi="Arial"/>
          <w:sz w:val="18"/>
          <w:szCs w:val="18"/>
          <w:color w:val="auto"/>
        </w:rPr>
      </w:pPr>
    </w:p>
    <w:p>
      <w:pPr>
        <w:ind w:left="-40" w:right="660" w:firstLine="464"/>
        <w:spacing w:after="0" w:line="308" w:lineRule="auto"/>
        <w:tabs>
          <w:tab w:leader="none" w:pos="661" w:val="left"/>
        </w:tabs>
        <w:numPr>
          <w:ilvl w:val="0"/>
          <w:numId w:val="385"/>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left="-40" w:right="1340" w:firstLine="464"/>
        <w:spacing w:after="0" w:line="308" w:lineRule="auto"/>
        <w:tabs>
          <w:tab w:leader="none" w:pos="671" w:val="left"/>
        </w:tabs>
        <w:numPr>
          <w:ilvl w:val="0"/>
          <w:numId w:val="385"/>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left="-40" w:right="320" w:firstLine="464"/>
        <w:spacing w:after="0" w:line="277" w:lineRule="auto"/>
        <w:tabs>
          <w:tab w:leader="none" w:pos="661"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40" w:right="620" w:firstLine="464"/>
        <w:spacing w:after="0" w:line="277" w:lineRule="auto"/>
        <w:tabs>
          <w:tab w:leader="none" w:pos="641"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1340"/>
          </w:cols>
          <w:pgMar w:left="280" w:top="274" w:right="279" w:bottom="1440" w:gutter="0" w:footer="0" w:header="0"/>
        </w:sectPr>
      </w:pPr>
    </w:p>
    <w:bookmarkStart w:id="406" w:name="page407"/>
    <w:bookmarkEnd w:id="40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-130810</wp:posOffset>
            </wp:positionV>
            <wp:extent cx="26930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-130810</wp:posOffset>
            </wp:positionV>
            <wp:extent cx="26930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3" w:right="1440"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48" w:lineRule="exact"/>
        <w:rPr>
          <w:sz w:val="20"/>
          <w:szCs w:val="20"/>
          <w:color w:val="auto"/>
        </w:rPr>
      </w:pPr>
    </w:p>
    <w:p>
      <w:pPr>
        <w:ind w:left="640"/>
        <w:spacing w:after="0"/>
        <w:tabs>
          <w:tab w:leader="none" w:pos="5960" w:val="left"/>
        </w:tabs>
        <w:rPr>
          <w:sz w:val="20"/>
          <w:szCs w:val="20"/>
          <w:color w:val="auto"/>
        </w:rPr>
      </w:pPr>
      <w:r>
        <w:rPr>
          <w:rFonts w:ascii="Arial" w:cs="Arial" w:eastAsia="Arial" w:hAnsi="Arial"/>
          <w:sz w:val="14"/>
          <w:szCs w:val="14"/>
          <w:u w:val="single" w:color="auto"/>
          <w:color w:val="auto"/>
        </w:rPr>
        <w:t>Underwriter</w:t>
      </w:r>
      <w:r>
        <w:rPr>
          <w:sz w:val="20"/>
          <w:szCs w:val="20"/>
          <w:color w:val="auto"/>
        </w:rPr>
        <w:tab/>
      </w:r>
      <w:r>
        <w:rPr>
          <w:rFonts w:ascii="Arial" w:cs="Arial" w:eastAsia="Arial" w:hAnsi="Arial"/>
          <w:sz w:val="14"/>
          <w:szCs w:val="14"/>
          <w:u w:val="single" w:color="auto"/>
          <w:color w:val="auto"/>
        </w:rPr>
        <w:t>Aggregate Principal Amount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1247775</wp:posOffset>
            </wp:positionV>
            <wp:extent cx="153479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153479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31750</wp:posOffset>
            </wp:positionV>
            <wp:extent cx="153479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273" w:right="2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252" w:lineRule="exact"/>
        <w:rPr>
          <w:sz w:val="20"/>
          <w:szCs w:val="20"/>
          <w:color w:val="auto"/>
        </w:rPr>
      </w:pPr>
    </w:p>
    <w:p>
      <w:pPr>
        <w:ind w:left="460" w:hanging="452"/>
        <w:spacing w:after="0"/>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TSL MR, LLC</w:t>
      </w:r>
    </w:p>
    <w:p>
      <w:pPr>
        <w:sectPr>
          <w:pgSz w:w="11900" w:h="16838" w:orient="portrait"/>
          <w:cols w:equalWidth="0" w:num="1">
            <w:col w:w="11420"/>
          </w:cols>
          <w:pgMar w:left="240" w:top="274"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[List of persons and entities subject to lock-up]</w:t>
      </w:r>
    </w:p>
    <w:p>
      <w:pPr>
        <w:sectPr>
          <w:pgSz w:w="11900" w:h="16838" w:orient="portrait"/>
          <w:cols w:equalWidth="0" w:num="1">
            <w:col w:w="10220"/>
          </w:cols>
          <w:pgMar w:left="1440" w:top="274" w:right="2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Aggregate Principal Amount Senior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Aggregate Principal Amount Subordinated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211" w:lineRule="exact"/>
        <w:rPr>
          <w:sz w:val="20"/>
          <w:szCs w:val="20"/>
          <w:color w:val="auto"/>
        </w:rPr>
      </w:pPr>
    </w:p>
    <w:p>
      <w:pPr>
        <w:ind w:left="460"/>
        <w:spacing w:after="0"/>
        <w:tabs>
          <w:tab w:leader="none" w:pos="4980" w:val="left"/>
        </w:tabs>
        <w:rPr>
          <w:sz w:val="20"/>
          <w:szCs w:val="20"/>
          <w:color w:val="auto"/>
        </w:rPr>
      </w:pPr>
      <w:r>
        <w:rPr>
          <w:rFonts w:ascii="Arial" w:cs="Arial" w:eastAsia="Arial" w:hAnsi="Arial"/>
          <w:sz w:val="18"/>
          <w:szCs w:val="18"/>
          <w:color w:val="auto"/>
        </w:rPr>
        <w:t>1. The aggregate principal amount of the Securities is $</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right="560" w:firstLine="464"/>
        <w:spacing w:after="0" w:line="277" w:lineRule="auto"/>
        <w:tabs>
          <w:tab w:leader="none" w:pos="63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public offering price for the Securities shall be •% of the aggregate principal amount thereof plus accrued interest, if any, from the date of issuance.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purchase price for the Securities to be paid by the several Underwriters shall be •% of the aggregate principal amount thereof.</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2520" w:type="dxa"/>
            <w:vAlign w:val="bottom"/>
          </w:tcPr>
          <w:p>
            <w:pPr>
              <w:ind w:left="20"/>
              <w:spacing w:after="0"/>
              <w:rPr>
                <w:sz w:val="20"/>
                <w:szCs w:val="20"/>
                <w:color w:val="auto"/>
              </w:rPr>
            </w:pPr>
            <w:r>
              <w:rPr>
                <w:rFonts w:ascii="Arial" w:cs="Arial" w:eastAsia="Arial" w:hAnsi="Arial"/>
                <w:sz w:val="18"/>
                <w:szCs w:val="18"/>
                <w:color w:val="auto"/>
              </w:rPr>
              <w:t>The interest rate is   %.</w:t>
            </w:r>
          </w:p>
        </w:tc>
        <w:tc>
          <w:tcPr>
            <w:tcW w:w="2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520" w:type="dxa"/>
            <w:vAlign w:val="bottom"/>
          </w:tcPr>
          <w:p>
            <w:pPr>
              <w:ind w:left="20"/>
              <w:spacing w:after="0"/>
              <w:rPr>
                <w:sz w:val="20"/>
                <w:szCs w:val="20"/>
                <w:color w:val="auto"/>
              </w:rPr>
            </w:pPr>
            <w:r>
              <w:rPr>
                <w:rFonts w:ascii="Arial" w:cs="Arial" w:eastAsia="Arial" w:hAnsi="Arial"/>
                <w:sz w:val="18"/>
                <w:szCs w:val="18"/>
                <w:color w:val="auto"/>
                <w:w w:val="99"/>
              </w:rPr>
              <w:t>The interest payment dates are</w:t>
            </w:r>
          </w:p>
        </w:tc>
        <w:tc>
          <w:tcPr>
            <w:tcW w:w="2140" w:type="dxa"/>
            <w:vAlign w:val="bottom"/>
          </w:tcPr>
          <w:p>
            <w:pPr>
              <w:ind w:left="280"/>
              <w:spacing w:after="0"/>
              <w:rPr>
                <w:sz w:val="20"/>
                <w:szCs w:val="20"/>
                <w:color w:val="auto"/>
              </w:rPr>
            </w:pPr>
            <w:r>
              <w:rPr>
                <w:rFonts w:ascii="Arial" w:cs="Arial" w:eastAsia="Arial" w:hAnsi="Arial"/>
                <w:sz w:val="18"/>
                <w:szCs w:val="18"/>
                <w:color w:val="auto"/>
              </w:rPr>
              <w:t>. The record dates are</w:t>
            </w:r>
          </w:p>
        </w:tc>
        <w:tc>
          <w:tcPr>
            <w:tcW w:w="3400" w:type="dxa"/>
            <w:vAlign w:val="bottom"/>
            <w:gridSpan w:val="2"/>
          </w:tcPr>
          <w:p>
            <w:pPr>
              <w:ind w:left="280"/>
              <w:spacing w:after="0"/>
              <w:rPr>
                <w:sz w:val="20"/>
                <w:szCs w:val="20"/>
                <w:color w:val="auto"/>
              </w:rPr>
            </w:pPr>
            <w:r>
              <w:rPr>
                <w:rFonts w:ascii="Arial" w:cs="Arial" w:eastAsia="Arial" w:hAnsi="Arial"/>
                <w:sz w:val="18"/>
                <w:szCs w:val="18"/>
                <w:color w:val="auto"/>
              </w:rPr>
              <w:t>. The first interest payment date will be</w:t>
            </w:r>
          </w:p>
        </w:tc>
        <w:tc>
          <w:tcPr>
            <w:tcW w:w="2680" w:type="dxa"/>
            <w:vAlign w:val="bottom"/>
          </w:tcPr>
          <w:p>
            <w:pPr>
              <w:jc w:val="right"/>
              <w:ind w:right="2250"/>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7180" w:type="dxa"/>
            <w:vAlign w:val="bottom"/>
            <w:gridSpan w:val="3"/>
          </w:tcPr>
          <w:p>
            <w:pPr>
              <w:ind w:left="20"/>
              <w:spacing w:after="0"/>
              <w:rPr>
                <w:sz w:val="20"/>
                <w:szCs w:val="20"/>
                <w:color w:val="auto"/>
              </w:rPr>
            </w:pPr>
            <w:r>
              <w:rPr>
                <w:rFonts w:ascii="Arial" w:cs="Arial" w:eastAsia="Arial" w:hAnsi="Arial"/>
                <w:sz w:val="18"/>
                <w:szCs w:val="18"/>
                <w:color w:val="auto"/>
                <w:w w:val="94"/>
              </w:rPr>
              <w:t>The Securities may be redeemed in whole or in part at any time or from time to time on or after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w w:val="96"/>
              </w:rPr>
              <w:t>, upon not less than 30 nor more than 60 days</w:t>
            </w:r>
          </w:p>
        </w:tc>
      </w:tr>
    </w:tbl>
    <w:p>
      <w:pPr>
        <w:spacing w:after="0"/>
        <w:rPr>
          <w:sz w:val="20"/>
          <w:szCs w:val="20"/>
          <w:color w:val="auto"/>
        </w:rPr>
      </w:pPr>
      <w:r>
        <w:rPr>
          <w:rFonts w:ascii="Arial" w:cs="Arial" w:eastAsia="Arial" w:hAnsi="Arial"/>
          <w:sz w:val="18"/>
          <w:szCs w:val="18"/>
          <w:color w:val="auto"/>
        </w:rPr>
        <w:t>written notice, at a redemption price of per security plus accrued and unpaid interest.</w:t>
      </w:r>
    </w:p>
    <w:p>
      <w:pPr>
        <w:spacing w:after="0" w:line="211" w:lineRule="exact"/>
        <w:rPr>
          <w:sz w:val="20"/>
          <w:szCs w:val="20"/>
          <w:color w:val="auto"/>
        </w:rPr>
      </w:pPr>
    </w:p>
    <w:p>
      <w:pPr>
        <w:ind w:left="640" w:hanging="176"/>
        <w:spacing w:after="0"/>
        <w:tabs>
          <w:tab w:leader="none" w:pos="6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trade date is •.</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closing date will be •.</w:t>
      </w:r>
    </w:p>
    <w:p>
      <w:pPr>
        <w:sectPr>
          <w:pgSz w:w="11900" w:h="16838" w:orient="portrait"/>
          <w:cols w:equalWidth="0" w:num="1">
            <w:col w:w="11420"/>
          </w:cols>
          <w:pgMar w:left="240" w:top="270" w:right="2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(k)(12)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RESPONSE TO NOTICE INCREASE REQUEST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 N.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Ashcom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Number: (404) 581-1775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color w:val="auto"/>
        </w:rPr>
        <w:t>We refer to (a) that certain Second Amended and Restated Senior Secured Revolving Credit Agreement, dated as February 27, 2014 (as amended, supplemented, amended and restated,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in this response and not otherwise defined have the meanings for such terms set forth in the Credit Agreement), by and among the Company, the Lenders from time to time party thereto and SunTrust Bank,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(b) the Notice of Commitment Increase Request, dated as of May 28, 2014, provided by the Company to the Administrative Agent (the “</w:t>
      </w: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Notice and Section 2.08(e) of the Credit Agreement, we deliver this response (this “</w:t>
      </w:r>
      <w:r>
        <w:rPr>
          <w:rFonts w:ascii="Arial" w:cs="Arial" w:eastAsia="Arial" w:hAnsi="Arial"/>
          <w:sz w:val="17"/>
          <w:szCs w:val="17"/>
          <w:u w:val="single" w:color="auto"/>
          <w:color w:val="auto"/>
        </w:rPr>
        <w:t>Response Letter</w:t>
      </w:r>
      <w:r>
        <w:rPr>
          <w:rFonts w:ascii="Arial" w:cs="Arial" w:eastAsia="Arial" w:hAnsi="Arial"/>
          <w:sz w:val="17"/>
          <w:szCs w:val="17"/>
          <w:color w:val="auto"/>
        </w:rPr>
        <w:t>”) to confirm that each of the</w:t>
      </w:r>
    </w:p>
    <w:p>
      <w:pPr>
        <w:spacing w:after="0" w:line="3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Company and [</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Assuming Lender</w:t>
      </w:r>
      <w:r>
        <w:rPr>
          <w:rFonts w:ascii="Arial" w:cs="Arial" w:eastAsia="Arial" w:hAnsi="Arial"/>
          <w:sz w:val="16"/>
          <w:szCs w:val="16"/>
          <w:color w:val="auto"/>
        </w:rPr>
        <w:t>”) agrees that, effective upon the satisfaction of the conditions set forth in Sections 2.08(e)(i) and (ii) of the</w:t>
      </w:r>
    </w:p>
    <w:p>
      <w:pPr>
        <w:spacing w:after="0" w:line="9"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Credit Agreement, the Assuming Lender shall assume a Multicurrency Commitment under the Credit Agreement equal to [ ] and shall for all purposes be deemed a “Multicurrency Lender” under the Credit Agreement and any other documents or instruments delivered pursuant thereto.</w:t>
      </w:r>
    </w:p>
    <w:p>
      <w:pPr>
        <w:spacing w:after="0" w:line="16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This Response Letter shall be binding upon, and inure to the benefit of, the parties hereto and their respective successors and assigns. This Response Letter may be executed in any number of counterparts, which together shall constitute one instrument. Delivery of an executed counterpart of a signature page of this Response Letter by telecopy, email, or other electronic method of transmission shall be effective as delivery of a manually executed counterpart of this Response Letter. This Response Letter shall be governed by, and construed in accordance with, the laws of the State of New York.</w:t>
      </w:r>
    </w:p>
    <w:p>
      <w:pPr>
        <w:sectPr>
          <w:pgSz w:w="11900" w:h="16838" w:orient="portrait"/>
          <w:cols w:equalWidth="0" w:num="1">
            <w:col w:w="11420"/>
          </w:cols>
          <w:pgMar w:left="240" w:top="121" w:right="239" w:bottom="1440" w:gutter="0" w:footer="0" w:header="0"/>
        </w:sectPr>
      </w:pPr>
    </w:p>
    <w:bookmarkStart w:id="413" w:name="page414"/>
    <w:bookmarkEnd w:id="413"/>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1" w:lineRule="exact"/>
        <w:rPr>
          <w:sz w:val="20"/>
          <w:szCs w:val="20"/>
          <w:color w:val="auto"/>
        </w:rPr>
      </w:pPr>
    </w:p>
    <w:p>
      <w:pPr>
        <w:jc w:val="right"/>
        <w:ind w:right="2540"/>
        <w:spacing w:after="0"/>
        <w:rPr>
          <w:sz w:val="20"/>
          <w:szCs w:val="20"/>
          <w:color w:val="auto"/>
        </w:rPr>
      </w:pPr>
      <w:r>
        <w:rPr>
          <w:rFonts w:ascii="Arial" w:cs="Arial" w:eastAsia="Arial" w:hAnsi="Arial"/>
          <w:sz w:val="18"/>
          <w:szCs w:val="18"/>
          <w:b w:val="1"/>
          <w:bCs w:val="1"/>
          <w:color w:val="auto"/>
        </w:rPr>
        <w:t>CITY NATIONAL BANK</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Brandon L. Feitelson, C.F.A.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Brandon L. Feitelson, C.F.A.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SPECIALTY LENDING,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273" w:right="239" w:bottom="1440" w:gutter="0" w:footer="0" w:header="0"/>
        </w:sectPr>
      </w:pPr>
    </w:p>
    <w:bookmarkStart w:id="414" w:name="page415"/>
    <w:bookmarkEnd w:id="414"/>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COMERICA BANK</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Timothy O’Rourke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Timothy O’Rourke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415" w:name="page416"/>
    <w:bookmarkEnd w:id="415"/>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NATIONAL</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ASSOCIATION</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Edwin Soogrim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Edwin Soogrim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416" w:name="page417"/>
    <w:bookmarkEnd w:id="416"/>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R. Fayen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James R. Fayen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Deputy General Manager</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417" w:name="page418"/>
    <w:bookmarkEnd w:id="417"/>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PATRIOT BANK</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Bill Holbert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Bill Holbert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5" w:right="239" w:bottom="1440" w:gutter="0" w:footer="0" w:header="0"/>
        </w:sectPr>
      </w:pPr>
    </w:p>
    <w:bookmarkStart w:id="418" w:name="page419"/>
    <w:bookmarkEnd w:id="418"/>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SANTANDER BANK, N.A.</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Gilbert Torres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Gilbert Torres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(k)(13)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SECOND AMENDED AND RESTATED SENIOR SECURED REVOLVING CREDIT AGREEMENT</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FIRST AMENDMENT TO SECOND AMENDED AND RESTATED SENIOR SECURED REVOLVING CREDIT AGREEMENT, dated as of June 3, 2014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the Existing Credit Agreement (capitalized terms used herein and not otherwise defined shall have the meanings given to such terms in </w:t>
      </w:r>
      <w:r>
        <w:rPr>
          <w:rFonts w:ascii="Arial" w:cs="Arial" w:eastAsia="Arial" w:hAnsi="Arial"/>
          <w:sz w:val="18"/>
          <w:szCs w:val="18"/>
          <w:u w:val="single" w:color="auto"/>
          <w:color w:val="auto"/>
        </w:rPr>
        <w:t>Article I</w:t>
      </w:r>
      <w:r>
        <w:rPr>
          <w:rFonts w:ascii="Arial" w:cs="Arial" w:eastAsia="Arial" w:hAnsi="Arial"/>
          <w:sz w:val="18"/>
          <w:szCs w:val="18"/>
          <w:color w:val="auto"/>
        </w:rPr>
        <w:t>) is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SUNTRUST BANK, as Administrative Agent and, for purposes of Article III, as Collateral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WHEREAS, the Borrower, the Lenders and the Administrative Agent are parties to the Second Amended and Restated Senior Secured Revolving Credit Agreement, dated as of February 27, 2014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as amended by this Amendment and as the same may be further amended, supplemented, amended and restated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66"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WHEREAS, the Borrower, Administrative Agent, each subsidiary of the Borrower from time to time party thereto, each holder (or a representative or trustee therefor) from time to time of any Secured Longer-Term Indebtedness or Secured Shorter-Term Indebtedness and the Collateral Agent are parties to the Amended and Restated Guarantee and Security Agreement, dated as of July 2, 2013 (the “</w:t>
      </w:r>
      <w:r>
        <w:rPr>
          <w:rFonts w:ascii="Arial" w:cs="Arial" w:eastAsia="Arial" w:hAnsi="Arial"/>
          <w:sz w:val="16"/>
          <w:szCs w:val="16"/>
          <w:u w:val="single" w:color="auto"/>
          <w:color w:val="auto"/>
        </w:rPr>
        <w:t>Guarantee and Security Agreement</w:t>
      </w:r>
      <w:r>
        <w:rPr>
          <w:rFonts w:ascii="Arial" w:cs="Arial" w:eastAsia="Arial" w:hAnsi="Arial"/>
          <w:sz w:val="16"/>
          <w:szCs w:val="16"/>
          <w:color w:val="auto"/>
        </w:rPr>
        <w:t>”); and</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the Borrower has requested that the Lenders agree to amend the Existing Credit Agreement and to direct the Collateral Agent to amend the Guarantee and Security Agreement, and the Lenders are willing, on the terms and subject to the conditions hereinafter set forth, to agree to the amendments set forth below and the other terms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hereby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The following terms when used in this Amendment shall have the following meanings (such meanings to be equally applicable to the singular and plural forms thereof):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20" w:name="page421"/>
    <w:bookmarkEnd w:id="4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second recital</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 Capitalized terms for which meanings are provided in the Existing Credit Agreement are, unless otherwise defined herein or the context otherwise requires, used in this Amendment with such meanings.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TO EXISTING CREDIT AGREEMENT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Subject to the occurrence of the First Amendment Effective Date (as hereinafter defined), the Existing Credit Agreement is amended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Amendments to Section 1.01</w:t>
      </w:r>
      <w:r>
        <w:rPr>
          <w:rFonts w:ascii="Arial" w:cs="Arial" w:eastAsia="Arial" w:hAnsi="Arial"/>
          <w:sz w:val="18"/>
          <w:szCs w:val="18"/>
          <w:color w:val="auto"/>
        </w:rPr>
        <w:t>. Section 1.01 of the Existing Credit Agreement is hereby amended as follows: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The definition of “Covered Debt Amount” in Section 1.01 of the Existing Credit Agreement is hereby amended and restated as follows:</w:t>
      </w:r>
    </w:p>
    <w:p>
      <w:pPr>
        <w:spacing w:after="0" w:line="129"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Debt Amount</w:t>
      </w:r>
      <w:r>
        <w:rPr>
          <w:rFonts w:ascii="Arial" w:cs="Arial" w:eastAsia="Arial" w:hAnsi="Arial"/>
          <w:sz w:val="16"/>
          <w:szCs w:val="16"/>
          <w:color w:val="auto"/>
        </w:rPr>
        <w:t xml:space="preserve">” means, on any date, the sum of (x) all of the Revolving Credit Exposures of all Lenders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of Other Covered Indebtedness, the 2019 Convertible Notes and Unsecured Longer Term Indebtedness on such date </w:t>
      </w:r>
      <w:r>
        <w:rPr>
          <w:rFonts w:ascii="Arial" w:cs="Arial" w:eastAsia="Arial" w:hAnsi="Arial"/>
          <w:sz w:val="16"/>
          <w:szCs w:val="16"/>
          <w:u w:val="single" w:color="auto"/>
          <w:color w:val="auto"/>
        </w:rPr>
        <w:t>minus</w:t>
      </w:r>
    </w:p>
    <w:p>
      <w:pPr>
        <w:ind w:left="920" w:firstLine="1"/>
        <w:spacing w:after="0" w:line="268" w:lineRule="auto"/>
        <w:tabs>
          <w:tab w:leader="none" w:pos="1165"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the LC Exposures fully Cash Collateralized on such date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and the last paragraph of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2019 Convertible Notes and Unsecured Longer-Term Indebtedness shall be excluded from the calculation of the Covered Debt Amount, in each case, until the date that is nine (9) months prior to the scheduled maturity date of the 2019 Convertible Notes or such Unsecured Longer-Term Indebtedness, as applicable (provided that, to the extent, but only to the extent, any portion of the 2019 Convertible Notes or Unsecured Longer-Term Indebtedness is subject to a contractually scheduled amortization payment or other principal payment or mandatory redemption (other than in common stock of the Borrower) earlier than six (6) months after the Final Maturity Date, such portion of such Indebtedness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ectPr>
          <w:pgSz w:w="11900" w:h="16838" w:orient="portrait"/>
          <w:cols w:equalWidth="0" w:num="1">
            <w:col w:w="11380"/>
          </w:cols>
          <w:pgMar w:left="240" w:top="273" w:right="279" w:bottom="1440" w:gutter="0" w:footer="0" w:header="0"/>
        </w:sectPr>
      </w:pPr>
    </w:p>
    <w:bookmarkStart w:id="421" w:name="page422"/>
    <w:bookmarkEnd w:id="421"/>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Section 1.01 of the Existing Credit Agreement is hereby amended by adding the following new definitions in the appropriate alphabetical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order:</w:t>
      </w:r>
    </w:p>
    <w:p>
      <w:pPr>
        <w:spacing w:after="0" w:line="103" w:lineRule="exact"/>
        <w:rPr>
          <w:sz w:val="20"/>
          <w:szCs w:val="20"/>
          <w:color w:val="auto"/>
        </w:rPr>
      </w:pPr>
    </w:p>
    <w:p>
      <w:pPr>
        <w:ind w:left="920" w:right="240" w:firstLine="4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2019 Convertible Notes</w:t>
      </w:r>
      <w:r>
        <w:rPr>
          <w:rFonts w:ascii="Arial" w:cs="Arial" w:eastAsia="Arial" w:hAnsi="Arial"/>
          <w:sz w:val="17"/>
          <w:szCs w:val="17"/>
          <w:color w:val="auto"/>
        </w:rPr>
        <w:t>” means the Borrower’s $100,000,000 aggregate principal amount convertible notes due December 2019 to be issued in June 2014 and any additional notes issued as a result of the exercise of the initial purchasers’ overallotment option.</w:t>
      </w:r>
    </w:p>
    <w:p>
      <w:pPr>
        <w:spacing w:after="0" w:line="38" w:lineRule="exact"/>
        <w:rPr>
          <w:sz w:val="20"/>
          <w:szCs w:val="20"/>
          <w:color w:val="auto"/>
        </w:rPr>
      </w:pPr>
    </w:p>
    <w:p>
      <w:pPr>
        <w:ind w:left="920" w:right="2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Equity Interests</w:t>
      </w:r>
      <w:r>
        <w:rPr>
          <w:rFonts w:ascii="Arial" w:cs="Arial" w:eastAsia="Arial" w:hAnsi="Arial"/>
          <w:sz w:val="18"/>
          <w:szCs w:val="18"/>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7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Amendment to Section 6.02</w:t>
      </w:r>
      <w:r>
        <w:rPr>
          <w:rFonts w:ascii="Arial" w:cs="Arial" w:eastAsia="Arial" w:hAnsi="Arial"/>
          <w:sz w:val="18"/>
          <w:szCs w:val="18"/>
          <w:color w:val="auto"/>
        </w:rPr>
        <w:t>. Clause (i) of Section 6.02 of the Existing Credit Agreement is hereby amended and restated to read as follows:</w:t>
      </w:r>
    </w:p>
    <w:p>
      <w:pPr>
        <w:spacing w:after="0" w:line="62" w:lineRule="exact"/>
        <w:rPr>
          <w:sz w:val="20"/>
          <w:szCs w:val="20"/>
          <w:color w:val="auto"/>
        </w:rPr>
      </w:pPr>
    </w:p>
    <w:p>
      <w:pPr>
        <w:ind w:left="460" w:right="100" w:firstLine="438"/>
        <w:spacing w:after="0" w:line="286" w:lineRule="auto"/>
        <w:rPr>
          <w:sz w:val="20"/>
          <w:szCs w:val="20"/>
          <w:color w:val="auto"/>
        </w:rPr>
      </w:pPr>
      <w:r>
        <w:rPr>
          <w:rFonts w:ascii="Arial" w:cs="Arial" w:eastAsia="Arial" w:hAnsi="Arial"/>
          <w:sz w:val="16"/>
          <w:szCs w:val="16"/>
          <w:color w:val="auto"/>
        </w:rPr>
        <w:t xml:space="preserve">“(i) (x) Liens securing Hedging Agreements permitted under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and not otherwise permitted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in an aggregate amount not to exceed $5,000,000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Arial" w:cs="Arial" w:eastAsia="Arial" w:hAnsi="Arial"/>
          <w:sz w:val="16"/>
          <w:szCs w:val="16"/>
          <w:u w:val="single" w:color="auto"/>
          <w:color w:val="auto"/>
        </w:rPr>
        <w:t>sub-clause</w:t>
      </w:r>
    </w:p>
    <w:p>
      <w:pPr>
        <w:spacing w:after="0" w:line="2" w:lineRule="exact"/>
        <w:rPr>
          <w:sz w:val="20"/>
          <w:szCs w:val="20"/>
          <w:color w:val="auto"/>
        </w:rPr>
      </w:pPr>
    </w:p>
    <w:p>
      <w:pPr>
        <w:ind w:left="460" w:right="40" w:firstLine="4"/>
        <w:spacing w:after="0" w:line="271" w:lineRule="auto"/>
        <w:tabs>
          <w:tab w:leader="none" w:pos="715" w:val="left"/>
        </w:tabs>
        <w:numPr>
          <w:ilvl w:val="0"/>
          <w:numId w:val="390"/>
        </w:numPr>
        <w:rPr>
          <w:rFonts w:ascii="Arial" w:cs="Arial" w:eastAsia="Arial" w:hAnsi="Arial"/>
          <w:sz w:val="17"/>
          <w:szCs w:val="17"/>
          <w:u w:val="single" w:color="auto"/>
          <w:color w:val="auto"/>
        </w:rPr>
      </w:pPr>
      <w:r>
        <w:rPr>
          <w:rFonts w:ascii="Arial" w:cs="Arial" w:eastAsia="Arial" w:hAnsi="Arial"/>
          <w:sz w:val="17"/>
          <w:szCs w:val="17"/>
          <w:color w:val="auto"/>
        </w:rPr>
        <w:t xml:space="preserve">even if such Lender has assigned all of its Loans and other interests in the Credit Agreement and thus has ceased to be a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Obligor be permitted to create, incur or assume any Lien pursuant to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increase the aggregate amount of collateral securing any Liens previously permitted under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Amendment to Section 6.12</w:t>
      </w:r>
      <w:r>
        <w:rPr>
          <w:rFonts w:ascii="Arial" w:cs="Arial" w:eastAsia="Arial" w:hAnsi="Arial"/>
          <w:sz w:val="17"/>
          <w:szCs w:val="17"/>
          <w:color w:val="auto"/>
        </w:rPr>
        <w:t>. Section 6.12 of the Existing Credit Agreement is hereby amended and restated to read as follows:</w:t>
      </w:r>
    </w:p>
    <w:p>
      <w:pPr>
        <w:spacing w:after="0" w:line="129"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Payments of Longer-Term Indebtedness and 2019 Convertible Notes</w:t>
      </w:r>
      <w:r>
        <w:rPr>
          <w:rFonts w:ascii="Arial" w:cs="Arial" w:eastAsia="Arial" w:hAnsi="Arial"/>
          <w:sz w:val="18"/>
          <w:szCs w:val="18"/>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or the 2019 Convertible Notes (other than the refinancing of Secured Longer-Term Indebtedness, Unsecured Longer-Term Indebtedness or the 2019 Convertible Notes with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w:t>
      </w:r>
    </w:p>
    <w:p>
      <w:pPr>
        <w:sectPr>
          <w:pgSz w:w="11900" w:h="16838" w:orient="portrait"/>
          <w:cols w:equalWidth="0" w:num="1">
            <w:col w:w="11400"/>
          </w:cols>
          <w:pgMar w:left="240" w:top="274" w:right="259" w:bottom="1440" w:gutter="0" w:footer="0" w:header="0"/>
        </w:sectPr>
      </w:pPr>
    </w:p>
    <w:bookmarkStart w:id="422" w:name="page423"/>
    <w:bookmarkEnd w:id="42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(b) so long as no Default shall exist or be continuing, any payment that, if treated as a Restricted Payment for purposes of </w:t>
      </w:r>
      <w:r>
        <w:rPr>
          <w:rFonts w:ascii="Arial" w:cs="Arial" w:eastAsia="Arial" w:hAnsi="Arial"/>
          <w:sz w:val="17"/>
          <w:szCs w:val="17"/>
          <w:u w:val="single" w:color="auto"/>
          <w:color w:val="auto"/>
        </w:rPr>
        <w:t>Section 6.05(d)</w:t>
      </w:r>
      <w:r>
        <w:rPr>
          <w:rFonts w:ascii="Arial" w:cs="Arial" w:eastAsia="Arial" w:hAnsi="Arial"/>
          <w:sz w:val="17"/>
          <w:szCs w:val="17"/>
          <w:color w:val="auto"/>
        </w:rPr>
        <w:t xml:space="preserve">, would be permitted to be made pursuant to the provisions set forth in </w:t>
      </w:r>
      <w:r>
        <w:rPr>
          <w:rFonts w:ascii="Arial" w:cs="Arial" w:eastAsia="Arial" w:hAnsi="Arial"/>
          <w:sz w:val="17"/>
          <w:szCs w:val="17"/>
          <w:u w:val="single" w:color="auto"/>
          <w:color w:val="auto"/>
        </w:rPr>
        <w:t>Section 6.05(d)</w:t>
      </w:r>
      <w:r>
        <w:rPr>
          <w:rFonts w:ascii="Arial" w:cs="Arial" w:eastAsia="Arial" w:hAnsi="Arial"/>
          <w:sz w:val="17"/>
          <w:szCs w:val="17"/>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and (ii) no Default shall exist or be continuing; and (d) mandatory payments, required prepayments or mandatory redemptions of the 2019 Convertible Notes and any other convertible notes constituting Unsecured Longer-Term Indebtedness in Cash (including any cash payment elected to be paid in connection with the settlement by the Borrower of any conversion at the option of any holder of such 2019 Convertible Notes or other convertible notes pursuant to the conversion features thereunder), so long as both before and after giving effect to such payment (i) no Event of Default shall exist or be continuing and (ii) the Covered Debt Amount does not exceed the Borrowing Base.”.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Amendment to Section 9.02(b)</w:t>
      </w:r>
      <w:r>
        <w:rPr>
          <w:rFonts w:ascii="Arial" w:cs="Arial" w:eastAsia="Arial" w:hAnsi="Arial"/>
          <w:sz w:val="16"/>
          <w:szCs w:val="16"/>
          <w:color w:val="auto"/>
        </w:rPr>
        <w:t>. Section 9.02(b) is hereby amended by adding the following new sentence at the end of such Section:</w:t>
      </w:r>
    </w:p>
    <w:p>
      <w:pPr>
        <w:spacing w:after="0" w:line="14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TO GUARANTEE AND SECURITY AGREEMENT</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Amendment of Collateral and Guarantee Agreement</w:t>
      </w:r>
      <w:r>
        <w:rPr>
          <w:rFonts w:ascii="Arial" w:cs="Arial" w:eastAsia="Arial" w:hAnsi="Arial"/>
          <w:sz w:val="18"/>
          <w:szCs w:val="18"/>
          <w:color w:val="auto"/>
        </w:rPr>
        <w:t>. The Lenders hereby consent to, and instruct the Collateral Agent to enter into, an amendment to the Guarantee and Security Agreement to amend and restate the definition of “Hedging Agreement Obligations” in Section 1.02 of the Guarantee and Security Agreement as follows:</w:t>
      </w:r>
    </w:p>
    <w:p>
      <w:pPr>
        <w:spacing w:after="0" w:line="73"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Agreement Obligations</w:t>
      </w:r>
      <w:r>
        <w:rPr>
          <w:rFonts w:ascii="Arial" w:cs="Arial" w:eastAsia="Arial" w:hAnsi="Arial"/>
          <w:sz w:val="17"/>
          <w:szCs w:val="17"/>
          <w:color w:val="auto"/>
        </w:rPr>
        <w:t xml:space="preserve">” means, collectively, all obligations of any Obligor to any Lender (or any Affiliate thereof) under any Hedging Agreement including in each case all fees, indemnification payments and other amounts whatsoever, whether direct or indirect, absolute or contingent, now or hereafter from time to time owing to such Lender (or any Affiliate thereof) under such Hedging Agreement, and including all interest and expenses accrued or incurred subsequent to the commencement of any bankruptcy or insolvency proceeding with respect to such Obligor, whether or not such interest or expenses are allowed as a claim in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any such obligations to constitute Hedging Agreement Obligations for purposes hereof, the Borrower (or any other Obligor) shall have delivered written notice to the Collateral Agent to the effect that such obligations constitute Hedging Agreement Obligations hereunder.</w:t>
      </w:r>
    </w:p>
    <w:p>
      <w:pPr>
        <w:sectPr>
          <w:pgSz w:w="11900" w:h="16838" w:orient="portrait"/>
          <w:cols w:equalWidth="0" w:num="1">
            <w:col w:w="11380"/>
          </w:cols>
          <w:pgMar w:left="240" w:top="273" w:right="279" w:bottom="1440" w:gutter="0" w:footer="0" w:header="0"/>
        </w:sectPr>
      </w:pPr>
    </w:p>
    <w:bookmarkStart w:id="423" w:name="page424"/>
    <w:bookmarkEnd w:id="423"/>
    <w:p>
      <w:pPr>
        <w:ind w:left="92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hereof, it is understood that any obligations of any Obligor to a Person arising under a Hedging Agreement entered into at the time such Person (or an Affiliate thereof) is a “Lender” party to the Credit Agreement shall nevertheless continue to constitute Hedging Agreement Obligations for purposes hereof, notwithstanding that such Person (or Affiliate) may have assigned all of its Loans and other interests in the Credit Agreement and therefore, at the time a claim is to be made in respect of such obligations, such Person (or its Affiliate) is no longer a “Lender” party to the Credit Agreement.”.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CONDITIONS TO EFFECTIVENESS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Effective Date</w:t>
      </w:r>
      <w:r>
        <w:rPr>
          <w:rFonts w:ascii="Arial" w:cs="Arial" w:eastAsia="Arial" w:hAnsi="Arial"/>
          <w:sz w:val="16"/>
          <w:szCs w:val="16"/>
          <w:color w:val="auto"/>
        </w:rPr>
        <w:t>. This Amendment shall become effective on the date (the “</w:t>
      </w:r>
      <w:r>
        <w:rPr>
          <w:rFonts w:ascii="Arial" w:cs="Arial" w:eastAsia="Arial" w:hAnsi="Arial"/>
          <w:sz w:val="16"/>
          <w:szCs w:val="16"/>
          <w:u w:val="single" w:color="auto"/>
          <w:color w:val="auto"/>
        </w:rPr>
        <w:t>First Amendment Effective Date</w:t>
      </w:r>
      <w:r>
        <w:rPr>
          <w:rFonts w:ascii="Arial" w:cs="Arial" w:eastAsia="Arial" w:hAnsi="Arial"/>
          <w:sz w:val="16"/>
          <w:szCs w:val="16"/>
          <w:color w:val="auto"/>
        </w:rPr>
        <w:t>”) when the Administrative Agent shall have received counterparts of this Amendment duly executed and delivered on behalf of the Borrower and each of the Lenders party hereto.</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Cross-References</w:t>
      </w:r>
      <w:r>
        <w:rPr>
          <w:rFonts w:ascii="Arial" w:cs="Arial" w:eastAsia="Arial" w:hAnsi="Arial"/>
          <w:sz w:val="18"/>
          <w:szCs w:val="18"/>
          <w:color w:val="auto"/>
        </w:rPr>
        <w:t>. References in this Amendment to any Article or Section are, unless otherwise specified, to such Article or Section of this Amendment.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Loan Document Pursuant to Existing Credit Agreement</w:t>
      </w:r>
      <w:r>
        <w:rPr>
          <w:rFonts w:ascii="Arial" w:cs="Arial" w:eastAsia="Arial" w:hAnsi="Arial"/>
          <w:sz w:val="18"/>
          <w:szCs w:val="18"/>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Amendment shall be binding upon and inure to the benefit of the parties hereto and their respective successors and assigns.</w:t>
      </w:r>
    </w:p>
    <w:p>
      <w:pPr>
        <w:spacing w:after="0" w:line="17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electronically (e.g. pdf) shall be effective as delivery of a manually executed counterpart of this Amendment.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New York.</w:t>
      </w:r>
    </w:p>
    <w:p>
      <w:pPr>
        <w:sectPr>
          <w:pgSz w:w="11900" w:h="16838" w:orient="portrait"/>
          <w:cols w:equalWidth="0" w:num="1">
            <w:col w:w="11380"/>
          </w:cols>
          <w:pgMar w:left="240" w:top="274" w:right="279" w:bottom="1440" w:gutter="0" w:footer="0" w:header="0"/>
        </w:sectPr>
      </w:pPr>
    </w:p>
    <w:bookmarkStart w:id="424" w:name="page425"/>
    <w:bookmarkEnd w:id="424"/>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5.6. </w:t>
      </w:r>
      <w:r>
        <w:rPr>
          <w:rFonts w:ascii="Arial" w:cs="Arial" w:eastAsia="Arial" w:hAnsi="Arial"/>
          <w:sz w:val="16"/>
          <w:szCs w:val="16"/>
          <w:u w:val="single" w:color="auto"/>
          <w:color w:val="auto"/>
        </w:rPr>
        <w:t>Full Force and Effect; Limited Amendment</w:t>
      </w:r>
      <w:r>
        <w:rPr>
          <w:rFonts w:ascii="Arial" w:cs="Arial" w:eastAsia="Arial" w:hAnsi="Arial"/>
          <w:sz w:val="16"/>
          <w:szCs w:val="16"/>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which would require the consent of the Lenders under the Existing Credit Agreement or any of the Loan Documents. Upon and after the execution of this Amendment by each of the parties hereto, each reference in the Existing Credit Agreement to “this Agreement”, “hereunder”, “hereof” or words of like import referring to the Existing Credit Agreement, and each reference in the other Loan Documents to “the Credit Agreement”, “thereunder”, “thereof” or words of like import referring to the Existing Credit Agreement, shall mean and be a reference to the Existing Credit Agreement as modified hereby.</w:t>
      </w:r>
    </w:p>
    <w:p>
      <w:pPr>
        <w:spacing w:after="0" w:line="16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Lenders to execute and deliver this Amendment, the Borrower hereby represents and warrants to the Lenders on the First Amendment Effective Date that (A) the representations and warranties contained in Article III of the Existing Credit Agreement and the other Loan Documents are true and correct in all material respects, except to the extent that such representations and warranties specifically refer to an earlier date, in which case they are true and correct in all material respects as of such earlier date and (B) no Default has occurred and is continuing.</w:t>
      </w:r>
    </w:p>
    <w:p>
      <w:pPr>
        <w:sectPr>
          <w:pgSz w:w="11900" w:h="16838" w:orient="portrait"/>
          <w:cols w:equalWidth="0" w:num="1">
            <w:col w:w="11400"/>
          </w:cols>
          <w:pgMar w:left="240" w:top="274" w:right="259" w:bottom="1440" w:gutter="0" w:footer="0" w:header="0"/>
        </w:sectPr>
      </w:pPr>
    </w:p>
    <w:bookmarkStart w:id="425" w:name="page426"/>
    <w:bookmarkEnd w:id="4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and delivered this Amendment as of the date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7980" w:type="dxa"/>
            <w:vAlign w:val="bottom"/>
            <w:gridSpan w:val="2"/>
          </w:tcPr>
          <w:p>
            <w:pPr>
              <w:ind w:left="2380"/>
              <w:spacing w:after="0"/>
              <w:rPr>
                <w:sz w:val="20"/>
                <w:szCs w:val="20"/>
                <w:color w:val="auto"/>
              </w:rPr>
            </w:pPr>
            <w:r>
              <w:rPr>
                <w:rFonts w:ascii="Arial" w:cs="Arial" w:eastAsia="Arial" w:hAnsi="Arial"/>
                <w:sz w:val="18"/>
                <w:szCs w:val="18"/>
                <w:b w:val="1"/>
                <w:bCs w:val="1"/>
                <w:color w:val="auto"/>
              </w:rPr>
              <w:t>TPG SPECIALTY LENDING, INC.</w:t>
            </w:r>
          </w:p>
        </w:tc>
      </w:tr>
      <w:tr>
        <w:trPr>
          <w:trHeight w:val="453"/>
        </w:trPr>
        <w:tc>
          <w:tcPr>
            <w:tcW w:w="10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860" w:type="dxa"/>
            <w:vAlign w:val="bottom"/>
          </w:tcPr>
          <w:p>
            <w:pPr>
              <w:ind w:left="23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Alan Kirshenbaum</w:t>
            </w:r>
          </w:p>
        </w:tc>
      </w:tr>
      <w:tr>
        <w:trPr>
          <w:trHeight w:val="195"/>
        </w:trPr>
        <w:tc>
          <w:tcPr>
            <w:tcW w:w="1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60" w:type="dxa"/>
            <w:vAlign w:val="bottom"/>
          </w:tcPr>
          <w:p>
            <w:pPr>
              <w:ind w:left="23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60" w:type="dxa"/>
            <w:vAlign w:val="bottom"/>
          </w:tcPr>
          <w:p>
            <w:pPr>
              <w:ind w:left="23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FIRST AMENDMENT – TPG</w:t>
      </w:r>
    </w:p>
    <w:p>
      <w:pPr>
        <w:sectPr>
          <w:pgSz w:w="11900" w:h="16838" w:orient="portrait"/>
          <w:cols w:equalWidth="0" w:num="1">
            <w:col w:w="11420"/>
          </w:cols>
          <w:pgMar w:left="240" w:top="273" w:right="23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Arial" w:cs="Arial" w:eastAsia="Arial" w:hAnsi="Arial"/>
                <w:sz w:val="18"/>
                <w:szCs w:val="18"/>
                <w:color w:val="auto"/>
              </w:rPr>
              <w:t>LENDERS:</w:t>
            </w:r>
          </w:p>
        </w:tc>
        <w:tc>
          <w:tcPr>
            <w:tcW w:w="8080" w:type="dxa"/>
            <w:vAlign w:val="bottom"/>
            <w:gridSpan w:val="2"/>
          </w:tcPr>
          <w:p>
            <w:pPr>
              <w:ind w:left="2480"/>
              <w:spacing w:after="0"/>
              <w:rPr>
                <w:sz w:val="20"/>
                <w:szCs w:val="20"/>
                <w:color w:val="auto"/>
              </w:rPr>
            </w:pPr>
            <w:r>
              <w:rPr>
                <w:rFonts w:ascii="Arial" w:cs="Arial" w:eastAsia="Arial" w:hAnsi="Arial"/>
                <w:sz w:val="18"/>
                <w:szCs w:val="18"/>
                <w:b w:val="1"/>
                <w:bCs w:val="1"/>
                <w:color w:val="auto"/>
              </w:rPr>
              <w:t>SUNTRUST BANK</w:t>
            </w:r>
          </w:p>
        </w:tc>
      </w:tr>
      <w:tr>
        <w:trPr>
          <w:trHeight w:val="222"/>
        </w:trPr>
        <w:tc>
          <w:tcPr>
            <w:tcW w:w="820" w:type="dxa"/>
            <w:vAlign w:val="bottom"/>
            <w:tcBorders>
              <w:top w:val="single" w:sz="8" w:color="auto"/>
            </w:tcBorders>
          </w:tcPr>
          <w:p>
            <w:pPr>
              <w:spacing w:after="0"/>
              <w:rPr>
                <w:sz w:val="19"/>
                <w:szCs w:val="19"/>
                <w:color w:val="auto"/>
              </w:rPr>
            </w:pPr>
          </w:p>
        </w:tc>
        <w:tc>
          <w:tcPr>
            <w:tcW w:w="2520" w:type="dxa"/>
            <w:vAlign w:val="bottom"/>
          </w:tcPr>
          <w:p>
            <w:pPr>
              <w:spacing w:after="0"/>
              <w:rPr>
                <w:sz w:val="19"/>
                <w:szCs w:val="19"/>
                <w:color w:val="auto"/>
              </w:rPr>
            </w:pP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rPr>
              <w:t>as Administrative Agent, Swingline Lender, Issuing</w:t>
            </w:r>
          </w:p>
        </w:tc>
      </w:tr>
      <w:tr>
        <w:trPr>
          <w:trHeight w:val="216"/>
        </w:trPr>
        <w:tc>
          <w:tcPr>
            <w:tcW w:w="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rPr>
              <w:t>Bank and as a Lender and, for purposes of Article</w:t>
            </w:r>
          </w:p>
        </w:tc>
      </w:tr>
      <w:tr>
        <w:trPr>
          <w:trHeight w:val="230"/>
        </w:trPr>
        <w:tc>
          <w:tcPr>
            <w:tcW w:w="8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rPr>
              <w:t>III hereof only, as Collateral Agent</w:t>
            </w:r>
          </w:p>
        </w:tc>
      </w:tr>
      <w:tr>
        <w:trPr>
          <w:trHeight w:val="446"/>
        </w:trPr>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Bennett</w:t>
            </w:r>
          </w:p>
        </w:tc>
      </w:tr>
      <w:tr>
        <w:trPr>
          <w:trHeight w:val="195"/>
        </w:trPr>
        <w:tc>
          <w:tcPr>
            <w:tcW w:w="8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960" w:type="dxa"/>
            <w:vAlign w:val="bottom"/>
          </w:tcPr>
          <w:p>
            <w:pPr>
              <w:ind w:left="24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David Bennett</w:t>
            </w:r>
          </w:p>
        </w:tc>
      </w:tr>
      <w:tr>
        <w:trPr>
          <w:trHeight w:val="230"/>
        </w:trPr>
        <w:tc>
          <w:tcPr>
            <w:tcW w:w="8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960" w:type="dxa"/>
            <w:vAlign w:val="bottom"/>
          </w:tcPr>
          <w:p>
            <w:pPr>
              <w:ind w:left="24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i w:val="1"/>
          <w:iCs w:val="1"/>
          <w:color w:val="auto"/>
        </w:rPr>
        <w:t>SIGNATURE PAGE TO FIRST AMENDMENT – TPG</w:t>
      </w:r>
    </w:p>
    <w:p>
      <w:pPr>
        <w:sectPr>
          <w:pgSz w:w="11900" w:h="16838" w:orient="portrait"/>
          <w:cols w:equalWidth="0" w:num="1">
            <w:col w:w="11420"/>
          </w:cols>
          <w:pgMar w:left="240" w:top="257" w:right="239" w:bottom="1440" w:gutter="0" w:footer="0" w:header="0"/>
        </w:sectPr>
      </w:pPr>
    </w:p>
    <w:bookmarkStart w:id="427" w:name="page428"/>
    <w:bookmarkEnd w:id="4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Jacob Garcia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Jacob Garcia</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69" w:right="239" w:bottom="1440" w:gutter="0" w:footer="0" w:header="0"/>
        </w:sectPr>
      </w:pPr>
    </w:p>
    <w:bookmarkStart w:id="428" w:name="page429"/>
    <w:bookmarkEnd w:id="42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Gregory Fishbein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Gregory Fishbein</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Assistant 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429" w:name="page430"/>
    <w:bookmarkEnd w:id="42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 FINANCE LLC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Renee M. Singer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Renee M. Singer</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Managing Director</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430" w:name="page431"/>
    <w:bookmarkEnd w:id="43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Eros Marshall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Eros Marshall</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69" w:right="239" w:bottom="1440" w:gutter="0" w:footer="0" w:header="0"/>
        </w:sectPr>
      </w:pPr>
    </w:p>
    <w:bookmarkStart w:id="431" w:name="page432"/>
    <w:bookmarkEnd w:id="43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CITY NATIONAL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Brandon L. Feitelson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Brandon L. Feitelson, C.F.A.</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Senior 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432" w:name="page433"/>
    <w:bookmarkEnd w:id="43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COMERICA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Timothy O’Rourke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Timothy O’Rourke</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433" w:name="page434"/>
    <w:bookmarkEnd w:id="43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GOLDMAN SACHS BANK USA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Michelle Latzoni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Michelle Latzoni</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Authorized Signatory</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434" w:name="page435"/>
    <w:bookmarkEnd w:id="43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w:t>
      </w:r>
      <w:r>
        <w:rPr>
          <w:rFonts w:ascii="Arial" w:cs="Arial" w:eastAsia="Arial" w:hAnsi="Arial"/>
          <w:sz w:val="18"/>
          <w:szCs w:val="18"/>
          <w:color w:val="auto"/>
        </w:rPr>
        <w:t>, as a Lender</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Edwin Soogrim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Edwin Soogrim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FIRST AMENDMENT – TPG</w:t>
      </w:r>
    </w:p>
    <w:p>
      <w:pPr>
        <w:sectPr>
          <w:pgSz w:w="11900" w:h="16838" w:orient="portrait"/>
          <w:cols w:equalWidth="0" w:num="1">
            <w:col w:w="10220"/>
          </w:cols>
          <w:pgMar w:left="1440" w:top="270" w:right="239" w:bottom="1440" w:gutter="0" w:footer="0" w:header="0"/>
        </w:sectPr>
      </w:pPr>
    </w:p>
    <w:bookmarkStart w:id="435" w:name="page436"/>
    <w:bookmarkEnd w:id="43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Lauren Gubkin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Lauren Gubkin</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69" w:right="239" w:bottom="1440" w:gutter="0" w:footer="0" w:header="0"/>
        </w:sectPr>
      </w:pPr>
    </w:p>
    <w:bookmarkStart w:id="436" w:name="page437"/>
    <w:bookmarkEnd w:id="43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PLC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Dennis McClellan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Dennis McClellan M040</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Assistant 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Joel Slomko</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Joel Slomko S088</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Assistant 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69" w:right="239" w:bottom="1440" w:gutter="0" w:footer="0" w:header="0"/>
        </w:sectPr>
      </w:pPr>
    </w:p>
    <w:bookmarkStart w:id="437" w:name="page438"/>
    <w:bookmarkEnd w:id="43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James R. Fayen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James R. Fayen</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Deputy General Manager</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438" w:name="page439"/>
    <w:bookmarkEnd w:id="43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MORGAN STANLEY BANK,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Harry Comninellis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Harry Comninellis</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Authorized Signatory</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439" w:name="page440"/>
    <w:bookmarkEnd w:id="43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PATRIOT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Bill Holbert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Bill Holbert</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Senior 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440" w:name="page441"/>
    <w:bookmarkEnd w:id="44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r>
        <w:rPr>
          <w:rFonts w:ascii="Arial" w:cs="Arial" w:eastAsia="Arial" w:hAnsi="Arial"/>
          <w:sz w:val="18"/>
          <w:szCs w:val="18"/>
          <w:color w:val="auto"/>
        </w:rPr>
        <w:t>, 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Janet B. Nolin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Janet B. Nolin</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69" w:right="2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7"/>
          <w:szCs w:val="17"/>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102235</wp:posOffset>
            </wp:positionV>
            <wp:extent cx="6003290" cy="19723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003290" cy="19723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Writer’s Direct Dial: +1 (212) 225-2286</w:t>
      </w:r>
    </w:p>
    <w:p>
      <w:pPr>
        <w:spacing w:after="0" w:line="46"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E-Mail: afleisher@cgsh.com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460"/>
        <w:spacing w:after="0"/>
        <w:rPr>
          <w:sz w:val="20"/>
          <w:szCs w:val="20"/>
          <w:color w:val="auto"/>
        </w:rPr>
      </w:pPr>
      <w:r>
        <w:rPr>
          <w:rFonts w:ascii="Arial" w:cs="Arial" w:eastAsia="Arial" w:hAnsi="Arial"/>
          <w:sz w:val="16"/>
          <w:szCs w:val="16"/>
          <w:color w:val="auto"/>
        </w:rPr>
        <w:t>July 25, 2014</w:t>
      </w:r>
    </w:p>
    <w:p>
      <w:pPr>
        <w:spacing w:after="0" w:line="453" w:lineRule="exact"/>
        <w:rPr>
          <w:sz w:val="20"/>
          <w:szCs w:val="20"/>
          <w:color w:val="auto"/>
        </w:rPr>
      </w:pPr>
    </w:p>
    <w:p>
      <w:pPr>
        <w:sectPr>
          <w:pgSz w:w="11900" w:h="16838" w:orient="portrait"/>
          <w:cols w:equalWidth="0" w:num="2">
            <w:col w:w="6260" w:space="720"/>
            <w:col w:w="4440"/>
          </w:cols>
          <w:pgMar w:left="240" w:top="121"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301 Commerce Street, Suite 3300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121" w:right="239" w:bottom="1440" w:gutter="0" w:footer="0" w:header="0"/>
          <w:type w:val="continuous"/>
        </w:sectPr>
      </w:pPr>
    </w:p>
    <w:p>
      <w:pPr>
        <w:spacing w:after="0" w:line="22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acted as counsel to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a registration statement on Form N-2 (No. 333-196969)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(i) the offering by the Company from time to time, together or separately and in one or more series (if applicable), of up to an aggregate offering price of $500,000,000 of (a) shares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(b) shares of the Company’s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(c) debt securities of the Company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(d) subscription rights to purchase shares of the Company’s common stock (the “</w:t>
      </w:r>
      <w:r>
        <w:rPr>
          <w:rFonts w:ascii="Arial" w:cs="Arial" w:eastAsia="Arial" w:hAnsi="Arial"/>
          <w:sz w:val="16"/>
          <w:szCs w:val="16"/>
          <w:u w:val="single" w:color="auto"/>
          <w:color w:val="auto"/>
        </w:rPr>
        <w:t>Rights</w:t>
      </w:r>
      <w:r>
        <w:rPr>
          <w:rFonts w:ascii="Arial" w:cs="Arial" w:eastAsia="Arial" w:hAnsi="Arial"/>
          <w:sz w:val="16"/>
          <w:szCs w:val="16"/>
          <w:color w:val="auto"/>
        </w:rPr>
        <w:t>”); and (e) warrants to purchase Debt Securities, Preferred Stock, Common Stock or other securities, property or assets or other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and (ii) the resale from time to time by the selling stockholders named in the Registration Statement (the “</w:t>
      </w:r>
      <w:r>
        <w:rPr>
          <w:rFonts w:ascii="Arial" w:cs="Arial" w:eastAsia="Arial" w:hAnsi="Arial"/>
          <w:sz w:val="16"/>
          <w:szCs w:val="16"/>
          <w:u w:val="single" w:color="auto"/>
          <w:color w:val="auto"/>
        </w:rPr>
        <w:t>Selling Stockholders</w:t>
      </w:r>
      <w:r>
        <w:rPr>
          <w:rFonts w:ascii="Arial" w:cs="Arial" w:eastAsia="Arial" w:hAnsi="Arial"/>
          <w:sz w:val="16"/>
          <w:szCs w:val="16"/>
          <w:color w:val="auto"/>
        </w:rPr>
        <w:t>”) of up to 42,040,525 shares of the Company’s common stock that were issued and outstanding prior to the date of filing of the Registration Statement (the “</w:t>
      </w:r>
      <w:r>
        <w:rPr>
          <w:rFonts w:ascii="Arial" w:cs="Arial" w:eastAsia="Arial" w:hAnsi="Arial"/>
          <w:sz w:val="16"/>
          <w:szCs w:val="16"/>
          <w:u w:val="single" w:color="auto"/>
          <w:color w:val="auto"/>
        </w:rPr>
        <w:t>Resale Shares</w:t>
      </w:r>
      <w:r>
        <w:rPr>
          <w:rFonts w:ascii="Arial" w:cs="Arial" w:eastAsia="Arial" w:hAnsi="Arial"/>
          <w:sz w:val="16"/>
          <w:szCs w:val="16"/>
          <w:color w:val="auto"/>
        </w:rPr>
        <w:t>”). The Common Stock, Preferred Stock, Debt Securities, Rights, Warrants and Resale Shares are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 being registered under the Registration Statement will be offered on a continuous or delayed basis pursuant to the provisions of Rule 415 under the Securities Act.</w:t>
      </w:r>
    </w:p>
    <w:p>
      <w:pPr>
        <w:spacing w:after="0" w:line="1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terms of the Preferred Stock are to be established in one or more certificates of designation, rights and preferences filed with the Secretary of State of the State of Delaware (each,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The Debt Securities are to be issued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to be entered into between the Company and the trustee to be named therein. The Rights are to be issued under one or more rights agreements (each, a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the Company and the rights agent to be named therein. The Warrants are to be issued under one or more warrant agreements (each, a “</w:t>
      </w:r>
      <w:r>
        <w:rPr>
          <w:rFonts w:ascii="Arial" w:cs="Arial" w:eastAsia="Arial" w:hAnsi="Arial"/>
          <w:sz w:val="17"/>
          <w:szCs w:val="17"/>
          <w:u w:val="single" w:color="auto"/>
          <w:color w:val="auto"/>
        </w:rPr>
        <w:t>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to be entered into between the Company and the warrant agent to be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76200</wp:posOffset>
            </wp:positionV>
            <wp:extent cx="5076825" cy="1117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076825" cy="11176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42" w:name="page443"/>
    <w:bookmarkEnd w:id="4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form of Certificate of Common Stock included as Exhibit (d)(2)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form of Indenture included as Exhibit (d)(5)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form of Subscription Certificate included as Exhibit (d)(7) to the Registration Statement;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Certificate of Amendment to the Amended and Restated Certificate of Incorporation and Bylaws certified by the Secretary of State of the State of Delaware.</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rendering the opinions expressed below, we have assumed the authenticity of all documents submitted to us as originals and the conformity to the originals of all documents submitted to us as copies.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w:t>
      </w:r>
    </w:p>
    <w:p>
      <w:pPr>
        <w:spacing w:after="0" w:line="131" w:lineRule="exact"/>
        <w:rPr>
          <w:sz w:val="20"/>
          <w:szCs w:val="20"/>
          <w:color w:val="auto"/>
        </w:rPr>
      </w:pPr>
    </w:p>
    <w:p>
      <w:pPr>
        <w:ind w:left="900" w:right="180" w:hanging="446"/>
        <w:spacing w:after="0" w:line="277" w:lineRule="auto"/>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Common Stock, including Common Stock to be issued upon conversion, exchange or exercise of any other Security in accordance with its terms, will be validly issued by the Company, fully paid and nonassessable.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Preferred Stock will be validly issued by the Company, fully paid and nonassessable.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Debt Securities will be the valid, binding and enforceable obligations of the Company, entitled to the benefits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Rights will be the valid, binding and enforceable obligations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Warrants will be the valid, binding and enforceable obligations of the Company.</w:t>
      </w:r>
    </w:p>
    <w:p>
      <w:pPr>
        <w:sectPr>
          <w:pgSz w:w="11900" w:h="16838" w:orient="portrait"/>
          <w:cols w:equalWidth="0" w:num="1">
            <w:col w:w="11380"/>
          </w:cols>
          <w:pgMar w:left="240" w:top="274" w:right="27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3</w:t>
      </w:r>
    </w:p>
    <w:p>
      <w:pPr>
        <w:spacing w:after="0" w:line="158" w:lineRule="exact"/>
        <w:rPr>
          <w:sz w:val="20"/>
          <w:szCs w:val="20"/>
          <w:color w:val="auto"/>
        </w:rPr>
      </w:pPr>
    </w:p>
    <w:p>
      <w:pPr>
        <w:ind w:left="900" w:hanging="446"/>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Resale Shares have been validly issued and are fully paid and non-assessable.</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Insofar as the foregoing opinions relate to the validity, binding effect or enforceability of any agreement or obligation of the Company, (x) we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and (y) such opinions are subject to applicable bankruptcy, insolvency and similar laws affecting creditors’ rights generally and to general principles of equity.</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rendering the opinions expressed above, we have further assumed that (i) prior to the issuance of the Securities, the Company will authorize the offering and issuance of the Securities and will duly authorize, approve and establish the final terms and conditions thereof, which terms will conform to the descriptions thereof in the Registration Statement, the terms of any agreement governing those Securities and, in the case of Preferred Stock, the provisions of the Company’s Amended and Restated Certificate of Incorporation, as amended, and will not violate any applicable law, conflict with any matter of public policy, result in a default under or breach of any agreement or instrument binding upon the Company or violate any requirement or restriction imposed by any court or governmental body having jurisdiction over the Company; (ii) prior to the issuance of the Securities, the Company will duly authorize, execute and deliver any applicable Indenture, Rights Agreement and Warrant Agreement and any other agreement governing the Securities or otherwise necessary with respect to the Securities or contemplated by the Securities or the Registration Statement and will take any other appropriate or necessary corporate action, including the filing of any Certificate of Designation with the Secretary of State of the State of Delaware; (iii) any agreement governing the Securities and any instruments evidencing the Securities will be governed by New York law; (iv) the Indenture will conform to the form thereof filed as an exhibit to the Registration Statement; (v) the Securities will be offered, issued, sold and delivered in compliance with applicable law and any requirements therefor set forth in any corporate action authorizing such Securities and any agreement governing such Securities and in the manner contemplated by the Registration Statement and the related prospectus supplements describing the Securities and the offering thereof; (vi) the Securities will be offered, sold and delivered to, and paid for by, the purchasers thereof at the price specified in, and in accordance with the terms of, an agreement or agreements duly authorized, executed and delivered by the parties thereto, which price, in the case of Common Stock or Preferred Stock, shall not be less than the respective par value thereof; and</w:t>
      </w:r>
    </w:p>
    <w:p>
      <w:pPr>
        <w:spacing w:after="0" w:line="1" w:lineRule="exact"/>
        <w:rPr>
          <w:sz w:val="20"/>
          <w:szCs w:val="20"/>
          <w:color w:val="auto"/>
        </w:rPr>
      </w:pPr>
    </w:p>
    <w:p>
      <w:pPr>
        <w:ind w:right="340" w:firstLine="8"/>
        <w:spacing w:after="0" w:line="255" w:lineRule="auto"/>
        <w:tabs>
          <w:tab w:leader="none" w:pos="35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issued in certificated form, certificates representing the Securities will be duly executed and delivered and, to the extent required by any applicable agreement, duly authenticated or countersigned, and if issued in book-entry form, the Securities will be duly registered to the extent required by any applicable agreement.</w:t>
      </w:r>
    </w:p>
    <w:p>
      <w:pPr>
        <w:spacing w:after="0" w:line="1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 rendering the opinions expressed in paragraph 3 above, we have assumed that each series of Debt Securities will be issued with an original aggregate principal amount (or in the case of Debt Securities issued at an original issue discount, an aggregate issue price) of $2,500,000 or more.</w:t>
      </w:r>
    </w:p>
    <w:p>
      <w:pPr>
        <w:sectPr>
          <w:pgSz w:w="11900" w:h="16838" w:orient="portrait"/>
          <w:cols w:equalWidth="0" w:num="1">
            <w:col w:w="11420"/>
          </w:cols>
          <w:pgMar w:left="240" w:top="274" w:right="23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4</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note that any designation in the Securities or any applicable agreement governing those Securities of the U.S. federal courts sitting in New York City as the venue for actions or proceedings relating to such Securities is (notwithstanding any waiver thereof) subject to the power of such courts to transfer actions pursuant to 28 U.S.C. §1404(a) or to dismiss such actions or proceedings on the grounds that such a federal court is an inconvenient forum for such an action or proceeding.</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 In addition, to the extent that any Securities or applicable agreement governing those Securities includes a provision relating to indemnification against any loss in obtaining currency due from a court judgment in another currency, we express no opinion as to the enforceability of such provision.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opinions are limited to the law of the State of New York and the General Corporation Law of the State of Delaware.</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hereby consent to the use of our name in the prospectus constituting a part of the Registration Statement under the heading “Legal Matters” and in any prospectus supplement related thereto as counsel for the Company that has passed on the validity of the Securities, and to the use of this opinion as a part (Exhibit (l)) of the Registration Statement. In giving this consent, we do not thereby admit that we are within the category of persons whose consent is required under Section 7 of the Securities Act or the rules and regulations of the Commission thereunder. 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Adam E. Fleisher, a Partner</w:t>
      </w:r>
    </w:p>
    <w:p>
      <w:pPr>
        <w:sectPr>
          <w:pgSz w:w="11900" w:h="16838" w:orient="portrait"/>
          <w:cols w:equalWidth="0" w:num="1">
            <w:col w:w="11420"/>
          </w:cols>
          <w:pgMar w:left="240" w:top="274" w:right="239" w:bottom="1440" w:gutter="0" w:footer="0" w:header="0"/>
        </w:sectPr>
      </w:pPr>
    </w:p>
    <w:bookmarkStart w:id="445" w:name="page446"/>
    <w:bookmarkEnd w:id="445"/>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consent to the use of our report dated March 4, 2014, with respect to the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and our report dated March 4, 2014 on the consolidated senior securities schedule of the Company included herein, and to the references to our firm under the headings “Senior Securities”, and “Experts” in the prospectus.</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25, 2014</w:t>
      </w:r>
    </w:p>
    <w:p>
      <w:pPr>
        <w:sectPr>
          <w:pgSz w:w="11900" w:h="16838" w:orient="portrait"/>
          <w:cols w:equalWidth="0" w:num="1">
            <w:col w:w="11420"/>
          </w:cols>
          <w:pgMar w:left="240" w:top="121" w:right="239" w:bottom="1440" w:gutter="0" w:footer="0" w:header="0"/>
        </w:sectPr>
      </w:pPr>
    </w:p>
    <w:bookmarkStart w:id="446" w:name="page447"/>
    <w:bookmarkEnd w:id="446"/>
    <w:p>
      <w:pPr>
        <w:ind w:left="10480"/>
        <w:spacing w:after="0"/>
        <w:rPr>
          <w:sz w:val="20"/>
          <w:szCs w:val="20"/>
          <w:color w:val="auto"/>
        </w:rPr>
      </w:pPr>
      <w:r>
        <w:rPr>
          <w:rFonts w:ascii="Arial" w:cs="Arial" w:eastAsia="Arial" w:hAnsi="Arial"/>
          <w:sz w:val="16"/>
          <w:szCs w:val="16"/>
          <w:b w:val="1"/>
          <w:bCs w:val="1"/>
          <w:color w:val="auto"/>
        </w:rPr>
        <w:t>Exhibit 99.1</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w:t>
      </w:r>
    </w:p>
    <w:p>
      <w:pPr>
        <w:spacing w:after="0" w:line="117"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DE1A1E"/>
                <w:w w:val="99"/>
              </w:rPr>
              <w:t>Preliminary Prospectus Supplement dated ,</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DE1A1E"/>
              </w:rPr>
              <w:t>20</w:t>
            </w:r>
          </w:p>
        </w:tc>
      </w:tr>
    </w:tbl>
    <w:p>
      <w:pPr>
        <w:spacing w:after="0" w:line="94" w:lineRule="exact"/>
        <w:rPr>
          <w:sz w:val="20"/>
          <w:szCs w:val="20"/>
          <w:color w:val="auto"/>
        </w:rPr>
      </w:pPr>
    </w:p>
    <w:p>
      <w:pPr>
        <w:ind w:right="120" w:firstLine="129"/>
        <w:spacing w:after="0" w:line="373" w:lineRule="auto"/>
        <w:rPr>
          <w:sz w:val="20"/>
          <w:szCs w:val="20"/>
          <w:color w:val="auto"/>
        </w:rPr>
      </w:pPr>
      <w:r>
        <w:rPr>
          <w:rFonts w:ascii="Arial" w:cs="Arial" w:eastAsia="Arial" w:hAnsi="Arial"/>
          <w:sz w:val="18"/>
          <w:szCs w:val="18"/>
          <w:color w:val="auto"/>
        </w:rPr>
        <w:t xml:space="preserve">[FORM OF PRELIMINARY PROSPECTUS SUPPLEMENT TO BE USED IN CONJUNCTION WITH FUTURE COMMON STOCK OFFERINGS](1) </w:t>
      </w:r>
      <w:r>
        <w:rPr>
          <w:rFonts w:ascii="Arial" w:cs="Arial" w:eastAsia="Arial" w:hAnsi="Arial"/>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(To Prospectus dated</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 20   )</w:t>
            </w:r>
          </w:p>
        </w:tc>
      </w:tr>
    </w:tbl>
    <w:p>
      <w:pPr>
        <w:spacing w:after="0" w:line="9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94615</wp:posOffset>
            </wp:positionV>
            <wp:extent cx="1346200" cy="660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left="360"/>
        <w:spacing w:after="0"/>
        <w:tabs>
          <w:tab w:leader="none" w:pos="2440" w:val="left"/>
        </w:tabs>
        <w:rPr>
          <w:sz w:val="20"/>
          <w:szCs w:val="20"/>
          <w:color w:val="auto"/>
        </w:rPr>
      </w:pPr>
      <w:r>
        <w:rPr>
          <w:rFonts w:ascii="Arial" w:cs="Arial" w:eastAsia="Arial" w:hAnsi="Arial"/>
          <w:sz w:val="14"/>
          <w:szCs w:val="14"/>
          <w:color w:val="auto"/>
        </w:rPr>
        <w:t>We are offering for sale</w:t>
      </w:r>
      <w:r>
        <w:rPr>
          <w:sz w:val="20"/>
          <w:szCs w:val="20"/>
          <w:color w:val="auto"/>
        </w:rPr>
        <w:tab/>
      </w:r>
      <w:r>
        <w:rPr>
          <w:rFonts w:ascii="Arial" w:cs="Arial" w:eastAsia="Arial" w:hAnsi="Arial"/>
          <w:sz w:val="12"/>
          <w:szCs w:val="12"/>
          <w:color w:val="auto"/>
        </w:rPr>
        <w:t>shares of our common stock.</w:t>
      </w:r>
    </w:p>
    <w:p>
      <w:pPr>
        <w:spacing w:after="0" w:line="69" w:lineRule="exact"/>
        <w:rPr>
          <w:sz w:val="20"/>
          <w:szCs w:val="20"/>
          <w:color w:val="auto"/>
        </w:rPr>
      </w:pPr>
    </w:p>
    <w:p>
      <w:pPr>
        <w:ind w:right="360" w:firstLine="342"/>
        <w:spacing w:after="0" w:line="291" w:lineRule="auto"/>
        <w:rPr>
          <w:sz w:val="20"/>
          <w:szCs w:val="20"/>
          <w:color w:val="auto"/>
        </w:rPr>
      </w:pPr>
      <w:r>
        <w:rPr>
          <w:rFonts w:ascii="Arial" w:cs="Arial" w:eastAsia="Arial" w:hAnsi="Arial"/>
          <w:sz w:val="13"/>
          <w:szCs w:val="13"/>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2" w:lineRule="exact"/>
        <w:rPr>
          <w:sz w:val="20"/>
          <w:szCs w:val="20"/>
          <w:color w:val="auto"/>
        </w:rPr>
      </w:pPr>
    </w:p>
    <w:p>
      <w:pPr>
        <w:ind w:right="80" w:firstLine="342"/>
        <w:spacing w:after="0" w:line="253" w:lineRule="auto"/>
        <w:rPr>
          <w:sz w:val="20"/>
          <w:szCs w:val="20"/>
          <w:color w:val="auto"/>
        </w:rPr>
      </w:pPr>
      <w:r>
        <w:rPr>
          <w:rFonts w:ascii="Arial" w:cs="Arial" w:eastAsia="Arial" w:hAnsi="Arial"/>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are an externally managed, closed-end, non-diversified management investment company. TSL Advisers, LLC, or the Adviser, acts as our investment adviser and administrator. We and the</w:t>
      </w:r>
    </w:p>
    <w:p>
      <w:pPr>
        <w:spacing w:after="0" w:line="11" w:lineRule="exact"/>
        <w:rPr>
          <w:sz w:val="20"/>
          <w:szCs w:val="20"/>
          <w:color w:val="auto"/>
        </w:rPr>
      </w:pPr>
    </w:p>
    <w:p>
      <w:pPr>
        <w:ind w:right="400"/>
        <w:spacing w:after="0" w:line="237" w:lineRule="auto"/>
        <w:rPr>
          <w:sz w:val="20"/>
          <w:szCs w:val="20"/>
          <w:color w:val="auto"/>
        </w:rPr>
      </w:pPr>
      <w:r>
        <w:rPr>
          <w:rFonts w:ascii="Arial" w:cs="Arial" w:eastAsia="Arial" w:hAnsi="Arial"/>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spacing w:after="0" w:line="48" w:lineRule="exact"/>
        <w:rPr>
          <w:sz w:val="20"/>
          <w:szCs w:val="20"/>
          <w:color w:val="auto"/>
        </w:rPr>
      </w:pPr>
    </w:p>
    <w:p>
      <w:pPr>
        <w:ind w:right="60" w:firstLine="342"/>
        <w:spacing w:after="0" w:line="256"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4" w:lineRule="exact"/>
        <w:rPr>
          <w:sz w:val="20"/>
          <w:szCs w:val="20"/>
          <w:color w:val="auto"/>
        </w:rPr>
      </w:pPr>
    </w:p>
    <w:p>
      <w:pPr>
        <w:ind w:right="200" w:firstLine="342"/>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ectPr>
          <w:pgSz w:w="11900" w:h="16838" w:orient="portrait"/>
          <w:cols w:equalWidth="0" w:num="1">
            <w:col w:w="11420"/>
          </w:cols>
          <w:pgMar w:left="240" w:top="121"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was $</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tabs>
          <w:tab w:leader="none" w:pos="6780" w:val="left"/>
          <w:tab w:leader="none" w:pos="7180" w:val="left"/>
        </w:tabs>
        <w:rPr>
          <w:sz w:val="20"/>
          <w:szCs w:val="20"/>
          <w:color w:val="auto"/>
        </w:rPr>
      </w:pPr>
      <w:r>
        <w:rPr>
          <w:rFonts w:ascii="Arial" w:cs="Arial" w:eastAsia="Arial" w:hAnsi="Arial"/>
          <w:sz w:val="14"/>
          <w:szCs w:val="14"/>
          <w:color w:val="auto"/>
        </w:rPr>
        <w:t>Our common stock is traded on the New York Stock Exchange, or NYSE, under the symbol “TSLX.” On</w:t>
      </w:r>
      <w:r>
        <w:rPr>
          <w:sz w:val="20"/>
          <w:szCs w:val="20"/>
          <w:color w:val="auto"/>
        </w:rPr>
        <w:tab/>
      </w:r>
      <w:r>
        <w:rPr>
          <w:rFonts w:ascii="Arial" w:cs="Arial" w:eastAsia="Arial" w:hAnsi="Arial"/>
          <w:sz w:val="14"/>
          <w:szCs w:val="14"/>
          <w:color w:val="auto"/>
        </w:rPr>
        <w:t>, 20</w:t>
      </w:r>
      <w:r>
        <w:rPr>
          <w:sz w:val="20"/>
          <w:szCs w:val="20"/>
          <w:color w:val="auto"/>
        </w:rPr>
        <w:tab/>
      </w:r>
      <w:r>
        <w:rPr>
          <w:rFonts w:ascii="Arial" w:cs="Arial" w:eastAsia="Arial" w:hAnsi="Arial"/>
          <w:sz w:val="13"/>
          <w:szCs w:val="13"/>
          <w:color w:val="auto"/>
        </w:rPr>
        <w:t>, the last reported sales price of our common stock on the NYSE</w:t>
      </w:r>
    </w:p>
    <w:p>
      <w:pPr>
        <w:ind w:left="300"/>
        <w:spacing w:after="0"/>
        <w:tabs>
          <w:tab w:leader="none" w:pos="4700" w:val="left"/>
        </w:tabs>
        <w:rPr>
          <w:sz w:val="20"/>
          <w:szCs w:val="20"/>
          <w:color w:val="auto"/>
        </w:rPr>
      </w:pPr>
      <w:r>
        <w:rPr>
          <w:rFonts w:ascii="Arial" w:cs="Arial" w:eastAsia="Arial" w:hAnsi="Arial"/>
          <w:sz w:val="14"/>
          <w:szCs w:val="14"/>
          <w:color w:val="auto"/>
        </w:rPr>
        <w:t>per share. The net asset value per share of our common stock at</w:t>
      </w:r>
      <w:r>
        <w:rPr>
          <w:sz w:val="20"/>
          <w:szCs w:val="20"/>
          <w:color w:val="auto"/>
        </w:rPr>
        <w:tab/>
      </w:r>
      <w:r>
        <w:rPr>
          <w:rFonts w:ascii="Arial" w:cs="Arial" w:eastAsia="Arial" w:hAnsi="Arial"/>
          <w:sz w:val="12"/>
          <w:szCs w:val="12"/>
          <w:color w:val="auto"/>
        </w:rPr>
        <w:t>, 20 (the last date prior to the date of this prospectus supplement on which we determined net asset value) was</w:t>
      </w:r>
    </w:p>
    <w:p>
      <w:pPr>
        <w:spacing w:after="0" w:line="1" w:lineRule="exact"/>
        <w:rPr>
          <w:sz w:val="20"/>
          <w:szCs w:val="20"/>
          <w:color w:val="auto"/>
        </w:rPr>
      </w:pPr>
    </w:p>
    <w:p>
      <w:pPr>
        <w:sectPr>
          <w:pgSz w:w="11900" w:h="16838" w:orient="portrait"/>
          <w:cols w:equalWidth="0" w:num="2">
            <w:col w:w="340" w:space="20"/>
            <w:col w:w="11060"/>
          </w:cols>
          <w:pgMar w:left="240" w:top="121" w:right="239" w:bottom="1440" w:gutter="0" w:footer="0" w:header="0"/>
          <w:type w:val="continuous"/>
        </w:sectPr>
      </w:pPr>
    </w:p>
    <w:p>
      <w:pPr>
        <w:ind w:left="520" w:hanging="512"/>
        <w:spacing w:after="0" w:line="235" w:lineRule="auto"/>
        <w:tabs>
          <w:tab w:leader="none" w:pos="520" w:val="left"/>
        </w:tabs>
        <w:numPr>
          <w:ilvl w:val="0"/>
          <w:numId w:val="395"/>
        </w:numPr>
        <w:rPr>
          <w:rFonts w:ascii="Arial" w:cs="Arial" w:eastAsia="Arial" w:hAnsi="Arial"/>
          <w:sz w:val="14"/>
          <w:szCs w:val="14"/>
          <w:color w:val="auto"/>
        </w:rPr>
      </w:pPr>
      <w:r>
        <w:rPr>
          <w:rFonts w:ascii="Arial" w:cs="Arial" w:eastAsia="Arial" w:hAnsi="Arial"/>
          <w:sz w:val="14"/>
          <w:szCs w:val="14"/>
          <w:color w:val="auto"/>
        </w:rPr>
        <w:t>.</w:t>
      </w:r>
    </w:p>
    <w:p>
      <w:pPr>
        <w:spacing w:after="0" w:line="48"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Investing in our common stock involves risks that are described in the “Risk Factors” section beginning on page [ ] of the accompanying prospectus, including the risk of leverage.</w:t>
      </w:r>
    </w:p>
    <w:p>
      <w:pPr>
        <w:spacing w:after="0" w:line="13" w:lineRule="exact"/>
        <w:rPr>
          <w:sz w:val="20"/>
          <w:szCs w:val="20"/>
          <w:color w:val="auto"/>
        </w:rPr>
      </w:pPr>
    </w:p>
    <w:p>
      <w:pPr>
        <w:ind w:right="20" w:firstLine="342"/>
        <w:spacing w:after="0" w:line="244" w:lineRule="auto"/>
        <w:rPr>
          <w:sz w:val="20"/>
          <w:szCs w:val="20"/>
          <w:color w:val="auto"/>
        </w:rPr>
      </w:pPr>
      <w:r>
        <w:rPr>
          <w:rFonts w:ascii="Arial" w:cs="Arial" w:eastAsia="Arial" w:hAnsi="Arial"/>
          <w:sz w:val="13"/>
          <w:szCs w:val="13"/>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w:t>
      </w:r>
    </w:p>
    <w:p>
      <w:pPr>
        <w:spacing w:after="0" w:line="2" w:lineRule="exact"/>
        <w:rPr>
          <w:sz w:val="20"/>
          <w:szCs w:val="20"/>
          <w:color w:val="auto"/>
        </w:rPr>
      </w:pPr>
    </w:p>
    <w:p>
      <w:pPr>
        <w:ind w:right="220"/>
        <w:spacing w:after="0" w:line="232" w:lineRule="auto"/>
        <w:rPr>
          <w:sz w:val="20"/>
          <w:szCs w:val="20"/>
          <w:color w:val="auto"/>
        </w:rPr>
      </w:pPr>
      <w:r>
        <w:rPr>
          <w:rFonts w:ascii="Arial" w:cs="Arial" w:eastAsia="Arial" w:hAnsi="Arial"/>
          <w:sz w:val="14"/>
          <w:szCs w:val="14"/>
          <w:color w:val="auto"/>
        </w:rPr>
        <w:t>Exchange Commission. This information is available free of charge by contacting us at , calling us at (817) 871-4000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58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4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24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3060" w:type="dxa"/>
            <w:vAlign w:val="bottom"/>
            <w:gridSpan w:val="2"/>
          </w:tcPr>
          <w:p>
            <w:pPr>
              <w:jc w:val="right"/>
              <w:ind w:right="48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r>
              <w:rPr>
                <w:rFonts w:ascii="Arial" w:cs="Arial" w:eastAsia="Arial" w:hAnsi="Arial"/>
                <w:sz w:val="12"/>
                <w:szCs w:val="12"/>
                <w:color w:val="auto"/>
              </w:rPr>
              <w:t>(1)</w:t>
            </w:r>
          </w:p>
        </w:tc>
        <w:tc>
          <w:tcPr>
            <w:tcW w:w="3060" w:type="dxa"/>
            <w:vAlign w:val="bottom"/>
            <w:gridSpan w:val="2"/>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tab/>
        <w:t>Before deducting expenses payable by us related to this offering, estimated at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sectPr>
          <w:pgSz w:w="11900" w:h="16838" w:orient="portrait"/>
          <w:cols w:equalWidth="0" w:num="2">
            <w:col w:w="4920" w:space="420"/>
            <w:col w:w="6080"/>
          </w:cols>
          <w:pgMar w:left="240" w:top="121" w:right="239" w:bottom="1440" w:gutter="0" w:footer="0" w:header="0"/>
          <w:type w:val="continuous"/>
        </w:sectPr>
      </w:pPr>
    </w:p>
    <w:p>
      <w:pPr>
        <w:jc w:val="both"/>
        <w:ind w:right="40"/>
        <w:spacing w:after="0" w:line="238" w:lineRule="auto"/>
        <w:rPr>
          <w:sz w:val="20"/>
          <w:szCs w:val="20"/>
          <w:color w:val="auto"/>
        </w:rPr>
      </w:pPr>
      <w:r>
        <w:rPr>
          <w:rFonts w:ascii="Arial" w:cs="Arial" w:eastAsia="Arial" w:hAnsi="Arial"/>
          <w:sz w:val="14"/>
          <w:szCs w:val="14"/>
          <w:color w:val="auto"/>
        </w:rPr>
        <w:t>[The underwriters may also purchase up to an additional shares from us at the public offering price, less the underwriting discount, within days of the date of this prospectus supplement to cover over-allotments, if any. If the underwriters exercise this option in full, the total public offering price will be $ , the total underwriting discount (sales load) paid by us will be $ , and total proceeds, before expenses, will be $ .]</w:t>
      </w:r>
    </w:p>
    <w:p>
      <w:pPr>
        <w:sectPr>
          <w:pgSz w:w="11900" w:h="16838" w:orient="portrait"/>
          <w:cols w:equalWidth="0" w:num="1">
            <w:col w:w="11420"/>
          </w:cols>
          <w:pgMar w:left="240" w:top="121" w:right="239" w:bottom="1440" w:gutter="0" w:footer="0" w:header="0"/>
          <w:type w:val="continuous"/>
        </w:sectPr>
      </w:pPr>
    </w:p>
    <w:p>
      <w:pPr>
        <w:spacing w:after="0" w:line="71" w:lineRule="exact"/>
        <w:rPr>
          <w:sz w:val="20"/>
          <w:szCs w:val="20"/>
          <w:color w:val="auto"/>
        </w:rPr>
      </w:pPr>
    </w:p>
    <w:p>
      <w:pPr>
        <w:ind w:right="700" w:firstLine="342"/>
        <w:spacing w:after="0" w:line="259" w:lineRule="auto"/>
        <w:rPr>
          <w:sz w:val="20"/>
          <w:szCs w:val="20"/>
          <w:color w:val="auto"/>
        </w:rPr>
      </w:pPr>
      <w:r>
        <w:rPr>
          <w:rFonts w:ascii="Arial" w:cs="Arial" w:eastAsia="Arial" w:hAnsi="Arial"/>
          <w:sz w:val="14"/>
          <w:szCs w:val="14"/>
          <w:b w:val="1"/>
          <w:bCs w:val="1"/>
          <w:color w:val="auto"/>
        </w:rPr>
        <w:t>The Securities and Exchange Commission, or SEC, has not approved or disapproved of these securities or determined if this prospectus supplement or the accompanying prospectus is truthful or complete. Any representation to the contrary is a criminal offense.</w:t>
      </w:r>
    </w:p>
    <w:p>
      <w:pPr>
        <w:spacing w:after="0" w:line="21"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3180" w:type="dxa"/>
            <w:vAlign w:val="bottom"/>
          </w:tcPr>
          <w:p>
            <w:pPr>
              <w:spacing w:after="0"/>
              <w:rPr>
                <w:sz w:val="20"/>
                <w:szCs w:val="20"/>
                <w:color w:val="auto"/>
              </w:rPr>
            </w:pPr>
            <w:r>
              <w:rPr>
                <w:rFonts w:ascii="Arial" w:cs="Arial" w:eastAsia="Arial" w:hAnsi="Arial"/>
                <w:sz w:val="14"/>
                <w:szCs w:val="14"/>
                <w:color w:val="auto"/>
              </w:rPr>
              <w:t>The shares will be ready for delivery on or about</w:t>
            </w:r>
          </w:p>
        </w:tc>
        <w:tc>
          <w:tcPr>
            <w:tcW w:w="800" w:type="dxa"/>
            <w:vAlign w:val="bottom"/>
          </w:tcPr>
          <w:p>
            <w:pPr>
              <w:jc w:val="right"/>
              <w:spacing w:after="0"/>
              <w:rPr>
                <w:sz w:val="20"/>
                <w:szCs w:val="20"/>
                <w:color w:val="auto"/>
              </w:rPr>
            </w:pPr>
            <w:r>
              <w:rPr>
                <w:rFonts w:ascii="Arial" w:cs="Arial" w:eastAsia="Arial" w:hAnsi="Arial"/>
                <w:sz w:val="14"/>
                <w:szCs w:val="14"/>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0"/>
          <w:szCs w:val="20"/>
          <w:color w:val="auto"/>
        </w:rPr>
      </w:pPr>
    </w:p>
    <w:tbl>
      <w:tblPr>
        <w:tblLayout w:type="fixed"/>
        <w:tblInd w:w="3860" w:type="dxa"/>
        <w:tblCellMar>
          <w:top w:w="0" w:type="dxa"/>
          <w:left w:w="0" w:type="dxa"/>
          <w:bottom w:w="0" w:type="dxa"/>
          <w:right w:w="0" w:type="dxa"/>
        </w:tblCellMar>
      </w:tblPr>
      <w:tr>
        <w:trPr>
          <w:trHeight w:val="186"/>
        </w:trPr>
        <w:tc>
          <w:tcPr>
            <w:tcW w:w="2900" w:type="dxa"/>
            <w:vAlign w:val="bottom"/>
          </w:tcPr>
          <w:p>
            <w:pPr>
              <w:spacing w:after="0"/>
              <w:rPr>
                <w:sz w:val="20"/>
                <w:szCs w:val="20"/>
                <w:color w:val="auto"/>
              </w:rPr>
            </w:pPr>
            <w:r>
              <w:rPr>
                <w:rFonts w:ascii="Arial" w:cs="Arial" w:eastAsia="Arial" w:hAnsi="Arial"/>
                <w:sz w:val="14"/>
                <w:szCs w:val="14"/>
                <w:b w:val="1"/>
                <w:bCs w:val="1"/>
                <w:color w:val="auto"/>
              </w:rPr>
              <w:t>The date of this prospectus supplement is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332"/>
        <w:spacing w:after="0" w:line="228" w:lineRule="auto"/>
        <w:tabs>
          <w:tab w:leader="none" w:pos="340" w:val="left"/>
        </w:tabs>
        <w:numPr>
          <w:ilvl w:val="0"/>
          <w:numId w:val="396"/>
        </w:numPr>
        <w:rPr>
          <w:rFonts w:ascii="Arial" w:cs="Arial" w:eastAsia="Arial" w:hAnsi="Arial"/>
          <w:sz w:val="14"/>
          <w:szCs w:val="14"/>
          <w:color w:val="auto"/>
        </w:rPr>
      </w:pPr>
      <w:r>
        <w:rPr>
          <w:rFonts w:ascii="Arial" w:cs="Arial" w:eastAsia="Arial" w:hAnsi="Arial"/>
          <w:sz w:val="14"/>
          <w:szCs w:val="14"/>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21" w:right="239" w:bottom="1440" w:gutter="0" w:footer="0" w:header="0"/>
          <w:type w:val="continuous"/>
        </w:sectPr>
      </w:pPr>
    </w:p>
    <w:bookmarkStart w:id="447" w:name="page448"/>
    <w:bookmarkEnd w:id="44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rFonts w:ascii="Arial" w:cs="Arial" w:eastAsia="Arial" w:hAnsi="Arial"/>
                <w:sz w:val="18"/>
                <w:szCs w:val="18"/>
                <w:color w:val="0000EE"/>
              </w:rPr>
            </w:pPr>
            <w:hyperlink w:anchor="page449">
              <w:r>
                <w:rPr>
                  <w:rFonts w:ascii="Arial" w:cs="Arial" w:eastAsia="Arial" w:hAnsi="Arial"/>
                  <w:sz w:val="18"/>
                  <w:szCs w:val="18"/>
                  <w:color w:val="0000EE"/>
                </w:rPr>
                <w:t>SPECIAL NOTE REGARDING FORWARD-LOOKING STATEMENTS</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20" w:type="dxa"/>
            <w:vAlign w:val="bottom"/>
            <w:gridSpan w:val="1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9"/>
          </w:tcPr>
          <w:p>
            <w:pPr>
              <w:spacing w:after="0"/>
              <w:rPr>
                <w:rFonts w:ascii="Arial" w:cs="Arial" w:eastAsia="Arial" w:hAnsi="Arial"/>
                <w:sz w:val="18"/>
                <w:szCs w:val="18"/>
                <w:color w:val="0000EE"/>
              </w:rPr>
            </w:pPr>
            <w:hyperlink w:anchor="page450">
              <w:r>
                <w:rPr>
                  <w:rFonts w:ascii="Arial" w:cs="Arial" w:eastAsia="Arial" w:hAnsi="Arial"/>
                  <w:sz w:val="18"/>
                  <w:szCs w:val="18"/>
                  <w:color w:val="0000EE"/>
                </w:rPr>
                <w:t>THE COMPANY</w:t>
              </w:r>
            </w:hyperlink>
          </w:p>
        </w:tc>
        <w:tc>
          <w:tcPr>
            <w:tcW w:w="5580" w:type="dxa"/>
            <w:vAlign w:val="bottom"/>
            <w:gridSpan w:val="2"/>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53">
              <w:r>
                <w:rPr>
                  <w:rFonts w:ascii="Arial" w:cs="Arial" w:eastAsia="Arial" w:hAnsi="Arial"/>
                  <w:sz w:val="18"/>
                  <w:szCs w:val="18"/>
                  <w:color w:val="0000EE"/>
                  <w:w w:val="92"/>
                </w:rPr>
                <w:t>FEES AND EXPENSES</w:t>
              </w:r>
            </w:hyperlink>
          </w:p>
        </w:tc>
        <w:tc>
          <w:tcPr>
            <w:tcW w:w="912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456">
              <w:r>
                <w:rPr>
                  <w:rFonts w:ascii="Arial" w:cs="Arial" w:eastAsia="Arial" w:hAnsi="Arial"/>
                  <w:sz w:val="18"/>
                  <w:szCs w:val="18"/>
                  <w:color w:val="0000EE"/>
                  <w:w w:val="97"/>
                </w:rPr>
                <w:t>SELECTED FINANCIAL DATA AND OTHER INFORMATION</w:t>
              </w:r>
            </w:hyperlink>
          </w:p>
        </w:tc>
        <w:tc>
          <w:tcPr>
            <w:tcW w:w="612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457">
              <w:r>
                <w:rPr>
                  <w:rFonts w:ascii="Arial" w:cs="Arial" w:eastAsia="Arial" w:hAnsi="Arial"/>
                  <w:sz w:val="18"/>
                  <w:szCs w:val="18"/>
                  <w:color w:val="0000EE"/>
                </w:rPr>
                <w:t>USE OF PROCEEDS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458">
              <w:r>
                <w:rPr>
                  <w:rFonts w:ascii="Arial" w:cs="Arial" w:eastAsia="Arial" w:hAnsi="Arial"/>
                  <w:sz w:val="18"/>
                  <w:szCs w:val="18"/>
                  <w:color w:val="0000EE"/>
                </w:rPr>
                <w:t>PRICE RANGE OF COMMON STOCK AND DISTRIBUTIONS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461">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9"/>
              </w:rPr>
            </w:pPr>
            <w:hyperlink w:anchor="page462">
              <w:r>
                <w:rPr>
                  <w:rFonts w:ascii="Arial" w:cs="Arial" w:eastAsia="Arial" w:hAnsi="Arial"/>
                  <w:sz w:val="18"/>
                  <w:szCs w:val="18"/>
                  <w:color w:val="0000EE"/>
                  <w:w w:val="99"/>
                </w:rPr>
                <w:t>CAPITALIZATION</w:t>
              </w:r>
            </w:hyperlink>
          </w:p>
        </w:tc>
        <w:tc>
          <w:tcPr>
            <w:tcW w:w="7440" w:type="dxa"/>
            <w:vAlign w:val="bottom"/>
            <w:tcBorders>
              <w:top w:val="single" w:sz="8" w:color="0000EE"/>
            </w:tcBorders>
            <w:gridSpan w:val="6"/>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7"/>
              </w:rPr>
            </w:pPr>
            <w:hyperlink w:anchor="page463">
              <w:r>
                <w:rPr>
                  <w:rFonts w:ascii="Arial" w:cs="Arial" w:eastAsia="Arial" w:hAnsi="Arial"/>
                  <w:sz w:val="18"/>
                  <w:szCs w:val="18"/>
                  <w:color w:val="0000EE"/>
                  <w:w w:val="97"/>
                </w:rPr>
                <w:t>UNDERWRITING</w:t>
              </w:r>
            </w:hyperlink>
          </w:p>
        </w:tc>
        <w:tc>
          <w:tcPr>
            <w:tcW w:w="952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466">
              <w:r>
                <w:rPr>
                  <w:rFonts w:ascii="Arial" w:cs="Arial" w:eastAsia="Arial" w:hAnsi="Arial"/>
                  <w:sz w:val="18"/>
                  <w:szCs w:val="18"/>
                  <w:color w:val="0000EE"/>
                </w:rPr>
                <w:t>LEGAL MATTERS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7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467">
              <w:r>
                <w:rPr>
                  <w:rFonts w:ascii="Arial" w:cs="Arial" w:eastAsia="Arial" w:hAnsi="Arial"/>
                  <w:sz w:val="18"/>
                  <w:szCs w:val="18"/>
                  <w:color w:val="0000EE"/>
                  <w:w w:val="97"/>
                </w:rPr>
                <w:t>FINANCIAL STATEMENTS</w:t>
              </w:r>
            </w:hyperlink>
          </w:p>
        </w:tc>
        <w:tc>
          <w:tcPr>
            <w:tcW w:w="876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ind w:left="110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6951345</wp:posOffset>
            </wp:positionH>
            <wp:positionV relativeFrom="paragraph">
              <wp:posOffset>6350</wp:posOffset>
            </wp:positionV>
            <wp:extent cx="3003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[Insert table of contents from base 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274" w:right="259" w:bottom="1440" w:gutter="0" w:footer="0" w:header="0"/>
        </w:sectPr>
      </w:pPr>
    </w:p>
    <w:bookmarkStart w:id="448" w:name="page449"/>
    <w:bookmarkEnd w:id="4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40" w:hanging="325"/>
        <w:spacing w:after="0" w:line="277" w:lineRule="auto"/>
        <w:tabs>
          <w:tab w:leader="none" w:pos="9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the accompanying prospectus.</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70" w:right="239" w:bottom="1440" w:gutter="0" w:footer="0" w:header="0"/>
        </w:sectPr>
      </w:pPr>
    </w:p>
    <w:bookmarkStart w:id="449" w:name="page450"/>
    <w:bookmarkEnd w:id="4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w:t>
      </w:r>
    </w:p>
    <w:p>
      <w:pPr>
        <w:spacing w:after="0" w:line="22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the accompanying prospectus and the consolidated financial statements and the related notes included elsewhere in this prospectus supplement and the accompanying prospectus.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900" w:right="140" w:hanging="325"/>
        <w:spacing w:after="0" w:line="277" w:lineRule="auto"/>
        <w:tabs>
          <w:tab w:leader="none" w:pos="90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98"/>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900" w:hanging="325"/>
        <w:spacing w:after="0"/>
        <w:tabs>
          <w:tab w:leader="none" w:pos="90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w:t>
      </w:r>
    </w:p>
    <w:p>
      <w:pPr>
        <w:spacing w:after="0" w:line="46" w:lineRule="exact"/>
        <w:rPr>
          <w:sz w:val="20"/>
          <w:szCs w:val="20"/>
          <w:color w:val="auto"/>
        </w:rPr>
      </w:pPr>
    </w:p>
    <w:p>
      <w:pPr>
        <w:ind w:firstLine="720"/>
        <w:spacing w:after="0" w:line="252" w:lineRule="auto"/>
        <w:rPr>
          <w:sz w:val="20"/>
          <w:szCs w:val="20"/>
          <w:color w:val="auto"/>
        </w:rPr>
      </w:pPr>
      <w:r>
        <w:rPr>
          <w:rFonts w:ascii="Arial" w:cs="Arial" w:eastAsia="Arial" w:hAnsi="Arial"/>
          <w:sz w:val="18"/>
          <w:szCs w:val="18"/>
          <w:color w:val="auto"/>
        </w:rPr>
        <w:t>,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4"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270" w:right="259" w:bottom="1440" w:gutter="0" w:footer="0" w:header="0"/>
        </w:sectPr>
      </w:pPr>
    </w:p>
    <w:bookmarkStart w:id="450" w:name="page451"/>
    <w:bookmarkEnd w:id="450"/>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w:t>
      </w:r>
    </w:p>
    <w:p>
      <w:pPr>
        <w:ind w:right="280"/>
        <w:spacing w:after="0" w:line="254" w:lineRule="auto"/>
        <w:rPr>
          <w:sz w:val="20"/>
          <w:szCs w:val="20"/>
          <w:color w:val="auto"/>
        </w:rPr>
      </w:pPr>
      <w:r>
        <w:rPr>
          <w:rFonts w:ascii="Arial" w:cs="Arial" w:eastAsia="Arial" w:hAnsi="Arial"/>
          <w:sz w:val="18"/>
          <w:szCs w:val="18"/>
          <w:color w:val="auto"/>
        </w:rPr>
        <w:t>and, to a lesser extent, secured corporate bonds, with a secondary priority behind first-lien debt. Based on fair value as of , 20 , our portfolio consisted of % first-lien debt investments, % second-lien debt investments, % mezzanine debt investments and % equity investments. Approximately % of our investments as of , 20 are floating rate in nature, subject to interest rate floors, which we believe helps act as a portfolio-wide hedge against inflation.</w:t>
      </w:r>
    </w:p>
    <w:p>
      <w:pPr>
        <w:spacing w:after="0" w:line="190" w:lineRule="exact"/>
        <w:rPr>
          <w:sz w:val="20"/>
          <w:szCs w:val="20"/>
          <w:color w:val="auto"/>
        </w:rPr>
      </w:pPr>
    </w:p>
    <w:p>
      <w:pPr>
        <w:ind w:left="460"/>
        <w:spacing w:after="0"/>
        <w:tabs>
          <w:tab w:leader="none" w:pos="1780" w:val="left"/>
          <w:tab w:leader="none" w:pos="2280" w:val="left"/>
          <w:tab w:leader="none" w:pos="52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w:t>
        <w:tab/>
        <w:t>, our portfolio was invested across</w:t>
      </w:r>
      <w:r>
        <w:rPr>
          <w:sz w:val="20"/>
          <w:szCs w:val="20"/>
          <w:color w:val="auto"/>
        </w:rPr>
        <w:tab/>
      </w:r>
      <w:r>
        <w:rPr>
          <w:rFonts w:ascii="Arial" w:cs="Arial" w:eastAsia="Arial" w:hAnsi="Arial"/>
          <w:sz w:val="16"/>
          <w:szCs w:val="16"/>
          <w:color w:val="auto"/>
        </w:rPr>
        <w:t>different industries. The largest industries in our portfolio, based on fair value as of</w:t>
      </w:r>
    </w:p>
    <w:p>
      <w:pPr>
        <w:spacing w:after="0" w:line="23" w:lineRule="exact"/>
        <w:rPr>
          <w:sz w:val="20"/>
          <w:szCs w:val="20"/>
          <w:color w:val="auto"/>
        </w:rPr>
      </w:pPr>
    </w:p>
    <w:p>
      <w:pPr>
        <w:ind w:left="900"/>
        <w:spacing w:after="0"/>
        <w:tabs>
          <w:tab w:leader="none" w:pos="1380" w:val="left"/>
          <w:tab w:leader="none" w:pos="2400" w:val="left"/>
          <w:tab w:leader="none" w:pos="3040" w:val="left"/>
          <w:tab w:leader="none" w:pos="3980" w:val="left"/>
          <w:tab w:leader="none" w:pos="8000" w:val="left"/>
          <w:tab w:leader="none" w:pos="8420" w:val="left"/>
          <w:tab w:leader="none" w:pos="9140" w:val="left"/>
        </w:tabs>
        <w:rPr>
          <w:sz w:val="20"/>
          <w:szCs w:val="20"/>
          <w:color w:val="auto"/>
        </w:rPr>
      </w:pPr>
      <w:r>
        <w:rPr>
          <w:rFonts w:ascii="Arial" w:cs="Arial" w:eastAsia="Arial" w:hAnsi="Arial"/>
          <w:sz w:val="18"/>
          <w:szCs w:val="18"/>
          <w:color w:val="auto"/>
        </w:rPr>
        <w:t>, 20</w:t>
        <w:tab/>
        <w:t>, were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which represented, as a percentage of our portfolio,</w:t>
      </w:r>
      <w:r>
        <w:rPr>
          <w:sz w:val="20"/>
          <w:szCs w:val="20"/>
          <w:color w:val="auto"/>
        </w:rPr>
        <w:tab/>
      </w:r>
      <w:r>
        <w:rPr>
          <w:rFonts w:ascii="Arial" w:cs="Arial" w:eastAsia="Arial" w:hAnsi="Arial"/>
          <w:sz w:val="18"/>
          <w:szCs w:val="18"/>
          <w:color w:val="auto"/>
        </w:rPr>
        <w:t>%,</w:t>
        <w:tab/>
        <w:t>%, and</w:t>
      </w:r>
      <w:r>
        <w:rPr>
          <w:sz w:val="20"/>
          <w:szCs w:val="20"/>
          <w:color w:val="auto"/>
        </w:rPr>
        <w:tab/>
      </w:r>
      <w:r>
        <w:rPr>
          <w:rFonts w:ascii="Arial" w:cs="Arial" w:eastAsia="Arial" w:hAnsi="Arial"/>
          <w:sz w:val="16"/>
          <w:szCs w:val="16"/>
          <w:color w:val="auto"/>
        </w:rPr>
        <w:t>%, respectively. We expect that</w:t>
      </w:r>
    </w:p>
    <w:p>
      <w:pPr>
        <w:spacing w:after="0" w:line="9"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no single investment will represent more than</w:t>
      </w:r>
      <w:r>
        <w:rPr>
          <w:sz w:val="20"/>
          <w:szCs w:val="20"/>
          <w:color w:val="auto"/>
        </w:rPr>
        <w:tab/>
      </w:r>
      <w:r>
        <w:rPr>
          <w:rFonts w:ascii="Arial" w:cs="Arial" w:eastAsia="Arial" w:hAnsi="Arial"/>
          <w:sz w:val="16"/>
          <w:szCs w:val="16"/>
          <w:color w:val="auto"/>
        </w:rPr>
        <w:t>% of our total investment portfolio, based on fair value.</w:t>
      </w:r>
    </w:p>
    <w:p>
      <w:pPr>
        <w:spacing w:after="0" w:line="21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As of , 20 , we had investments in portfolio companies with an aggregate fair value of $ million. For the months ended , 20 , we made new investment commitments of $ million, $ million in new portfolio companies and $ million in existing portfolio companies. For this period, we had $ million aggregate principal amount in exits and repayments, resulting in net portfolio growth of $ million aggregate principal amount.</w:t>
      </w:r>
    </w:p>
    <w:p>
      <w:pPr>
        <w:spacing w:after="0" w:line="200" w:lineRule="exact"/>
        <w:rPr>
          <w:sz w:val="20"/>
          <w:szCs w:val="20"/>
          <w:color w:val="auto"/>
        </w:rPr>
      </w:pPr>
    </w:p>
    <w:p>
      <w:pPr>
        <w:spacing w:after="0" w:line="20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 , we had investments in portfolio companies with an aggregate fair value of $ million. For the year ended December 31, 20 , we made new investment commitments of $ million, $ million in new portfolio companies and $ million in existing portfolio companies. For this period, we had $ million aggregate principal amount in exits and repayments, resulting in net portfolio growth of $ million aggregate principal amount.</w:t>
      </w:r>
    </w:p>
    <w:p>
      <w:pPr>
        <w:spacing w:after="0" w:line="187" w:lineRule="exact"/>
        <w:rPr>
          <w:sz w:val="20"/>
          <w:szCs w:val="20"/>
          <w:color w:val="auto"/>
        </w:rPr>
      </w:pPr>
    </w:p>
    <w:p>
      <w:pPr>
        <w:jc w:val="both"/>
        <w:ind w:right="120" w:firstLine="456"/>
        <w:spacing w:after="0" w:line="271" w:lineRule="auto"/>
        <w:rPr>
          <w:sz w:val="20"/>
          <w:szCs w:val="20"/>
          <w:color w:val="auto"/>
        </w:rPr>
      </w:pPr>
      <w:r>
        <w:rPr>
          <w:rFonts w:ascii="Arial" w:cs="Arial" w:eastAsia="Arial" w:hAnsi="Arial"/>
          <w:sz w:val="17"/>
          <w:szCs w:val="17"/>
          <w:color w:val="auto"/>
        </w:rPr>
        <w:t>Since we began investing in 2011 through , 20 , our exited investments have resulted in an aggregate cash flow realized gross internal rate of return to us of approximately % (based on cash invested of approximately $ million and total proceeds from these exited investments of approximately $ million). percent of these exited investments resulted in an aggregate cash flow realized gross internal rate of return to us of 10% or</w:t>
      </w:r>
    </w:p>
    <w:p>
      <w:pPr>
        <w:ind w:right="160"/>
        <w:spacing w:after="0" w:line="261" w:lineRule="auto"/>
        <w:rPr>
          <w:sz w:val="20"/>
          <w:szCs w:val="20"/>
          <w:color w:val="auto"/>
        </w:rPr>
      </w:pPr>
      <w:r>
        <w:rPr>
          <w:rFonts w:ascii="Arial" w:cs="Arial" w:eastAsia="Arial" w:hAnsi="Arial"/>
          <w:sz w:val="18"/>
          <w:szCs w:val="18"/>
          <w:color w:val="auto"/>
        </w:rPr>
        <w:t>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273" w:right="259" w:bottom="1440" w:gutter="0" w:footer="0" w:header="0"/>
        </w:sectPr>
      </w:pPr>
    </w:p>
    <w:bookmarkStart w:id="451" w:name="page452"/>
    <w:bookmarkEnd w:id="451"/>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substantial experience in credit origination, underwriting and asset management. Our investment decisions are made by our investment review committee, or the Investment Review Committee, which includes senior personnel of TSSP and TPG.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TSSP is TPG’s special situations and credit platform and encompasses TPG Specialty Lending, Inc, TPG Opportunities Partners, which invests in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special situations and distressed investments across the credit cycle, and TPG Institutional Credit Partners, which is a “public-side” credit investment platform</w:t>
      </w:r>
    </w:p>
    <w:p>
      <w:pPr>
        <w:spacing w:after="0" w:line="3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focused on investment opportunities in the broadly syndicated leveraged loan markets.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91" w:lineRule="exact"/>
        <w:rPr>
          <w:sz w:val="20"/>
          <w:szCs w:val="20"/>
          <w:color w:val="auto"/>
        </w:rPr>
      </w:pPr>
    </w:p>
    <w:p>
      <w:pPr>
        <w:ind w:left="460"/>
        <w:spacing w:after="0"/>
        <w:tabs>
          <w:tab w:leader="none" w:pos="6060" w:val="left"/>
          <w:tab w:leader="none" w:pos="9980" w:val="left"/>
          <w:tab w:leader="none" w:pos="10480" w:val="left"/>
        </w:tabs>
        <w:rPr>
          <w:sz w:val="20"/>
          <w:szCs w:val="20"/>
          <w:color w:val="auto"/>
        </w:rPr>
      </w:pPr>
      <w:r>
        <w:rPr>
          <w:rFonts w:ascii="Arial" w:cs="Arial" w:eastAsia="Arial" w:hAnsi="Arial"/>
          <w:sz w:val="18"/>
          <w:szCs w:val="18"/>
          <w:color w:val="auto"/>
        </w:rPr>
        <w:t>TPG is a leading global private investment firm founded in 1992 with</w:t>
      </w:r>
      <w:r>
        <w:rPr>
          <w:sz w:val="20"/>
          <w:szCs w:val="20"/>
          <w:color w:val="auto"/>
        </w:rPr>
        <w:tab/>
      </w:r>
      <w:r>
        <w:rPr>
          <w:rFonts w:ascii="Arial" w:cs="Arial" w:eastAsia="Arial" w:hAnsi="Arial"/>
          <w:sz w:val="18"/>
          <w:szCs w:val="18"/>
          <w:color w:val="auto"/>
        </w:rPr>
        <w:t>billion of assets under management,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and offices</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of the Adviser consists primarily of senior executives of TSSP and TPG. TSSP and TPG executives, including members of our</w:t>
      </w:r>
    </w:p>
    <w:p>
      <w:pPr>
        <w:spacing w:after="0" w:line="35" w:lineRule="exact"/>
        <w:rPr>
          <w:sz w:val="20"/>
          <w:szCs w:val="20"/>
          <w:color w:val="auto"/>
        </w:rPr>
      </w:pPr>
    </w:p>
    <w:p>
      <w:pPr>
        <w:spacing w:after="0"/>
        <w:tabs>
          <w:tab w:leader="none" w:pos="9420" w:val="left"/>
          <w:tab w:leader="none" w:pos="9920" w:val="left"/>
        </w:tabs>
        <w:rPr>
          <w:sz w:val="20"/>
          <w:szCs w:val="20"/>
          <w:color w:val="auto"/>
        </w:rPr>
      </w:pPr>
      <w:r>
        <w:rPr>
          <w:rFonts w:ascii="Arial" w:cs="Arial" w:eastAsia="Arial" w:hAnsi="Arial"/>
          <w:sz w:val="18"/>
          <w:szCs w:val="18"/>
          <w:color w:val="auto"/>
        </w:rPr>
        <w:t>Investment Review Committee and certain of our other senior personnel, own a significant stake in the Adviser.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our Adviser owned</w:t>
      </w:r>
    </w:p>
    <w:p>
      <w:pPr>
        <w:spacing w:after="0" w:line="9" w:lineRule="exact"/>
        <w:rPr>
          <w:sz w:val="20"/>
          <w:szCs w:val="20"/>
          <w:color w:val="auto"/>
        </w:rPr>
      </w:pPr>
    </w:p>
    <w:p>
      <w:pPr>
        <w:ind w:right="60" w:firstLine="188"/>
        <w:spacing w:after="0" w:line="261" w:lineRule="auto"/>
        <w:tabs>
          <w:tab w:leader="none" w:pos="37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of our common stock. See “Management,” “Related-Party Transactions and Certain Relationships” and “Control Persons and Principal Stockholders” in the accompanying prospectus.</w:t>
      </w:r>
    </w:p>
    <w:p>
      <w:pPr>
        <w:spacing w:after="0" w:line="18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274" w:right="259" w:bottom="1440" w:gutter="0" w:footer="0" w:header="0"/>
        </w:sectPr>
      </w:pPr>
    </w:p>
    <w:bookmarkStart w:id="452" w:name="page453"/>
    <w:bookmarkEnd w:id="4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 AND EXPENSES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an amount so that our total borrowings are 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supplement or the accompanying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5080" w:type="dxa"/>
            <w:vAlign w:val="bottom"/>
          </w:tcPr>
          <w:p>
            <w:pPr>
              <w:spacing w:after="0"/>
              <w:rPr>
                <w:sz w:val="20"/>
                <w:szCs w:val="20"/>
                <w:color w:val="auto"/>
              </w:rPr>
            </w:pPr>
            <w:r>
              <w:rPr>
                <w:rFonts w:ascii="Arial" w:cs="Arial" w:eastAsia="Arial" w:hAnsi="Arial"/>
                <w:sz w:val="18"/>
                <w:szCs w:val="18"/>
                <w:color w:val="auto"/>
              </w:rPr>
              <w:t>Sales load</w:t>
            </w:r>
          </w:p>
        </w:tc>
        <w:tc>
          <w:tcPr>
            <w:tcW w:w="44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4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44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(3)</w:t>
            </w:r>
          </w:p>
        </w:tc>
      </w:tr>
      <w:tr>
        <w:trPr>
          <w:trHeight w:val="216"/>
        </w:trPr>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91"/>
              </w:rPr>
              <w:t>Management Fee payable under the Investment Advisory Agreement</w:t>
            </w:r>
          </w:p>
        </w:tc>
        <w:tc>
          <w:tcPr>
            <w:tcW w:w="44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(5)</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5"/>
              </w:rPr>
              <w:t>Incentive Fee payable under the Investment Advisory Agreement (</w:t>
            </w: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of net investment income and capital gains)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44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(8)(9)</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annual expenses</w:t>
            </w:r>
          </w:p>
        </w:tc>
        <w:tc>
          <w:tcPr>
            <w:tcW w:w="4420" w:type="dxa"/>
            <w:vAlign w:val="bottom"/>
          </w:tcPr>
          <w:p>
            <w:pPr>
              <w:spacing w:after="0"/>
              <w:rPr>
                <w:sz w:val="19"/>
                <w:szCs w:val="19"/>
                <w:color w:val="auto"/>
              </w:rPr>
            </w:pPr>
          </w:p>
        </w:tc>
        <w:tc>
          <w:tcPr>
            <w:tcW w:w="6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7"/>
              </w:rPr>
              <w:t>%</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(9)</w:t>
            </w:r>
          </w:p>
        </w:tc>
      </w:tr>
      <w:tr>
        <w:trPr>
          <w:trHeight w:val="20"/>
        </w:trPr>
        <w:tc>
          <w:tcPr>
            <w:tcW w:w="50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00" w:hanging="452"/>
        <w:spacing w:after="0" w:line="258" w:lineRule="auto"/>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sales load (underwriting discount) with respect to the shares sold in this offering, which is a one-time fee paid to the underwriters, is the only sales load paid in connection with this offering.</w:t>
      </w:r>
    </w:p>
    <w:p>
      <w:pPr>
        <w:spacing w:after="0" w:line="1" w:lineRule="exact"/>
        <w:rPr>
          <w:sz w:val="20"/>
          <w:szCs w:val="20"/>
          <w:color w:val="auto"/>
        </w:rPr>
      </w:pPr>
    </w:p>
    <w:p>
      <w:pPr>
        <w:spacing w:after="0"/>
        <w:tabs>
          <w:tab w:leader="none" w:pos="440" w:val="left"/>
          <w:tab w:leader="none" w:pos="5600" w:val="left"/>
        </w:tabs>
        <w:rPr>
          <w:sz w:val="20"/>
          <w:szCs w:val="20"/>
          <w:color w:val="auto"/>
        </w:rPr>
      </w:pPr>
      <w:r>
        <w:rPr>
          <w:rFonts w:ascii="Arial" w:cs="Arial" w:eastAsia="Arial" w:hAnsi="Arial"/>
          <w:sz w:val="18"/>
          <w:szCs w:val="18"/>
          <w:color w:val="auto"/>
        </w:rPr>
        <w:t>(2)</w:t>
        <w:tab/>
        <w:t>Amount reflects estimated offering expenses of approximately $</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460" w:right="660" w:hanging="452"/>
        <w:spacing w:after="0" w:line="250" w:lineRule="auto"/>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 in the accompanying prospectus.</w:t>
      </w:r>
    </w:p>
    <w:tbl>
      <w:tblPr>
        <w:tblLayout w:type="fixed"/>
        <w:tblInd w:w="0" w:type="dxa"/>
        <w:tblCellMar>
          <w:top w:w="0" w:type="dxa"/>
          <w:left w:w="0" w:type="dxa"/>
          <w:bottom w:w="0" w:type="dxa"/>
          <w:right w:w="0" w:type="dxa"/>
        </w:tblCellMar>
      </w:tblPr>
      <w:tr>
        <w:trPr>
          <w:trHeight w:val="203"/>
        </w:trPr>
        <w:tc>
          <w:tcPr>
            <w:tcW w:w="3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0"/>
              </w:rPr>
              <w:t>(4)</w:t>
            </w:r>
          </w:p>
        </w:tc>
        <w:tc>
          <w:tcPr>
            <w:tcW w:w="8780" w:type="dxa"/>
            <w:vAlign w:val="bottom"/>
            <w:gridSpan w:val="4"/>
          </w:tcPr>
          <w:p>
            <w:pPr>
              <w:ind w:left="120"/>
              <w:spacing w:after="0" w:line="203" w:lineRule="exact"/>
              <w:rPr>
                <w:sz w:val="20"/>
                <w:szCs w:val="20"/>
                <w:color w:val="auto"/>
              </w:rPr>
            </w:pPr>
            <w:r>
              <w:rPr>
                <w:rFonts w:ascii="Arial" w:cs="Arial" w:eastAsia="Arial" w:hAnsi="Arial"/>
                <w:sz w:val="18"/>
                <w:szCs w:val="18"/>
                <w:color w:val="auto"/>
                <w:w w:val="92"/>
              </w:rPr>
              <w:t>The net assets attributable to common stock used to calculate the percentages in this table reflect our net assets of $</w:t>
            </w:r>
          </w:p>
        </w:tc>
        <w:tc>
          <w:tcPr>
            <w:tcW w:w="1940" w:type="dxa"/>
            <w:vAlign w:val="bottom"/>
          </w:tcPr>
          <w:p>
            <w:pPr>
              <w:ind w:left="220"/>
              <w:spacing w:after="0" w:line="203" w:lineRule="exact"/>
              <w:rPr>
                <w:sz w:val="20"/>
                <w:szCs w:val="20"/>
                <w:color w:val="auto"/>
              </w:rPr>
            </w:pPr>
            <w:r>
              <w:rPr>
                <w:rFonts w:ascii="Arial" w:cs="Arial" w:eastAsia="Arial" w:hAnsi="Arial"/>
                <w:sz w:val="18"/>
                <w:szCs w:val="18"/>
                <w:color w:val="auto"/>
              </w:rPr>
              <w:t>million as of</w:t>
            </w:r>
          </w:p>
        </w:tc>
        <w:tc>
          <w:tcPr>
            <w:tcW w:w="36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20  .</w:t>
            </w:r>
          </w:p>
        </w:tc>
        <w:tc>
          <w:tcPr>
            <w:tcW w:w="3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(5)</w:t>
            </w:r>
          </w:p>
        </w:tc>
        <w:tc>
          <w:tcPr>
            <w:tcW w:w="2060" w:type="dxa"/>
            <w:vAlign w:val="bottom"/>
          </w:tcPr>
          <w:p>
            <w:pPr>
              <w:ind w:left="120"/>
              <w:spacing w:after="0"/>
              <w:rPr>
                <w:sz w:val="20"/>
                <w:szCs w:val="20"/>
                <w:color w:val="auto"/>
              </w:rPr>
            </w:pPr>
            <w:r>
              <w:rPr>
                <w:rFonts w:ascii="Arial" w:cs="Arial" w:eastAsia="Arial" w:hAnsi="Arial"/>
                <w:sz w:val="18"/>
                <w:szCs w:val="18"/>
                <w:color w:val="auto"/>
                <w:w w:val="98"/>
              </w:rPr>
              <w:t>The Management Fee is</w:t>
            </w:r>
          </w:p>
        </w:tc>
        <w:tc>
          <w:tcPr>
            <w:tcW w:w="8660" w:type="dxa"/>
            <w:vAlign w:val="bottom"/>
            <w:gridSpan w:val="4"/>
          </w:tcPr>
          <w:p>
            <w:pPr>
              <w:ind w:left="200"/>
              <w:spacing w:after="0"/>
              <w:rPr>
                <w:sz w:val="20"/>
                <w:szCs w:val="20"/>
                <w:color w:val="auto"/>
              </w:rPr>
            </w:pPr>
            <w:r>
              <w:rPr>
                <w:rFonts w:ascii="Arial" w:cs="Arial" w:eastAsia="Arial" w:hAnsi="Arial"/>
                <w:sz w:val="18"/>
                <w:szCs w:val="18"/>
                <w:color w:val="auto"/>
                <w:w w:val="89"/>
              </w:rPr>
              <w:t>% of the average value of our gross assets (including cash and cash equivalents and assets purchased with borrowed</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0"/>
              </w:rPr>
              <w:t>amounts) using the values at the end of the two most recently completed calendar quarters, adjusted for any share issuances or repurchases during the</w:t>
            </w: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1"/>
              </w:rPr>
              <w:t>period. We may from time to time decide it is appropriate to change the terms of our Investment Advisory Agreement. Under the 1940 Act, any material</w:t>
            </w:r>
          </w:p>
        </w:tc>
      </w:tr>
      <w:tr>
        <w:trPr>
          <w:trHeight w:val="216"/>
        </w:trPr>
        <w:tc>
          <w:tcPr>
            <w:tcW w:w="340" w:type="dxa"/>
            <w:vAlign w:val="bottom"/>
          </w:tcPr>
          <w:p>
            <w:pPr>
              <w:spacing w:after="0"/>
              <w:rPr>
                <w:sz w:val="18"/>
                <w:szCs w:val="18"/>
                <w:color w:val="auto"/>
              </w:rPr>
            </w:pPr>
          </w:p>
        </w:tc>
        <w:tc>
          <w:tcPr>
            <w:tcW w:w="10720" w:type="dxa"/>
            <w:vAlign w:val="bottom"/>
            <w:gridSpan w:val="5"/>
          </w:tcPr>
          <w:p>
            <w:pPr>
              <w:ind w:left="120"/>
              <w:spacing w:after="0"/>
              <w:rPr>
                <w:sz w:val="20"/>
                <w:szCs w:val="20"/>
                <w:color w:val="auto"/>
              </w:rPr>
            </w:pPr>
            <w:r>
              <w:rPr>
                <w:rFonts w:ascii="Arial" w:cs="Arial" w:eastAsia="Arial" w:hAnsi="Arial"/>
                <w:sz w:val="18"/>
                <w:szCs w:val="18"/>
                <w:color w:val="auto"/>
                <w:w w:val="91"/>
              </w:rPr>
              <w:t>change to our Investment Advisory Agreement (as defined in the accompanying prospectus) must be submitted to stockholders for approval. See</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720" w:type="dxa"/>
            <w:vAlign w:val="bottom"/>
            <w:gridSpan w:val="5"/>
          </w:tcPr>
          <w:p>
            <w:pPr>
              <w:ind w:left="120"/>
              <w:spacing w:after="0"/>
              <w:rPr>
                <w:sz w:val="20"/>
                <w:szCs w:val="20"/>
                <w:color w:val="auto"/>
              </w:rPr>
            </w:pPr>
            <w:r>
              <w:rPr>
                <w:rFonts w:ascii="Arial" w:cs="Arial" w:eastAsia="Arial" w:hAnsi="Arial"/>
                <w:sz w:val="18"/>
                <w:szCs w:val="18"/>
                <w:color w:val="auto"/>
                <w:w w:val="93"/>
              </w:rPr>
              <w:t>“Management and Other Agreements—Investment Advisory Agreement; Administration Agreement; License Agreement” in the accompanying</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prospectus.</w:t>
            </w:r>
          </w:p>
        </w:tc>
        <w:tc>
          <w:tcPr>
            <w:tcW w:w="3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720" w:type="dxa"/>
            <w:vAlign w:val="bottom"/>
            <w:gridSpan w:val="5"/>
          </w:tcPr>
          <w:p>
            <w:pPr>
              <w:ind w:left="120"/>
              <w:spacing w:after="0"/>
              <w:rPr>
                <w:sz w:val="20"/>
                <w:szCs w:val="20"/>
                <w:color w:val="auto"/>
              </w:rPr>
            </w:pPr>
            <w:r>
              <w:rPr>
                <w:rFonts w:ascii="Arial" w:cs="Arial" w:eastAsia="Arial" w:hAnsi="Arial"/>
                <w:sz w:val="18"/>
                <w:szCs w:val="18"/>
                <w:color w:val="auto"/>
                <w:w w:val="91"/>
              </w:rPr>
              <w:t>The Management Fee reflected in the table is calculated by determining the ratio that the Management Fee bears to our net assets attributable to</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0"/>
              </w:rPr>
              <w:t>common stock (rather than our gross assets). The estimate of our Management Fee referenced in the table is based on our gross assets (including cash</w:t>
            </w:r>
          </w:p>
        </w:tc>
      </w:tr>
      <w:tr>
        <w:trPr>
          <w:trHeight w:val="230"/>
        </w:trPr>
        <w:tc>
          <w:tcPr>
            <w:tcW w:w="340" w:type="dxa"/>
            <w:vAlign w:val="bottom"/>
          </w:tcPr>
          <w:p>
            <w:pPr>
              <w:spacing w:after="0"/>
              <w:rPr>
                <w:sz w:val="20"/>
                <w:szCs w:val="20"/>
                <w:color w:val="auto"/>
              </w:rPr>
            </w:pP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w w:val="96"/>
              </w:rPr>
              <w:t>and cash equivalents and assets purchased with borrowed amounts) as of</w:t>
            </w:r>
          </w:p>
        </w:tc>
        <w:tc>
          <w:tcPr>
            <w:tcW w:w="1700" w:type="dxa"/>
            <w:vAlign w:val="bottom"/>
          </w:tcPr>
          <w:p>
            <w:pPr>
              <w:ind w:left="460"/>
              <w:spacing w:after="0"/>
              <w:rPr>
                <w:sz w:val="20"/>
                <w:szCs w:val="20"/>
                <w:color w:val="auto"/>
              </w:rPr>
            </w:pPr>
            <w:r>
              <w:rPr>
                <w:rFonts w:ascii="Arial" w:cs="Arial" w:eastAsia="Arial" w:hAnsi="Arial"/>
                <w:sz w:val="18"/>
                <w:szCs w:val="18"/>
                <w:color w:val="auto"/>
              </w:rPr>
              <w:t>, 20   and</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 20   .</w:t>
            </w:r>
          </w:p>
        </w:tc>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460" w:hanging="452"/>
        <w:spacing w:after="0"/>
        <w:tabs>
          <w:tab w:leader="none" w:pos="46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twelve months after the date of</w:t>
      </w:r>
    </w:p>
    <w:p>
      <w:pPr>
        <w:sectPr>
          <w:pgSz w:w="11900" w:h="16838" w:orient="portrait"/>
          <w:cols w:equalWidth="0" w:num="1">
            <w:col w:w="11420"/>
          </w:cols>
          <w:pgMar w:left="240" w:top="269" w:right="239" w:bottom="1440" w:gutter="0" w:footer="0" w:header="0"/>
        </w:sectPr>
      </w:pPr>
    </w:p>
    <w:p>
      <w:pPr>
        <w:spacing w:after="0" w:line="32"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this prospectus supplement. The Incentive Fee payable in the example below is based upon our actual results for the quarter ended , 20 , and assumes that the Incentive Fee is % for all relevant periods. However, the Incentive Fee payable to the Adviser is based on our performance and will not be paid unless we achieve certain goals.</w:t>
      </w:r>
    </w:p>
    <w:p>
      <w:pPr>
        <w:sectPr>
          <w:pgSz w:w="11900" w:h="16838" w:orient="portrait"/>
          <w:cols w:equalWidth="0" w:num="1">
            <w:col w:w="11420"/>
          </w:cols>
          <w:pgMar w:left="240" w:top="269" w:right="2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420"/>
          </w:cols>
          <w:pgMar w:left="240" w:top="269" w:right="239" w:bottom="1440" w:gutter="0" w:footer="0" w:header="0"/>
          <w:type w:val="continuous"/>
        </w:sectPr>
      </w:pPr>
    </w:p>
    <w:bookmarkStart w:id="453" w:name="page454"/>
    <w:bookmarkEnd w:id="4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Incentive Fee consists of two parts:</w:t>
      </w:r>
    </w:p>
    <w:p>
      <w:pPr>
        <w:spacing w:after="0" w:line="77"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The first component, payable at the end of each quarter in arrears, equals 100% of the pre-Incentive Fee net investment income in excess of a % quarterly “hurdle rate” until the Adviser has received % of the total pre-Incentive Fee net investment income for that quarter and, for pre-Incentive Fee net investment income in excess of % quarterly, % of all remaining pre-Incentive Fee net investment income for that quarter.</w:t>
      </w:r>
    </w:p>
    <w:p>
      <w:pPr>
        <w:spacing w:after="0" w:line="30"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w:t>
      </w:r>
    </w:p>
    <w:p>
      <w:pPr>
        <w:jc w:val="both"/>
        <w:ind w:left="460" w:right="80"/>
        <w:spacing w:after="0" w:line="281" w:lineRule="auto"/>
        <w:rPr>
          <w:sz w:val="20"/>
          <w:szCs w:val="20"/>
          <w:color w:val="auto"/>
        </w:rPr>
      </w:pPr>
      <w:r>
        <w:rPr>
          <w:rFonts w:ascii="Arial" w:cs="Arial" w:eastAsia="Arial" w:hAnsi="Arial"/>
          <w:sz w:val="16"/>
          <w:szCs w:val="16"/>
          <w:color w:val="auto"/>
        </w:rPr>
        <w:t>and thereafter at %,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2" w:lineRule="exact"/>
        <w:rPr>
          <w:sz w:val="20"/>
          <w:szCs w:val="20"/>
          <w:color w:val="auto"/>
        </w:rPr>
      </w:pPr>
    </w:p>
    <w:p>
      <w:pPr>
        <w:ind w:left="460" w:right="240"/>
        <w:spacing w:after="0" w:line="250" w:lineRule="auto"/>
        <w:rPr>
          <w:sz w:val="20"/>
          <w:szCs w:val="20"/>
          <w:color w:val="auto"/>
        </w:rPr>
      </w:pPr>
      <w:r>
        <w:rPr>
          <w:rFonts w:ascii="Arial" w:cs="Arial" w:eastAsia="Arial" w:hAnsi="Arial"/>
          <w:sz w:val="18"/>
          <w:szCs w:val="18"/>
          <w:color w:val="auto"/>
        </w:rPr>
        <w:t>See “Management and Other Agreements—Investment Advisory Agreement; Administration Agreement; License Agreement” in the accompanying prospectus.</w:t>
      </w:r>
    </w:p>
    <w:p>
      <w:pPr>
        <w:spacing w:after="0" w:line="1" w:lineRule="exact"/>
        <w:rPr>
          <w:sz w:val="20"/>
          <w:szCs w:val="20"/>
          <w:color w:val="auto"/>
        </w:rPr>
      </w:pPr>
    </w:p>
    <w:p>
      <w:pPr>
        <w:ind w:left="460" w:hanging="452"/>
        <w:spacing w:after="0"/>
        <w:tabs>
          <w:tab w:leader="none" w:pos="46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based on our interest expense for the quarter ended</w:t>
      </w:r>
    </w:p>
    <w:p>
      <w:pPr>
        <w:spacing w:after="0" w:line="32" w:lineRule="exact"/>
        <w:rPr>
          <w:rFonts w:ascii="Arial" w:cs="Arial" w:eastAsia="Arial" w:hAnsi="Arial"/>
          <w:sz w:val="16"/>
          <w:szCs w:val="16"/>
          <w:color w:val="auto"/>
        </w:rPr>
      </w:pPr>
    </w:p>
    <w:p>
      <w:pPr>
        <w:ind w:left="460" w:right="240" w:firstLine="714"/>
        <w:spacing w:after="0" w:line="281" w:lineRule="auto"/>
        <w:tabs>
          <w:tab w:leader="none" w:pos="1270" w:val="left"/>
        </w:tabs>
        <w:numPr>
          <w:ilvl w:val="1"/>
          <w:numId w:val="403"/>
        </w:numPr>
        <w:rPr>
          <w:rFonts w:ascii="Arial" w:cs="Arial" w:eastAsia="Arial" w:hAnsi="Arial"/>
          <w:sz w:val="16"/>
          <w:szCs w:val="16"/>
          <w:color w:val="auto"/>
        </w:rPr>
      </w:pPr>
      <w:r>
        <w:rPr>
          <w:rFonts w:ascii="Arial" w:cs="Arial" w:eastAsia="Arial" w:hAnsi="Arial"/>
          <w:sz w:val="16"/>
          <w:szCs w:val="16"/>
          <w:color w:val="auto"/>
        </w:rPr>
        <w:t>20 , under our credit facilities and debt securities based on assumed total borrowings outstanding equal to 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2"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Includes our overhead expenses, such as payments under the Administration Agreement (as defined in the accompanying prospectus) for certain expenses incurred by the Adviser. See “Management and Other Agreements—Investment Advisory Agreement; Administration Agreement; License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in the accompanying prospectus. We based these expenses on estimated amounts for the current fiscal year by annualizing expenses from</w:t>
      </w:r>
    </w:p>
    <w:p>
      <w:pPr>
        <w:spacing w:after="0" w:line="32" w:lineRule="exact"/>
        <w:rPr>
          <w:sz w:val="20"/>
          <w:szCs w:val="20"/>
          <w:color w:val="auto"/>
        </w:rPr>
      </w:pPr>
    </w:p>
    <w:p>
      <w:pPr>
        <w:ind w:left="460"/>
        <w:spacing w:after="0"/>
        <w:tabs>
          <w:tab w:leader="none" w:pos="1460" w:val="left"/>
          <w:tab w:leader="none" w:pos="2720" w:val="left"/>
          <w:tab w:leader="none" w:pos="32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ending</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w:t>
      </w:r>
    </w:p>
    <w:p>
      <w:pPr>
        <w:ind w:left="360"/>
        <w:spacing w:after="0"/>
        <w:rPr>
          <w:sz w:val="20"/>
          <w:szCs w:val="20"/>
          <w:color w:val="auto"/>
        </w:rPr>
      </w:pPr>
      <w:r>
        <w:rPr>
          <w:rFonts w:ascii="Arial" w:cs="Arial" w:eastAsia="Arial" w:hAnsi="Arial"/>
          <w:sz w:val="18"/>
          <w:szCs w:val="18"/>
          <w:color w:val="auto"/>
        </w:rPr>
        <w:t>% for all relevant periods. Transaction expenses are not included in the following example.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1 year</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3 years</w:t>
            </w:r>
          </w:p>
        </w:tc>
        <w:tc>
          <w:tcPr>
            <w:tcW w:w="640" w:type="dxa"/>
            <w:vAlign w:val="bottom"/>
          </w:tcPr>
          <w:p>
            <w:pPr>
              <w:jc w:val="right"/>
              <w:ind w:right="27"/>
              <w:spacing w:after="0"/>
              <w:rPr>
                <w:sz w:val="20"/>
                <w:szCs w:val="20"/>
                <w:color w:val="auto"/>
              </w:rPr>
            </w:pPr>
            <w:r>
              <w:rPr>
                <w:rFonts w:ascii="Arial" w:cs="Arial" w:eastAsia="Arial" w:hAnsi="Arial"/>
                <w:sz w:val="14"/>
                <w:szCs w:val="14"/>
                <w:b w:val="1"/>
                <w:bCs w:val="1"/>
                <w:color w:val="auto"/>
              </w:rPr>
              <w:t>5 years</w:t>
            </w:r>
          </w:p>
        </w:tc>
        <w:tc>
          <w:tcPr>
            <w:tcW w:w="5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5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You would pay the following expenses on a $1,000 common stock investment,</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assuming a 5% annual return from realized capital gains</w:t>
            </w:r>
          </w:p>
        </w:tc>
        <w:tc>
          <w:tcPr>
            <w:tcW w:w="9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274" w:right="259" w:bottom="1440" w:gutter="0" w:footer="0" w:header="0"/>
        </w:sectPr>
      </w:pPr>
    </w:p>
    <w:bookmarkStart w:id="454" w:name="page455"/>
    <w:bookmarkEnd w:id="454"/>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69"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274" w:right="259" w:bottom="1440" w:gutter="0" w:footer="0" w:header="0"/>
        </w:sectPr>
      </w:pPr>
    </w:p>
    <w:bookmarkStart w:id="455" w:name="page456"/>
    <w:bookmarkEnd w:id="45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FINANCIAL DATA AND OTHER INFORMATION</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w:t>
      </w:r>
    </w:p>
    <w:p>
      <w:pPr>
        <w:ind w:right="520"/>
        <w:spacing w:after="0" w:line="261" w:lineRule="auto"/>
        <w:rPr>
          <w:sz w:val="20"/>
          <w:szCs w:val="20"/>
          <w:color w:val="auto"/>
        </w:rPr>
      </w:pPr>
      <w:r>
        <w:rPr>
          <w:rFonts w:ascii="Arial" w:cs="Arial" w:eastAsia="Arial" w:hAnsi="Arial"/>
          <w:sz w:val="18"/>
          <w:szCs w:val="18"/>
          <w:color w:val="auto"/>
        </w:rPr>
        <w:t>derived the selected consolidated financial data for the ended , 20 and , 20 from our unaudited interim consolidated financial statements and related notes, which are included elsewhere in this prospectus supplement or the accompanying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40"/>
          </w:cols>
          <w:pgMar w:left="240" w:top="269" w:right="319" w:bottom="1440" w:gutter="0" w:footer="0" w:header="0"/>
        </w:sectPr>
      </w:pPr>
    </w:p>
    <w:bookmarkStart w:id="456" w:name="page457"/>
    <w:bookmarkEnd w:id="456"/>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p>
    <w:p>
      <w:pPr>
        <w:spacing w:after="0" w:line="229" w:lineRule="exact"/>
        <w:rPr>
          <w:sz w:val="20"/>
          <w:szCs w:val="20"/>
          <w:color w:val="auto"/>
        </w:rPr>
      </w:pPr>
    </w:p>
    <w:p>
      <w:pPr>
        <w:ind w:left="460"/>
        <w:spacing w:after="0"/>
        <w:tabs>
          <w:tab w:leader="none" w:pos="5800" w:val="left"/>
        </w:tabs>
        <w:rPr>
          <w:sz w:val="20"/>
          <w:szCs w:val="20"/>
          <w:color w:val="auto"/>
        </w:rPr>
      </w:pPr>
      <w:r>
        <w:rPr>
          <w:rFonts w:ascii="Arial" w:cs="Arial" w:eastAsia="Arial" w:hAnsi="Arial"/>
          <w:sz w:val="18"/>
          <w:szCs w:val="18"/>
          <w:color w:val="auto"/>
        </w:rPr>
        <w:t>We estimate that the net proceeds we will receive from the sale of</w:t>
      </w:r>
      <w:r>
        <w:rPr>
          <w:sz w:val="20"/>
          <w:szCs w:val="20"/>
          <w:color w:val="auto"/>
        </w:rPr>
        <w:tab/>
      </w:r>
      <w:r>
        <w:rPr>
          <w:rFonts w:ascii="Arial" w:cs="Arial" w:eastAsia="Arial" w:hAnsi="Arial"/>
          <w:sz w:val="16"/>
          <w:szCs w:val="16"/>
          <w:color w:val="auto"/>
        </w:rPr>
        <w:t>shares of our common stock in this offering will be approximately</w:t>
      </w:r>
    </w:p>
    <w:p>
      <w:pPr>
        <w:spacing w:after="0" w:line="23" w:lineRule="exact"/>
        <w:rPr>
          <w:sz w:val="20"/>
          <w:szCs w:val="20"/>
          <w:color w:val="auto"/>
        </w:rPr>
      </w:pPr>
    </w:p>
    <w:p>
      <w:pPr>
        <w:spacing w:after="0"/>
        <w:tabs>
          <w:tab w:leader="none" w:pos="660" w:val="left"/>
          <w:tab w:leader="none" w:pos="3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fully exercise their over-allotment option), in each case assuming a public offering</w:t>
      </w:r>
    </w:p>
    <w:p>
      <w:pPr>
        <w:spacing w:after="0" w:line="9" w:lineRule="exact"/>
        <w:rPr>
          <w:sz w:val="20"/>
          <w:szCs w:val="20"/>
          <w:color w:val="auto"/>
        </w:rPr>
      </w:pPr>
    </w:p>
    <w:p>
      <w:pPr>
        <w:spacing w:after="0"/>
        <w:tabs>
          <w:tab w:leader="none" w:pos="1260" w:val="left"/>
          <w:tab w:leader="none" w:pos="7260" w:val="left"/>
          <w:tab w:leader="none" w:pos="984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8"/>
          <w:szCs w:val="18"/>
          <w:color w:val="auto"/>
        </w:rPr>
        <w:t>per share, after deducting the underwriting discounts and commissions of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million if the</w:t>
      </w:r>
    </w:p>
    <w:p>
      <w:pPr>
        <w:spacing w:after="0" w:line="9" w:lineRule="exact"/>
        <w:rPr>
          <w:sz w:val="20"/>
          <w:szCs w:val="20"/>
          <w:color w:val="auto"/>
        </w:rPr>
      </w:pPr>
    </w:p>
    <w:p>
      <w:pPr>
        <w:spacing w:after="0"/>
        <w:tabs>
          <w:tab w:leader="none" w:pos="9340" w:val="left"/>
        </w:tabs>
        <w:rPr>
          <w:sz w:val="20"/>
          <w:szCs w:val="20"/>
          <w:color w:val="auto"/>
        </w:rPr>
      </w:pPr>
      <w:r>
        <w:rPr>
          <w:rFonts w:ascii="Arial" w:cs="Arial" w:eastAsia="Arial" w:hAnsi="Arial"/>
          <w:sz w:val="18"/>
          <w:szCs w:val="18"/>
          <w:color w:val="auto"/>
        </w:rPr>
        <w:t>underwriters fully exercise their over-allotment option) payable by us and estimated offering expenses of approximately $</w:t>
      </w:r>
      <w:r>
        <w:rPr>
          <w:sz w:val="20"/>
          <w:szCs w:val="20"/>
          <w:color w:val="auto"/>
        </w:rPr>
        <w:tab/>
      </w:r>
      <w:r>
        <w:rPr>
          <w:rFonts w:ascii="Arial" w:cs="Arial" w:eastAsia="Arial" w:hAnsi="Arial"/>
          <w:sz w:val="16"/>
          <w:szCs w:val="16"/>
          <w:color w:val="auto"/>
        </w:rPr>
        <w:t>million payable by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240" w:top="270" w:right="519" w:bottom="1440" w:gutter="0" w:footer="0" w:header="0"/>
        </w:sectPr>
      </w:pPr>
    </w:p>
    <w:bookmarkStart w:id="457" w:name="page458"/>
    <w:bookmarkEnd w:id="4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RANGE OF COMMON STOCK AND DISTRIBUTIONS</w:t>
      </w:r>
    </w:p>
    <w:p>
      <w:pPr>
        <w:spacing w:after="0" w:line="22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Our common stock is traded on the NYSE under the symbol “TSLX.” It is not possible to predict whether our common stock offered hereby will trade at, above or below net asset value. See “Risk Factors—Risks Related to Offerings Pursuant to This Prospectus” in the accompanying prospectus.</w:t>
      </w:r>
    </w:p>
    <w:p>
      <w:pPr>
        <w:spacing w:after="0" w:line="12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following table sets forth, for each fiscal quarter since our initial public offering, the net asset value per share of our common stock, the range of high and low closing sales prices of our common stock, the closing sales price as a premium (discount) to net asset value and the dividends or distributions</w:t>
      </w:r>
    </w:p>
    <w:tbl>
      <w:tblPr>
        <w:tblLayout w:type="fixed"/>
        <w:tblInd w:w="0" w:type="dxa"/>
        <w:tblCellMar>
          <w:top w:w="0" w:type="dxa"/>
          <w:left w:w="0" w:type="dxa"/>
          <w:bottom w:w="0" w:type="dxa"/>
          <w:right w:w="0" w:type="dxa"/>
        </w:tblCellMar>
      </w:tblPr>
      <w:tr>
        <w:trPr>
          <w:trHeight w:val="202"/>
        </w:trPr>
        <w:tc>
          <w:tcPr>
            <w:tcW w:w="2240" w:type="dxa"/>
            <w:vAlign w:val="bottom"/>
          </w:tcPr>
          <w:p>
            <w:pPr>
              <w:spacing w:after="0" w:line="202" w:lineRule="exact"/>
              <w:rPr>
                <w:sz w:val="20"/>
                <w:szCs w:val="20"/>
                <w:color w:val="auto"/>
              </w:rPr>
            </w:pPr>
            <w:r>
              <w:rPr>
                <w:rFonts w:ascii="Arial" w:cs="Arial" w:eastAsia="Arial" w:hAnsi="Arial"/>
                <w:sz w:val="18"/>
                <w:szCs w:val="18"/>
                <w:color w:val="auto"/>
              </w:rPr>
              <w:t>declared by us. On</w:t>
            </w:r>
          </w:p>
        </w:tc>
        <w:tc>
          <w:tcPr>
            <w:tcW w:w="5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20</w:t>
            </w:r>
          </w:p>
        </w:tc>
        <w:tc>
          <w:tcPr>
            <w:tcW w:w="5840" w:type="dxa"/>
            <w:vAlign w:val="bottom"/>
            <w:gridSpan w:val="8"/>
          </w:tcPr>
          <w:p>
            <w:pPr>
              <w:spacing w:after="0" w:line="202" w:lineRule="exact"/>
              <w:rPr>
                <w:sz w:val="20"/>
                <w:szCs w:val="20"/>
                <w:color w:val="auto"/>
              </w:rPr>
            </w:pPr>
            <w:r>
              <w:rPr>
                <w:rFonts w:ascii="Arial" w:cs="Arial" w:eastAsia="Arial" w:hAnsi="Arial"/>
                <w:sz w:val="18"/>
                <w:szCs w:val="18"/>
                <w:color w:val="auto"/>
                <w:w w:val="93"/>
              </w:rPr>
              <w:t>, the last reported closing sales price of our common stock on the NYSE was $</w:t>
            </w:r>
          </w:p>
        </w:tc>
        <w:tc>
          <w:tcPr>
            <w:tcW w:w="2780" w:type="dxa"/>
            <w:vAlign w:val="bottom"/>
            <w:gridSpan w:val="7"/>
          </w:tcPr>
          <w:p>
            <w:pPr>
              <w:ind w:left="400"/>
              <w:spacing w:after="0" w:line="202" w:lineRule="exact"/>
              <w:rPr>
                <w:sz w:val="20"/>
                <w:szCs w:val="20"/>
                <w:color w:val="auto"/>
              </w:rPr>
            </w:pPr>
            <w:r>
              <w:rPr>
                <w:rFonts w:ascii="Arial" w:cs="Arial" w:eastAsia="Arial" w:hAnsi="Arial"/>
                <w:sz w:val="18"/>
                <w:szCs w:val="18"/>
                <w:color w:val="auto"/>
                <w:w w:val="95"/>
              </w:rPr>
              <w:t>per share, which represented a</w:t>
            </w: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w w:val="94"/>
              </w:rPr>
              <w:t>[premium][discount] of approximately</w:t>
            </w:r>
          </w:p>
        </w:tc>
        <w:tc>
          <w:tcPr>
            <w:tcW w:w="4180" w:type="dxa"/>
            <w:vAlign w:val="bottom"/>
            <w:gridSpan w:val="3"/>
          </w:tcPr>
          <w:p>
            <w:pPr>
              <w:ind w:left="220"/>
              <w:spacing w:after="0"/>
              <w:rPr>
                <w:sz w:val="20"/>
                <w:szCs w:val="20"/>
                <w:color w:val="auto"/>
              </w:rPr>
            </w:pPr>
            <w:r>
              <w:rPr>
                <w:rFonts w:ascii="Arial" w:cs="Arial" w:eastAsia="Arial" w:hAnsi="Arial"/>
                <w:sz w:val="18"/>
                <w:szCs w:val="18"/>
                <w:color w:val="auto"/>
                <w:w w:val="90"/>
              </w:rPr>
              <w:t>% to the net asset value per share reported by us as of</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 20   .</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Price Range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Sales</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 to</w:t>
            </w:r>
          </w:p>
        </w:tc>
        <w:tc>
          <w:tcPr>
            <w:tcW w:w="420" w:type="dxa"/>
            <w:vAlign w:val="bottom"/>
          </w:tcPr>
          <w:p>
            <w:pPr>
              <w:spacing w:after="0"/>
              <w:rPr>
                <w:sz w:val="6"/>
                <w:szCs w:val="6"/>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Price to</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52"/>
        </w:trPr>
        <w:tc>
          <w:tcPr>
            <w:tcW w:w="2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Net Asset</w:t>
            </w:r>
          </w:p>
        </w:tc>
        <w:tc>
          <w:tcPr>
            <w:tcW w:w="1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Low</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Asset</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Asset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4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Year ended December 31, 20</w:t>
            </w:r>
          </w:p>
        </w:tc>
        <w:tc>
          <w:tcPr>
            <w:tcW w:w="56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360"/>
              <w:spacing w:after="0" w:line="201" w:lineRule="exact"/>
              <w:rPr>
                <w:sz w:val="20"/>
                <w:szCs w:val="20"/>
                <w:color w:val="auto"/>
              </w:rPr>
            </w:pPr>
            <w:r>
              <w:rPr>
                <w:rFonts w:ascii="Arial" w:cs="Arial" w:eastAsia="Arial" w:hAnsi="Arial"/>
                <w:sz w:val="18"/>
                <w:szCs w:val="18"/>
                <w:color w:val="auto"/>
                <w:w w:val="97"/>
              </w:rPr>
              <w:t>First Quarter (beginning</w:t>
            </w:r>
          </w:p>
        </w:tc>
        <w:tc>
          <w:tcPr>
            <w:tcW w:w="560" w:type="dxa"/>
            <w:vAlign w:val="bottom"/>
          </w:tcPr>
          <w:p>
            <w:pPr>
              <w:spacing w:after="0"/>
              <w:rPr>
                <w:sz w:val="17"/>
                <w:szCs w:val="17"/>
                <w:color w:val="auto"/>
              </w:rPr>
            </w:pPr>
          </w:p>
        </w:tc>
        <w:tc>
          <w:tcPr>
            <w:tcW w:w="3360" w:type="dxa"/>
            <w:vAlign w:val="bottom"/>
          </w:tcPr>
          <w:p>
            <w:pPr>
              <w:jc w:val="right"/>
              <w:ind w:right="2970"/>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540"/>
              <w:spacing w:after="0"/>
              <w:rPr>
                <w:sz w:val="20"/>
                <w:szCs w:val="20"/>
                <w:color w:val="auto"/>
              </w:rPr>
            </w:pPr>
            <w:r>
              <w:rPr>
                <w:rFonts w:ascii="Arial" w:cs="Arial" w:eastAsia="Arial" w:hAnsi="Arial"/>
                <w:sz w:val="18"/>
                <w:szCs w:val="18"/>
                <w:color w:val="auto"/>
              </w:rPr>
              <w:t>20  )</w:t>
            </w:r>
          </w:p>
        </w:tc>
        <w:tc>
          <w:tcPr>
            <w:tcW w:w="560" w:type="dxa"/>
            <w:vAlign w:val="bottom"/>
          </w:tcPr>
          <w:p>
            <w:pPr>
              <w:spacing w:after="0"/>
              <w:rPr>
                <w:sz w:val="20"/>
                <w:szCs w:val="20"/>
                <w:color w:val="auto"/>
              </w:rPr>
            </w:pPr>
          </w:p>
        </w:tc>
        <w:tc>
          <w:tcPr>
            <w:tcW w:w="39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5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5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560" w:type="dxa"/>
            <w:vAlign w:val="bottom"/>
          </w:tcPr>
          <w:p>
            <w:pPr>
              <w:spacing w:after="0"/>
              <w:rPr>
                <w:sz w:val="18"/>
                <w:szCs w:val="18"/>
                <w:color w:val="auto"/>
              </w:rPr>
            </w:pPr>
          </w:p>
        </w:tc>
        <w:tc>
          <w:tcPr>
            <w:tcW w:w="39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5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5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 20   ]</w:t>
            </w:r>
          </w:p>
        </w:tc>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5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560" w:type="dxa"/>
            <w:vAlign w:val="bottom"/>
          </w:tcPr>
          <w:p>
            <w:pPr>
              <w:spacing w:after="0"/>
              <w:rPr>
                <w:sz w:val="18"/>
                <w:szCs w:val="18"/>
                <w:color w:val="auto"/>
              </w:rPr>
            </w:pPr>
          </w:p>
        </w:tc>
        <w:tc>
          <w:tcPr>
            <w:tcW w:w="39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5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5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560" w:type="dxa"/>
            <w:vAlign w:val="bottom"/>
          </w:tcPr>
          <w:p>
            <w:pPr>
              <w:spacing w:after="0"/>
              <w:rPr>
                <w:sz w:val="20"/>
                <w:szCs w:val="20"/>
                <w:color w:val="auto"/>
              </w:rPr>
            </w:pPr>
          </w:p>
        </w:tc>
        <w:tc>
          <w:tcPr>
            <w:tcW w:w="39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5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274" w:lineRule="auto"/>
        <w:tabs>
          <w:tab w:leader="none" w:pos="4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ectPr>
          <w:pgSz w:w="11900" w:h="16838" w:orient="portrait"/>
          <w:cols w:equalWidth="0" w:num="1">
            <w:col w:w="11420"/>
          </w:cols>
          <w:pgMar w:left="240" w:top="269" w:right="239" w:bottom="1440" w:gutter="0" w:footer="0" w:header="0"/>
        </w:sectPr>
      </w:pPr>
    </w:p>
    <w:p>
      <w:pPr>
        <w:spacing w:after="0" w:line="124" w:lineRule="exact"/>
        <w:rPr>
          <w:sz w:val="20"/>
          <w:szCs w:val="20"/>
          <w:color w:val="auto"/>
        </w:rPr>
      </w:pPr>
    </w:p>
    <w:p>
      <w:pPr>
        <w:ind w:left="540" w:hanging="83"/>
        <w:spacing w:after="0" w:line="258" w:lineRule="auto"/>
        <w:rPr>
          <w:sz w:val="20"/>
          <w:szCs w:val="20"/>
          <w:color w:val="auto"/>
        </w:rPr>
      </w:pPr>
      <w:r>
        <w:rPr>
          <w:rFonts w:ascii="Arial" w:cs="Arial" w:eastAsia="Arial" w:hAnsi="Arial"/>
          <w:sz w:val="18"/>
          <w:szCs w:val="18"/>
          <w:color w:val="auto"/>
        </w:rPr>
        <w:t>[On</w:t>
      </w:r>
      <w:r>
        <w:rPr>
          <w:sz w:val="20"/>
          <w:szCs w:val="20"/>
          <w:color w:val="auto"/>
        </w:rPr>
        <w:t xml:space="preserve"> </w:t>
      </w:r>
      <w:r>
        <w:rPr>
          <w:rFonts w:ascii="Arial" w:cs="Arial" w:eastAsia="Arial" w:hAnsi="Arial"/>
          <w:sz w:val="18"/>
          <w:szCs w:val="18"/>
          <w:color w:val="auto"/>
        </w:rPr>
        <w:t>, 20 , our Board declared a dividend of $ , 20 . The dividend is expected to be paid on or about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340" w:hanging="268"/>
        <w:spacing w:after="0" w:line="258" w:lineRule="auto"/>
        <w:rPr>
          <w:sz w:val="20"/>
          <w:szCs w:val="20"/>
          <w:color w:val="auto"/>
        </w:rPr>
      </w:pPr>
      <w:r>
        <w:rPr>
          <w:rFonts w:ascii="Arial" w:cs="Arial" w:eastAsia="Arial" w:hAnsi="Arial"/>
          <w:sz w:val="18"/>
          <w:szCs w:val="18"/>
          <w:color w:val="auto"/>
        </w:rPr>
        <w:t>per share for the quarter ending</w:t>
      </w:r>
      <w:r>
        <w:rPr>
          <w:sz w:val="20"/>
          <w:szCs w:val="20"/>
          <w:color w:val="auto"/>
        </w:rPr>
        <w:t xml:space="preserve"> </w:t>
      </w:r>
      <w:r>
        <w:rPr>
          <w:rFonts w:ascii="Arial" w:cs="Arial" w:eastAsia="Arial" w:hAnsi="Arial"/>
          <w:sz w:val="18"/>
          <w:szCs w:val="18"/>
          <w:color w:val="auto"/>
        </w:rPr>
        <w:t>, 20 to stockholders of record as of , 20 . We anticipate that this dividend will be paid from income generated</w:t>
      </w:r>
    </w:p>
    <w:p>
      <w:pPr>
        <w:spacing w:after="0" w:line="1" w:lineRule="exact"/>
        <w:rPr>
          <w:sz w:val="20"/>
          <w:szCs w:val="20"/>
          <w:color w:val="auto"/>
        </w:rPr>
      </w:pPr>
    </w:p>
    <w:p>
      <w:pPr>
        <w:sectPr>
          <w:pgSz w:w="11900" w:h="16838" w:orient="portrait"/>
          <w:cols w:equalWidth="0" w:num="2">
            <w:col w:w="4780" w:space="680"/>
            <w:col w:w="5960"/>
          </w:cols>
          <w:pgMar w:left="240" w:top="269" w:right="239" w:bottom="1440" w:gutter="0" w:footer="0" w:header="0"/>
          <w:type w:val="continuous"/>
        </w:sectPr>
      </w:pPr>
    </w:p>
    <w:p>
      <w:pPr>
        <w:spacing w:after="0"/>
        <w:rPr>
          <w:sz w:val="20"/>
          <w:szCs w:val="20"/>
          <w:color w:val="auto"/>
        </w:rPr>
      </w:pPr>
      <w:r>
        <w:rPr>
          <w:rFonts w:ascii="Arial" w:cs="Arial" w:eastAsia="Arial" w:hAnsi="Arial"/>
          <w:sz w:val="18"/>
          <w:szCs w:val="18"/>
          <w:color w:val="auto"/>
        </w:rPr>
        <w:t>primarily by interest earned on our investment portfolio.]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420"/>
          </w:cols>
          <w:pgMar w:left="240" w:top="269" w:right="239" w:bottom="1440" w:gutter="0" w:footer="0" w:header="0"/>
          <w:type w:val="continuous"/>
        </w:sectPr>
      </w:pPr>
    </w:p>
    <w:bookmarkStart w:id="458" w:name="page459"/>
    <w:bookmarkEnd w:id="458"/>
    <w:tbl>
      <w:tblPr>
        <w:tblLayout w:type="fixed"/>
        <w:tblInd w:w="460" w:type="dxa"/>
        <w:tblCellMar>
          <w:top w:w="0" w:type="dxa"/>
          <w:left w:w="0" w:type="dxa"/>
          <w:bottom w:w="0" w:type="dxa"/>
          <w:right w:w="0" w:type="dxa"/>
        </w:tblCellMar>
      </w:tblPr>
      <w:tr>
        <w:trPr>
          <w:trHeight w:val="230"/>
        </w:trPr>
        <w:tc>
          <w:tcPr>
            <w:tcW w:w="4960" w:type="dxa"/>
            <w:vAlign w:val="bottom"/>
            <w:gridSpan w:val="3"/>
          </w:tcPr>
          <w:p>
            <w:pPr>
              <w:jc w:val="right"/>
              <w:ind w:right="460"/>
              <w:spacing w:after="0"/>
              <w:rPr>
                <w:sz w:val="20"/>
                <w:szCs w:val="20"/>
                <w:color w:val="auto"/>
              </w:rPr>
            </w:pPr>
            <w:r>
              <w:rPr>
                <w:rFonts w:ascii="Arial" w:cs="Arial" w:eastAsia="Arial" w:hAnsi="Arial"/>
                <w:sz w:val="18"/>
                <w:szCs w:val="18"/>
                <w:color w:val="auto"/>
                <w:w w:val="91"/>
              </w:rPr>
              <w:t>The following tables summarize dividends declared during the</w:t>
            </w:r>
          </w:p>
        </w:tc>
        <w:tc>
          <w:tcPr>
            <w:tcW w:w="1500" w:type="dxa"/>
            <w:vAlign w:val="bottom"/>
          </w:tcPr>
          <w:p>
            <w:pPr>
              <w:jc w:val="right"/>
              <w:ind w:right="814"/>
              <w:spacing w:after="0"/>
              <w:rPr>
                <w:sz w:val="20"/>
                <w:szCs w:val="20"/>
                <w:color w:val="auto"/>
              </w:rPr>
            </w:pPr>
            <w:r>
              <w:rPr>
                <w:rFonts w:ascii="Arial" w:cs="Arial" w:eastAsia="Arial" w:hAnsi="Arial"/>
                <w:sz w:val="18"/>
                <w:szCs w:val="18"/>
                <w:color w:val="auto"/>
              </w:rPr>
              <w:t>ended</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20</w:t>
            </w: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w w:val="92"/>
              </w:rPr>
              <w:t>and the years ended December 31, 20   and 20   :</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982"/>
              <w:spacing w:after="0"/>
              <w:rPr>
                <w:sz w:val="20"/>
                <w:szCs w:val="20"/>
                <w:color w:val="auto"/>
              </w:rPr>
            </w:pPr>
            <w:r>
              <w:rPr>
                <w:rFonts w:ascii="Arial" w:cs="Arial" w:eastAsia="Arial" w:hAnsi="Arial"/>
                <w:sz w:val="14"/>
                <w:szCs w:val="14"/>
                <w:b w:val="1"/>
                <w:bCs w:val="1"/>
                <w:color w:val="auto"/>
              </w:rPr>
              <w:t>Ended</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782"/>
              <w:spacing w:after="0"/>
              <w:rPr>
                <w:sz w:val="20"/>
                <w:szCs w:val="20"/>
                <w:color w:val="auto"/>
              </w:rPr>
            </w:pPr>
            <w:r>
              <w:rPr>
                <w:rFonts w:ascii="Arial" w:cs="Arial" w:eastAsia="Arial" w:hAnsi="Arial"/>
                <w:sz w:val="14"/>
                <w:szCs w:val="14"/>
                <w:b w:val="1"/>
                <w:bCs w:val="1"/>
                <w:color w:val="auto"/>
              </w:rPr>
              <w:t>, 20</w:t>
            </w: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620" w:type="dxa"/>
            <w:vAlign w:val="bottom"/>
            <w:vMerge w:val="restart"/>
          </w:tcPr>
          <w:p>
            <w:pPr>
              <w:spacing w:after="0"/>
              <w:rPr>
                <w:sz w:val="10"/>
                <w:szCs w:val="10"/>
                <w:color w:val="auto"/>
              </w:rPr>
            </w:pPr>
          </w:p>
        </w:tc>
        <w:tc>
          <w:tcPr>
            <w:tcW w:w="15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Payment Date</w:t>
            </w:r>
          </w:p>
        </w:tc>
        <w:tc>
          <w:tcPr>
            <w:tcW w:w="480" w:type="dxa"/>
            <w:vAlign w:val="bottom"/>
          </w:tcPr>
          <w:p>
            <w:pPr>
              <w:spacing w:after="0"/>
              <w:rPr>
                <w:sz w:val="10"/>
                <w:szCs w:val="10"/>
                <w:color w:val="auto"/>
              </w:rPr>
            </w:pPr>
          </w:p>
        </w:tc>
        <w:tc>
          <w:tcPr>
            <w:tcW w:w="7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500" w:type="dxa"/>
            <w:vAlign w:val="bottom"/>
            <w:tcBorders>
              <w:top w:val="single" w:sz="8" w:color="CCEEFF"/>
            </w:tcBorders>
            <w:gridSpan w:val="2"/>
            <w:shd w:val="clear" w:color="auto" w:fill="CCEEFF"/>
          </w:tcPr>
          <w:p>
            <w:pPr>
              <w:jc w:val="right"/>
              <w:ind w:right="3320"/>
              <w:spacing w:after="0" w:line="203" w:lineRule="exact"/>
              <w:rPr>
                <w:sz w:val="20"/>
                <w:szCs w:val="20"/>
                <w:color w:val="auto"/>
              </w:rPr>
            </w:pPr>
            <w:r>
              <w:rPr>
                <w:rFonts w:ascii="Arial" w:cs="Arial" w:eastAsia="Arial" w:hAnsi="Arial"/>
                <w:sz w:val="18"/>
                <w:szCs w:val="18"/>
                <w:color w:val="auto"/>
              </w:rPr>
              <w:t>, 20</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20</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Arial" w:cs="Arial" w:eastAsia="Arial" w:hAnsi="Arial"/>
                <w:sz w:val="18"/>
                <w:szCs w:val="18"/>
                <w:color w:val="auto"/>
              </w:rPr>
              <w:t>, 20</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bottom w:val="single" w:sz="8" w:color="auto"/>
            </w:tcBorders>
          </w:tcPr>
          <w:p>
            <w:pPr>
              <w:jc w:val="right"/>
              <w:ind w:right="58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vMerge w:val="restart"/>
          </w:tcPr>
          <w:p>
            <w:pPr>
              <w:jc w:val="right"/>
              <w:ind w:right="822"/>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w w:val="94"/>
              </w:rPr>
              <w:t>December 31, 20</w:t>
            </w: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620" w:type="dxa"/>
            <w:vAlign w:val="bottom"/>
            <w:vMerge w:val="restart"/>
          </w:tcPr>
          <w:p>
            <w:pPr>
              <w:spacing w:after="0"/>
              <w:rPr>
                <w:sz w:val="10"/>
                <w:szCs w:val="10"/>
                <w:color w:val="auto"/>
              </w:rPr>
            </w:pPr>
          </w:p>
        </w:tc>
        <w:tc>
          <w:tcPr>
            <w:tcW w:w="15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Payment Date</w:t>
            </w:r>
          </w:p>
        </w:tc>
        <w:tc>
          <w:tcPr>
            <w:tcW w:w="480" w:type="dxa"/>
            <w:vAlign w:val="bottom"/>
          </w:tcPr>
          <w:p>
            <w:pPr>
              <w:spacing w:after="0"/>
              <w:rPr>
                <w:sz w:val="10"/>
                <w:szCs w:val="10"/>
                <w:color w:val="auto"/>
              </w:rPr>
            </w:pPr>
          </w:p>
        </w:tc>
        <w:tc>
          <w:tcPr>
            <w:tcW w:w="7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500" w:type="dxa"/>
            <w:vAlign w:val="bottom"/>
            <w:tcBorders>
              <w:top w:val="single" w:sz="8" w:color="CCEEFF"/>
            </w:tcBorders>
            <w:gridSpan w:val="2"/>
            <w:shd w:val="clear" w:color="auto" w:fill="CCEEFF"/>
          </w:tcPr>
          <w:p>
            <w:pPr>
              <w:jc w:val="right"/>
              <w:ind w:right="3320"/>
              <w:spacing w:after="0" w:line="203" w:lineRule="exact"/>
              <w:rPr>
                <w:sz w:val="20"/>
                <w:szCs w:val="20"/>
                <w:color w:val="auto"/>
              </w:rPr>
            </w:pPr>
            <w:r>
              <w:rPr>
                <w:rFonts w:ascii="Arial" w:cs="Arial" w:eastAsia="Arial" w:hAnsi="Arial"/>
                <w:sz w:val="18"/>
                <w:szCs w:val="18"/>
                <w:color w:val="auto"/>
              </w:rPr>
              <w:t>, 20</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20</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Arial" w:cs="Arial" w:eastAsia="Arial" w:hAnsi="Arial"/>
                <w:sz w:val="18"/>
                <w:szCs w:val="18"/>
                <w:color w:val="auto"/>
              </w:rPr>
              <w:t>, 20</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jc w:val="right"/>
              <w:ind w:right="3320"/>
              <w:spacing w:after="0"/>
              <w:rPr>
                <w:sz w:val="20"/>
                <w:szCs w:val="20"/>
                <w:color w:val="auto"/>
              </w:rPr>
            </w:pPr>
            <w:r>
              <w:rPr>
                <w:rFonts w:ascii="Arial" w:cs="Arial" w:eastAsia="Arial" w:hAnsi="Arial"/>
                <w:sz w:val="18"/>
                <w:szCs w:val="18"/>
                <w:color w:val="auto"/>
              </w:rPr>
              <w:t>, 20</w:t>
            </w:r>
          </w:p>
        </w:tc>
        <w:tc>
          <w:tcPr>
            <w:tcW w:w="1500" w:type="dxa"/>
            <w:vAlign w:val="bottom"/>
          </w:tcPr>
          <w:p>
            <w:pPr>
              <w:jc w:val="right"/>
              <w:spacing w:after="0"/>
              <w:rPr>
                <w:sz w:val="20"/>
                <w:szCs w:val="20"/>
                <w:color w:val="auto"/>
              </w:rPr>
            </w:pPr>
            <w:r>
              <w:rPr>
                <w:rFonts w:ascii="Arial" w:cs="Arial" w:eastAsia="Arial" w:hAnsi="Arial"/>
                <w:sz w:val="18"/>
                <w:szCs w:val="18"/>
                <w:color w:val="auto"/>
              </w:rPr>
              <w:t>, 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2"/>
              <w:spacing w:after="0"/>
              <w:rPr>
                <w:sz w:val="20"/>
                <w:szCs w:val="20"/>
                <w:color w:val="auto"/>
              </w:rPr>
            </w:pPr>
            <w:r>
              <w:rPr>
                <w:rFonts w:ascii="Arial" w:cs="Arial" w:eastAsia="Arial" w:hAnsi="Arial"/>
                <w:sz w:val="18"/>
                <w:szCs w:val="18"/>
                <w:color w:val="auto"/>
              </w:rPr>
              <w:t>, 20</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jc w:val="right"/>
              <w:ind w:right="3320"/>
              <w:spacing w:after="0"/>
              <w:rPr>
                <w:sz w:val="20"/>
                <w:szCs w:val="20"/>
                <w:color w:val="auto"/>
              </w:rPr>
            </w:pPr>
            <w:r>
              <w:rPr>
                <w:rFonts w:ascii="Arial" w:cs="Arial" w:eastAsia="Arial" w:hAnsi="Arial"/>
                <w:sz w:val="18"/>
                <w:szCs w:val="18"/>
                <w:color w:val="auto"/>
              </w:rPr>
              <w:t>, 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 20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00" w:type="dxa"/>
            <w:vAlign w:val="bottom"/>
            <w:gridSpan w:val="2"/>
          </w:tcPr>
          <w:p>
            <w:pPr>
              <w:jc w:val="right"/>
              <w:ind w:right="3320"/>
              <w:spacing w:after="0"/>
              <w:rPr>
                <w:sz w:val="20"/>
                <w:szCs w:val="20"/>
                <w:color w:val="auto"/>
              </w:rPr>
            </w:pPr>
            <w:r>
              <w:rPr>
                <w:rFonts w:ascii="Arial" w:cs="Arial" w:eastAsia="Arial" w:hAnsi="Arial"/>
                <w:sz w:val="18"/>
                <w:szCs w:val="18"/>
                <w:color w:val="auto"/>
              </w:rPr>
              <w:t>, 20</w:t>
            </w:r>
          </w:p>
        </w:tc>
        <w:tc>
          <w:tcPr>
            <w:tcW w:w="1500" w:type="dxa"/>
            <w:vAlign w:val="bottom"/>
          </w:tcPr>
          <w:p>
            <w:pPr>
              <w:jc w:val="right"/>
              <w:spacing w:after="0"/>
              <w:rPr>
                <w:sz w:val="20"/>
                <w:szCs w:val="20"/>
                <w:color w:val="auto"/>
              </w:rPr>
            </w:pPr>
            <w:r>
              <w:rPr>
                <w:rFonts w:ascii="Arial" w:cs="Arial" w:eastAsia="Arial" w:hAnsi="Arial"/>
                <w:sz w:val="18"/>
                <w:szCs w:val="18"/>
                <w:color w:val="auto"/>
              </w:rPr>
              <w:t>, 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02"/>
              <w:spacing w:after="0"/>
              <w:rPr>
                <w:sz w:val="20"/>
                <w:szCs w:val="20"/>
                <w:color w:val="auto"/>
              </w:rPr>
            </w:pPr>
            <w:r>
              <w:rPr>
                <w:rFonts w:ascii="Arial" w:cs="Arial" w:eastAsia="Arial" w:hAnsi="Arial"/>
                <w:sz w:val="18"/>
                <w:szCs w:val="18"/>
                <w:color w:val="auto"/>
              </w:rPr>
              <w:t>, 20</w:t>
            </w:r>
          </w:p>
        </w:tc>
        <w:tc>
          <w:tcPr>
            <w:tcW w:w="4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vMerge w:val="restart"/>
          </w:tcPr>
          <w:p>
            <w:pPr>
              <w:jc w:val="right"/>
              <w:ind w:right="822"/>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w w:val="94"/>
              </w:rPr>
              <w:t>December 31, 20</w:t>
            </w: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620" w:type="dxa"/>
            <w:vAlign w:val="bottom"/>
            <w:vMerge w:val="restart"/>
          </w:tcPr>
          <w:p>
            <w:pPr>
              <w:spacing w:after="0"/>
              <w:rPr>
                <w:sz w:val="10"/>
                <w:szCs w:val="10"/>
                <w:color w:val="auto"/>
              </w:rPr>
            </w:pPr>
          </w:p>
        </w:tc>
        <w:tc>
          <w:tcPr>
            <w:tcW w:w="15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Payment Date</w:t>
            </w:r>
          </w:p>
        </w:tc>
        <w:tc>
          <w:tcPr>
            <w:tcW w:w="480" w:type="dxa"/>
            <w:vAlign w:val="bottom"/>
          </w:tcPr>
          <w:p>
            <w:pPr>
              <w:spacing w:after="0"/>
              <w:rPr>
                <w:sz w:val="10"/>
                <w:szCs w:val="10"/>
                <w:color w:val="auto"/>
              </w:rPr>
            </w:pPr>
          </w:p>
        </w:tc>
        <w:tc>
          <w:tcPr>
            <w:tcW w:w="7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500" w:type="dxa"/>
            <w:vAlign w:val="bottom"/>
            <w:tcBorders>
              <w:top w:val="single" w:sz="8" w:color="CCEEFF"/>
            </w:tcBorders>
            <w:gridSpan w:val="2"/>
            <w:shd w:val="clear" w:color="auto" w:fill="CCEEFF"/>
          </w:tcPr>
          <w:p>
            <w:pPr>
              <w:jc w:val="right"/>
              <w:ind w:right="3320"/>
              <w:spacing w:after="0" w:line="203" w:lineRule="exact"/>
              <w:rPr>
                <w:sz w:val="20"/>
                <w:szCs w:val="20"/>
                <w:color w:val="auto"/>
              </w:rPr>
            </w:pPr>
            <w:r>
              <w:rPr>
                <w:rFonts w:ascii="Arial" w:cs="Arial" w:eastAsia="Arial" w:hAnsi="Arial"/>
                <w:sz w:val="18"/>
                <w:szCs w:val="18"/>
                <w:color w:val="auto"/>
              </w:rPr>
              <w:t>, 20</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20</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Arial" w:cs="Arial" w:eastAsia="Arial" w:hAnsi="Arial"/>
                <w:sz w:val="18"/>
                <w:szCs w:val="18"/>
                <w:color w:val="auto"/>
              </w:rPr>
              <w:t>, 20</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jc w:val="right"/>
              <w:ind w:right="3320"/>
              <w:spacing w:after="0"/>
              <w:rPr>
                <w:sz w:val="20"/>
                <w:szCs w:val="20"/>
                <w:color w:val="auto"/>
              </w:rPr>
            </w:pPr>
            <w:r>
              <w:rPr>
                <w:rFonts w:ascii="Arial" w:cs="Arial" w:eastAsia="Arial" w:hAnsi="Arial"/>
                <w:sz w:val="18"/>
                <w:szCs w:val="18"/>
                <w:color w:val="auto"/>
              </w:rPr>
              <w:t>, 20</w:t>
            </w:r>
          </w:p>
        </w:tc>
        <w:tc>
          <w:tcPr>
            <w:tcW w:w="1500" w:type="dxa"/>
            <w:vAlign w:val="bottom"/>
          </w:tcPr>
          <w:p>
            <w:pPr>
              <w:jc w:val="right"/>
              <w:spacing w:after="0"/>
              <w:rPr>
                <w:sz w:val="20"/>
                <w:szCs w:val="20"/>
                <w:color w:val="auto"/>
              </w:rPr>
            </w:pPr>
            <w:r>
              <w:rPr>
                <w:rFonts w:ascii="Arial" w:cs="Arial" w:eastAsia="Arial" w:hAnsi="Arial"/>
                <w:sz w:val="18"/>
                <w:szCs w:val="18"/>
                <w:color w:val="auto"/>
              </w:rPr>
              <w:t>, 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2"/>
              <w:spacing w:after="0"/>
              <w:rPr>
                <w:sz w:val="20"/>
                <w:szCs w:val="20"/>
                <w:color w:val="auto"/>
              </w:rPr>
            </w:pPr>
            <w:r>
              <w:rPr>
                <w:rFonts w:ascii="Arial" w:cs="Arial" w:eastAsia="Arial" w:hAnsi="Arial"/>
                <w:sz w:val="18"/>
                <w:szCs w:val="18"/>
                <w:color w:val="auto"/>
              </w:rPr>
              <w:t>, 20</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jc w:val="right"/>
              <w:ind w:right="3320"/>
              <w:spacing w:after="0"/>
              <w:rPr>
                <w:sz w:val="20"/>
                <w:szCs w:val="20"/>
                <w:color w:val="auto"/>
              </w:rPr>
            </w:pPr>
            <w:r>
              <w:rPr>
                <w:rFonts w:ascii="Arial" w:cs="Arial" w:eastAsia="Arial" w:hAnsi="Arial"/>
                <w:sz w:val="18"/>
                <w:szCs w:val="18"/>
                <w:color w:val="auto"/>
              </w:rPr>
              <w:t>, 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 20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00" w:type="dxa"/>
            <w:vAlign w:val="bottom"/>
            <w:gridSpan w:val="2"/>
          </w:tcPr>
          <w:p>
            <w:pPr>
              <w:jc w:val="right"/>
              <w:ind w:right="3320"/>
              <w:spacing w:after="0"/>
              <w:rPr>
                <w:sz w:val="20"/>
                <w:szCs w:val="20"/>
                <w:color w:val="auto"/>
              </w:rPr>
            </w:pPr>
            <w:r>
              <w:rPr>
                <w:rFonts w:ascii="Arial" w:cs="Arial" w:eastAsia="Arial" w:hAnsi="Arial"/>
                <w:sz w:val="18"/>
                <w:szCs w:val="18"/>
                <w:color w:val="auto"/>
              </w:rPr>
              <w:t>, 20</w:t>
            </w:r>
          </w:p>
        </w:tc>
        <w:tc>
          <w:tcPr>
            <w:tcW w:w="1500" w:type="dxa"/>
            <w:vAlign w:val="bottom"/>
          </w:tcPr>
          <w:p>
            <w:pPr>
              <w:jc w:val="right"/>
              <w:spacing w:after="0"/>
              <w:rPr>
                <w:sz w:val="20"/>
                <w:szCs w:val="20"/>
                <w:color w:val="auto"/>
              </w:rPr>
            </w:pPr>
            <w:r>
              <w:rPr>
                <w:rFonts w:ascii="Arial" w:cs="Arial" w:eastAsia="Arial" w:hAnsi="Arial"/>
                <w:sz w:val="18"/>
                <w:szCs w:val="18"/>
                <w:color w:val="auto"/>
              </w:rPr>
              <w:t>, 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02"/>
              <w:spacing w:after="0"/>
              <w:rPr>
                <w:sz w:val="20"/>
                <w:szCs w:val="20"/>
                <w:color w:val="auto"/>
              </w:rPr>
            </w:pPr>
            <w:r>
              <w:rPr>
                <w:rFonts w:ascii="Arial" w:cs="Arial" w:eastAsia="Arial" w:hAnsi="Arial"/>
                <w:sz w:val="18"/>
                <w:szCs w:val="18"/>
                <w:color w:val="auto"/>
              </w:rPr>
              <w:t>, 20</w:t>
            </w:r>
          </w:p>
        </w:tc>
        <w:tc>
          <w:tcPr>
            <w:tcW w:w="4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dividends declared during the ended , 20 declared during the years ended December 31, 20 and December 31, 20 determined on a tax basis.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hanging="186"/>
        <w:spacing w:after="0" w:line="342" w:lineRule="auto"/>
        <w:rPr>
          <w:sz w:val="20"/>
          <w:szCs w:val="20"/>
          <w:color w:val="auto"/>
        </w:rPr>
      </w:pPr>
      <w:r>
        <w:rPr>
          <w:rFonts w:ascii="Arial" w:cs="Arial" w:eastAsia="Arial" w:hAnsi="Arial"/>
          <w:sz w:val="16"/>
          <w:szCs w:val="16"/>
          <w:color w:val="auto"/>
        </w:rPr>
        <w:t>were derived from net investment income determined on a tax basis. The dividends , were derived from net investment income and long-term capital gains,</w:t>
      </w:r>
    </w:p>
    <w:p>
      <w:pPr>
        <w:spacing w:after="0" w:line="339" w:lineRule="exact"/>
        <w:rPr>
          <w:sz w:val="20"/>
          <w:szCs w:val="20"/>
          <w:color w:val="auto"/>
        </w:rPr>
      </w:pPr>
    </w:p>
    <w:p>
      <w:pPr>
        <w:sectPr>
          <w:pgSz w:w="11900" w:h="16838" w:orient="portrait"/>
          <w:cols w:equalWidth="0" w:num="2">
            <w:col w:w="5340" w:space="220"/>
            <w:col w:w="5820"/>
          </w:cols>
          <w:pgMar w:left="240" w:top="274" w:right="279" w:bottom="1440" w:gutter="0" w:footer="0" w:header="0"/>
          <w:type w:val="continuous"/>
        </w:sectPr>
      </w:pPr>
    </w:p>
    <w:p>
      <w:pPr>
        <w:ind w:right="4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treated as a regulated investment company under Subchapter M of the Internal Revenue Code of 1986, as amended,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 of the amount by which our distributions for a calendar year are less than the sum of:</w:t>
      </w:r>
    </w:p>
    <w:p>
      <w:pPr>
        <w:spacing w:after="0" w:line="78" w:lineRule="exact"/>
        <w:rPr>
          <w:sz w:val="20"/>
          <w:szCs w:val="20"/>
          <w:color w:val="auto"/>
        </w:rPr>
      </w:pPr>
    </w:p>
    <w:p>
      <w:pPr>
        <w:ind w:left="900" w:hanging="325"/>
        <w:spacing w:after="0"/>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274" w:right="279" w:bottom="1440" w:gutter="0" w:footer="0" w:header="0"/>
          <w:type w:val="continuous"/>
        </w:sectPr>
      </w:pPr>
    </w:p>
    <w:bookmarkStart w:id="459" w:name="page460"/>
    <w:bookmarkEnd w:id="459"/>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w:t>
      </w:r>
    </w:p>
    <w:p>
      <w:pPr>
        <w:ind w:right="220"/>
        <w:spacing w:after="0" w:line="250" w:lineRule="auto"/>
        <w:rPr>
          <w:sz w:val="20"/>
          <w:szCs w:val="20"/>
          <w:color w:val="auto"/>
        </w:rPr>
      </w:pPr>
      <w:r>
        <w:rPr>
          <w:rFonts w:ascii="Arial" w:cs="Arial" w:eastAsia="Arial" w:hAnsi="Arial"/>
          <w:sz w:val="18"/>
          <w:szCs w:val="18"/>
          <w:color w:val="auto"/>
        </w:rPr>
        <w:t>calendar years ended December 31, 20 and 20 and the ended , 20 for purposes of additional liquidity and we recorded a net expense of $ , $ and $ , respectively, for U.S. federal excise tax as a result.] We cannot assure you that we will achieve results that will</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the accompanying prospectus.</w:t>
      </w:r>
    </w:p>
    <w:p>
      <w:pPr>
        <w:spacing w:after="0" w:line="1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in the accompanying prospectus.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w:t>
      </w:r>
    </w:p>
    <w:p>
      <w:pPr>
        <w:ind w:right="20"/>
        <w:spacing w:after="0" w:line="270" w:lineRule="auto"/>
        <w:rPr>
          <w:sz w:val="20"/>
          <w:szCs w:val="20"/>
          <w:color w:val="auto"/>
        </w:rPr>
      </w:pPr>
      <w:r>
        <w:rPr>
          <w:rFonts w:ascii="Arial" w:cs="Arial" w:eastAsia="Arial" w:hAnsi="Arial"/>
          <w:sz w:val="17"/>
          <w:szCs w:val="17"/>
          <w:color w:val="auto"/>
        </w:rPr>
        <w:t>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 in the accompanying 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274" w:right="239" w:bottom="1440" w:gutter="0" w:footer="0" w:header="0"/>
        </w:sectPr>
      </w:pPr>
    </w:p>
    <w:bookmarkStart w:id="460" w:name="page461"/>
    <w:bookmarkEnd w:id="4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 AND RESULTS OF OPERATIONS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the accompanying prospectus for a discussion of the uncertainties, risks and assumptions associated with these statements.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270" w:right="279" w:bottom="1440" w:gutter="0" w:footer="0" w:header="0"/>
        </w:sectPr>
      </w:pPr>
    </w:p>
    <w:bookmarkStart w:id="461" w:name="page462"/>
    <w:bookmarkEnd w:id="4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p>
    <w:p>
      <w:pPr>
        <w:spacing w:after="0" w:line="229" w:lineRule="exact"/>
        <w:rPr>
          <w:sz w:val="20"/>
          <w:szCs w:val="20"/>
          <w:color w:val="auto"/>
        </w:rPr>
      </w:pPr>
    </w:p>
    <w:p>
      <w:pPr>
        <w:ind w:left="460"/>
        <w:spacing w:after="0"/>
        <w:tabs>
          <w:tab w:leader="none" w:pos="6660" w:val="left"/>
          <w:tab w:leader="none" w:pos="7160" w:val="left"/>
        </w:tabs>
        <w:rPr>
          <w:sz w:val="20"/>
          <w:szCs w:val="20"/>
          <w:color w:val="auto"/>
        </w:rPr>
      </w:pPr>
      <w:r>
        <w:rPr>
          <w:rFonts w:ascii="Arial" w:cs="Arial" w:eastAsia="Arial" w:hAnsi="Arial"/>
          <w:sz w:val="18"/>
          <w:szCs w:val="18"/>
          <w:color w:val="auto"/>
        </w:rPr>
        <w:t>The following table sets forth (a) our actual consolidated capitalization at</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and (b) our pro forma consolidated capitalization to reflect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the sale of our common stock in this offering (assuming that the underwriters do not exercise their over-allotment option) assuming a public</w:t>
      </w:r>
    </w:p>
    <w:p>
      <w:pPr>
        <w:spacing w:after="0" w:line="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offering price of $ per share,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14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 20</w:t>
            </w:r>
          </w:p>
        </w:tc>
        <w:tc>
          <w:tcPr>
            <w:tcW w:w="10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(unaudited, dollar amounts</w:t>
            </w:r>
          </w:p>
        </w:tc>
      </w:tr>
      <w:tr>
        <w:trPr>
          <w:trHeight w:val="171"/>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in thousands)</w:t>
            </w:r>
          </w:p>
        </w:tc>
      </w:tr>
      <w:tr>
        <w:trPr>
          <w:trHeight w:val="142"/>
        </w:trPr>
        <w:tc>
          <w:tcPr>
            <w:tcW w:w="14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Actual</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Borders>
              <w:bottom w:val="single" w:sz="8" w:color="CCEEFF"/>
            </w:tcBorders>
          </w:tcPr>
          <w:p>
            <w:pPr>
              <w:spacing w:after="0"/>
              <w:rPr>
                <w:sz w:val="12"/>
                <w:szCs w:val="12"/>
                <w:color w:val="auto"/>
              </w:rPr>
            </w:pPr>
          </w:p>
        </w:tc>
      </w:tr>
      <w:tr>
        <w:trPr>
          <w:trHeight w:val="21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Cash and cash equivalents</w:t>
            </w:r>
          </w:p>
        </w:tc>
        <w:tc>
          <w:tcPr>
            <w:tcW w:w="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[List Debt outstanding as of period reported]</w:t>
            </w:r>
          </w:p>
        </w:tc>
        <w:tc>
          <w:tcPr>
            <w:tcW w:w="10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Total 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80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$0.01 par value;</w:t>
            </w:r>
          </w:p>
        </w:tc>
        <w:tc>
          <w:tcPr>
            <w:tcW w:w="1760" w:type="dxa"/>
            <w:vAlign w:val="bottom"/>
          </w:tcPr>
          <w:p>
            <w:pPr>
              <w:ind w:left="140"/>
              <w:spacing w:after="0" w:line="201" w:lineRule="exact"/>
              <w:rPr>
                <w:sz w:val="20"/>
                <w:szCs w:val="20"/>
                <w:color w:val="auto"/>
              </w:rPr>
            </w:pPr>
            <w:r>
              <w:rPr>
                <w:rFonts w:ascii="Arial" w:cs="Arial" w:eastAsia="Arial" w:hAnsi="Arial"/>
                <w:sz w:val="18"/>
                <w:szCs w:val="18"/>
                <w:color w:val="auto"/>
              </w:rPr>
              <w:t>shares authorized;</w:t>
            </w:r>
          </w:p>
        </w:tc>
        <w:tc>
          <w:tcPr>
            <w:tcW w:w="1040" w:type="dxa"/>
            <w:vAlign w:val="bottom"/>
          </w:tcPr>
          <w:p>
            <w:pPr>
              <w:ind w:left="280"/>
              <w:spacing w:after="0" w:line="201" w:lineRule="exact"/>
              <w:rPr>
                <w:sz w:val="20"/>
                <w:szCs w:val="20"/>
                <w:color w:val="auto"/>
              </w:rPr>
            </w:pPr>
            <w:r>
              <w:rPr>
                <w:rFonts w:ascii="Arial" w:cs="Arial" w:eastAsia="Arial" w:hAnsi="Arial"/>
                <w:sz w:val="18"/>
                <w:szCs w:val="18"/>
                <w:color w:val="auto"/>
              </w:rPr>
              <w:t>and</w:t>
            </w:r>
          </w:p>
        </w:tc>
        <w:tc>
          <w:tcPr>
            <w:tcW w:w="3340" w:type="dxa"/>
            <w:vAlign w:val="bottom"/>
            <w:gridSpan w:val="2"/>
          </w:tcPr>
          <w:p>
            <w:pPr>
              <w:jc w:val="right"/>
              <w:ind w:right="1947"/>
              <w:spacing w:after="0" w:line="201" w:lineRule="exact"/>
              <w:rPr>
                <w:sz w:val="20"/>
                <w:szCs w:val="20"/>
                <w:color w:val="auto"/>
              </w:rPr>
            </w:pPr>
            <w:r>
              <w:rPr>
                <w:rFonts w:ascii="Arial" w:cs="Arial" w:eastAsia="Arial" w:hAnsi="Arial"/>
                <w:sz w:val="18"/>
                <w:szCs w:val="18"/>
                <w:color w:val="auto"/>
                <w:w w:val="88"/>
              </w:rPr>
              <w:t>shares issued and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00" w:type="dxa"/>
            <w:vAlign w:val="bottom"/>
            <w:gridSpan w:val="2"/>
          </w:tcPr>
          <w:p>
            <w:pPr>
              <w:ind w:left="180"/>
              <w:spacing w:after="0"/>
              <w:rPr>
                <w:sz w:val="20"/>
                <w:szCs w:val="20"/>
                <w:color w:val="auto"/>
              </w:rPr>
            </w:pPr>
            <w:r>
              <w:rPr>
                <w:rFonts w:ascii="Arial" w:cs="Arial" w:eastAsia="Arial" w:hAnsi="Arial"/>
                <w:sz w:val="18"/>
                <w:szCs w:val="18"/>
                <w:color w:val="auto"/>
                <w:w w:val="95"/>
              </w:rPr>
              <w:t>outstanding, respectively</w:t>
            </w:r>
          </w:p>
        </w:tc>
        <w:tc>
          <w:tcPr>
            <w:tcW w:w="7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3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5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2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w:t>
            </w:r>
          </w:p>
        </w:tc>
        <w:tc>
          <w:tcPr>
            <w:tcW w:w="1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authorized;</w:t>
            </w:r>
          </w:p>
        </w:tc>
        <w:tc>
          <w:tcPr>
            <w:tcW w:w="10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and</w:t>
            </w:r>
          </w:p>
        </w:tc>
        <w:tc>
          <w:tcPr>
            <w:tcW w:w="3340" w:type="dxa"/>
            <w:vAlign w:val="bottom"/>
            <w:gridSpan w:val="2"/>
            <w:shd w:val="clear" w:color="auto" w:fill="CCEEFF"/>
          </w:tcPr>
          <w:p>
            <w:pPr>
              <w:jc w:val="right"/>
              <w:ind w:right="1187"/>
              <w:spacing w:after="0" w:line="201" w:lineRule="exact"/>
              <w:rPr>
                <w:sz w:val="20"/>
                <w:szCs w:val="20"/>
                <w:color w:val="auto"/>
              </w:rPr>
            </w:pPr>
            <w:r>
              <w:rPr>
                <w:rFonts w:ascii="Arial" w:cs="Arial" w:eastAsia="Arial" w:hAnsi="Arial"/>
                <w:sz w:val="18"/>
                <w:szCs w:val="18"/>
                <w:color w:val="auto"/>
                <w:w w:val="93"/>
              </w:rPr>
              <w:t>shares issued, respectively;</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and</w:t>
            </w:r>
          </w:p>
        </w:tc>
        <w:tc>
          <w:tcPr>
            <w:tcW w:w="3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shares outstanding, respectively</w:t>
            </w:r>
          </w:p>
        </w:tc>
        <w:tc>
          <w:tcPr>
            <w:tcW w:w="104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w w:val="95"/>
              </w:rPr>
              <w:t>Undistributed net investment income</w:t>
            </w: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Net unrealized [gain][loss] on investments and foreign currency transactions</w:t>
            </w: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5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capitalization</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65"/>
        </w:trPr>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auto"/>
              </w:rPr>
              <w:t>S-16</w:t>
            </w: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462" w:name="page463"/>
    <w:bookmarkEnd w:id="46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w:t>
      </w:r>
    </w:p>
    <w:p>
      <w:pPr>
        <w:spacing w:after="0" w:line="229" w:lineRule="exact"/>
        <w:rPr>
          <w:sz w:val="20"/>
          <w:szCs w:val="20"/>
          <w:color w:val="auto"/>
        </w:rPr>
      </w:pPr>
    </w:p>
    <w:p>
      <w:pPr>
        <w:ind w:right="260" w:firstLine="464"/>
        <w:spacing w:after="0" w:line="264" w:lineRule="auto"/>
        <w:tabs>
          <w:tab w:leader="none" w:pos="141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6960" w:type="dxa"/>
            <w:vAlign w:val="bottom"/>
          </w:tcPr>
          <w:p>
            <w:pPr>
              <w:jc w:val="center"/>
              <w:ind w:left="62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6960" w:type="dxa"/>
            <w:vAlign w:val="bottom"/>
          </w:tcPr>
          <w:p>
            <w:pPr>
              <w:jc w:val="center"/>
              <w:ind w:left="622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1371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Subject to the terms and conditions set forth in the purchase agreement, the underwriters have agreed, severally and not jointly,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166"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cover page of this prospectus and to dealers at that price less a concession not in excess of $ per share. After the initial offering, the public offering price, concession or any other term of the offering may be changed.</w:t>
      </w:r>
    </w:p>
    <w:p>
      <w:pPr>
        <w:spacing w:after="0" w:line="18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8"/>
              </w:rPr>
              <w:t>Per Share</w:t>
            </w:r>
          </w:p>
        </w:tc>
        <w:tc>
          <w:tcPr>
            <w:tcW w:w="72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 Option]</w:t>
            </w:r>
          </w:p>
        </w:tc>
      </w:tr>
      <w:tr>
        <w:trPr>
          <w:trHeight w:val="196"/>
        </w:trPr>
        <w:tc>
          <w:tcPr>
            <w:tcW w:w="9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1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432"/>
        </w:trPr>
        <w:tc>
          <w:tcPr>
            <w:tcW w:w="7200" w:type="dxa"/>
            <w:vAlign w:val="bottom"/>
            <w:gridSpan w:val="4"/>
          </w:tcPr>
          <w:p>
            <w:pPr>
              <w:ind w:left="460"/>
              <w:spacing w:after="0"/>
              <w:rPr>
                <w:sz w:val="20"/>
                <w:szCs w:val="20"/>
                <w:color w:val="auto"/>
              </w:rPr>
            </w:pPr>
            <w:r>
              <w:rPr>
                <w:rFonts w:ascii="Arial" w:cs="Arial" w:eastAsia="Arial" w:hAnsi="Arial"/>
                <w:sz w:val="18"/>
                <w:szCs w:val="18"/>
                <w:color w:val="auto"/>
                <w:w w:val="96"/>
              </w:rPr>
              <w:t>The expenses of the offering, not including the underwriting discount, are estimated at $</w:t>
            </w:r>
          </w:p>
        </w:tc>
        <w:tc>
          <w:tcPr>
            <w:tcW w:w="2460" w:type="dxa"/>
            <w:vAlign w:val="bottom"/>
            <w:gridSpan w:val="3"/>
          </w:tcPr>
          <w:p>
            <w:pPr>
              <w:ind w:left="200"/>
              <w:spacing w:after="0"/>
              <w:rPr>
                <w:sz w:val="20"/>
                <w:szCs w:val="20"/>
                <w:color w:val="auto"/>
              </w:rPr>
            </w:pPr>
            <w:r>
              <w:rPr>
                <w:rFonts w:ascii="Arial" w:cs="Arial" w:eastAsia="Arial" w:hAnsi="Arial"/>
                <w:sz w:val="18"/>
                <w:szCs w:val="18"/>
                <w:color w:val="auto"/>
              </w:rPr>
              <w:t>and are payable by us.</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4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[Over-allotment Option</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5360" w:type="dxa"/>
            <w:vAlign w:val="bottom"/>
            <w:gridSpan w:val="2"/>
          </w:tcPr>
          <w:p>
            <w:pPr>
              <w:ind w:left="460"/>
              <w:spacing w:after="0"/>
              <w:rPr>
                <w:sz w:val="20"/>
                <w:szCs w:val="20"/>
                <w:color w:val="auto"/>
              </w:rPr>
            </w:pPr>
            <w:r>
              <w:rPr>
                <w:rFonts w:ascii="Arial" w:cs="Arial" w:eastAsia="Arial" w:hAnsi="Arial"/>
                <w:sz w:val="18"/>
                <w:szCs w:val="18"/>
                <w:color w:val="auto"/>
                <w:w w:val="94"/>
              </w:rPr>
              <w:t>We have granted an option to the underwriters to purchase up to</w:t>
            </w:r>
          </w:p>
        </w:tc>
        <w:tc>
          <w:tcPr>
            <w:tcW w:w="5780" w:type="dxa"/>
            <w:vAlign w:val="bottom"/>
            <w:gridSpan w:val="7"/>
          </w:tcPr>
          <w:p>
            <w:pPr>
              <w:ind w:left="300"/>
              <w:spacing w:after="0"/>
              <w:rPr>
                <w:sz w:val="20"/>
                <w:szCs w:val="20"/>
                <w:color w:val="auto"/>
              </w:rPr>
            </w:pPr>
            <w:r>
              <w:rPr>
                <w:rFonts w:ascii="Arial" w:cs="Arial" w:eastAsia="Arial" w:hAnsi="Arial"/>
                <w:sz w:val="18"/>
                <w:szCs w:val="18"/>
                <w:color w:val="auto"/>
                <w:w w:val="91"/>
              </w:rPr>
              <w:t>additional shares at the public offering price, less the underwriting discount.</w:t>
            </w:r>
          </w:p>
        </w:tc>
      </w:tr>
    </w:tbl>
    <w:p>
      <w:pPr>
        <w:ind w:right="320"/>
        <w:spacing w:after="0" w:line="255" w:lineRule="auto"/>
        <w:rPr>
          <w:sz w:val="20"/>
          <w:szCs w:val="20"/>
          <w:color w:val="auto"/>
        </w:rPr>
      </w:pPr>
      <w:r>
        <w:rPr>
          <w:rFonts w:ascii="Arial" w:cs="Arial" w:eastAsia="Arial" w:hAnsi="Arial"/>
          <w:sz w:val="18"/>
          <w:szCs w:val="18"/>
          <w:color w:val="auto"/>
        </w:rPr>
        <w:t>The underwriters may exercise this option for days from the date of this prospectus supplement solely to cover any over-allotments. 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269" w:right="279" w:bottom="1440" w:gutter="0" w:footer="0" w:header="0"/>
        </w:sectPr>
      </w:pPr>
    </w:p>
    <w:bookmarkStart w:id="463" w:name="page464"/>
    <w:bookmarkEnd w:id="4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Sales of Similar Securities</w:t>
      </w:r>
    </w:p>
    <w:p>
      <w:pPr>
        <w:spacing w:after="0" w:line="121" w:lineRule="exact"/>
        <w:rPr>
          <w:sz w:val="20"/>
          <w:szCs w:val="20"/>
          <w:color w:val="auto"/>
        </w:rPr>
      </w:pPr>
    </w:p>
    <w:p>
      <w:pPr>
        <w:ind w:left="460"/>
        <w:spacing w:after="0"/>
        <w:tabs>
          <w:tab w:leader="none" w:pos="6280" w:val="left"/>
        </w:tabs>
        <w:rPr>
          <w:sz w:val="20"/>
          <w:szCs w:val="20"/>
          <w:color w:val="auto"/>
        </w:rPr>
      </w:pPr>
      <w:r>
        <w:rPr>
          <w:rFonts w:ascii="Arial" w:cs="Arial" w:eastAsia="Arial" w:hAnsi="Arial"/>
          <w:sz w:val="18"/>
          <w:szCs w:val="18"/>
          <w:color w:val="auto"/>
        </w:rPr>
        <w:t>We have agreed, with exceptions, not to sell or transfer any common stock for</w:t>
      </w:r>
      <w:r>
        <w:rPr>
          <w:sz w:val="20"/>
          <w:szCs w:val="20"/>
          <w:color w:val="auto"/>
        </w:rPr>
        <w:tab/>
      </w:r>
      <w:r>
        <w:rPr>
          <w:rFonts w:ascii="Arial" w:cs="Arial" w:eastAsia="Arial" w:hAnsi="Arial"/>
          <w:sz w:val="16"/>
          <w:szCs w:val="16"/>
          <w:color w:val="auto"/>
        </w:rPr>
        <w:t>days after the date of this prospectus supplement without first</w:t>
      </w:r>
    </w:p>
    <w:p>
      <w:pPr>
        <w:spacing w:after="0" w:line="23"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color w:val="auto"/>
        </w:rPr>
        <w:t>obtaining the written consent of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officers and directors and our Adviser and certain of its affiliates have agreed, with exceptions, not to sell or transfer any common stock</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days after the date of this prospectus supplement without first obtaining the written consent of [ ]. Specifically, we and these other persons have agreed, with certain limited exceptions, not to directly or indirectly</w:t>
      </w:r>
    </w:p>
    <w:p>
      <w:pPr>
        <w:spacing w:after="0" w:line="89" w:lineRule="exact"/>
        <w:rPr>
          <w:sz w:val="20"/>
          <w:szCs w:val="20"/>
          <w:color w:val="auto"/>
        </w:rPr>
      </w:pPr>
    </w:p>
    <w:p>
      <w:pPr>
        <w:ind w:left="1480" w:hanging="905"/>
        <w:spacing w:after="0"/>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480" w:hanging="905"/>
        <w:spacing w:after="0"/>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480" w:hanging="905"/>
        <w:spacing w:after="0"/>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480" w:hanging="905"/>
        <w:spacing w:after="0"/>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480" w:hanging="905"/>
        <w:spacing w:after="0"/>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1480" w:hanging="905"/>
        <w:spacing w:after="0"/>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1485" w:val="left"/>
        </w:tabs>
        <w:numPr>
          <w:ilvl w:val="0"/>
          <w:numId w:val="408"/>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In the event that either (x) during the last 17 days of the lock-up period referred to above, we issue an earnings release or material news or a material event relating to the Company occurs or (y) prior to the expiration of the lock-up period, we announce that we will release earnings results or become aware that material news or a material event will occur during the 16-day period beginning on the last day of the lock-up period, the restrictions described above shall continue to apply until the expiration of the 18-day period beginning on the issuance of the earnings release or the occurrence of the material news or material event.]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are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20"/>
          </w:cols>
          <w:pgMar w:left="240" w:top="269" w:right="339" w:bottom="1440" w:gutter="0" w:footer="0" w:header="0"/>
        </w:sectPr>
      </w:pPr>
    </w:p>
    <w:bookmarkStart w:id="464" w:name="page465"/>
    <w:bookmarkEnd w:id="46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over-allotment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87"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[Describe any other specific transactions and compensation related thereto to the extent required to be disclosed by applicable law or regulation.]</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[Describe if underwriters receiving proceeds of offering, if required by FINRA.]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principal business addresses of underwriters.]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274" w:right="299" w:bottom="1440" w:gutter="0" w:footer="0" w:header="0"/>
        </w:sectPr>
      </w:pPr>
    </w:p>
    <w:bookmarkStart w:id="465" w:name="page466"/>
    <w:bookmarkEnd w:id="465"/>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MATTERS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tabs>
          <w:tab w:leader="none" w:pos="10680" w:val="left"/>
        </w:tabs>
        <w:rPr>
          <w:sz w:val="20"/>
          <w:szCs w:val="20"/>
          <w:color w:val="auto"/>
        </w:rPr>
      </w:pPr>
      <w:r>
        <w:rPr>
          <w:rFonts w:ascii="Arial" w:cs="Arial" w:eastAsia="Arial" w:hAnsi="Arial"/>
          <w:sz w:val="17"/>
          <w:szCs w:val="17"/>
          <w:color w:val="auto"/>
        </w:rPr>
        <w:t>Hamilton LLP also represents the Adviser. Certain legal matters in connection with the offering will be passed upon for the underwriters by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600" w:hanging="592"/>
        <w:spacing w:after="0"/>
        <w:tabs>
          <w:tab w:leader="none" w:pos="6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240" w:top="270" w:right="519" w:bottom="1440" w:gutter="0" w:footer="0" w:header="0"/>
        </w:sectPr>
      </w:pPr>
    </w:p>
    <w:bookmarkStart w:id="466" w:name="page467"/>
    <w:bookmarkEnd w:id="4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financial statements and notes thereto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270" w:right="259" w:bottom="1440" w:gutter="0" w:footer="0" w:header="0"/>
        </w:sectPr>
      </w:pPr>
    </w:p>
    <w:bookmarkStart w:id="467" w:name="page468"/>
    <w:bookmarkEnd w:id="467"/>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6620"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972820</wp:posOffset>
            </wp:positionV>
            <wp:extent cx="1346200" cy="660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1038225</wp:posOffset>
            </wp:positionV>
            <wp:extent cx="151765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241300</wp:posOffset>
            </wp:positionV>
            <wp:extent cx="151765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975360</wp:posOffset>
            </wp:positionV>
            <wp:extent cx="72466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1035685</wp:posOffset>
            </wp:positionV>
            <wp:extent cx="7246620" cy="260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99.2</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91" w:lineRule="exact"/>
        <w:rPr>
          <w:sz w:val="20"/>
          <w:szCs w:val="20"/>
          <w:color w:val="auto"/>
        </w:rPr>
      </w:pPr>
    </w:p>
    <w:tbl>
      <w:tblPr>
        <w:tblLayout w:type="fixed"/>
        <w:tblInd w:w="3580" w:type="dxa"/>
        <w:tblCellMar>
          <w:top w:w="0" w:type="dxa"/>
          <w:left w:w="0" w:type="dxa"/>
          <w:bottom w:w="0" w:type="dxa"/>
          <w:right w:w="0" w:type="dxa"/>
        </w:tblCellMar>
      </w:tblPr>
      <w:tr>
        <w:trPr>
          <w:trHeight w:val="234"/>
        </w:trPr>
        <w:tc>
          <w:tcPr>
            <w:tcW w:w="3540" w:type="dxa"/>
            <w:vAlign w:val="bottom"/>
          </w:tcPr>
          <w:p>
            <w:pPr>
              <w:ind w:left="1280"/>
              <w:spacing w:after="0"/>
              <w:rPr>
                <w:sz w:val="20"/>
                <w:szCs w:val="20"/>
                <w:color w:val="auto"/>
              </w:rPr>
            </w:pPr>
            <w:r>
              <w:rPr>
                <w:rFonts w:ascii="Arial" w:cs="Arial" w:eastAsia="Arial" w:hAnsi="Arial"/>
                <w:sz w:val="18"/>
                <w:szCs w:val="18"/>
                <w:b w:val="1"/>
                <w:bCs w:val="1"/>
                <w:color w:val="DE1A1E"/>
              </w:rPr>
              <w:t>Subject to Completion</w:t>
            </w:r>
          </w:p>
        </w:tc>
        <w:tc>
          <w:tcPr>
            <w:tcW w:w="560" w:type="dxa"/>
            <w:vAlign w:val="bottom"/>
          </w:tcPr>
          <w:p>
            <w:pPr>
              <w:spacing w:after="0"/>
              <w:rPr>
                <w:sz w:val="20"/>
                <w:szCs w:val="20"/>
                <w:color w:val="auto"/>
              </w:rPr>
            </w:pPr>
          </w:p>
        </w:tc>
      </w:tr>
      <w:tr>
        <w:trPr>
          <w:trHeight w:val="297"/>
        </w:trPr>
        <w:tc>
          <w:tcPr>
            <w:tcW w:w="3540" w:type="dxa"/>
            <w:vAlign w:val="bottom"/>
          </w:tcPr>
          <w:p>
            <w:pPr>
              <w:spacing w:after="0"/>
              <w:rPr>
                <w:sz w:val="20"/>
                <w:szCs w:val="20"/>
                <w:color w:val="auto"/>
              </w:rPr>
            </w:pPr>
            <w:r>
              <w:rPr>
                <w:rFonts w:ascii="Arial" w:cs="Arial" w:eastAsia="Arial" w:hAnsi="Arial"/>
                <w:sz w:val="18"/>
                <w:szCs w:val="18"/>
                <w:b w:val="1"/>
                <w:bCs w:val="1"/>
                <w:color w:val="DE1A1E"/>
                <w:w w:val="97"/>
              </w:rPr>
              <w:t>Preliminary Prospectus Supplement dated</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DE1A1E"/>
              </w:rPr>
              <w:t>, 20</w:t>
            </w:r>
          </w:p>
        </w:tc>
      </w:tr>
    </w:tbl>
    <w:p>
      <w:pPr>
        <w:spacing w:after="0" w:line="53" w:lineRule="exact"/>
        <w:rPr>
          <w:sz w:val="20"/>
          <w:szCs w:val="20"/>
          <w:color w:val="auto"/>
        </w:rPr>
      </w:pPr>
    </w:p>
    <w:p>
      <w:pPr>
        <w:ind w:right="40" w:firstLine="34"/>
        <w:spacing w:after="0" w:line="326" w:lineRule="auto"/>
        <w:rPr>
          <w:sz w:val="20"/>
          <w:szCs w:val="20"/>
          <w:color w:val="auto"/>
        </w:rPr>
      </w:pPr>
      <w:r>
        <w:rPr>
          <w:rFonts w:ascii="Arial" w:cs="Arial" w:eastAsia="Arial" w:hAnsi="Arial"/>
          <w:sz w:val="18"/>
          <w:szCs w:val="18"/>
          <w:color w:val="auto"/>
        </w:rPr>
        <w:t xml:space="preserve">[FORM OF PRELIMINARY PROSPECTUS SUPPLEMENT TO BE USED IN CONJUNCTION WITH FUTURE PREFERRED STOCK OFFERINGS](1) </w:t>
      </w:r>
      <w:r>
        <w:rPr>
          <w:rFonts w:ascii="Arial" w:cs="Arial" w:eastAsia="Arial" w:hAnsi="Arial"/>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(To Prospectus dated</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   )</w:t>
            </w: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69215</wp:posOffset>
            </wp:positionV>
            <wp:extent cx="1346200" cy="660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10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Series [</w:t>
      </w:r>
      <w:r>
        <w:rPr>
          <w:sz w:val="20"/>
          <w:szCs w:val="20"/>
          <w:color w:val="auto"/>
        </w:rPr>
        <w:tab/>
      </w:r>
      <w:r>
        <w:rPr>
          <w:rFonts w:ascii="Arial" w:cs="Arial" w:eastAsia="Arial" w:hAnsi="Arial"/>
          <w:sz w:val="16"/>
          <w:szCs w:val="16"/>
          <w:b w:val="1"/>
          <w:bCs w:val="1"/>
          <w:color w:val="auto"/>
        </w:rPr>
        <w:t>] Preferred Stock</w:t>
      </w:r>
    </w:p>
    <w:p>
      <w:pPr>
        <w:spacing w:after="0" w:line="27"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Liquidation Preference $</w:t>
      </w:r>
      <w:r>
        <w:rPr>
          <w:sz w:val="20"/>
          <w:szCs w:val="20"/>
          <w:color w:val="auto"/>
        </w:rPr>
        <w:tab/>
      </w:r>
      <w:r>
        <w:rPr>
          <w:rFonts w:ascii="Arial" w:cs="Arial" w:eastAsia="Arial" w:hAnsi="Arial"/>
          <w:sz w:val="16"/>
          <w:szCs w:val="16"/>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100330</wp:posOffset>
            </wp:positionV>
            <wp:extent cx="151765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3" w:lineRule="exact"/>
        <w:rPr>
          <w:sz w:val="20"/>
          <w:szCs w:val="20"/>
          <w:color w:val="auto"/>
        </w:rPr>
      </w:pPr>
    </w:p>
    <w:p>
      <w:pPr>
        <w:ind w:right="240" w:firstLine="342"/>
        <w:spacing w:after="0" w:line="246" w:lineRule="auto"/>
        <w:rPr>
          <w:sz w:val="20"/>
          <w:szCs w:val="20"/>
          <w:color w:val="auto"/>
        </w:rPr>
      </w:pPr>
      <w:r>
        <w:rPr>
          <w:rFonts w:ascii="Arial" w:cs="Arial" w:eastAsia="Arial" w:hAnsi="Arial"/>
          <w:sz w:val="14"/>
          <w:szCs w:val="14"/>
          <w:color w:val="auto"/>
        </w:rPr>
        <w:t>We are offering for sale shares of our Series [ ] preferred stock, or our “preferred stock,” with a liquidation preference of $ per share. [Insert relevant information regarding ranking, conversion, redemption, dividends, etc. to the extent required to be disclosed by applicable law or regulation.]</w:t>
      </w:r>
    </w:p>
    <w:p>
      <w:pPr>
        <w:spacing w:after="0" w:line="1" w:lineRule="exact"/>
        <w:rPr>
          <w:sz w:val="20"/>
          <w:szCs w:val="20"/>
          <w:color w:val="auto"/>
        </w:rPr>
      </w:pPr>
    </w:p>
    <w:p>
      <w:pPr>
        <w:ind w:right="360" w:firstLine="342"/>
        <w:spacing w:after="0" w:line="265" w:lineRule="auto"/>
        <w:rPr>
          <w:sz w:val="20"/>
          <w:szCs w:val="20"/>
          <w:color w:val="auto"/>
        </w:rPr>
      </w:pPr>
      <w:r>
        <w:rPr>
          <w:rFonts w:ascii="Arial" w:cs="Arial" w:eastAsia="Arial" w:hAnsi="Arial"/>
          <w:sz w:val="13"/>
          <w:szCs w:val="13"/>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 w:lineRule="exact"/>
        <w:rPr>
          <w:sz w:val="20"/>
          <w:szCs w:val="20"/>
          <w:color w:val="auto"/>
        </w:rPr>
      </w:pPr>
    </w:p>
    <w:p>
      <w:pPr>
        <w:ind w:right="440" w:firstLine="342"/>
        <w:spacing w:after="0" w:line="251" w:lineRule="auto"/>
        <w:rPr>
          <w:sz w:val="20"/>
          <w:szCs w:val="20"/>
          <w:color w:val="auto"/>
        </w:rPr>
      </w:pPr>
      <w:r>
        <w:rPr>
          <w:rFonts w:ascii="Arial" w:cs="Arial" w:eastAsia="Arial" w:hAnsi="Arial"/>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are an externally managed, closed-end, non-diversified management investment company. TSL Advisers, LLC, or the Adviser, acts as our investment adviser and administrator. We and the</w:t>
      </w:r>
    </w:p>
    <w:p>
      <w:pPr>
        <w:spacing w:after="0" w:line="11" w:lineRule="exact"/>
        <w:rPr>
          <w:sz w:val="20"/>
          <w:szCs w:val="20"/>
          <w:color w:val="auto"/>
        </w:rPr>
      </w:pPr>
    </w:p>
    <w:p>
      <w:pPr>
        <w:ind w:right="240"/>
        <w:spacing w:after="0" w:line="237" w:lineRule="auto"/>
        <w:rPr>
          <w:sz w:val="20"/>
          <w:szCs w:val="20"/>
          <w:color w:val="auto"/>
        </w:rPr>
      </w:pPr>
      <w:r>
        <w:rPr>
          <w:rFonts w:ascii="Arial" w:cs="Arial" w:eastAsia="Arial" w:hAnsi="Arial"/>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spacing w:after="0" w:line="1" w:lineRule="exact"/>
        <w:rPr>
          <w:sz w:val="20"/>
          <w:szCs w:val="20"/>
          <w:color w:val="auto"/>
        </w:rPr>
      </w:pPr>
    </w:p>
    <w:p>
      <w:pPr>
        <w:ind w:right="60" w:firstLine="342"/>
        <w:spacing w:after="0" w:line="252"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ind w:right="200" w:firstLine="342"/>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 relevant disclosure depending on whether preferred shares are listed or not.]</w:t>
      </w:r>
    </w:p>
    <w:p>
      <w:pPr>
        <w:spacing w:after="0" w:line="21" w:lineRule="exact"/>
        <w:rPr>
          <w:sz w:val="20"/>
          <w:szCs w:val="20"/>
          <w:color w:val="auto"/>
        </w:rPr>
      </w:pPr>
    </w:p>
    <w:p>
      <w:pPr>
        <w:ind w:right="620" w:firstLine="456"/>
        <w:spacing w:after="0" w:line="270"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preferred stock involves risks that are described in the “</w:t>
      </w:r>
      <w:hyperlink w:anchor="page47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section beginning on page S-9 of this prospectus supplement and page [ ] of the accompanying prospectus, including the risk of leverage.</w:t>
      </w:r>
    </w:p>
    <w:p>
      <w:pPr>
        <w:ind w:right="20" w:firstLine="342"/>
        <w:spacing w:after="0" w:line="229" w:lineRule="auto"/>
        <w:rPr>
          <w:sz w:val="20"/>
          <w:szCs w:val="20"/>
          <w:color w:val="auto"/>
        </w:rPr>
      </w:pPr>
      <w:r>
        <w:rPr>
          <w:rFonts w:ascii="Arial" w:cs="Arial" w:eastAsia="Arial" w:hAnsi="Arial"/>
          <w:sz w:val="14"/>
          <w:szCs w:val="14"/>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86995</wp:posOffset>
            </wp:positionV>
            <wp:extent cx="151765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8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42"/>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4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3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0"/>
                <w:szCs w:val="10"/>
                <w:color w:val="auto"/>
                <w:w w:val="71"/>
              </w:rPr>
              <w:t>$</w:t>
            </w:r>
          </w:p>
        </w:tc>
        <w:tc>
          <w:tcPr>
            <w:tcW w:w="1180" w:type="dxa"/>
            <w:vAlign w:val="bottom"/>
          </w:tcPr>
          <w:p>
            <w:pPr>
              <w:spacing w:after="0"/>
              <w:rPr>
                <w:sz w:val="12"/>
                <w:szCs w:val="12"/>
                <w:color w:val="auto"/>
              </w:rPr>
            </w:pPr>
          </w:p>
        </w:tc>
      </w:tr>
      <w:tr>
        <w:trPr>
          <w:trHeight w:val="149"/>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w w:val="99"/>
              </w:rPr>
              <w:t>Underwriting discount (sales load)</w:t>
            </w: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00" w:type="dxa"/>
            <w:vAlign w:val="bottom"/>
            <w:gridSpan w:val="2"/>
          </w:tcPr>
          <w:p>
            <w:pPr>
              <w:jc w:val="right"/>
              <w:ind w:right="59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75"/>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spacing w:after="0"/>
              <w:rPr>
                <w:sz w:val="12"/>
                <w:szCs w:val="12"/>
                <w:color w:val="auto"/>
              </w:rPr>
            </w:pPr>
          </w:p>
        </w:tc>
      </w:tr>
      <w:tr>
        <w:trPr>
          <w:trHeight w:val="149"/>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Proceeds to us, before expenses (1)</w:t>
            </w: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9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75"/>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spacing w:after="0"/>
              <w:rPr>
                <w:sz w:val="12"/>
                <w:szCs w:val="12"/>
                <w:color w:val="auto"/>
              </w:rPr>
            </w:pP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3960" w:type="dxa"/>
            <w:vAlign w:val="bottom"/>
            <w:gridSpan w:val="4"/>
          </w:tcPr>
          <w:p>
            <w:pPr>
              <w:spacing w:after="0"/>
              <w:rPr>
                <w:sz w:val="11"/>
                <w:szCs w:val="11"/>
                <w:color w:val="auto"/>
              </w:rPr>
            </w:pPr>
          </w:p>
        </w:tc>
        <w:tc>
          <w:tcPr>
            <w:tcW w:w="3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1"/>
        </w:trPr>
        <w:tc>
          <w:tcPr>
            <w:tcW w:w="5120" w:type="dxa"/>
            <w:vAlign w:val="bottom"/>
            <w:gridSpan w:val="6"/>
          </w:tcPr>
          <w:p>
            <w:pPr>
              <w:spacing w:after="0"/>
              <w:rPr>
                <w:sz w:val="20"/>
                <w:szCs w:val="20"/>
                <w:color w:val="auto"/>
              </w:rPr>
            </w:pPr>
            <w:r>
              <w:rPr>
                <w:rFonts w:ascii="Arial" w:cs="Arial" w:eastAsia="Arial" w:hAnsi="Arial"/>
                <w:sz w:val="14"/>
                <w:szCs w:val="14"/>
                <w:color w:val="auto"/>
                <w:w w:val="97"/>
              </w:rPr>
              <w:t>(1)   Before deducting expenses payable by us related to this offering, estimated at $</w:t>
            </w:r>
          </w:p>
        </w:tc>
        <w:tc>
          <w:tcPr>
            <w:tcW w:w="3160" w:type="dxa"/>
            <w:vAlign w:val="bottom"/>
          </w:tcPr>
          <w:p>
            <w:pPr>
              <w:jc w:val="right"/>
              <w:ind w:right="28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49"/>
        </w:trPr>
        <w:tc>
          <w:tcPr>
            <w:tcW w:w="3500" w:type="dxa"/>
            <w:vAlign w:val="bottom"/>
            <w:gridSpan w:val="4"/>
          </w:tcPr>
          <w:p>
            <w:pPr>
              <w:spacing w:after="0" w:line="149" w:lineRule="exact"/>
              <w:rPr>
                <w:sz w:val="20"/>
                <w:szCs w:val="20"/>
                <w:color w:val="auto"/>
              </w:rPr>
            </w:pPr>
            <w:r>
              <w:rPr>
                <w:rFonts w:ascii="Arial" w:cs="Arial" w:eastAsia="Arial" w:hAnsi="Arial"/>
                <w:sz w:val="14"/>
                <w:szCs w:val="14"/>
                <w:color w:val="auto"/>
                <w:w w:val="99"/>
              </w:rPr>
              <w:t>[The underwriters may also purchase up to an additional</w:t>
            </w:r>
          </w:p>
        </w:tc>
        <w:tc>
          <w:tcPr>
            <w:tcW w:w="5880" w:type="dxa"/>
            <w:vAlign w:val="bottom"/>
            <w:gridSpan w:val="5"/>
          </w:tcPr>
          <w:p>
            <w:pPr>
              <w:jc w:val="right"/>
              <w:ind w:right="38"/>
              <w:spacing w:after="0" w:line="149" w:lineRule="exact"/>
              <w:rPr>
                <w:sz w:val="20"/>
                <w:szCs w:val="20"/>
                <w:color w:val="auto"/>
              </w:rPr>
            </w:pPr>
            <w:r>
              <w:rPr>
                <w:rFonts w:ascii="Arial" w:cs="Arial" w:eastAsia="Arial" w:hAnsi="Arial"/>
                <w:sz w:val="14"/>
                <w:szCs w:val="14"/>
                <w:color w:val="auto"/>
                <w:w w:val="95"/>
              </w:rPr>
              <w:t>shares of preferred stock from us at the public offering price, less the underwriting discount, within</w:t>
            </w:r>
          </w:p>
        </w:tc>
        <w:tc>
          <w:tcPr>
            <w:tcW w:w="80" w:type="dxa"/>
            <w:vAlign w:val="bottom"/>
          </w:tcPr>
          <w:p>
            <w:pPr>
              <w:spacing w:after="0"/>
              <w:rPr>
                <w:sz w:val="12"/>
                <w:szCs w:val="12"/>
                <w:color w:val="auto"/>
              </w:rPr>
            </w:pPr>
          </w:p>
        </w:tc>
        <w:tc>
          <w:tcPr>
            <w:tcW w:w="17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days of the date of this</w:t>
            </w:r>
          </w:p>
        </w:tc>
      </w:tr>
      <w:tr>
        <w:trPr>
          <w:trHeight w:val="149"/>
        </w:trPr>
        <w:tc>
          <w:tcPr>
            <w:tcW w:w="8280" w:type="dxa"/>
            <w:vAlign w:val="bottom"/>
            <w:gridSpan w:val="7"/>
          </w:tcPr>
          <w:p>
            <w:pPr>
              <w:spacing w:after="0" w:line="149" w:lineRule="exact"/>
              <w:rPr>
                <w:sz w:val="20"/>
                <w:szCs w:val="20"/>
                <w:color w:val="auto"/>
              </w:rPr>
            </w:pPr>
            <w:r>
              <w:rPr>
                <w:rFonts w:ascii="Arial" w:cs="Arial" w:eastAsia="Arial" w:hAnsi="Arial"/>
                <w:sz w:val="14"/>
                <w:szCs w:val="14"/>
                <w:color w:val="auto"/>
                <w:w w:val="96"/>
              </w:rPr>
              <w:t>prospectus supplement to cover over-allotments, if any. If the underwriters exercise this option in full, the total public offering price will be $</w:t>
            </w:r>
          </w:p>
        </w:tc>
        <w:tc>
          <w:tcPr>
            <w:tcW w:w="2960" w:type="dxa"/>
            <w:vAlign w:val="bottom"/>
            <w:gridSpan w:val="5"/>
          </w:tcPr>
          <w:p>
            <w:pPr>
              <w:ind w:left="140"/>
              <w:spacing w:after="0" w:line="149" w:lineRule="exact"/>
              <w:rPr>
                <w:sz w:val="20"/>
                <w:szCs w:val="20"/>
                <w:color w:val="auto"/>
              </w:rPr>
            </w:pPr>
            <w:r>
              <w:rPr>
                <w:rFonts w:ascii="Arial" w:cs="Arial" w:eastAsia="Arial" w:hAnsi="Arial"/>
                <w:sz w:val="14"/>
                <w:szCs w:val="14"/>
                <w:color w:val="auto"/>
                <w:w w:val="93"/>
              </w:rPr>
              <w:t>, the total underwriting discount (sales load) paid</w:t>
            </w: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by us will be $</w:t>
            </w:r>
          </w:p>
        </w:tc>
        <w:tc>
          <w:tcPr>
            <w:tcW w:w="2980" w:type="dxa"/>
            <w:vAlign w:val="bottom"/>
            <w:gridSpan w:val="4"/>
          </w:tcPr>
          <w:p>
            <w:pPr>
              <w:ind w:left="140"/>
              <w:spacing w:after="0"/>
              <w:rPr>
                <w:sz w:val="20"/>
                <w:szCs w:val="20"/>
                <w:color w:val="auto"/>
              </w:rPr>
            </w:pPr>
            <w:r>
              <w:rPr>
                <w:rFonts w:ascii="Arial" w:cs="Arial" w:eastAsia="Arial" w:hAnsi="Arial"/>
                <w:sz w:val="14"/>
                <w:szCs w:val="14"/>
                <w:color w:val="auto"/>
                <w:w w:val="96"/>
              </w:rPr>
              <w:t>, and total proceeds, before expenses, will be $</w:t>
            </w:r>
          </w:p>
        </w:tc>
        <w:tc>
          <w:tcPr>
            <w:tcW w:w="11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12" w:lineRule="exact"/>
        <w:rPr>
          <w:sz w:val="20"/>
          <w:szCs w:val="20"/>
          <w:color w:val="auto"/>
        </w:rPr>
      </w:pPr>
    </w:p>
    <w:p>
      <w:pPr>
        <w:ind w:right="420" w:firstLine="342"/>
        <w:spacing w:after="0" w:line="291" w:lineRule="auto"/>
        <w:rPr>
          <w:sz w:val="20"/>
          <w:szCs w:val="20"/>
          <w:color w:val="auto"/>
        </w:rPr>
      </w:pPr>
      <w:r>
        <w:rPr>
          <w:rFonts w:ascii="Arial" w:cs="Arial" w:eastAsia="Arial" w:hAnsi="Arial"/>
          <w:sz w:val="16"/>
          <w:szCs w:val="16"/>
          <w:b w:val="1"/>
          <w:bCs w:val="1"/>
          <w:color w:val="auto"/>
        </w:rPr>
        <w:t>The Securities and Exchange Commission, or SEC, has not approved or disapproved of these securities or determined if this prospectus supplement or the accompanying prospectus is truthful or complete. Any representation to the contrary is a criminal offense.</w:t>
      </w:r>
    </w:p>
    <w:tbl>
      <w:tblPr>
        <w:tblLayout w:type="fixed"/>
        <w:tblInd w:w="360" w:type="dxa"/>
        <w:tblCellMar>
          <w:top w:w="0" w:type="dxa"/>
          <w:left w:w="0" w:type="dxa"/>
          <w:bottom w:w="0" w:type="dxa"/>
          <w:right w:w="0" w:type="dxa"/>
        </w:tblCellMar>
      </w:tblPr>
      <w:tr>
        <w:trPr>
          <w:trHeight w:val="194"/>
        </w:trPr>
        <w:tc>
          <w:tcPr>
            <w:tcW w:w="3300" w:type="dxa"/>
            <w:vAlign w:val="bottom"/>
          </w:tcPr>
          <w:p>
            <w:pPr>
              <w:spacing w:after="0"/>
              <w:rPr>
                <w:sz w:val="20"/>
                <w:szCs w:val="20"/>
                <w:color w:val="auto"/>
              </w:rPr>
            </w:pPr>
            <w:r>
              <w:rPr>
                <w:rFonts w:ascii="Arial" w:cs="Arial" w:eastAsia="Arial" w:hAnsi="Arial"/>
                <w:sz w:val="15"/>
                <w:szCs w:val="15"/>
                <w:color w:val="auto"/>
              </w:rPr>
              <w:t>The shares will be ready for delivery on or about</w:t>
            </w:r>
          </w:p>
        </w:tc>
        <w:tc>
          <w:tcPr>
            <w:tcW w:w="780" w:type="dxa"/>
            <w:vAlign w:val="bottom"/>
          </w:tcPr>
          <w:p>
            <w:pPr>
              <w:jc w:val="right"/>
              <w:spacing w:after="0"/>
              <w:rPr>
                <w:sz w:val="20"/>
                <w:szCs w:val="20"/>
                <w:color w:val="auto"/>
              </w:rPr>
            </w:pPr>
            <w:r>
              <w:rPr>
                <w:rFonts w:ascii="Arial" w:cs="Arial" w:eastAsia="Arial" w:hAnsi="Arial"/>
                <w:sz w:val="15"/>
                <w:szCs w:val="15"/>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82550</wp:posOffset>
            </wp:positionV>
            <wp:extent cx="151765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6" w:lineRule="exact"/>
        <w:rPr>
          <w:sz w:val="20"/>
          <w:szCs w:val="20"/>
          <w:color w:val="auto"/>
        </w:rPr>
      </w:pPr>
    </w:p>
    <w:tbl>
      <w:tblPr>
        <w:tblLayout w:type="fixed"/>
        <w:tblInd w:w="3820" w:type="dxa"/>
        <w:tblCellMar>
          <w:top w:w="0" w:type="dxa"/>
          <w:left w:w="0" w:type="dxa"/>
          <w:bottom w:w="0" w:type="dxa"/>
          <w:right w:w="0" w:type="dxa"/>
        </w:tblCellMar>
      </w:tblPr>
      <w:tr>
        <w:trPr>
          <w:trHeight w:val="198"/>
        </w:trPr>
        <w:tc>
          <w:tcPr>
            <w:tcW w:w="3020" w:type="dxa"/>
            <w:vAlign w:val="bottom"/>
          </w:tcPr>
          <w:p>
            <w:pPr>
              <w:spacing w:after="0"/>
              <w:rPr>
                <w:sz w:val="20"/>
                <w:szCs w:val="20"/>
                <w:color w:val="auto"/>
              </w:rPr>
            </w:pPr>
            <w:r>
              <w:rPr>
                <w:rFonts w:ascii="Arial" w:cs="Arial" w:eastAsia="Arial" w:hAnsi="Arial"/>
                <w:sz w:val="15"/>
                <w:szCs w:val="15"/>
                <w:b w:val="1"/>
                <w:bCs w:val="1"/>
                <w:color w:val="auto"/>
                <w:w w:val="99"/>
              </w:rPr>
              <w:t>The date of this prospectus supplement is</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89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340" w:right="100" w:hanging="332"/>
        <w:spacing w:after="0" w:line="249" w:lineRule="auto"/>
        <w:tabs>
          <w:tab w:leader="none" w:pos="340" w:val="left"/>
        </w:tabs>
        <w:numPr>
          <w:ilvl w:val="0"/>
          <w:numId w:val="410"/>
        </w:numPr>
        <w:rPr>
          <w:rFonts w:ascii="Arial" w:cs="Arial" w:eastAsia="Arial" w:hAnsi="Arial"/>
          <w:sz w:val="14"/>
          <w:szCs w:val="14"/>
          <w:color w:val="auto"/>
        </w:rPr>
      </w:pPr>
      <w:r>
        <w:rPr>
          <w:rFonts w:ascii="Arial" w:cs="Arial" w:eastAsia="Arial" w:hAnsi="Arial"/>
          <w:sz w:val="14"/>
          <w:szCs w:val="14"/>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22" w:right="23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3"/>
            <w:vMerge w:val="restart"/>
          </w:tcPr>
          <w:p>
            <w:pPr>
              <w:spacing w:after="0"/>
              <w:rPr>
                <w:rFonts w:ascii="Arial" w:cs="Arial" w:eastAsia="Arial" w:hAnsi="Arial"/>
                <w:sz w:val="18"/>
                <w:szCs w:val="18"/>
                <w:color w:val="0000EE"/>
              </w:rPr>
            </w:pPr>
            <w:hyperlink w:anchor="page471">
              <w:r>
                <w:rPr>
                  <w:rFonts w:ascii="Arial" w:cs="Arial" w:eastAsia="Arial" w:hAnsi="Arial"/>
                  <w:sz w:val="18"/>
                  <w:szCs w:val="18"/>
                  <w:color w:val="0000EE"/>
                </w:rPr>
                <w:t>SPECIAL NOTE REGARDING FORWARD-LOOKING STATEMENTS</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20" w:type="dxa"/>
            <w:vAlign w:val="bottom"/>
            <w:gridSpan w:val="13"/>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9"/>
          </w:tcPr>
          <w:p>
            <w:pPr>
              <w:spacing w:after="0"/>
              <w:rPr>
                <w:rFonts w:ascii="Arial" w:cs="Arial" w:eastAsia="Arial" w:hAnsi="Arial"/>
                <w:sz w:val="18"/>
                <w:szCs w:val="18"/>
                <w:color w:val="0000EE"/>
              </w:rPr>
            </w:pPr>
            <w:hyperlink w:anchor="page472">
              <w:r>
                <w:rPr>
                  <w:rFonts w:ascii="Arial" w:cs="Arial" w:eastAsia="Arial" w:hAnsi="Arial"/>
                  <w:sz w:val="18"/>
                  <w:szCs w:val="18"/>
                  <w:color w:val="0000EE"/>
                </w:rPr>
                <w:t>THE COMPANY</w:t>
              </w:r>
            </w:hyperlink>
          </w:p>
        </w:tc>
        <w:tc>
          <w:tcPr>
            <w:tcW w:w="5580" w:type="dxa"/>
            <w:vAlign w:val="bottom"/>
            <w:gridSpan w:val="4"/>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rFonts w:ascii="Arial" w:cs="Arial" w:eastAsia="Arial" w:hAnsi="Arial"/>
                <w:sz w:val="18"/>
                <w:szCs w:val="18"/>
                <w:color w:val="0000EE"/>
              </w:rPr>
            </w:pPr>
            <w:hyperlink w:anchor="page475">
              <w:r>
                <w:rPr>
                  <w:rFonts w:ascii="Arial" w:cs="Arial" w:eastAsia="Arial" w:hAnsi="Arial"/>
                  <w:sz w:val="18"/>
                  <w:szCs w:val="18"/>
                  <w:color w:val="0000EE"/>
                </w:rPr>
                <w:t>SPECIFIC TERMS OF THE PREFERRED STOCK AND THE OFFERING</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476">
              <w:r>
                <w:rPr>
                  <w:rFonts w:ascii="Arial" w:cs="Arial" w:eastAsia="Arial" w:hAnsi="Arial"/>
                  <w:sz w:val="18"/>
                  <w:szCs w:val="18"/>
                  <w:color w:val="0000EE"/>
                  <w:w w:val="97"/>
                </w:rPr>
                <w:t>SELECTED FINANCIAL DATA AND OTHER INFORMATION</w:t>
              </w:r>
            </w:hyperlink>
          </w:p>
        </w:tc>
        <w:tc>
          <w:tcPr>
            <w:tcW w:w="740" w:type="dxa"/>
            <w:vAlign w:val="bottom"/>
            <w:tcBorders>
              <w:top w:val="single" w:sz="8" w:color="0000EE"/>
            </w:tcBorders>
            <w:gridSpan w:val="2"/>
          </w:tcPr>
          <w:p>
            <w:pPr>
              <w:spacing w:after="0"/>
              <w:rPr>
                <w:sz w:val="17"/>
                <w:szCs w:val="17"/>
                <w:color w:val="auto"/>
              </w:rPr>
            </w:pPr>
          </w:p>
        </w:tc>
        <w:tc>
          <w:tcPr>
            <w:tcW w:w="53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477">
              <w:r>
                <w:rPr>
                  <w:rFonts w:ascii="Arial" w:cs="Arial" w:eastAsia="Arial" w:hAnsi="Arial"/>
                  <w:sz w:val="18"/>
                  <w:szCs w:val="18"/>
                  <w:color w:val="0000EE"/>
                  <w:w w:val="93"/>
                </w:rPr>
                <w:t>RISK FACTORS</w:t>
              </w:r>
            </w:hyperlink>
          </w:p>
        </w:tc>
        <w:tc>
          <w:tcPr>
            <w:tcW w:w="96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Arial" w:cs="Arial" w:eastAsia="Arial" w:hAnsi="Arial"/>
                <w:sz w:val="18"/>
                <w:szCs w:val="18"/>
                <w:color w:val="0000EE"/>
              </w:rPr>
            </w:pPr>
            <w:hyperlink w:anchor="page478">
              <w:r>
                <w:rPr>
                  <w:rFonts w:ascii="Arial" w:cs="Arial" w:eastAsia="Arial" w:hAnsi="Arial"/>
                  <w:sz w:val="18"/>
                  <w:szCs w:val="18"/>
                  <w:color w:val="0000EE"/>
                </w:rPr>
                <w:t>USE OF PROCEEDS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479">
              <w:r>
                <w:rPr>
                  <w:rFonts w:ascii="Arial" w:cs="Arial" w:eastAsia="Arial" w:hAnsi="Arial"/>
                  <w:sz w:val="18"/>
                  <w:szCs w:val="18"/>
                  <w:color w:val="0000EE"/>
                  <w:w w:val="95"/>
                </w:rPr>
                <w:t>RATIOS OF EARNINGS TO FIXED CHARGES AND PREFERRED DIVIDENDS</w:t>
              </w:r>
            </w:hyperlink>
          </w:p>
        </w:tc>
        <w:tc>
          <w:tcPr>
            <w:tcW w:w="47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Arial" w:cs="Arial" w:eastAsia="Arial" w:hAnsi="Arial"/>
                <w:sz w:val="18"/>
                <w:szCs w:val="18"/>
                <w:color w:val="0000EE"/>
              </w:rPr>
            </w:pPr>
            <w:hyperlink w:anchor="page480">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481">
              <w:r>
                <w:rPr>
                  <w:rFonts w:ascii="Arial" w:cs="Arial" w:eastAsia="Arial" w:hAnsi="Arial"/>
                  <w:sz w:val="18"/>
                  <w:szCs w:val="18"/>
                  <w:color w:val="0000EE"/>
                  <w:w w:val="93"/>
                </w:rPr>
                <w:t>DESCRIPTION OF PREFERRED STOCK</w:t>
              </w:r>
            </w:hyperlink>
          </w:p>
        </w:tc>
        <w:tc>
          <w:tcPr>
            <w:tcW w:w="5760" w:type="dxa"/>
            <w:vAlign w:val="bottom"/>
            <w:tcBorders>
              <w:top w:val="single" w:sz="8" w:color="0000EE"/>
            </w:tcBorders>
            <w:gridSpan w:val="5"/>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482">
              <w:r>
                <w:rPr>
                  <w:rFonts w:ascii="Arial" w:cs="Arial" w:eastAsia="Arial" w:hAnsi="Arial"/>
                  <w:sz w:val="18"/>
                  <w:szCs w:val="18"/>
                  <w:color w:val="0000EE"/>
                  <w:w w:val="99"/>
                </w:rPr>
                <w:t>CAPITALIZATION</w:t>
              </w:r>
            </w:hyperlink>
          </w:p>
        </w:tc>
        <w:tc>
          <w:tcPr>
            <w:tcW w:w="944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7"/>
              </w:rPr>
            </w:pPr>
            <w:hyperlink w:anchor="page483">
              <w:r>
                <w:rPr>
                  <w:rFonts w:ascii="Arial" w:cs="Arial" w:eastAsia="Arial" w:hAnsi="Arial"/>
                  <w:sz w:val="18"/>
                  <w:szCs w:val="18"/>
                  <w:color w:val="0000EE"/>
                  <w:w w:val="97"/>
                </w:rPr>
                <w:t>UNDERWRITING</w:t>
              </w:r>
            </w:hyperlink>
          </w:p>
        </w:tc>
        <w:tc>
          <w:tcPr>
            <w:tcW w:w="952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Arial" w:cs="Arial" w:eastAsia="Arial" w:hAnsi="Arial"/>
                <w:sz w:val="18"/>
                <w:szCs w:val="18"/>
                <w:color w:val="0000EE"/>
              </w:rPr>
            </w:pPr>
            <w:hyperlink w:anchor="page486">
              <w:r>
                <w:rPr>
                  <w:rFonts w:ascii="Arial" w:cs="Arial" w:eastAsia="Arial" w:hAnsi="Arial"/>
                  <w:sz w:val="18"/>
                  <w:szCs w:val="18"/>
                  <w:color w:val="0000EE"/>
                </w:rPr>
                <w:t>LEGAL MATTERS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487">
              <w:r>
                <w:rPr>
                  <w:rFonts w:ascii="Arial" w:cs="Arial" w:eastAsia="Arial" w:hAnsi="Arial"/>
                  <w:sz w:val="18"/>
                  <w:szCs w:val="18"/>
                  <w:color w:val="0000EE"/>
                  <w:w w:val="97"/>
                </w:rPr>
                <w:t>FINANCIAL STATEMENTS</w:t>
              </w:r>
            </w:hyperlink>
          </w:p>
        </w:tc>
        <w:tc>
          <w:tcPr>
            <w:tcW w:w="87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[Insert table of contents from base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40" w:hanging="325"/>
        <w:spacing w:after="0" w:line="277" w:lineRule="auto"/>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 supplement and the accompanying prospectus.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900" w:right="140" w:hanging="325"/>
        <w:spacing w:after="0" w:line="277" w:lineRule="auto"/>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12"/>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900" w:hanging="325"/>
        <w:spacing w:after="0"/>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w:t>
      </w:r>
    </w:p>
    <w:p>
      <w:pPr>
        <w:spacing w:after="0" w:line="46" w:lineRule="exact"/>
        <w:rPr>
          <w:sz w:val="20"/>
          <w:szCs w:val="20"/>
          <w:color w:val="auto"/>
        </w:rPr>
      </w:pPr>
    </w:p>
    <w:p>
      <w:pPr>
        <w:ind w:firstLine="720"/>
        <w:spacing w:after="0" w:line="252" w:lineRule="auto"/>
        <w:rPr>
          <w:sz w:val="20"/>
          <w:szCs w:val="20"/>
          <w:color w:val="auto"/>
        </w:rPr>
      </w:pPr>
      <w:r>
        <w:rPr>
          <w:rFonts w:ascii="Arial" w:cs="Arial" w:eastAsia="Arial" w:hAnsi="Arial"/>
          <w:sz w:val="18"/>
          <w:szCs w:val="18"/>
          <w:color w:val="auto"/>
        </w:rPr>
        <w:t>,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4"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w:t>
      </w:r>
    </w:p>
    <w:p>
      <w:pPr>
        <w:ind w:right="400"/>
        <w:spacing w:after="0" w:line="254" w:lineRule="auto"/>
        <w:rPr>
          <w:sz w:val="20"/>
          <w:szCs w:val="20"/>
          <w:color w:val="auto"/>
        </w:rPr>
      </w:pPr>
      <w:r>
        <w:rPr>
          <w:rFonts w:ascii="Arial" w:cs="Arial" w:eastAsia="Arial" w:hAnsi="Arial"/>
          <w:sz w:val="18"/>
          <w:szCs w:val="18"/>
          <w:color w:val="auto"/>
        </w:rPr>
        <w:t>and, to a lesser extent, secured corporate bonds, with a secondary priority behind first-lien debt. Based on fair value as of , 20 , our portfolio consisted of % first-lien debt investments, % second-lien debt investments, % mezzanine debt investments and % equity investments. Approximately % of our investments as of , 20 are floating rate in nature, subject to interest rate floors, which we believe helps act as a portfolio-wide hedge against inflation.</w:t>
      </w:r>
    </w:p>
    <w:p>
      <w:pPr>
        <w:spacing w:after="0" w:line="19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As of , 20 , our portfolio was invested across different industries. The largest industries in our portfolio, based on fair value as of , 20 , were , , and , which represented, as a percentage of our portfolio, %, %, and %, respectively. We expect that no single investment will represent more than % of our total investment portfolio, based on fair value.</w:t>
      </w:r>
    </w:p>
    <w:p>
      <w:pPr>
        <w:spacing w:after="0" w:line="181" w:lineRule="exact"/>
        <w:rPr>
          <w:sz w:val="20"/>
          <w:szCs w:val="20"/>
          <w:color w:val="auto"/>
        </w:rPr>
      </w:pPr>
    </w:p>
    <w:p>
      <w:pPr>
        <w:ind w:left="460"/>
        <w:spacing w:after="0"/>
        <w:tabs>
          <w:tab w:leader="none" w:pos="1600" w:val="left"/>
          <w:tab w:leader="none" w:pos="2100" w:val="left"/>
          <w:tab w:leader="none" w:pos="4200" w:val="left"/>
          <w:tab w:leader="none" w:pos="84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w:t>
        <w:tab/>
        <w:t>, we had investments in</w:t>
      </w:r>
      <w:r>
        <w:rPr>
          <w:sz w:val="20"/>
          <w:szCs w:val="20"/>
          <w:color w:val="auto"/>
        </w:rPr>
        <w:tab/>
      </w:r>
      <w:r>
        <w:rPr>
          <w:rFonts w:ascii="Arial" w:cs="Arial" w:eastAsia="Arial" w:hAnsi="Arial"/>
          <w:sz w:val="18"/>
          <w:szCs w:val="18"/>
          <w:color w:val="auto"/>
        </w:rPr>
        <w:t>portfolio companies with an aggregate fair value of $</w:t>
      </w:r>
      <w:r>
        <w:rPr>
          <w:sz w:val="20"/>
          <w:szCs w:val="20"/>
          <w:color w:val="auto"/>
        </w:rPr>
        <w:tab/>
      </w:r>
      <w:r>
        <w:rPr>
          <w:rFonts w:ascii="Arial" w:cs="Arial" w:eastAsia="Arial" w:hAnsi="Arial"/>
          <w:sz w:val="16"/>
          <w:szCs w:val="16"/>
          <w:color w:val="auto"/>
        </w:rPr>
        <w:t>million. For the months ended</w:t>
      </w:r>
    </w:p>
    <w:p>
      <w:pPr>
        <w:spacing w:after="0" w:line="23" w:lineRule="exact"/>
        <w:rPr>
          <w:sz w:val="20"/>
          <w:szCs w:val="20"/>
          <w:color w:val="auto"/>
        </w:rPr>
      </w:pPr>
    </w:p>
    <w:p>
      <w:pPr>
        <w:ind w:left="720"/>
        <w:spacing w:after="0"/>
        <w:tabs>
          <w:tab w:leader="none" w:pos="1340" w:val="left"/>
          <w:tab w:leader="none" w:pos="5020" w:val="left"/>
          <w:tab w:leader="none" w:pos="6120" w:val="left"/>
          <w:tab w:leader="none" w:pos="7580" w:val="left"/>
          <w:tab w:leader="none" w:pos="10220"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 we made new investment commitments of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in</w:t>
      </w:r>
      <w:r>
        <w:rPr>
          <w:sz w:val="20"/>
          <w:szCs w:val="20"/>
          <w:color w:val="auto"/>
        </w:rPr>
        <w:tab/>
      </w:r>
      <w:r>
        <w:rPr>
          <w:rFonts w:ascii="Arial" w:cs="Arial" w:eastAsia="Arial" w:hAnsi="Arial"/>
          <w:sz w:val="18"/>
          <w:szCs w:val="18"/>
          <w:color w:val="auto"/>
        </w:rPr>
        <w:t>new portfolio companies and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spacing w:after="0"/>
        <w:tabs>
          <w:tab w:leader="none" w:pos="900" w:val="left"/>
          <w:tab w:leader="none" w:pos="506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existing portfolio companies. For this period, we had $</w:t>
      </w:r>
      <w:r>
        <w:rPr>
          <w:sz w:val="20"/>
          <w:szCs w:val="20"/>
          <w:color w:val="auto"/>
        </w:rPr>
        <w:tab/>
      </w:r>
      <w:r>
        <w:rPr>
          <w:rFonts w:ascii="Arial" w:cs="Arial" w:eastAsia="Arial" w:hAnsi="Arial"/>
          <w:sz w:val="16"/>
          <w:szCs w:val="16"/>
          <w:color w:val="auto"/>
        </w:rPr>
        <w:t>million aggregate principal amount in exits and repayments, resulting in net portfolio</w:t>
      </w:r>
    </w:p>
    <w:p>
      <w:pPr>
        <w:spacing w:after="0" w:line="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growth of $</w:t>
      </w:r>
      <w:r>
        <w:rPr>
          <w:sz w:val="20"/>
          <w:szCs w:val="20"/>
          <w:color w:val="auto"/>
        </w:rPr>
        <w:tab/>
      </w:r>
      <w:r>
        <w:rPr>
          <w:rFonts w:ascii="Arial" w:cs="Arial" w:eastAsia="Arial" w:hAnsi="Arial"/>
          <w:sz w:val="16"/>
          <w:szCs w:val="16"/>
          <w:color w:val="auto"/>
        </w:rPr>
        <w:t>million aggregate principal amount.</w:t>
      </w:r>
    </w:p>
    <w:p>
      <w:pPr>
        <w:spacing w:after="0" w:line="211" w:lineRule="exact"/>
        <w:rPr>
          <w:sz w:val="20"/>
          <w:szCs w:val="20"/>
          <w:color w:val="auto"/>
        </w:rPr>
      </w:pPr>
    </w:p>
    <w:p>
      <w:pPr>
        <w:ind w:left="460"/>
        <w:spacing w:after="0"/>
        <w:tabs>
          <w:tab w:leader="none" w:pos="2340" w:val="left"/>
          <w:tab w:leader="none" w:pos="4440" w:val="left"/>
          <w:tab w:leader="none" w:pos="8680" w:val="left"/>
        </w:tabs>
        <w:rPr>
          <w:sz w:val="20"/>
          <w:szCs w:val="20"/>
          <w:color w:val="auto"/>
        </w:rPr>
      </w:pPr>
      <w:r>
        <w:rPr>
          <w:rFonts w:ascii="Arial" w:cs="Arial" w:eastAsia="Arial" w:hAnsi="Arial"/>
          <w:sz w:val="18"/>
          <w:szCs w:val="18"/>
          <w:color w:val="auto"/>
        </w:rPr>
        <w:t>As of December 31, 20</w:t>
        <w:tab/>
        <w:t>, we had investments in</w:t>
      </w:r>
      <w:r>
        <w:rPr>
          <w:sz w:val="20"/>
          <w:szCs w:val="20"/>
          <w:color w:val="auto"/>
        </w:rPr>
        <w:tab/>
      </w:r>
      <w:r>
        <w:rPr>
          <w:rFonts w:ascii="Arial" w:cs="Arial" w:eastAsia="Arial" w:hAnsi="Arial"/>
          <w:sz w:val="18"/>
          <w:szCs w:val="18"/>
          <w:color w:val="auto"/>
        </w:rPr>
        <w:t>portfolio companies with an aggregate fair value of $</w:t>
      </w:r>
      <w:r>
        <w:rPr>
          <w:sz w:val="20"/>
          <w:szCs w:val="20"/>
          <w:color w:val="auto"/>
        </w:rPr>
        <w:tab/>
      </w:r>
      <w:r>
        <w:rPr>
          <w:rFonts w:ascii="Arial" w:cs="Arial" w:eastAsia="Arial" w:hAnsi="Arial"/>
          <w:sz w:val="16"/>
          <w:szCs w:val="16"/>
          <w:color w:val="auto"/>
        </w:rPr>
        <w:t>million. For the year ended</w:t>
      </w:r>
    </w:p>
    <w:p>
      <w:pPr>
        <w:spacing w:after="0" w:line="23" w:lineRule="exact"/>
        <w:rPr>
          <w:sz w:val="20"/>
          <w:szCs w:val="20"/>
          <w:color w:val="auto"/>
        </w:rPr>
      </w:pPr>
    </w:p>
    <w:p>
      <w:pPr>
        <w:spacing w:after="0"/>
        <w:tabs>
          <w:tab w:leader="none" w:pos="1440" w:val="left"/>
          <w:tab w:leader="none" w:pos="5120" w:val="left"/>
          <w:tab w:leader="none" w:pos="6220" w:val="left"/>
          <w:tab w:leader="none" w:pos="7340" w:val="left"/>
          <w:tab w:leader="none" w:pos="9980" w:val="left"/>
        </w:tabs>
        <w:rPr>
          <w:sz w:val="20"/>
          <w:szCs w:val="20"/>
          <w:color w:val="auto"/>
        </w:rPr>
      </w:pPr>
      <w:r>
        <w:rPr>
          <w:rFonts w:ascii="Arial" w:cs="Arial" w:eastAsia="Arial" w:hAnsi="Arial"/>
          <w:sz w:val="18"/>
          <w:szCs w:val="18"/>
          <w:color w:val="auto"/>
        </w:rPr>
        <w:t>December 31, 20</w:t>
        <w:tab/>
        <w:t>, we made new investment commitments of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in</w:t>
      </w:r>
      <w:r>
        <w:rPr>
          <w:sz w:val="20"/>
          <w:szCs w:val="20"/>
          <w:color w:val="auto"/>
        </w:rPr>
        <w:tab/>
      </w:r>
      <w:r>
        <w:rPr>
          <w:rFonts w:ascii="Arial" w:cs="Arial" w:eastAsia="Arial" w:hAnsi="Arial"/>
          <w:sz w:val="18"/>
          <w:szCs w:val="18"/>
          <w:color w:val="auto"/>
        </w:rPr>
        <w:t>new portfolio companies and $</w:t>
      </w:r>
      <w:r>
        <w:rPr>
          <w:sz w:val="20"/>
          <w:szCs w:val="20"/>
          <w:color w:val="auto"/>
        </w:rPr>
        <w:tab/>
      </w:r>
      <w:r>
        <w:rPr>
          <w:rFonts w:ascii="Arial" w:cs="Arial" w:eastAsia="Arial" w:hAnsi="Arial"/>
          <w:sz w:val="17"/>
          <w:szCs w:val="17"/>
          <w:color w:val="auto"/>
        </w:rPr>
        <w:t>million in</w:t>
      </w:r>
    </w:p>
    <w:p>
      <w:pPr>
        <w:spacing w:after="0" w:line="9" w:lineRule="exact"/>
        <w:rPr>
          <w:sz w:val="20"/>
          <w:szCs w:val="20"/>
          <w:color w:val="auto"/>
        </w:rPr>
      </w:pPr>
    </w:p>
    <w:p>
      <w:pPr>
        <w:ind w:left="360"/>
        <w:spacing w:after="0"/>
        <w:tabs>
          <w:tab w:leader="none" w:pos="4700" w:val="left"/>
        </w:tabs>
        <w:rPr>
          <w:sz w:val="20"/>
          <w:szCs w:val="20"/>
          <w:color w:val="auto"/>
        </w:rPr>
      </w:pPr>
      <w:r>
        <w:rPr>
          <w:rFonts w:ascii="Arial" w:cs="Arial" w:eastAsia="Arial" w:hAnsi="Arial"/>
          <w:sz w:val="18"/>
          <w:szCs w:val="18"/>
          <w:color w:val="auto"/>
        </w:rPr>
        <w:t>existing portfolio companies. For this period, we had $</w:t>
      </w:r>
      <w:r>
        <w:rPr>
          <w:sz w:val="20"/>
          <w:szCs w:val="20"/>
          <w:color w:val="auto"/>
        </w:rPr>
        <w:tab/>
      </w:r>
      <w:r>
        <w:rPr>
          <w:rFonts w:ascii="Arial" w:cs="Arial" w:eastAsia="Arial" w:hAnsi="Arial"/>
          <w:sz w:val="16"/>
          <w:szCs w:val="16"/>
          <w:color w:val="auto"/>
        </w:rPr>
        <w:t>million aggregate principal amount in exits and repayments, resulting in net portfolio growth</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million aggregate principal amount.</w:t>
      </w:r>
    </w:p>
    <w:p>
      <w:pPr>
        <w:spacing w:after="0" w:line="21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Since we began investing in 2011 through , 20 , our exited investments have resulted in an aggregate cash flow realized gross internal rate of return to us of approximately % (based on cash invested of approximately $ million and total proceeds from these exited investments of approximately $ million). percent of these exited investments resulted in an aggregate cash flow realized gross internal rate of return to us of 10%</w:t>
      </w:r>
    </w:p>
    <w:p>
      <w:pPr>
        <w:ind w:right="540"/>
        <w:spacing w:after="0" w:line="261" w:lineRule="auto"/>
        <w:rPr>
          <w:sz w:val="20"/>
          <w:szCs w:val="20"/>
          <w:color w:val="auto"/>
        </w:rPr>
      </w:pPr>
      <w:r>
        <w:rPr>
          <w:rFonts w:ascii="Arial" w:cs="Arial" w:eastAsia="Arial" w:hAnsi="Arial"/>
          <w:sz w:val="18"/>
          <w:szCs w:val="18"/>
          <w:color w:val="auto"/>
        </w:rPr>
        <w:t>or greater. For a description of how we calculate gross internal rates of return, see “Management’s Discussion and Analysis of Financial Condition and Results of Operations — Results of Operations — Aggregate Cash Flow Realized Gross Internal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made by our investment review committee, or the Investment Review Committee, which includes senior personnel of TSSP and TPG.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TSSP is TPG’s special situations and credit platform and encompasses TPG Specialty Lending, Inc. TPG Opportunities Partners, which invests in</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special situations and distressed investments across the credit cycle, and TPG Institutional Credit Partners, which is a “public-side” credit investment platform</w:t>
      </w:r>
    </w:p>
    <w:p>
      <w:pPr>
        <w:spacing w:after="0" w:line="32"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focused on investment opportunities in the broadly syndicated leveraged loan markets. TSSP had over $</w:t>
      </w:r>
      <w:r>
        <w:rPr>
          <w:sz w:val="20"/>
          <w:szCs w:val="20"/>
          <w:color w:val="auto"/>
        </w:rPr>
        <w:tab/>
      </w:r>
      <w:r>
        <w:rPr>
          <w:rFonts w:ascii="Arial" w:cs="Arial" w:eastAsia="Arial" w:hAnsi="Arial"/>
          <w:sz w:val="16"/>
          <w:szCs w:val="16"/>
          <w:color w:val="auto"/>
        </w:rPr>
        <w:t>billion of assets under management as of</w:t>
      </w:r>
    </w:p>
    <w:p>
      <w:pPr>
        <w:spacing w:after="0" w:line="9" w:lineRule="exact"/>
        <w:rPr>
          <w:sz w:val="20"/>
          <w:szCs w:val="20"/>
          <w:color w:val="auto"/>
        </w:rPr>
      </w:pPr>
    </w:p>
    <w:p>
      <w:pPr>
        <w:ind w:left="720"/>
        <w:spacing w:after="0"/>
        <w:tabs>
          <w:tab w:leader="none" w:pos="1200"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TSSP has extensive experience with highly complex, global public and private investments executed through primary originations,</w:t>
      </w:r>
    </w:p>
    <w:p>
      <w:pPr>
        <w:spacing w:after="0" w:line="9"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9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TPG is a leading global private investment firm founded in 1992 with billion of assets under management, as of , 20 ,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w:t>
      </w:r>
    </w:p>
    <w:p>
      <w:pPr>
        <w:spacing w:after="0" w:line="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ventures and restructurings, and has a team of professionals. The TPG members of the Investment Review Committee are TPG co-founders, David Bonderman and James Coulter, and TPG Senior Partners, Jonathan Coslet and James Gates.</w:t>
      </w:r>
    </w:p>
    <w:p>
      <w:pPr>
        <w:spacing w:after="0" w:line="18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w:t>
      </w:r>
    </w:p>
    <w:p>
      <w:pPr>
        <w:spacing w:after="0" w:line="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Review Committee and certain of our other senior personnel, own a significant stake in the Adviser. As of , 20 , our Adviser owned % of our common stock. See “Management,” “Related-Party Transactions and Certain Relationships” and “Control Persons and Principal Stockholders” in the accompanying prospectus.</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SPECIFIC TERMS OF THE PREFERRED STOCK AND THE OFFERING</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This prospectus supplement sets forth certain terms of our preferred stock that we are offering pursuant to this prospectus supplement and supplements the accompanying prospectus that is attached to the back of this prospectus supplement. This section outlines the specific legal and financial terms of our preferred stock. You should read this section together with the more general description of our preferred stock in this prospectus supplement under the heading “Description of Our Preferred Stock” and in the accompanying prospectus under the headings “Description of Our Capital Stock—Preferred Stock” and “Description of Our Preferred Stock” before investing in our preferred stock. Capitalized terms used in this prospectus supplement and not otherwise defined shall have the meanings ascribed to them in the accompanying prospectus.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[Insert material terms of the preferred stock in tabular form to the extent required to be disclosed by applicable law or regulation.]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60" w:right="27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w:t>
      </w:r>
    </w:p>
    <w:p>
      <w:pPr>
        <w:ind w:right="40"/>
        <w:spacing w:after="0" w:line="261" w:lineRule="auto"/>
        <w:rPr>
          <w:sz w:val="20"/>
          <w:szCs w:val="20"/>
          <w:color w:val="auto"/>
        </w:rPr>
      </w:pPr>
      <w:r>
        <w:rPr>
          <w:rFonts w:ascii="Arial" w:cs="Arial" w:eastAsia="Arial" w:hAnsi="Arial"/>
          <w:sz w:val="18"/>
          <w:szCs w:val="18"/>
          <w:color w:val="auto"/>
        </w:rPr>
        <w:t>derived the selected consolidated financial data for the ended , 20 and , 20 from our unaudited interim consolidated financial statements and related notes, which are included elsewhere in this prospectus supplement or the accompanying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40"/>
          </w:cols>
          <w:pgMar w:left="240" w:top="459" w:right="31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risk factors applicable to the preferred stock and any additional relevant risk factors not included in the base prospectus to the extent required to be disclosed by applicable law or regulation.]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240" w:top="459" w:right="579" w:bottom="1440" w:gutter="0" w:footer="0" w:header="0"/>
        </w:sectPr>
      </w:pPr>
    </w:p>
    <w:bookmarkStart w:id="477" w:name="page478"/>
    <w:bookmarkEnd w:id="477"/>
    <w:tbl>
      <w:tblPr>
        <w:tblLayout w:type="fixed"/>
        <w:tblInd w:w="0" w:type="dxa"/>
        <w:tblCellMar>
          <w:top w:w="0" w:type="dxa"/>
          <w:left w:w="0" w:type="dxa"/>
          <w:bottom w:w="0" w:type="dxa"/>
          <w:right w:w="0" w:type="dxa"/>
        </w:tblCellMar>
      </w:tblPr>
      <w:tr>
        <w:trPr>
          <w:trHeight w:val="207"/>
        </w:trPr>
        <w:tc>
          <w:tcPr>
            <w:tcW w:w="2980" w:type="dxa"/>
            <w:vAlign w:val="bottom"/>
            <w:gridSpan w:val="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534"/>
        </w:trPr>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3840" w:type="dxa"/>
            <w:vAlign w:val="bottom"/>
            <w:gridSpan w:val="2"/>
          </w:tcPr>
          <w:p>
            <w:pPr>
              <w:ind w:left="1900"/>
              <w:spacing w:after="0"/>
              <w:rPr>
                <w:sz w:val="20"/>
                <w:szCs w:val="20"/>
                <w:color w:val="auto"/>
              </w:rPr>
            </w:pPr>
            <w:r>
              <w:rPr>
                <w:rFonts w:ascii="Arial" w:cs="Arial" w:eastAsia="Arial" w:hAnsi="Arial"/>
                <w:sz w:val="18"/>
                <w:szCs w:val="18"/>
                <w:b w:val="1"/>
                <w:bCs w:val="1"/>
                <w:color w:val="auto"/>
              </w:rPr>
              <w:t>USE OF PROCEEDS</w:t>
            </w: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18"/>
        </w:trPr>
        <w:tc>
          <w:tcPr>
            <w:tcW w:w="280" w:type="dxa"/>
            <w:vAlign w:val="bottom"/>
          </w:tcPr>
          <w:p>
            <w:pPr>
              <w:spacing w:after="0"/>
              <w:rPr>
                <w:sz w:val="24"/>
                <w:szCs w:val="24"/>
                <w:color w:val="auto"/>
              </w:rPr>
            </w:pPr>
          </w:p>
        </w:tc>
        <w:tc>
          <w:tcPr>
            <w:tcW w:w="5220" w:type="dxa"/>
            <w:vAlign w:val="bottom"/>
            <w:gridSpan w:val="4"/>
          </w:tcPr>
          <w:p>
            <w:pPr>
              <w:ind w:left="180"/>
              <w:spacing w:after="0"/>
              <w:rPr>
                <w:sz w:val="20"/>
                <w:szCs w:val="20"/>
                <w:color w:val="auto"/>
              </w:rPr>
            </w:pPr>
            <w:r>
              <w:rPr>
                <w:rFonts w:ascii="Arial" w:cs="Arial" w:eastAsia="Arial" w:hAnsi="Arial"/>
                <w:sz w:val="18"/>
                <w:szCs w:val="18"/>
                <w:color w:val="auto"/>
                <w:w w:val="95"/>
              </w:rPr>
              <w:t>We estimate that the net proceeds we will receive from the sale of</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shares of our preferred stock in this offering will be approximately</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gridSpan w:val="3"/>
          </w:tcPr>
          <w:p>
            <w:pPr>
              <w:ind w:left="400"/>
              <w:spacing w:after="0"/>
              <w:rPr>
                <w:sz w:val="20"/>
                <w:szCs w:val="20"/>
                <w:color w:val="auto"/>
              </w:rPr>
            </w:pPr>
            <w:r>
              <w:rPr>
                <w:rFonts w:ascii="Arial" w:cs="Arial" w:eastAsia="Arial" w:hAnsi="Arial"/>
                <w:sz w:val="18"/>
                <w:szCs w:val="18"/>
                <w:color w:val="auto"/>
              </w:rPr>
              <w:t>million (or approximately $</w:t>
            </w:r>
          </w:p>
        </w:tc>
        <w:tc>
          <w:tcPr>
            <w:tcW w:w="8160" w:type="dxa"/>
            <w:vAlign w:val="bottom"/>
            <w:gridSpan w:val="4"/>
          </w:tcPr>
          <w:p>
            <w:pPr>
              <w:ind w:left="280"/>
              <w:spacing w:after="0"/>
              <w:rPr>
                <w:sz w:val="20"/>
                <w:szCs w:val="20"/>
                <w:color w:val="auto"/>
              </w:rPr>
            </w:pPr>
            <w:r>
              <w:rPr>
                <w:rFonts w:ascii="Arial" w:cs="Arial" w:eastAsia="Arial" w:hAnsi="Arial"/>
                <w:sz w:val="18"/>
                <w:szCs w:val="18"/>
                <w:color w:val="auto"/>
                <w:w w:val="92"/>
              </w:rPr>
              <w:t>million if the underwriters fully exercise their over-allotment option), in each case assuming a public offering</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price of $</w:t>
            </w:r>
          </w:p>
        </w:tc>
        <w:tc>
          <w:tcPr>
            <w:tcW w:w="5920" w:type="dxa"/>
            <w:vAlign w:val="bottom"/>
            <w:gridSpan w:val="4"/>
          </w:tcPr>
          <w:p>
            <w:pPr>
              <w:ind w:left="200"/>
              <w:spacing w:after="0"/>
              <w:rPr>
                <w:sz w:val="20"/>
                <w:szCs w:val="20"/>
                <w:color w:val="auto"/>
              </w:rPr>
            </w:pPr>
            <w:r>
              <w:rPr>
                <w:rFonts w:ascii="Arial" w:cs="Arial" w:eastAsia="Arial" w:hAnsi="Arial"/>
                <w:sz w:val="18"/>
                <w:szCs w:val="18"/>
                <w:color w:val="auto"/>
                <w:w w:val="95"/>
              </w:rPr>
              <w:t>per share, after deducting the underwriting discounts and commissions of $</w:t>
            </w:r>
          </w:p>
        </w:tc>
        <w:tc>
          <w:tcPr>
            <w:tcW w:w="2420" w:type="dxa"/>
            <w:vAlign w:val="bottom"/>
          </w:tcPr>
          <w:p>
            <w:pPr>
              <w:ind w:left="280"/>
              <w:spacing w:after="0"/>
              <w:rPr>
                <w:sz w:val="20"/>
                <w:szCs w:val="20"/>
                <w:color w:val="auto"/>
              </w:rPr>
            </w:pPr>
            <w:r>
              <w:rPr>
                <w:rFonts w:ascii="Arial" w:cs="Arial" w:eastAsia="Arial" w:hAnsi="Arial"/>
                <w:sz w:val="18"/>
                <w:szCs w:val="18"/>
                <w:color w:val="auto"/>
              </w:rPr>
              <w:t>million (or approximately $</w:t>
            </w: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million if the</w:t>
            </w:r>
          </w:p>
        </w:tc>
      </w:tr>
      <w:tr>
        <w:trPr>
          <w:trHeight w:val="230"/>
        </w:trPr>
        <w:tc>
          <w:tcPr>
            <w:tcW w:w="9240" w:type="dxa"/>
            <w:vAlign w:val="bottom"/>
            <w:gridSpan w:val="7"/>
          </w:tcPr>
          <w:p>
            <w:pPr>
              <w:spacing w:after="0"/>
              <w:rPr>
                <w:sz w:val="20"/>
                <w:szCs w:val="20"/>
                <w:color w:val="auto"/>
              </w:rPr>
            </w:pPr>
            <w:r>
              <w:rPr>
                <w:rFonts w:ascii="Arial" w:cs="Arial" w:eastAsia="Arial" w:hAnsi="Arial"/>
                <w:sz w:val="18"/>
                <w:szCs w:val="18"/>
                <w:color w:val="auto"/>
                <w:w w:val="95"/>
              </w:rPr>
              <w:t>underwriters fully exercise their over-allotment option) payable by us and estimated offering expenses of approximately $</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million payable by 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240" w:top="445" w:right="51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RATIOS OF EARNINGS TO FIXED CHARGES AND PREFERRED DIVIDENDS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[Insert information required by Item 503(d) of Regulation S-K at time of offering.]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219"/>
          </w:cols>
          <w:pgMar w:left="240" w:top="459" w:right="1440"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60" w:right="27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This prospectus supplement sets forth certain terms of our preferred stock that we are offering pursuant to this prospectus supplement and the accompanying prospectus. This section outlines the specific legal and financial terms of our preferred stock. You should read this section together with the more general descriptions of our preferred stock in the accompanying prospectus under the headings “Description of Our Capital Stock — Preferred Stock” and “Description of Our Preferred Stock” in the accompanying prospectus before investing in our preferred stock. This summary is not necessarily complete and is subject to and entirely qualified by reference to our certificate of incorporation and bylaws.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[Insert material terms of the preferred stock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20"/>
          </w:cols>
          <w:pgMar w:left="240" w:top="459" w:right="33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The following table sets forth (a) our actual consolidated capitalization at , 20 and (b) our pro forma consolidated capitalization to reflect the effects of the sale of our preferred stock in this offering (assuming that the underwriters do not exercise their over-allotment option) assuming a public</w:t>
      </w:r>
    </w:p>
    <w:p>
      <w:pPr>
        <w:ind w:right="320"/>
        <w:spacing w:after="0" w:line="255" w:lineRule="auto"/>
        <w:rPr>
          <w:sz w:val="20"/>
          <w:szCs w:val="20"/>
          <w:color w:val="auto"/>
        </w:rPr>
      </w:pPr>
      <w:r>
        <w:rPr>
          <w:rFonts w:ascii="Arial" w:cs="Arial" w:eastAsia="Arial" w:hAnsi="Arial"/>
          <w:sz w:val="18"/>
          <w:szCs w:val="18"/>
          <w:color w:val="auto"/>
        </w:rPr>
        <w:t>offering price of $ per share,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gridSpan w:val="2"/>
          </w:tcPr>
          <w:p>
            <w:pPr>
              <w:ind w:left="540"/>
              <w:spacing w:after="0"/>
              <w:rPr>
                <w:sz w:val="20"/>
                <w:szCs w:val="20"/>
                <w:color w:val="auto"/>
              </w:rPr>
            </w:pPr>
            <w:r>
              <w:rPr>
                <w:rFonts w:ascii="Arial" w:cs="Arial" w:eastAsia="Arial" w:hAnsi="Arial"/>
                <w:sz w:val="14"/>
                <w:szCs w:val="14"/>
                <w:b w:val="1"/>
                <w:bCs w:val="1"/>
                <w:color w:val="auto"/>
              </w:rPr>
              <w:t>As of</w:t>
            </w:r>
          </w:p>
        </w:tc>
        <w:tc>
          <w:tcPr>
            <w:tcW w:w="860" w:type="dxa"/>
            <w:vAlign w:val="bottom"/>
          </w:tcPr>
          <w:p>
            <w:pPr>
              <w:jc w:val="right"/>
              <w:ind w:right="456"/>
              <w:spacing w:after="0"/>
              <w:rPr>
                <w:sz w:val="20"/>
                <w:szCs w:val="20"/>
                <w:color w:val="auto"/>
              </w:rPr>
            </w:pPr>
            <w:r>
              <w:rPr>
                <w:rFonts w:ascii="Arial" w:cs="Arial" w:eastAsia="Arial" w:hAnsi="Arial"/>
                <w:sz w:val="14"/>
                <w:szCs w:val="14"/>
                <w:b w:val="1"/>
                <w:bCs w:val="1"/>
                <w:color w:val="auto"/>
              </w:rPr>
              <w:t>, 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(unaudited, 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Actual</w:t>
            </w:r>
          </w:p>
        </w:tc>
        <w:tc>
          <w:tcPr>
            <w:tcW w:w="8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[List Debt outstanding as of period reported]</w:t>
            </w:r>
          </w:p>
        </w:tc>
        <w:tc>
          <w:tcPr>
            <w:tcW w:w="1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Total Debt</w:t>
            </w: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w w:val="89"/>
              </w:rPr>
              <w:t>Preferred stock, $0.01 par value;</w:t>
            </w:r>
          </w:p>
        </w:tc>
        <w:tc>
          <w:tcPr>
            <w:tcW w:w="600" w:type="dxa"/>
            <w:vAlign w:val="bottom"/>
          </w:tcPr>
          <w:p>
            <w:pPr>
              <w:spacing w:after="0"/>
              <w:rPr>
                <w:sz w:val="17"/>
                <w:szCs w:val="17"/>
                <w:color w:val="auto"/>
              </w:rPr>
            </w:pPr>
          </w:p>
        </w:tc>
        <w:tc>
          <w:tcPr>
            <w:tcW w:w="1780" w:type="dxa"/>
            <w:vAlign w:val="bottom"/>
          </w:tcPr>
          <w:p>
            <w:pPr>
              <w:ind w:left="140"/>
              <w:spacing w:after="0" w:line="201" w:lineRule="exact"/>
              <w:rPr>
                <w:sz w:val="20"/>
                <w:szCs w:val="20"/>
                <w:color w:val="auto"/>
              </w:rPr>
            </w:pPr>
            <w:r>
              <w:rPr>
                <w:rFonts w:ascii="Arial" w:cs="Arial" w:eastAsia="Arial" w:hAnsi="Arial"/>
                <w:sz w:val="18"/>
                <w:szCs w:val="18"/>
                <w:color w:val="auto"/>
              </w:rPr>
              <w:t>shares authorized;</w:t>
            </w:r>
          </w:p>
        </w:tc>
        <w:tc>
          <w:tcPr>
            <w:tcW w:w="1300" w:type="dxa"/>
            <w:vAlign w:val="bottom"/>
          </w:tcPr>
          <w:p>
            <w:pPr>
              <w:ind w:left="440"/>
              <w:spacing w:after="0" w:line="201" w:lineRule="exact"/>
              <w:rPr>
                <w:sz w:val="20"/>
                <w:szCs w:val="20"/>
                <w:color w:val="auto"/>
              </w:rPr>
            </w:pPr>
            <w:r>
              <w:rPr>
                <w:rFonts w:ascii="Arial" w:cs="Arial" w:eastAsia="Arial" w:hAnsi="Arial"/>
                <w:sz w:val="18"/>
                <w:szCs w:val="18"/>
                <w:color w:val="auto"/>
              </w:rPr>
              <w:t>and</w:t>
            </w:r>
          </w:p>
        </w:tc>
        <w:tc>
          <w:tcPr>
            <w:tcW w:w="34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shares issued and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outstanding, respectively</w:t>
            </w: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9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w:t>
            </w:r>
          </w:p>
        </w:tc>
        <w:tc>
          <w:tcPr>
            <w:tcW w:w="600" w:type="dxa"/>
            <w:vAlign w:val="bottom"/>
            <w:shd w:val="clear" w:color="auto" w:fill="CCEEFF"/>
          </w:tcPr>
          <w:p>
            <w:pPr>
              <w:spacing w:after="0"/>
              <w:rPr>
                <w:sz w:val="17"/>
                <w:szCs w:val="17"/>
                <w:color w:val="auto"/>
              </w:rPr>
            </w:pPr>
          </w:p>
        </w:tc>
        <w:tc>
          <w:tcPr>
            <w:tcW w:w="17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shares authorized;</w:t>
            </w:r>
          </w:p>
        </w:tc>
        <w:tc>
          <w:tcPr>
            <w:tcW w:w="13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and</w:t>
            </w:r>
          </w:p>
        </w:tc>
        <w:tc>
          <w:tcPr>
            <w:tcW w:w="34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respectively;</w:t>
            </w:r>
          </w:p>
        </w:tc>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w:t>
            </w:r>
          </w:p>
        </w:tc>
        <w:tc>
          <w:tcPr>
            <w:tcW w:w="3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4"/>
              </w:rPr>
              <w:t>shares outstanding, respectively</w:t>
            </w:r>
          </w:p>
        </w:tc>
        <w:tc>
          <w:tcPr>
            <w:tcW w:w="2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Net unrealized [gain][loss] on investments and foreign currency transactions</w:t>
            </w: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9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18"/>
                <w:szCs w:val="18"/>
                <w:color w:val="auto"/>
              </w:rPr>
              <w:t>S-14</w:t>
            </w: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60" w:firstLine="464"/>
        <w:spacing w:after="0" w:line="264" w:lineRule="auto"/>
        <w:tabs>
          <w:tab w:leader="none" w:pos="141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number of shares of preferred stock set forth opposite its name below.</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3820" w:type="dxa"/>
            <w:vAlign w:val="bottom"/>
          </w:tcPr>
          <w:p>
            <w:pPr>
              <w:jc w:val="center"/>
              <w:ind w:left="30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3820" w:type="dxa"/>
            <w:vAlign w:val="bottom"/>
          </w:tcPr>
          <w:p>
            <w:pPr>
              <w:jc w:val="center"/>
              <w:ind w:left="308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Total</w:t>
      </w:r>
    </w:p>
    <w:p>
      <w:pPr>
        <w:spacing w:after="0" w:line="20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Subject to the terms and conditions set forth in the purchase agreement, the underwriters have agreed, severally and not jointly,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166"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cover page of this prospectus and to dealers at that price less a concession not in excess of $ per share. After the initial offering, the public offering price, concession or any other term of the offering may be changed.</w:t>
      </w:r>
    </w:p>
    <w:p>
      <w:pPr>
        <w:spacing w:after="0" w:line="18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58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 Option]</w:t>
            </w:r>
          </w:p>
        </w:tc>
      </w:tr>
      <w:tr>
        <w:trPr>
          <w:trHeight w:val="196"/>
        </w:trPr>
        <w:tc>
          <w:tcPr>
            <w:tcW w:w="9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8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Underwriting discount</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432"/>
        </w:trPr>
        <w:tc>
          <w:tcPr>
            <w:tcW w:w="7020" w:type="dxa"/>
            <w:vAlign w:val="bottom"/>
            <w:gridSpan w:val="5"/>
          </w:tcPr>
          <w:p>
            <w:pPr>
              <w:ind w:left="460"/>
              <w:spacing w:after="0"/>
              <w:rPr>
                <w:sz w:val="20"/>
                <w:szCs w:val="20"/>
                <w:color w:val="auto"/>
              </w:rPr>
            </w:pPr>
            <w:r>
              <w:rPr>
                <w:rFonts w:ascii="Arial" w:cs="Arial" w:eastAsia="Arial" w:hAnsi="Arial"/>
                <w:sz w:val="18"/>
                <w:szCs w:val="18"/>
                <w:color w:val="auto"/>
                <w:w w:val="93"/>
              </w:rPr>
              <w:t>The expenses of the offering, not including the underwriting discount, are estimated at $</w:t>
            </w:r>
          </w:p>
        </w:tc>
        <w:tc>
          <w:tcPr>
            <w:tcW w:w="2640" w:type="dxa"/>
            <w:vAlign w:val="bottom"/>
            <w:gridSpan w:val="3"/>
          </w:tcPr>
          <w:p>
            <w:pPr>
              <w:ind w:left="200"/>
              <w:spacing w:after="0"/>
              <w:rPr>
                <w:sz w:val="20"/>
                <w:szCs w:val="20"/>
                <w:color w:val="auto"/>
              </w:rPr>
            </w:pPr>
            <w:r>
              <w:rPr>
                <w:rFonts w:ascii="Arial" w:cs="Arial" w:eastAsia="Arial" w:hAnsi="Arial"/>
                <w:sz w:val="18"/>
                <w:szCs w:val="18"/>
                <w:color w:val="auto"/>
              </w:rPr>
              <w:t>and are payable by us.</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4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[Over-allotment Option</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5140" w:type="dxa"/>
            <w:vAlign w:val="bottom"/>
            <w:gridSpan w:val="2"/>
          </w:tcPr>
          <w:p>
            <w:pPr>
              <w:ind w:left="460"/>
              <w:spacing w:after="0"/>
              <w:rPr>
                <w:sz w:val="20"/>
                <w:szCs w:val="20"/>
                <w:color w:val="auto"/>
              </w:rPr>
            </w:pPr>
            <w:r>
              <w:rPr>
                <w:rFonts w:ascii="Arial" w:cs="Arial" w:eastAsia="Arial" w:hAnsi="Arial"/>
                <w:sz w:val="18"/>
                <w:szCs w:val="18"/>
                <w:color w:val="auto"/>
                <w:w w:val="90"/>
              </w:rPr>
              <w:t>We have granted an option to the underwriters to purchase up to</w:t>
            </w:r>
          </w:p>
        </w:tc>
        <w:tc>
          <w:tcPr>
            <w:tcW w:w="6200" w:type="dxa"/>
            <w:vAlign w:val="bottom"/>
            <w:gridSpan w:val="8"/>
          </w:tcPr>
          <w:p>
            <w:pPr>
              <w:ind w:left="700"/>
              <w:spacing w:after="0"/>
              <w:rPr>
                <w:sz w:val="20"/>
                <w:szCs w:val="20"/>
                <w:color w:val="auto"/>
              </w:rPr>
            </w:pPr>
            <w:r>
              <w:rPr>
                <w:rFonts w:ascii="Arial" w:cs="Arial" w:eastAsia="Arial" w:hAnsi="Arial"/>
                <w:sz w:val="18"/>
                <w:szCs w:val="18"/>
                <w:color w:val="auto"/>
                <w:w w:val="97"/>
              </w:rPr>
              <w:t>additional shares of preferred stock at the public offering price, less the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w w:val="94"/>
              </w:rPr>
              <w:t>underwriting discount. The underwriters may exercise this option for</w:t>
            </w:r>
          </w:p>
        </w:tc>
        <w:tc>
          <w:tcPr>
            <w:tcW w:w="6200" w:type="dxa"/>
            <w:vAlign w:val="bottom"/>
            <w:gridSpan w:val="8"/>
          </w:tcPr>
          <w:p>
            <w:pPr>
              <w:ind w:left="60"/>
              <w:spacing w:after="0"/>
              <w:rPr>
                <w:sz w:val="20"/>
                <w:szCs w:val="20"/>
                <w:color w:val="auto"/>
              </w:rPr>
            </w:pPr>
            <w:r>
              <w:rPr>
                <w:rFonts w:ascii="Arial" w:cs="Arial" w:eastAsia="Arial" w:hAnsi="Arial"/>
                <w:sz w:val="18"/>
                <w:szCs w:val="18"/>
                <w:color w:val="auto"/>
                <w:w w:val="89"/>
              </w:rPr>
              <w:t>days from the date of this prospectus supplement solely to cover any over-allotments.</w:t>
            </w:r>
          </w:p>
        </w:tc>
      </w:tr>
    </w:tbl>
    <w:p>
      <w:pPr>
        <w:ind w:right="60"/>
        <w:spacing w:after="0" w:line="261" w:lineRule="auto"/>
        <w:rPr>
          <w:sz w:val="20"/>
          <w:szCs w:val="20"/>
          <w:color w:val="auto"/>
        </w:rPr>
      </w:pPr>
      <w:r>
        <w:rPr>
          <w:rFonts w:ascii="Arial" w:cs="Arial" w:eastAsia="Arial" w:hAnsi="Arial"/>
          <w:sz w:val="18"/>
          <w:szCs w:val="18"/>
          <w:color w:val="auto"/>
        </w:rPr>
        <w:t>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460"/>
        <w:spacing w:after="0"/>
        <w:tabs>
          <w:tab w:leader="none" w:pos="6320" w:val="left"/>
        </w:tabs>
        <w:rPr>
          <w:sz w:val="20"/>
          <w:szCs w:val="20"/>
          <w:color w:val="auto"/>
        </w:rPr>
      </w:pPr>
      <w:r>
        <w:rPr>
          <w:rFonts w:ascii="Arial" w:cs="Arial" w:eastAsia="Arial" w:hAnsi="Arial"/>
          <w:sz w:val="18"/>
          <w:szCs w:val="18"/>
          <w:color w:val="auto"/>
        </w:rPr>
        <w:t>We have agreed, with exceptions, not to sell or transfer any preferred stock for</w:t>
      </w:r>
      <w:r>
        <w:rPr>
          <w:sz w:val="20"/>
          <w:szCs w:val="20"/>
          <w:color w:val="auto"/>
        </w:rPr>
        <w:tab/>
      </w:r>
      <w:r>
        <w:rPr>
          <w:rFonts w:ascii="Arial" w:cs="Arial" w:eastAsia="Arial" w:hAnsi="Arial"/>
          <w:sz w:val="16"/>
          <w:szCs w:val="16"/>
          <w:color w:val="auto"/>
        </w:rPr>
        <w:t>days after the date of this prospectus supplement without first</w:t>
      </w:r>
    </w:p>
    <w:p>
      <w:pPr>
        <w:spacing w:after="0" w:line="23"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obtaining the written consent of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shares of preferred stock are a new issue of securities with no established trading market. We intend to list the shares of preferred stock</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on . We expect trading in the shares of preferred stock on to begin within days after the original issue date. Currently there is no public market for the shares of preferred stock.</w:t>
      </w:r>
    </w:p>
    <w:p>
      <w:pPr>
        <w:spacing w:after="0" w:line="18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been advised by the underwriters that they presently intend to make a market in the shares of preferred stock after completion of the offering as permitted by applicable laws and regulations. The underwriters are not obligated, however, to make a market in the shares of preferred stock and any such market-making may be discontinued at any time in the sole discretion of the underwriters without any notice. Accordingly, no assurance can be given as to the liquidity of, or development of a public trading market for, the shares of preferred stock. If any active public trading market for the shares of preferred stock does not develop, the market price and liquidity of the shares of preferred stock may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preferred stock. However, the representatives may engage in transactions that stabilize the price of the preferred stock, such as bids or purchases to peg, fix or maintain that price.</w:t>
      </w:r>
    </w:p>
    <w:p>
      <w:pPr>
        <w:spacing w:after="0" w:line="18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preferred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the over-allotment option. The underwriters must close out any naked short position by purchasing shares in the open market. A naked short position is more likely to be created if the underwriters are concerned that there may be downward pressure on the price of our preferred stock in the open market after pricing that could adversely affect investors who purchase in the offering. Stabilizing transactions consist of various bids for or purchases of shares of preferred stock made by the underwriters in the open market prior to the completion of the offering.</w:t>
      </w:r>
    </w:p>
    <w:p>
      <w:pPr>
        <w:spacing w:after="0" w:line="1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our preferred stock or preventing or retarding a decline in the market price of our preferred stock. As a result, the price of our preferred stock</w:t>
      </w:r>
    </w:p>
    <w:p>
      <w:pPr>
        <w:ind w:right="240"/>
        <w:spacing w:after="0" w:line="261" w:lineRule="auto"/>
        <w:rPr>
          <w:sz w:val="20"/>
          <w:szCs w:val="20"/>
          <w:color w:val="auto"/>
        </w:rPr>
      </w:pPr>
      <w:r>
        <w:rPr>
          <w:rFonts w:ascii="Arial" w:cs="Arial" w:eastAsia="Arial" w:hAnsi="Arial"/>
          <w:sz w:val="18"/>
          <w:szCs w:val="18"/>
          <w:color w:val="auto"/>
        </w:rPr>
        <w:t>may be higher than the price that might otherwise exist in the open market. The underwriters may conduct these transactions on , in the over-the-counter market or otherwise.</w:t>
      </w:r>
    </w:p>
    <w:p>
      <w:pPr>
        <w:spacing w:after="0" w:line="184" w:lineRule="exact"/>
        <w:rPr>
          <w:sz w:val="20"/>
          <w:szCs w:val="20"/>
          <w:color w:val="auto"/>
        </w:rPr>
      </w:pPr>
    </w:p>
    <w:p>
      <w:pPr>
        <w:ind w:right="600" w:firstLine="456"/>
        <w:spacing w:after="0" w:line="31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preferred stock. In addition, neither we nor any of the underwriters make any representation that the representatives will engage in these transactions or that these transactions, once commenced, will not be discontinued without notice.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[Describe any other specific transactions and compensation related thereto to the extent required to be disclosed by applicable law or regulation.]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[Describe if underwriters receiving proceeds of offering, if required by FINRA.]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principal business addresses of underwriters.]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40"/>
          </w:cols>
          <w:pgMar w:left="240" w:top="460" w:right="31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tabs>
          <w:tab w:leader="none" w:pos="10860" w:val="left"/>
        </w:tabs>
        <w:rPr>
          <w:sz w:val="20"/>
          <w:szCs w:val="20"/>
          <w:color w:val="auto"/>
        </w:rPr>
      </w:pPr>
      <w:r>
        <w:rPr>
          <w:rFonts w:ascii="Arial" w:cs="Arial" w:eastAsia="Arial" w:hAnsi="Arial"/>
          <w:sz w:val="17"/>
          <w:szCs w:val="17"/>
          <w:color w:val="auto"/>
        </w:rPr>
        <w:t>Hamilton LLP also represents the Adviser. Certain legal matters in connection with the offering will be passed upon for the underwriters by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780" w:hanging="772"/>
        <w:spacing w:after="0"/>
        <w:tabs>
          <w:tab w:leader="none" w:pos="7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240" w:top="459" w:right="51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financial statements and notes thereto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487" w:name="page488"/>
    <w:bookmarkEnd w:id="4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975360</wp:posOffset>
            </wp:positionV>
            <wp:extent cx="1346200" cy="660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tabs>
          <w:tab w:leader="none" w:pos="5600" w:val="left"/>
        </w:tabs>
        <w:rPr>
          <w:sz w:val="20"/>
          <w:szCs w:val="20"/>
          <w:color w:val="auto"/>
        </w:rPr>
      </w:pPr>
      <w:r>
        <w:rPr>
          <w:rFonts w:ascii="Arial" w:cs="Arial" w:eastAsia="Arial" w:hAnsi="Arial"/>
          <w:sz w:val="25"/>
          <w:szCs w:val="25"/>
          <w:color w:val="auto"/>
        </w:rPr>
        <w:t>Series [</w:t>
      </w:r>
      <w:r>
        <w:rPr>
          <w:sz w:val="20"/>
          <w:szCs w:val="20"/>
          <w:color w:val="auto"/>
        </w:rPr>
        <w:tab/>
      </w:r>
      <w:r>
        <w:rPr>
          <w:rFonts w:ascii="Arial" w:cs="Arial" w:eastAsia="Arial" w:hAnsi="Arial"/>
          <w:sz w:val="22"/>
          <w:szCs w:val="22"/>
          <w:color w:val="auto"/>
        </w:rPr>
        <w:t>] Preferred Stock</w:t>
      </w:r>
    </w:p>
    <w:p>
      <w:pPr>
        <w:spacing w:after="0" w:line="226" w:lineRule="exact"/>
        <w:rPr>
          <w:sz w:val="20"/>
          <w:szCs w:val="20"/>
          <w:color w:val="auto"/>
        </w:rPr>
      </w:pPr>
    </w:p>
    <w:p>
      <w:pPr>
        <w:ind w:left="3700"/>
        <w:spacing w:after="0"/>
        <w:tabs>
          <w:tab w:leader="none" w:pos="6740" w:val="left"/>
        </w:tabs>
        <w:rPr>
          <w:sz w:val="20"/>
          <w:szCs w:val="20"/>
          <w:color w:val="auto"/>
        </w:rPr>
      </w:pPr>
      <w:r>
        <w:rPr>
          <w:rFonts w:ascii="Arial" w:cs="Arial" w:eastAsia="Arial" w:hAnsi="Arial"/>
          <w:sz w:val="25"/>
          <w:szCs w:val="25"/>
          <w:color w:val="auto"/>
        </w:rPr>
        <w:t>Liquidation Preference $</w:t>
      </w:r>
      <w:r>
        <w:rPr>
          <w:sz w:val="20"/>
          <w:szCs w:val="20"/>
          <w:color w:val="auto"/>
        </w:rPr>
        <w:tab/>
      </w:r>
      <w:r>
        <w:rPr>
          <w:rFonts w:ascii="Arial" w:cs="Arial" w:eastAsia="Arial" w:hAnsi="Arial"/>
          <w:sz w:val="21"/>
          <w:szCs w:val="2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1037590</wp:posOffset>
            </wp:positionV>
            <wp:extent cx="151765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60"/>
        <w:spacing w:after="0"/>
        <w:rPr>
          <w:sz w:val="20"/>
          <w:szCs w:val="20"/>
          <w:color w:val="auto"/>
        </w:rPr>
      </w:pPr>
      <w:r>
        <w:rPr>
          <w:rFonts w:ascii="Arial" w:cs="Arial" w:eastAsia="Arial" w:hAnsi="Arial"/>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975360</wp:posOffset>
            </wp:positionV>
            <wp:extent cx="72466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1026795</wp:posOffset>
            </wp:positionV>
            <wp:extent cx="7246620" cy="260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488" w:name="page489"/>
    <w:bookmarkEnd w:id="4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99.3</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w:t>
      </w:r>
    </w:p>
    <w:p>
      <w:pPr>
        <w:spacing w:after="0" w:line="117" w:lineRule="exact"/>
        <w:rPr>
          <w:sz w:val="20"/>
          <w:szCs w:val="20"/>
          <w:color w:val="auto"/>
        </w:rPr>
      </w:pPr>
    </w:p>
    <w:tbl>
      <w:tblPr>
        <w:tblLayout w:type="fixed"/>
        <w:tblInd w:w="35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DE1A1E"/>
                <w:w w:val="97"/>
              </w:rPr>
              <w:t>Preliminary Prospectus Supplement dated</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DE1A1E"/>
              </w:rPr>
              <w:t>, 20</w:t>
            </w:r>
          </w:p>
        </w:tc>
      </w:tr>
    </w:tbl>
    <w:p>
      <w:pPr>
        <w:spacing w:after="0" w:line="94" w:lineRule="exact"/>
        <w:rPr>
          <w:sz w:val="20"/>
          <w:szCs w:val="20"/>
          <w:color w:val="auto"/>
        </w:rPr>
      </w:pPr>
    </w:p>
    <w:p>
      <w:pPr>
        <w:ind w:right="100" w:firstLine="92"/>
        <w:spacing w:after="0" w:line="373" w:lineRule="auto"/>
        <w:rPr>
          <w:sz w:val="20"/>
          <w:szCs w:val="20"/>
          <w:color w:val="auto"/>
        </w:rPr>
      </w:pPr>
      <w:r>
        <w:rPr>
          <w:rFonts w:ascii="Arial" w:cs="Arial" w:eastAsia="Arial" w:hAnsi="Arial"/>
          <w:sz w:val="18"/>
          <w:szCs w:val="18"/>
          <w:color w:val="auto"/>
        </w:rPr>
        <w:t xml:space="preserve">[FORM OF PRELIMINARY PROSPECTUS SUPPLEMENT TO BE USED IN CONJUNCTION WITH FUTURE DEBT SECURITIES OFFERINGS](1) </w:t>
      </w:r>
      <w:r>
        <w:rPr>
          <w:rFonts w:ascii="Arial" w:cs="Arial" w:eastAsia="Arial" w:hAnsi="Arial"/>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r>
              <w:rPr>
                <w:rFonts w:ascii="Arial" w:cs="Arial" w:eastAsia="Arial" w:hAnsi="Arial"/>
                <w:sz w:val="18"/>
                <w:szCs w:val="18"/>
                <w:b w:val="1"/>
                <w:bCs w:val="1"/>
                <w:color w:val="auto"/>
              </w:rPr>
              <w:t>(To 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  )</w:t>
            </w:r>
          </w:p>
        </w:tc>
      </w:tr>
    </w:tbl>
    <w:p>
      <w:pPr>
        <w:ind w:left="53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82550</wp:posOffset>
            </wp:positionV>
            <wp:extent cx="1346200" cy="660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[Insert ranking/conversion information]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0"/>
          <w:szCs w:val="20"/>
          <w:color w:val="auto"/>
        </w:rPr>
      </w:pPr>
    </w:p>
    <w:p>
      <w:pPr>
        <w:ind w:right="260" w:firstLine="342"/>
        <w:spacing w:after="0" w:line="253" w:lineRule="auto"/>
        <w:rPr>
          <w:sz w:val="20"/>
          <w:szCs w:val="20"/>
          <w:color w:val="auto"/>
        </w:rPr>
      </w:pPr>
      <w:r>
        <w:rPr>
          <w:rFonts w:ascii="Arial" w:cs="Arial" w:eastAsia="Arial" w:hAnsi="Arial"/>
          <w:sz w:val="14"/>
          <w:szCs w:val="14"/>
          <w:color w:val="auto"/>
        </w:rPr>
        <w:t>We are offering $ in aggregate principal amount of % [Insert ranking/conversion information] notes due , which we refer to as the Notes. [Insert relevant information regarding interest payments, redemption, etc.]</w:t>
      </w:r>
    </w:p>
    <w:p>
      <w:pPr>
        <w:spacing w:after="0" w:line="12" w:lineRule="exact"/>
        <w:rPr>
          <w:sz w:val="20"/>
          <w:szCs w:val="20"/>
          <w:color w:val="auto"/>
        </w:rPr>
      </w:pPr>
    </w:p>
    <w:p>
      <w:pPr>
        <w:ind w:right="360" w:firstLine="342"/>
        <w:spacing w:after="0" w:line="281" w:lineRule="auto"/>
        <w:rPr>
          <w:sz w:val="20"/>
          <w:szCs w:val="20"/>
          <w:color w:val="auto"/>
        </w:rPr>
      </w:pPr>
      <w:r>
        <w:rPr>
          <w:rFonts w:ascii="Arial" w:cs="Arial" w:eastAsia="Arial" w:hAnsi="Arial"/>
          <w:sz w:val="13"/>
          <w:szCs w:val="13"/>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 w:lineRule="exact"/>
        <w:rPr>
          <w:sz w:val="20"/>
          <w:szCs w:val="20"/>
          <w:color w:val="auto"/>
        </w:rPr>
      </w:pPr>
    </w:p>
    <w:p>
      <w:pPr>
        <w:ind w:right="340" w:firstLine="342"/>
        <w:spacing w:after="0" w:line="253" w:lineRule="auto"/>
        <w:rPr>
          <w:sz w:val="20"/>
          <w:szCs w:val="20"/>
          <w:color w:val="auto"/>
        </w:rPr>
      </w:pPr>
      <w:r>
        <w:rPr>
          <w:rFonts w:ascii="Arial" w:cs="Arial" w:eastAsia="Arial" w:hAnsi="Arial"/>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are an externally managed, closed-end, non-diversified management investment company. TSL Advisers, LLC, or the Adviser, acts as our investment adviser and administrator. We and the</w:t>
      </w:r>
    </w:p>
    <w:p>
      <w:pPr>
        <w:spacing w:after="0" w:line="11" w:lineRule="exact"/>
        <w:rPr>
          <w:sz w:val="20"/>
          <w:szCs w:val="20"/>
          <w:color w:val="auto"/>
        </w:rPr>
      </w:pPr>
    </w:p>
    <w:p>
      <w:pPr>
        <w:ind w:right="280"/>
        <w:spacing w:after="0" w:line="237" w:lineRule="auto"/>
        <w:rPr>
          <w:sz w:val="20"/>
          <w:szCs w:val="20"/>
          <w:color w:val="auto"/>
        </w:rPr>
      </w:pPr>
      <w:r>
        <w:rPr>
          <w:rFonts w:ascii="Arial" w:cs="Arial" w:eastAsia="Arial" w:hAnsi="Arial"/>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spacing w:after="0" w:line="21" w:lineRule="exact"/>
        <w:rPr>
          <w:sz w:val="20"/>
          <w:szCs w:val="20"/>
          <w:color w:val="auto"/>
        </w:rPr>
      </w:pPr>
    </w:p>
    <w:p>
      <w:pPr>
        <w:ind w:right="60" w:firstLine="342"/>
        <w:spacing w:after="0" w:line="256"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0" w:lineRule="exact"/>
        <w:rPr>
          <w:sz w:val="20"/>
          <w:szCs w:val="20"/>
          <w:color w:val="auto"/>
        </w:rPr>
      </w:pPr>
    </w:p>
    <w:p>
      <w:pPr>
        <w:ind w:right="200" w:firstLine="342"/>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21" w:lineRule="exact"/>
        <w:rPr>
          <w:sz w:val="20"/>
          <w:szCs w:val="20"/>
          <w:color w:val="auto"/>
        </w:rPr>
      </w:pPr>
    </w:p>
    <w:p>
      <w:pPr>
        <w:ind w:right="120" w:firstLine="456"/>
        <w:spacing w:after="0" w:line="28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that are described in the “</w:t>
      </w:r>
      <w:hyperlink w:anchor="page49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section beginning on page S-8 of this prospectus supplement and page [ ]of the accompanying prospectus, including the risk of leverage.</w:t>
      </w:r>
    </w:p>
    <w:p>
      <w:pPr>
        <w:spacing w:after="0" w:line="1" w:lineRule="exact"/>
        <w:rPr>
          <w:sz w:val="20"/>
          <w:szCs w:val="20"/>
          <w:color w:val="auto"/>
        </w:rPr>
      </w:pPr>
    </w:p>
    <w:p>
      <w:pPr>
        <w:ind w:right="20" w:firstLine="342"/>
        <w:spacing w:after="0" w:line="243" w:lineRule="auto"/>
        <w:rPr>
          <w:sz w:val="20"/>
          <w:szCs w:val="20"/>
          <w:color w:val="auto"/>
        </w:rPr>
      </w:pPr>
      <w:r>
        <w:rPr>
          <w:rFonts w:ascii="Arial" w:cs="Arial" w:eastAsia="Arial" w:hAnsi="Arial"/>
          <w:sz w:val="13"/>
          <w:szCs w:val="13"/>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4"/>
          <w:szCs w:val="14"/>
          <w:color w:val="auto"/>
        </w:rPr>
        <w:t>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102235</wp:posOffset>
            </wp:positionV>
            <wp:extent cx="151765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Per Note</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r>
      <w:tr>
        <w:trPr>
          <w:trHeight w:val="218"/>
        </w:trPr>
        <w:tc>
          <w:tcPr>
            <w:tcW w:w="7320" w:type="dxa"/>
            <w:vAlign w:val="bottom"/>
            <w:gridSpan w:val="2"/>
          </w:tcPr>
          <w:p>
            <w:pPr>
              <w:spacing w:after="0"/>
              <w:rPr>
                <w:sz w:val="20"/>
                <w:szCs w:val="20"/>
                <w:color w:val="auto"/>
              </w:rPr>
            </w:pPr>
            <w:r>
              <w:rPr>
                <w:rFonts w:ascii="Arial" w:cs="Arial" w:eastAsia="Arial" w:hAnsi="Arial"/>
                <w:sz w:val="14"/>
                <w:szCs w:val="14"/>
                <w:color w:val="auto"/>
              </w:rPr>
              <w:t>Public offering price</w:t>
            </w: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w:t>
            </w:r>
          </w:p>
        </w:tc>
        <w:tc>
          <w:tcPr>
            <w:tcW w:w="92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r>
      <w:tr>
        <w:trPr>
          <w:trHeight w:val="149"/>
        </w:trPr>
        <w:tc>
          <w:tcPr>
            <w:tcW w:w="732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w:t>
            </w:r>
          </w:p>
        </w:tc>
        <w:tc>
          <w:tcPr>
            <w:tcW w:w="920" w:type="dxa"/>
            <w:vAlign w:val="bottom"/>
            <w:gridSpan w:val="2"/>
          </w:tcPr>
          <w:p>
            <w:pPr>
              <w:jc w:val="right"/>
              <w:ind w:right="528"/>
              <w:spacing w:after="0" w:line="149" w:lineRule="exact"/>
              <w:rPr>
                <w:sz w:val="20"/>
                <w:szCs w:val="20"/>
                <w:color w:val="auto"/>
              </w:rPr>
            </w:pPr>
            <w:r>
              <w:rPr>
                <w:rFonts w:ascii="Arial" w:cs="Arial" w:eastAsia="Arial" w:hAnsi="Arial"/>
                <w:sz w:val="14"/>
                <w:szCs w:val="14"/>
                <w:color w:val="auto"/>
              </w:rPr>
              <w:t>$</w:t>
            </w:r>
          </w:p>
        </w:tc>
      </w:tr>
      <w:tr>
        <w:trPr>
          <w:trHeight w:val="182"/>
        </w:trPr>
        <w:tc>
          <w:tcPr>
            <w:tcW w:w="7320" w:type="dxa"/>
            <w:vAlign w:val="bottom"/>
            <w:gridSpan w:val="2"/>
          </w:tcPr>
          <w:p>
            <w:pPr>
              <w:spacing w:after="0"/>
              <w:rPr>
                <w:sz w:val="20"/>
                <w:szCs w:val="20"/>
                <w:color w:val="auto"/>
              </w:rPr>
            </w:pPr>
            <w:r>
              <w:rPr>
                <w:rFonts w:ascii="Arial" w:cs="Arial" w:eastAsia="Arial" w:hAnsi="Arial"/>
                <w:sz w:val="14"/>
                <w:szCs w:val="14"/>
                <w:color w:val="auto"/>
              </w:rPr>
              <w:t>Proceeds to us, before expenses (1)</w:t>
            </w: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w:t>
            </w:r>
          </w:p>
        </w:tc>
        <w:tc>
          <w:tcPr>
            <w:tcW w:w="92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155"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tab/>
        <w:t>Before deducting expenses payable by us related to this offering, estimated at $</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sectPr>
          <w:pgSz w:w="11900" w:h="16838" w:orient="portrait"/>
          <w:cols w:equalWidth="0" w:num="2">
            <w:col w:w="4920" w:space="420"/>
            <w:col w:w="6080"/>
          </w:cols>
          <w:pgMar w:left="240" w:top="122" w:right="239" w:bottom="1440" w:gutter="0" w:footer="0" w:header="0"/>
          <w:type w:val="continuous"/>
        </w:sectPr>
      </w:pPr>
    </w:p>
    <w:p>
      <w:pPr>
        <w:ind w:right="180"/>
        <w:spacing w:after="0" w:line="238" w:lineRule="auto"/>
        <w:rPr>
          <w:sz w:val="20"/>
          <w:szCs w:val="20"/>
          <w:color w:val="auto"/>
        </w:rPr>
      </w:pPr>
      <w:r>
        <w:rPr>
          <w:rFonts w:ascii="Arial" w:cs="Arial" w:eastAsia="Arial" w:hAnsi="Arial"/>
          <w:sz w:val="14"/>
          <w:szCs w:val="14"/>
          <w:color w:val="auto"/>
        </w:rPr>
        <w:t>[The underwriters may also purchase up to an additional $ total aggregate principal amount of Notes offered hereby, to cover over-allotments, if any, within days of the date of this prospectus supplement. If the underwriters exercise this option in full, the total public offering price will be $ , the total underwriting discount (sales load) paid by us will be $ , and total proceeds, before expenses, will be $ .]</w:t>
      </w:r>
    </w:p>
    <w:p>
      <w:pPr>
        <w:sectPr>
          <w:pgSz w:w="11900" w:h="16838" w:orient="portrait"/>
          <w:cols w:equalWidth="0" w:num="1">
            <w:col w:w="11420"/>
          </w:cols>
          <w:pgMar w:left="240" w:top="122" w:right="239" w:bottom="1440" w:gutter="0" w:footer="0" w:header="0"/>
          <w:type w:val="continuous"/>
        </w:sectPr>
      </w:pPr>
    </w:p>
    <w:p>
      <w:pPr>
        <w:spacing w:after="0" w:line="17" w:lineRule="exact"/>
        <w:rPr>
          <w:sz w:val="20"/>
          <w:szCs w:val="20"/>
          <w:color w:val="auto"/>
        </w:rPr>
      </w:pPr>
    </w:p>
    <w:p>
      <w:pPr>
        <w:ind w:right="180" w:firstLine="342"/>
        <w:spacing w:after="0" w:line="259"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4" w:lineRule="exact"/>
        <w:rPr>
          <w:sz w:val="20"/>
          <w:szCs w:val="20"/>
          <w:color w:val="auto"/>
        </w:rPr>
      </w:pPr>
    </w:p>
    <w:p>
      <w:pPr>
        <w:ind w:right="700" w:firstLine="342"/>
        <w:spacing w:after="0" w:line="259" w:lineRule="auto"/>
        <w:rPr>
          <w:sz w:val="20"/>
          <w:szCs w:val="20"/>
          <w:color w:val="auto"/>
        </w:rPr>
      </w:pPr>
      <w:r>
        <w:rPr>
          <w:rFonts w:ascii="Arial" w:cs="Arial" w:eastAsia="Arial" w:hAnsi="Arial"/>
          <w:sz w:val="14"/>
          <w:szCs w:val="14"/>
          <w:b w:val="1"/>
          <w:bCs w:val="1"/>
          <w:color w:val="auto"/>
        </w:rPr>
        <w:t>The Securities and Exchange Commission, or SEC, has not approved or disapproved of these securities or determined if this prospectus supplement or the accompanying prospectus is truthful or complete. Any representation to the contrary is a criminal offense.</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6540" w:type="dxa"/>
            <w:vAlign w:val="bottom"/>
            <w:gridSpan w:val="2"/>
          </w:tcPr>
          <w:p>
            <w:pPr>
              <w:spacing w:after="0"/>
              <w:rPr>
                <w:sz w:val="20"/>
                <w:szCs w:val="20"/>
                <w:color w:val="auto"/>
              </w:rPr>
            </w:pPr>
            <w:r>
              <w:rPr>
                <w:rFonts w:ascii="Arial" w:cs="Arial" w:eastAsia="Arial" w:hAnsi="Arial"/>
                <w:sz w:val="14"/>
                <w:szCs w:val="14"/>
                <w:color w:val="auto"/>
                <w:w w:val="95"/>
              </w:rPr>
              <w:t>Delivery of the Notes in book-entry form only through The Depository Trust Company will be made on or about</w:t>
            </w:r>
          </w:p>
        </w:tc>
        <w:tc>
          <w:tcPr>
            <w:tcW w:w="940" w:type="dxa"/>
            <w:vAlign w:val="bottom"/>
          </w:tcPr>
          <w:p>
            <w:pPr>
              <w:jc w:val="right"/>
              <w:spacing w:after="0"/>
              <w:rPr>
                <w:sz w:val="20"/>
                <w:szCs w:val="20"/>
                <w:color w:val="auto"/>
              </w:rPr>
            </w:pPr>
            <w:r>
              <w:rPr>
                <w:rFonts w:ascii="Arial" w:cs="Arial" w:eastAsia="Arial" w:hAnsi="Arial"/>
                <w:sz w:val="14"/>
                <w:szCs w:val="14"/>
                <w:color w:val="auto"/>
              </w:rPr>
              <w:t>, 20  .</w:t>
            </w:r>
          </w:p>
        </w:tc>
      </w:tr>
      <w:tr>
        <w:trPr>
          <w:trHeight w:val="16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r>
      <w:tr>
        <w:trPr>
          <w:trHeight w:val="211"/>
        </w:trPr>
        <w:tc>
          <w:tcPr>
            <w:tcW w:w="6540" w:type="dxa"/>
            <w:vAlign w:val="bottom"/>
            <w:gridSpan w:val="2"/>
          </w:tcPr>
          <w:p>
            <w:pPr>
              <w:ind w:left="3580"/>
              <w:spacing w:after="0"/>
              <w:rPr>
                <w:sz w:val="20"/>
                <w:szCs w:val="20"/>
                <w:color w:val="auto"/>
              </w:rPr>
            </w:pPr>
            <w:r>
              <w:rPr>
                <w:rFonts w:ascii="Arial" w:cs="Arial" w:eastAsia="Arial" w:hAnsi="Arial"/>
                <w:sz w:val="14"/>
                <w:szCs w:val="14"/>
                <w:b w:val="1"/>
                <w:bCs w:val="1"/>
                <w:color w:val="auto"/>
              </w:rPr>
              <w:t>The date of this prospectus supplement is</w:t>
            </w:r>
          </w:p>
        </w:tc>
        <w:tc>
          <w:tcPr>
            <w:tcW w:w="940" w:type="dxa"/>
            <w:vAlign w:val="bottom"/>
          </w:tcPr>
          <w:p>
            <w:pPr>
              <w:jc w:val="right"/>
              <w:ind w:right="288"/>
              <w:spacing w:after="0"/>
              <w:rPr>
                <w:sz w:val="20"/>
                <w:szCs w:val="20"/>
                <w:color w:val="auto"/>
              </w:rPr>
            </w:pPr>
            <w:r>
              <w:rPr>
                <w:rFonts w:ascii="Arial" w:cs="Arial" w:eastAsia="Arial" w:hAnsi="Arial"/>
                <w:sz w:val="14"/>
                <w:szCs w:val="14"/>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340" w:hanging="332"/>
        <w:spacing w:after="0" w:line="228" w:lineRule="auto"/>
        <w:tabs>
          <w:tab w:leader="none" w:pos="340" w:val="left"/>
        </w:tabs>
        <w:numPr>
          <w:ilvl w:val="0"/>
          <w:numId w:val="415"/>
        </w:numPr>
        <w:rPr>
          <w:rFonts w:ascii="Arial" w:cs="Arial" w:eastAsia="Arial" w:hAnsi="Arial"/>
          <w:sz w:val="14"/>
          <w:szCs w:val="14"/>
          <w:color w:val="auto"/>
        </w:rPr>
      </w:pPr>
      <w:r>
        <w:rPr>
          <w:rFonts w:ascii="Arial" w:cs="Arial" w:eastAsia="Arial" w:hAnsi="Arial"/>
          <w:sz w:val="14"/>
          <w:szCs w:val="14"/>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22" w:right="239" w:bottom="1440" w:gutter="0" w:footer="0" w:header="0"/>
          <w:type w:val="continuous"/>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3"/>
            <w:vMerge w:val="restart"/>
          </w:tcPr>
          <w:p>
            <w:pPr>
              <w:spacing w:after="0"/>
              <w:rPr>
                <w:rFonts w:ascii="Arial" w:cs="Arial" w:eastAsia="Arial" w:hAnsi="Arial"/>
                <w:sz w:val="18"/>
                <w:szCs w:val="18"/>
                <w:color w:val="0000EE"/>
              </w:rPr>
            </w:pPr>
            <w:hyperlink w:anchor="page491">
              <w:r>
                <w:rPr>
                  <w:rFonts w:ascii="Arial" w:cs="Arial" w:eastAsia="Arial" w:hAnsi="Arial"/>
                  <w:sz w:val="18"/>
                  <w:szCs w:val="18"/>
                  <w:color w:val="0000EE"/>
                </w:rPr>
                <w:t>SPECIAL NOTE REGARDING FORWARD-LOOKING STATEMENTS</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20" w:type="dxa"/>
            <w:vAlign w:val="bottom"/>
            <w:gridSpan w:val="13"/>
            <w:vMerge w:val="continue"/>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92">
              <w:r>
                <w:rPr>
                  <w:rFonts w:ascii="Arial" w:cs="Arial" w:eastAsia="Arial" w:hAnsi="Arial"/>
                  <w:sz w:val="18"/>
                  <w:szCs w:val="18"/>
                  <w:color w:val="0000EE"/>
                </w:rPr>
                <w:t>THE COMPANY</w:t>
              </w:r>
            </w:hyperlink>
          </w:p>
        </w:tc>
        <w:tc>
          <w:tcPr>
            <w:tcW w:w="55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495">
              <w:r>
                <w:rPr>
                  <w:rFonts w:ascii="Arial" w:cs="Arial" w:eastAsia="Arial" w:hAnsi="Arial"/>
                  <w:sz w:val="18"/>
                  <w:szCs w:val="18"/>
                  <w:color w:val="0000EE"/>
                  <w:w w:val="94"/>
                </w:rPr>
                <w:t>SPECIFIC TERMS OF THE NOTES AND THE OFFERING</w:t>
              </w:r>
            </w:hyperlink>
          </w:p>
        </w:tc>
        <w:tc>
          <w:tcPr>
            <w:tcW w:w="644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496">
              <w:r>
                <w:rPr>
                  <w:rFonts w:ascii="Arial" w:cs="Arial" w:eastAsia="Arial" w:hAnsi="Arial"/>
                  <w:sz w:val="18"/>
                  <w:szCs w:val="18"/>
                  <w:color w:val="0000EE"/>
                  <w:w w:val="93"/>
                </w:rPr>
                <w:t>RISK FACTORS</w:t>
              </w:r>
            </w:hyperlink>
          </w:p>
        </w:tc>
        <w:tc>
          <w:tcPr>
            <w:tcW w:w="96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497">
              <w:r>
                <w:rPr>
                  <w:rFonts w:ascii="Arial" w:cs="Arial" w:eastAsia="Arial" w:hAnsi="Arial"/>
                  <w:sz w:val="18"/>
                  <w:szCs w:val="18"/>
                  <w:color w:val="0000EE"/>
                  <w:w w:val="97"/>
                </w:rPr>
                <w:t>SELECTED FINANCIAL DATA AND OTHER INFORMATION</w:t>
              </w:r>
            </w:hyperlink>
          </w:p>
        </w:tc>
        <w:tc>
          <w:tcPr>
            <w:tcW w:w="612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Arial" w:cs="Arial" w:eastAsia="Arial" w:hAnsi="Arial"/>
                <w:sz w:val="18"/>
                <w:szCs w:val="18"/>
                <w:color w:val="0000EE"/>
              </w:rPr>
            </w:pPr>
            <w:hyperlink w:anchor="page498">
              <w:r>
                <w:rPr>
                  <w:rFonts w:ascii="Arial" w:cs="Arial" w:eastAsia="Arial" w:hAnsi="Arial"/>
                  <w:sz w:val="18"/>
                  <w:szCs w:val="18"/>
                  <w:color w:val="0000EE"/>
                </w:rPr>
                <w:t>USE OF PROCEEDS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rFonts w:ascii="Arial" w:cs="Arial" w:eastAsia="Arial" w:hAnsi="Arial"/>
                <w:sz w:val="18"/>
                <w:szCs w:val="18"/>
                <w:color w:val="0000EE"/>
              </w:rPr>
            </w:pPr>
            <w:hyperlink w:anchor="page499">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9"/>
              </w:rPr>
            </w:pPr>
            <w:hyperlink w:anchor="page500">
              <w:r>
                <w:rPr>
                  <w:rFonts w:ascii="Arial" w:cs="Arial" w:eastAsia="Arial" w:hAnsi="Arial"/>
                  <w:sz w:val="18"/>
                  <w:szCs w:val="18"/>
                  <w:color w:val="0000EE"/>
                  <w:w w:val="99"/>
                </w:rPr>
                <w:t>CAPITALIZATION</w:t>
              </w:r>
            </w:hyperlink>
          </w:p>
        </w:tc>
        <w:tc>
          <w:tcPr>
            <w:tcW w:w="7440" w:type="dxa"/>
            <w:vAlign w:val="bottom"/>
            <w:tcBorders>
              <w:top w:val="single" w:sz="8" w:color="0000EE"/>
            </w:tcBorders>
            <w:gridSpan w:val="8"/>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Arial" w:cs="Arial" w:eastAsia="Arial" w:hAnsi="Arial"/>
                <w:sz w:val="18"/>
                <w:szCs w:val="18"/>
                <w:color w:val="0000EE"/>
              </w:rPr>
            </w:pPr>
            <w:hyperlink w:anchor="page501">
              <w:r>
                <w:rPr>
                  <w:rFonts w:ascii="Arial" w:cs="Arial" w:eastAsia="Arial" w:hAnsi="Arial"/>
                  <w:sz w:val="18"/>
                  <w:szCs w:val="18"/>
                  <w:color w:val="0000EE"/>
                </w:rPr>
                <w:t>UNITED STATES FEDERAL INCOME TAX CONSEQUENCES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502">
              <w:r>
                <w:rPr>
                  <w:rFonts w:ascii="Arial" w:cs="Arial" w:eastAsia="Arial" w:hAnsi="Arial"/>
                  <w:sz w:val="18"/>
                  <w:szCs w:val="18"/>
                  <w:color w:val="0000EE"/>
                  <w:w w:val="95"/>
                </w:rPr>
                <w:t>CERTAIN ERISA CONSIDERATIONS</w:t>
              </w:r>
            </w:hyperlink>
          </w:p>
        </w:tc>
        <w:tc>
          <w:tcPr>
            <w:tcW w:w="1900" w:type="dxa"/>
            <w:vAlign w:val="bottom"/>
            <w:tcBorders>
              <w:top w:val="single" w:sz="8" w:color="0000EE"/>
            </w:tcBorders>
            <w:gridSpan w:val="3"/>
          </w:tcPr>
          <w:p>
            <w:pPr>
              <w:spacing w:after="0"/>
              <w:rPr>
                <w:sz w:val="17"/>
                <w:szCs w:val="17"/>
                <w:color w:val="auto"/>
              </w:rPr>
            </w:pPr>
          </w:p>
        </w:tc>
        <w:tc>
          <w:tcPr>
            <w:tcW w:w="610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7"/>
              </w:rPr>
            </w:pPr>
            <w:hyperlink w:anchor="page503">
              <w:r>
                <w:rPr>
                  <w:rFonts w:ascii="Arial" w:cs="Arial" w:eastAsia="Arial" w:hAnsi="Arial"/>
                  <w:sz w:val="18"/>
                  <w:szCs w:val="18"/>
                  <w:color w:val="0000EE"/>
                  <w:w w:val="97"/>
                </w:rPr>
                <w:t>UNDERWRITING</w:t>
              </w:r>
            </w:hyperlink>
          </w:p>
        </w:tc>
        <w:tc>
          <w:tcPr>
            <w:tcW w:w="952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Arial" w:cs="Arial" w:eastAsia="Arial" w:hAnsi="Arial"/>
                <w:sz w:val="18"/>
                <w:szCs w:val="18"/>
                <w:color w:val="0000EE"/>
              </w:rPr>
            </w:pPr>
            <w:hyperlink w:anchor="page506">
              <w:r>
                <w:rPr>
                  <w:rFonts w:ascii="Arial" w:cs="Arial" w:eastAsia="Arial" w:hAnsi="Arial"/>
                  <w:sz w:val="18"/>
                  <w:szCs w:val="18"/>
                  <w:color w:val="0000EE"/>
                </w:rPr>
                <w:t>LEGAL MATTERS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07">
              <w:r>
                <w:rPr>
                  <w:rFonts w:ascii="Arial" w:cs="Arial" w:eastAsia="Arial" w:hAnsi="Arial"/>
                  <w:sz w:val="18"/>
                  <w:szCs w:val="18"/>
                  <w:color w:val="0000EE"/>
                  <w:w w:val="97"/>
                </w:rPr>
                <w:t>FINANCIAL STATEMENTS</w:t>
              </w:r>
            </w:hyperlink>
          </w:p>
        </w:tc>
        <w:tc>
          <w:tcPr>
            <w:tcW w:w="87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[Insert table of contents from base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60" w:right="239"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40" w:hanging="325"/>
        <w:spacing w:after="0" w:line="277" w:lineRule="auto"/>
        <w:tabs>
          <w:tab w:leader="none" w:pos="9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 supplement and the accompanying prospectus.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900" w:right="140" w:hanging="325"/>
        <w:spacing w:after="0" w:line="277" w:lineRule="auto"/>
        <w:tabs>
          <w:tab w:leader="none" w:pos="90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17"/>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900" w:hanging="325"/>
        <w:spacing w:after="0"/>
        <w:tabs>
          <w:tab w:leader="none" w:pos="90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w:t>
      </w:r>
    </w:p>
    <w:p>
      <w:pPr>
        <w:spacing w:after="0" w:line="46" w:lineRule="exact"/>
        <w:rPr>
          <w:sz w:val="20"/>
          <w:szCs w:val="20"/>
          <w:color w:val="auto"/>
        </w:rPr>
      </w:pPr>
    </w:p>
    <w:p>
      <w:pPr>
        <w:ind w:right="40" w:firstLine="720"/>
        <w:spacing w:after="0" w:line="252" w:lineRule="auto"/>
        <w:rPr>
          <w:sz w:val="20"/>
          <w:szCs w:val="20"/>
          <w:color w:val="auto"/>
        </w:rPr>
      </w:pPr>
      <w:r>
        <w:rPr>
          <w:rFonts w:ascii="Arial" w:cs="Arial" w:eastAsia="Arial" w:hAnsi="Arial"/>
          <w:sz w:val="18"/>
          <w:szCs w:val="18"/>
          <w:color w:val="auto"/>
        </w:rPr>
        <w:t>,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4"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w:t>
      </w:r>
    </w:p>
    <w:p>
      <w:pPr>
        <w:ind w:right="460"/>
        <w:spacing w:after="0" w:line="254" w:lineRule="auto"/>
        <w:rPr>
          <w:sz w:val="20"/>
          <w:szCs w:val="20"/>
          <w:color w:val="auto"/>
        </w:rPr>
      </w:pPr>
      <w:r>
        <w:rPr>
          <w:rFonts w:ascii="Arial" w:cs="Arial" w:eastAsia="Arial" w:hAnsi="Arial"/>
          <w:sz w:val="18"/>
          <w:szCs w:val="18"/>
          <w:color w:val="auto"/>
        </w:rPr>
        <w:t>and, to a lesser extent, secured corporate bonds, with a secondary priority behind first-lien debt. Based on fair value as of , 20 , our portfolio consisted of % first-lien debt investments, % second-lien debt investments, % mezzanine debt investments and % equity investments. Approximately % of our investments as of , 20 are floating rate in nature, subject to interest rate floors, which we believe helps act as a portfolio-wide hedge against inflation.</w:t>
      </w:r>
    </w:p>
    <w:p>
      <w:pPr>
        <w:spacing w:after="0" w:line="190" w:lineRule="exact"/>
        <w:rPr>
          <w:sz w:val="20"/>
          <w:szCs w:val="20"/>
          <w:color w:val="auto"/>
        </w:rPr>
      </w:pPr>
    </w:p>
    <w:p>
      <w:pPr>
        <w:ind w:left="460"/>
        <w:spacing w:after="0"/>
        <w:tabs>
          <w:tab w:leader="none" w:pos="1600" w:val="left"/>
          <w:tab w:leader="none" w:pos="2060" w:val="left"/>
          <w:tab w:leader="none" w:pos="498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w:t>
        <w:tab/>
        <w:t>, our portfolio was invested across</w:t>
      </w:r>
      <w:r>
        <w:rPr>
          <w:sz w:val="20"/>
          <w:szCs w:val="20"/>
          <w:color w:val="auto"/>
        </w:rPr>
        <w:tab/>
      </w:r>
      <w:r>
        <w:rPr>
          <w:rFonts w:ascii="Arial" w:cs="Arial" w:eastAsia="Arial" w:hAnsi="Arial"/>
          <w:sz w:val="16"/>
          <w:szCs w:val="16"/>
          <w:color w:val="auto"/>
        </w:rPr>
        <w:t>different industries. The largest industries in our portfolio, based on fair value as of</w:t>
      </w:r>
    </w:p>
    <w:p>
      <w:pPr>
        <w:spacing w:after="0" w:line="23" w:lineRule="exact"/>
        <w:rPr>
          <w:sz w:val="20"/>
          <w:szCs w:val="20"/>
          <w:color w:val="auto"/>
        </w:rPr>
      </w:pPr>
    </w:p>
    <w:p>
      <w:pPr>
        <w:ind w:left="720"/>
        <w:spacing w:after="0"/>
        <w:tabs>
          <w:tab w:leader="none" w:pos="1160" w:val="left"/>
          <w:tab w:leader="none" w:pos="2360" w:val="left"/>
          <w:tab w:leader="none" w:pos="3180" w:val="left"/>
          <w:tab w:leader="none" w:pos="4280" w:val="left"/>
          <w:tab w:leader="none" w:pos="8300" w:val="left"/>
          <w:tab w:leader="none" w:pos="8720" w:val="left"/>
          <w:tab w:leader="none" w:pos="9460" w:val="left"/>
        </w:tabs>
        <w:rPr>
          <w:sz w:val="20"/>
          <w:szCs w:val="20"/>
          <w:color w:val="auto"/>
        </w:rPr>
      </w:pPr>
      <w:r>
        <w:rPr>
          <w:rFonts w:ascii="Arial" w:cs="Arial" w:eastAsia="Arial" w:hAnsi="Arial"/>
          <w:sz w:val="18"/>
          <w:szCs w:val="18"/>
          <w:color w:val="auto"/>
        </w:rPr>
        <w:t>, 20</w:t>
        <w:tab/>
        <w:t>, were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 which represented, as a percentage of our portfolio,</w:t>
        <w:tab/>
        <w:t>%,</w:t>
        <w:tab/>
        <w:t>%, and</w:t>
      </w:r>
      <w:r>
        <w:rPr>
          <w:sz w:val="20"/>
          <w:szCs w:val="20"/>
          <w:color w:val="auto"/>
        </w:rPr>
        <w:tab/>
      </w:r>
      <w:r>
        <w:rPr>
          <w:rFonts w:ascii="Arial" w:cs="Arial" w:eastAsia="Arial" w:hAnsi="Arial"/>
          <w:sz w:val="15"/>
          <w:szCs w:val="15"/>
          <w:color w:val="auto"/>
        </w:rPr>
        <w:t>%, respectively. We expect</w:t>
      </w:r>
    </w:p>
    <w:p>
      <w:pPr>
        <w:spacing w:after="0" w:line="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that no single investment will represent more than</w:t>
      </w:r>
      <w:r>
        <w:rPr>
          <w:sz w:val="20"/>
          <w:szCs w:val="20"/>
          <w:color w:val="auto"/>
        </w:rPr>
        <w:tab/>
      </w:r>
      <w:r>
        <w:rPr>
          <w:rFonts w:ascii="Arial" w:cs="Arial" w:eastAsia="Arial" w:hAnsi="Arial"/>
          <w:sz w:val="16"/>
          <w:szCs w:val="16"/>
          <w:color w:val="auto"/>
        </w:rPr>
        <w:t>% of our total investment portfolio, based on fair value.</w:t>
      </w:r>
    </w:p>
    <w:p>
      <w:pPr>
        <w:spacing w:after="0" w:line="211" w:lineRule="exact"/>
        <w:rPr>
          <w:sz w:val="20"/>
          <w:szCs w:val="20"/>
          <w:color w:val="auto"/>
        </w:rPr>
      </w:pPr>
    </w:p>
    <w:p>
      <w:pPr>
        <w:ind w:left="460"/>
        <w:spacing w:after="0"/>
        <w:tabs>
          <w:tab w:leader="none" w:pos="1600" w:val="left"/>
          <w:tab w:leader="none" w:pos="2060" w:val="left"/>
          <w:tab w:leader="none" w:pos="4200" w:val="left"/>
          <w:tab w:leader="none" w:pos="84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w:t>
        <w:tab/>
        <w:t>, we had investments in</w:t>
      </w:r>
      <w:r>
        <w:rPr>
          <w:sz w:val="20"/>
          <w:szCs w:val="20"/>
          <w:color w:val="auto"/>
        </w:rPr>
        <w:tab/>
      </w:r>
      <w:r>
        <w:rPr>
          <w:rFonts w:ascii="Arial" w:cs="Arial" w:eastAsia="Arial" w:hAnsi="Arial"/>
          <w:sz w:val="18"/>
          <w:szCs w:val="18"/>
          <w:color w:val="auto"/>
        </w:rPr>
        <w:t>portfolio companies with an aggregate fair value of $</w:t>
      </w:r>
      <w:r>
        <w:rPr>
          <w:sz w:val="20"/>
          <w:szCs w:val="20"/>
          <w:color w:val="auto"/>
        </w:rPr>
        <w:tab/>
      </w:r>
      <w:r>
        <w:rPr>
          <w:rFonts w:ascii="Arial" w:cs="Arial" w:eastAsia="Arial" w:hAnsi="Arial"/>
          <w:sz w:val="16"/>
          <w:szCs w:val="16"/>
          <w:color w:val="auto"/>
        </w:rPr>
        <w:t>million. For the months ended</w:t>
      </w:r>
    </w:p>
    <w:p>
      <w:pPr>
        <w:spacing w:after="0" w:line="23" w:lineRule="exact"/>
        <w:rPr>
          <w:sz w:val="20"/>
          <w:szCs w:val="20"/>
          <w:color w:val="auto"/>
        </w:rPr>
      </w:pPr>
    </w:p>
    <w:p>
      <w:pPr>
        <w:ind w:left="720"/>
        <w:spacing w:after="0"/>
        <w:tabs>
          <w:tab w:leader="none" w:pos="1160" w:val="left"/>
          <w:tab w:leader="none" w:pos="4840" w:val="left"/>
          <w:tab w:leader="none" w:pos="5940" w:val="left"/>
          <w:tab w:leader="none" w:pos="7100" w:val="left"/>
          <w:tab w:leader="none" w:pos="9720" w:val="left"/>
        </w:tabs>
        <w:rPr>
          <w:sz w:val="20"/>
          <w:szCs w:val="20"/>
          <w:color w:val="auto"/>
        </w:rPr>
      </w:pPr>
      <w:r>
        <w:rPr>
          <w:rFonts w:ascii="Arial" w:cs="Arial" w:eastAsia="Arial" w:hAnsi="Arial"/>
          <w:sz w:val="18"/>
          <w:szCs w:val="18"/>
          <w:color w:val="auto"/>
        </w:rPr>
        <w:t>, 20</w:t>
        <w:tab/>
        <w:t>, we made new investment commitments of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in</w:t>
      </w:r>
      <w:r>
        <w:rPr>
          <w:sz w:val="20"/>
          <w:szCs w:val="20"/>
          <w:color w:val="auto"/>
        </w:rPr>
        <w:tab/>
      </w:r>
      <w:r>
        <w:rPr>
          <w:rFonts w:ascii="Arial" w:cs="Arial" w:eastAsia="Arial" w:hAnsi="Arial"/>
          <w:sz w:val="18"/>
          <w:szCs w:val="18"/>
          <w:color w:val="auto"/>
        </w:rPr>
        <w:t>new portfolio companies and $</w:t>
      </w:r>
      <w:r>
        <w:rPr>
          <w:sz w:val="20"/>
          <w:szCs w:val="20"/>
          <w:color w:val="auto"/>
        </w:rPr>
        <w:tab/>
      </w:r>
      <w:r>
        <w:rPr>
          <w:rFonts w:ascii="Arial" w:cs="Arial" w:eastAsia="Arial" w:hAnsi="Arial"/>
          <w:sz w:val="18"/>
          <w:szCs w:val="18"/>
          <w:color w:val="auto"/>
        </w:rPr>
        <w:t>million in</w:t>
      </w:r>
    </w:p>
    <w:p>
      <w:pPr>
        <w:spacing w:after="0" w:line="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existing portfolio companies. For this period, we had $</w:t>
      </w:r>
      <w:r>
        <w:rPr>
          <w:sz w:val="20"/>
          <w:szCs w:val="20"/>
          <w:color w:val="auto"/>
        </w:rPr>
        <w:tab/>
      </w:r>
      <w:r>
        <w:rPr>
          <w:rFonts w:ascii="Arial" w:cs="Arial" w:eastAsia="Arial" w:hAnsi="Arial"/>
          <w:sz w:val="16"/>
          <w:szCs w:val="16"/>
          <w:color w:val="auto"/>
        </w:rPr>
        <w:t>million aggregate principal amount in exits and repayments, resulting in net portfolio growth of</w:t>
      </w:r>
    </w:p>
    <w:p>
      <w:pPr>
        <w:spacing w:after="0" w:line="9" w:lineRule="exact"/>
        <w:rPr>
          <w:sz w:val="20"/>
          <w:szCs w:val="20"/>
          <w:color w:val="auto"/>
        </w:rPr>
      </w:pPr>
    </w:p>
    <w:p>
      <w:pPr>
        <w:ind w:left="500" w:hanging="492"/>
        <w:spacing w:after="0"/>
        <w:tabs>
          <w:tab w:leader="none" w:pos="5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million aggregate principal amount.</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 , we had investments in portfolio companies with an aggregate fair value of $ million. For the year ended December 31, 20 , we made new investment commitments of $ million, $ million in new portfolio companies and $ million in existing portfolio companies. For this period, we had $ million aggregate principal amount in exits and repayments, resulting in net portfolio growth of $ million aggregate principal amount.</w:t>
      </w:r>
    </w:p>
    <w:p>
      <w:pPr>
        <w:spacing w:after="0" w:line="18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Since we began investing in 2011 through , 20 , our exited investments have resulted in an aggregate cash flow realized gross internal rate of return to us of approximately % (based on cash invested of approximately $ million and total proceeds from these exited investments of approximately $ million). percent of these exited investments resulted in an aggregate cash flow realized gross internal rate of return to us of 10%</w:t>
      </w:r>
    </w:p>
    <w:p>
      <w:pPr>
        <w:ind w:right="540"/>
        <w:spacing w:after="0" w:line="261" w:lineRule="auto"/>
        <w:rPr>
          <w:sz w:val="20"/>
          <w:szCs w:val="20"/>
          <w:color w:val="auto"/>
        </w:rPr>
      </w:pPr>
      <w:r>
        <w:rPr>
          <w:rFonts w:ascii="Arial" w:cs="Arial" w:eastAsia="Arial" w:hAnsi="Arial"/>
          <w:sz w:val="18"/>
          <w:szCs w:val="18"/>
          <w:color w:val="auto"/>
        </w:rPr>
        <w:t>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made by our investment review committee, or the Investment Review Committee, which includes senior personnel of TSSP and TPG.</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w:t>
      </w:r>
    </w:p>
    <w:p>
      <w:pPr>
        <w:ind w:right="160"/>
        <w:spacing w:after="0" w:line="253" w:lineRule="auto"/>
        <w:rPr>
          <w:sz w:val="20"/>
          <w:szCs w:val="20"/>
          <w:color w:val="auto"/>
        </w:rPr>
      </w:pPr>
      <w:r>
        <w:rPr>
          <w:rFonts w:ascii="Arial" w:cs="Arial" w:eastAsia="Arial" w:hAnsi="Arial"/>
          <w:sz w:val="18"/>
          <w:szCs w:val="18"/>
          <w:color w:val="auto"/>
        </w:rPr>
        <w:t>focused on investment opportunities in the broadly syndicated leveraged loan markets.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91" w:lineRule="exact"/>
        <w:rPr>
          <w:sz w:val="20"/>
          <w:szCs w:val="20"/>
          <w:color w:val="auto"/>
        </w:rPr>
      </w:pPr>
    </w:p>
    <w:p>
      <w:pPr>
        <w:ind w:left="460"/>
        <w:spacing w:after="0"/>
        <w:tabs>
          <w:tab w:leader="none" w:pos="5920" w:val="left"/>
          <w:tab w:leader="none" w:pos="9660" w:val="left"/>
          <w:tab w:leader="none" w:pos="10120" w:val="left"/>
        </w:tabs>
        <w:rPr>
          <w:sz w:val="20"/>
          <w:szCs w:val="20"/>
          <w:color w:val="auto"/>
        </w:rPr>
      </w:pPr>
      <w:r>
        <w:rPr>
          <w:rFonts w:ascii="Arial" w:cs="Arial" w:eastAsia="Arial" w:hAnsi="Arial"/>
          <w:sz w:val="18"/>
          <w:szCs w:val="18"/>
          <w:color w:val="auto"/>
        </w:rPr>
        <w:t>TPG is a leading global private investment firm founded in 1992 with</w:t>
      </w:r>
      <w:r>
        <w:rPr>
          <w:sz w:val="20"/>
          <w:szCs w:val="20"/>
          <w:color w:val="auto"/>
        </w:rPr>
        <w:tab/>
      </w:r>
      <w:r>
        <w:rPr>
          <w:rFonts w:ascii="Arial" w:cs="Arial" w:eastAsia="Arial" w:hAnsi="Arial"/>
          <w:sz w:val="18"/>
          <w:szCs w:val="18"/>
          <w:color w:val="auto"/>
        </w:rPr>
        <w:t>billion of assets under management,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and offices in</w:t>
      </w:r>
    </w:p>
    <w:p>
      <w:pPr>
        <w:spacing w:after="0" w:line="23"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Review Committee and certain of our other senior personnel, own a significant stake in the Adviser. As of , 20 , our Adviser owned % of our common stock. See “Management,” “Related-Party Transactions and Certain Relationships” and “Control Persons and Principal Stockholders” in the accompanying prospectus.</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60" w:right="23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[Insert material terms of the Notes in tabular form to the extent required to be disclosed by applicable law or regulation.]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risk factors applicable to the Notes and any additional relevant risk factors not included in the base prospectus to the extent required to be disclosed by applicable law or regulation.]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60"/>
          </w:cols>
          <w:pgMar w:left="240" w:top="459" w:right="29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w:t>
      </w:r>
    </w:p>
    <w:p>
      <w:pPr>
        <w:ind w:right="160"/>
        <w:spacing w:after="0" w:line="261" w:lineRule="auto"/>
        <w:rPr>
          <w:sz w:val="20"/>
          <w:szCs w:val="20"/>
          <w:color w:val="auto"/>
        </w:rPr>
      </w:pPr>
      <w:r>
        <w:rPr>
          <w:rFonts w:ascii="Arial" w:cs="Arial" w:eastAsia="Arial" w:hAnsi="Arial"/>
          <w:sz w:val="18"/>
          <w:szCs w:val="18"/>
          <w:color w:val="auto"/>
        </w:rPr>
        <w:t>derived the selected consolidated financial data for the ended , 20 and , 20 from our unaudited interim consolidated financial statements and related notes, which are included elsewhere in this prospectus supplement or the accompanying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40"/>
          </w:cols>
          <w:pgMar w:left="240" w:top="459" w:right="319" w:bottom="1440" w:gutter="0" w:footer="0" w:header="0"/>
        </w:sectPr>
      </w:pPr>
    </w:p>
    <w:bookmarkStart w:id="497" w:name="page498"/>
    <w:bookmarkEnd w:id="497"/>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Table of Contents</w:t>
              </w:r>
            </w:hyperlink>
          </w:p>
        </w:tc>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0" w:type="dxa"/>
            <w:vAlign w:val="bottom"/>
            <w:gridSpan w:val="2"/>
          </w:tcPr>
          <w:p>
            <w:pPr>
              <w:ind w:left="1100"/>
              <w:spacing w:after="0"/>
              <w:rPr>
                <w:sz w:val="20"/>
                <w:szCs w:val="20"/>
                <w:color w:val="auto"/>
              </w:rPr>
            </w:pPr>
            <w:r>
              <w:rPr>
                <w:rFonts w:ascii="Arial" w:cs="Arial" w:eastAsia="Arial" w:hAnsi="Arial"/>
                <w:sz w:val="18"/>
                <w:szCs w:val="18"/>
                <w:b w:val="1"/>
                <w:bCs w:val="1"/>
                <w:color w:val="auto"/>
              </w:rPr>
              <w:t>USE OF PROCEEDS</w:t>
            </w:r>
          </w:p>
        </w:tc>
        <w:tc>
          <w:tcPr>
            <w:tcW w:w="2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18"/>
        </w:trPr>
        <w:tc>
          <w:tcPr>
            <w:tcW w:w="5540" w:type="dxa"/>
            <w:vAlign w:val="bottom"/>
            <w:gridSpan w:val="4"/>
          </w:tcPr>
          <w:p>
            <w:pPr>
              <w:ind w:left="460"/>
              <w:spacing w:after="0"/>
              <w:rPr>
                <w:sz w:val="20"/>
                <w:szCs w:val="20"/>
                <w:color w:val="auto"/>
              </w:rPr>
            </w:pPr>
            <w:r>
              <w:rPr>
                <w:rFonts w:ascii="Arial" w:cs="Arial" w:eastAsia="Arial" w:hAnsi="Arial"/>
                <w:sz w:val="18"/>
                <w:szCs w:val="18"/>
                <w:color w:val="auto"/>
                <w:w w:val="93"/>
              </w:rPr>
              <w:t>We estimate that the net proceeds we will receive from the sale of $</w:t>
            </w: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million aggregate principal amount of Notes in this offering will be</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2400" w:type="dxa"/>
            <w:vAlign w:val="bottom"/>
          </w:tcPr>
          <w:p>
            <w:pPr>
              <w:ind w:left="200"/>
              <w:spacing w:after="0"/>
              <w:rPr>
                <w:sz w:val="20"/>
                <w:szCs w:val="20"/>
                <w:color w:val="auto"/>
              </w:rPr>
            </w:pPr>
            <w:r>
              <w:rPr>
                <w:rFonts w:ascii="Arial" w:cs="Arial" w:eastAsia="Arial" w:hAnsi="Arial"/>
                <w:sz w:val="18"/>
                <w:szCs w:val="18"/>
                <w:color w:val="auto"/>
              </w:rPr>
              <w:t>million (or approximately $</w:t>
            </w:r>
          </w:p>
        </w:tc>
        <w:tc>
          <w:tcPr>
            <w:tcW w:w="7460" w:type="dxa"/>
            <w:vAlign w:val="bottom"/>
            <w:gridSpan w:val="4"/>
          </w:tcPr>
          <w:p>
            <w:pPr>
              <w:ind w:left="200"/>
              <w:spacing w:after="0"/>
              <w:rPr>
                <w:sz w:val="20"/>
                <w:szCs w:val="20"/>
                <w:color w:val="auto"/>
              </w:rPr>
            </w:pPr>
            <w:r>
              <w:rPr>
                <w:rFonts w:ascii="Arial" w:cs="Arial" w:eastAsia="Arial" w:hAnsi="Arial"/>
                <w:sz w:val="18"/>
                <w:szCs w:val="18"/>
                <w:color w:val="auto"/>
                <w:w w:val="91"/>
              </w:rPr>
              <w:t>million if the underwriters fully exercise their over-allotment option), in each case assuming a public</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offering price of</w:t>
            </w:r>
          </w:p>
        </w:tc>
        <w:tc>
          <w:tcPr>
            <w:tcW w:w="5600" w:type="dxa"/>
            <w:vAlign w:val="bottom"/>
            <w:gridSpan w:val="3"/>
          </w:tcPr>
          <w:p>
            <w:pPr>
              <w:ind w:left="20"/>
              <w:spacing w:after="0"/>
              <w:rPr>
                <w:sz w:val="20"/>
                <w:szCs w:val="20"/>
                <w:color w:val="auto"/>
              </w:rPr>
            </w:pPr>
            <w:r>
              <w:rPr>
                <w:rFonts w:ascii="Arial" w:cs="Arial" w:eastAsia="Arial" w:hAnsi="Arial"/>
                <w:sz w:val="18"/>
                <w:szCs w:val="18"/>
                <w:color w:val="auto"/>
                <w:w w:val="94"/>
              </w:rPr>
              <w:t>% of par, after deducting the underwriting discounts and commissions of $</w:t>
            </w:r>
          </w:p>
        </w:tc>
        <w:tc>
          <w:tcPr>
            <w:tcW w:w="2200" w:type="dxa"/>
            <w:vAlign w:val="bottom"/>
          </w:tcPr>
          <w:p>
            <w:pPr>
              <w:ind w:left="200"/>
              <w:spacing w:after="0"/>
              <w:rPr>
                <w:sz w:val="20"/>
                <w:szCs w:val="20"/>
                <w:color w:val="auto"/>
              </w:rPr>
            </w:pPr>
            <w:r>
              <w:rPr>
                <w:rFonts w:ascii="Arial" w:cs="Arial" w:eastAsia="Arial" w:hAnsi="Arial"/>
                <w:sz w:val="18"/>
                <w:szCs w:val="18"/>
                <w:color w:val="auto"/>
                <w:w w:val="94"/>
              </w:rPr>
              <w:t>million (or approximately $</w:t>
            </w:r>
          </w:p>
        </w:tc>
        <w:tc>
          <w:tcPr>
            <w:tcW w:w="2060" w:type="dxa"/>
            <w:vAlign w:val="bottom"/>
          </w:tcPr>
          <w:p>
            <w:pPr>
              <w:ind w:left="400"/>
              <w:spacing w:after="0"/>
              <w:rPr>
                <w:sz w:val="20"/>
                <w:szCs w:val="20"/>
                <w:color w:val="auto"/>
              </w:rPr>
            </w:pPr>
            <w:r>
              <w:rPr>
                <w:rFonts w:ascii="Arial" w:cs="Arial" w:eastAsia="Arial" w:hAnsi="Arial"/>
                <w:sz w:val="18"/>
                <w:szCs w:val="18"/>
                <w:color w:val="auto"/>
              </w:rPr>
              <w:t>million if the</w:t>
            </w:r>
          </w:p>
        </w:tc>
      </w:tr>
      <w:tr>
        <w:trPr>
          <w:trHeight w:val="230"/>
        </w:trPr>
        <w:tc>
          <w:tcPr>
            <w:tcW w:w="9180" w:type="dxa"/>
            <w:vAlign w:val="bottom"/>
            <w:gridSpan w:val="6"/>
          </w:tcPr>
          <w:p>
            <w:pPr>
              <w:spacing w:after="0"/>
              <w:rPr>
                <w:sz w:val="20"/>
                <w:szCs w:val="20"/>
                <w:color w:val="auto"/>
              </w:rPr>
            </w:pPr>
            <w:r>
              <w:rPr>
                <w:rFonts w:ascii="Arial" w:cs="Arial" w:eastAsia="Arial" w:hAnsi="Arial"/>
                <w:sz w:val="18"/>
                <w:szCs w:val="18"/>
                <w:color w:val="auto"/>
                <w:w w:val="95"/>
              </w:rPr>
              <w:t>underwriters fully exercise their over-allotment option) payable by us and estimated offering expenses of approximately $</w:t>
            </w:r>
          </w:p>
        </w:tc>
        <w:tc>
          <w:tcPr>
            <w:tcW w:w="2060" w:type="dxa"/>
            <w:vAlign w:val="bottom"/>
          </w:tcPr>
          <w:p>
            <w:pPr>
              <w:spacing w:after="0"/>
              <w:rPr>
                <w:sz w:val="20"/>
                <w:szCs w:val="20"/>
                <w:color w:val="auto"/>
              </w:rPr>
            </w:pPr>
            <w:r>
              <w:rPr>
                <w:rFonts w:ascii="Arial" w:cs="Arial" w:eastAsia="Arial" w:hAnsi="Arial"/>
                <w:sz w:val="18"/>
                <w:szCs w:val="18"/>
                <w:color w:val="auto"/>
              </w:rPr>
              <w:t>million payable by 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240" w:top="445" w:right="41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499" w:name="page500"/>
    <w:bookmarkEnd w:id="499"/>
    <w:tbl>
      <w:tblPr>
        <w:tblLayout w:type="fixed"/>
        <w:tblInd w:w="0" w:type="dxa"/>
        <w:tblCellMar>
          <w:top w:w="0" w:type="dxa"/>
          <w:left w:w="0" w:type="dxa"/>
          <w:bottom w:w="0" w:type="dxa"/>
          <w:right w:w="0" w:type="dxa"/>
        </w:tblCellMar>
      </w:tblPr>
      <w:tr>
        <w:trPr>
          <w:trHeight w:val="207"/>
        </w:trPr>
        <w:tc>
          <w:tcPr>
            <w:tcW w:w="206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44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440" w:type="dxa"/>
            <w:vAlign w:val="bottom"/>
          </w:tcPr>
          <w:p>
            <w:pPr>
              <w:ind w:left="2880"/>
              <w:spacing w:after="0"/>
              <w:rPr>
                <w:sz w:val="20"/>
                <w:szCs w:val="20"/>
                <w:color w:val="auto"/>
              </w:rPr>
            </w:pPr>
            <w:r>
              <w:rPr>
                <w:rFonts w:ascii="Arial" w:cs="Arial" w:eastAsia="Arial" w:hAnsi="Arial"/>
                <w:sz w:val="18"/>
                <w:szCs w:val="18"/>
                <w:b w:val="1"/>
                <w:bCs w:val="1"/>
                <w:color w:val="auto"/>
              </w:rPr>
              <w:t>CAPITALIZATION</w:t>
            </w:r>
          </w:p>
        </w:tc>
        <w:tc>
          <w:tcPr>
            <w:tcW w:w="4860" w:type="dxa"/>
            <w:vAlign w:val="bottom"/>
          </w:tcPr>
          <w:p>
            <w:pPr>
              <w:spacing w:after="0"/>
              <w:rPr>
                <w:sz w:val="24"/>
                <w:szCs w:val="24"/>
                <w:color w:val="auto"/>
              </w:rPr>
            </w:pPr>
          </w:p>
        </w:tc>
      </w:tr>
      <w:tr>
        <w:trPr>
          <w:trHeight w:val="418"/>
        </w:trPr>
        <w:tc>
          <w:tcPr>
            <w:tcW w:w="6500" w:type="dxa"/>
            <w:vAlign w:val="bottom"/>
            <w:gridSpan w:val="3"/>
          </w:tcPr>
          <w:p>
            <w:pPr>
              <w:ind w:left="460"/>
              <w:spacing w:after="0"/>
              <w:rPr>
                <w:sz w:val="20"/>
                <w:szCs w:val="20"/>
                <w:color w:val="auto"/>
              </w:rPr>
            </w:pPr>
            <w:r>
              <w:rPr>
                <w:rFonts w:ascii="Arial" w:cs="Arial" w:eastAsia="Arial" w:hAnsi="Arial"/>
                <w:sz w:val="18"/>
                <w:szCs w:val="18"/>
                <w:color w:val="auto"/>
              </w:rPr>
              <w:t>The following table sets forth (a) our actual consolidated capitalization at</w:t>
            </w:r>
          </w:p>
        </w:tc>
        <w:tc>
          <w:tcPr>
            <w:tcW w:w="4860" w:type="dxa"/>
            <w:vAlign w:val="bottom"/>
          </w:tcPr>
          <w:p>
            <w:pPr>
              <w:spacing w:after="0"/>
              <w:rPr>
                <w:sz w:val="20"/>
                <w:szCs w:val="20"/>
                <w:color w:val="auto"/>
              </w:rPr>
            </w:pPr>
            <w:r>
              <w:rPr>
                <w:rFonts w:ascii="Arial" w:cs="Arial" w:eastAsia="Arial" w:hAnsi="Arial"/>
                <w:sz w:val="18"/>
                <w:szCs w:val="18"/>
                <w:color w:val="auto"/>
                <w:w w:val="95"/>
              </w:rPr>
              <w:t>, 20   and (b) our pro forma consolidated capitalization to reflect</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w w:val="98"/>
              </w:rPr>
              <w:t>the effects of the sale of $</w:t>
            </w:r>
          </w:p>
        </w:tc>
        <w:tc>
          <w:tcPr>
            <w:tcW w:w="9300" w:type="dxa"/>
            <w:vAlign w:val="bottom"/>
            <w:gridSpan w:val="2"/>
          </w:tcPr>
          <w:p>
            <w:pPr>
              <w:ind w:left="200"/>
              <w:spacing w:after="0"/>
              <w:rPr>
                <w:sz w:val="20"/>
                <w:szCs w:val="20"/>
                <w:color w:val="auto"/>
              </w:rPr>
            </w:pPr>
            <w:r>
              <w:rPr>
                <w:rFonts w:ascii="Arial" w:cs="Arial" w:eastAsia="Arial" w:hAnsi="Arial"/>
                <w:sz w:val="18"/>
                <w:szCs w:val="18"/>
                <w:color w:val="auto"/>
                <w:w w:val="90"/>
              </w:rPr>
              <w:t>aggregate principal amount of Notes [(assuming that the underwriters do not exercise their over-allotment option)] assuming a</w:t>
            </w:r>
          </w:p>
        </w:tc>
      </w:tr>
    </w:tbl>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offering price of % of par,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gridSpan w:val="2"/>
          </w:tcPr>
          <w:p>
            <w:pPr>
              <w:ind w:left="600"/>
              <w:spacing w:after="0"/>
              <w:rPr>
                <w:sz w:val="20"/>
                <w:szCs w:val="20"/>
                <w:color w:val="auto"/>
              </w:rPr>
            </w:pPr>
            <w:r>
              <w:rPr>
                <w:rFonts w:ascii="Arial" w:cs="Arial" w:eastAsia="Arial" w:hAnsi="Arial"/>
                <w:sz w:val="14"/>
                <w:szCs w:val="14"/>
                <w:b w:val="1"/>
                <w:bCs w:val="1"/>
                <w:color w:val="auto"/>
              </w:rPr>
              <w:t>As of</w:t>
            </w:r>
          </w:p>
        </w:tc>
        <w:tc>
          <w:tcPr>
            <w:tcW w:w="1260" w:type="dxa"/>
            <w:vAlign w:val="bottom"/>
            <w:gridSpan w:val="2"/>
          </w:tcPr>
          <w:p>
            <w:pPr>
              <w:jc w:val="right"/>
              <w:ind w:right="647"/>
              <w:spacing w:after="0"/>
              <w:rPr>
                <w:sz w:val="20"/>
                <w:szCs w:val="20"/>
                <w:color w:val="auto"/>
              </w:rPr>
            </w:pPr>
            <w:r>
              <w:rPr>
                <w:rFonts w:ascii="Arial" w:cs="Arial" w:eastAsia="Arial" w:hAnsi="Arial"/>
                <w:sz w:val="14"/>
                <w:szCs w:val="14"/>
                <w:b w:val="1"/>
                <w:bCs w:val="1"/>
                <w:color w:val="auto"/>
              </w:rPr>
              <w:t>, 20</w:t>
            </w:r>
          </w:p>
        </w:tc>
        <w:tc>
          <w:tcPr>
            <w:tcW w:w="100" w:type="dxa"/>
            <w:vAlign w:val="bottom"/>
          </w:tcPr>
          <w:p>
            <w:pPr>
              <w:spacing w:after="0"/>
              <w:rPr>
                <w:sz w:val="14"/>
                <w:szCs w:val="14"/>
                <w:color w:val="auto"/>
              </w:rPr>
            </w:pPr>
          </w:p>
        </w:tc>
      </w:tr>
      <w:tr>
        <w:trPr>
          <w:trHeight w:val="149"/>
        </w:trPr>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(unaudited, dollar amounts</w:t>
            </w:r>
          </w:p>
        </w:tc>
      </w:tr>
      <w:tr>
        <w:trPr>
          <w:trHeight w:val="171"/>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r>
      <w:tr>
        <w:trPr>
          <w:trHeight w:val="142"/>
        </w:trPr>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Actual</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r>
      <w:tr>
        <w:trPr>
          <w:trHeight w:val="210"/>
        </w:trPr>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[List Debt outstanding as of period reported]</w:t>
            </w:r>
          </w:p>
        </w:tc>
        <w:tc>
          <w:tcPr>
            <w:tcW w:w="7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Total Debt</w:t>
            </w:r>
          </w:p>
        </w:tc>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Stockholders’ Equity</w:t>
            </w:r>
          </w:p>
        </w:tc>
        <w:tc>
          <w:tcPr>
            <w:tcW w:w="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w w:val="94"/>
              </w:rPr>
              <w:t>Preferred stock, $0.01 par value;</w:t>
            </w:r>
          </w:p>
        </w:tc>
        <w:tc>
          <w:tcPr>
            <w:tcW w:w="2420" w:type="dxa"/>
            <w:vAlign w:val="bottom"/>
          </w:tcPr>
          <w:p>
            <w:pPr>
              <w:ind w:left="480"/>
              <w:spacing w:after="0" w:line="201" w:lineRule="exact"/>
              <w:rPr>
                <w:sz w:val="20"/>
                <w:szCs w:val="20"/>
                <w:color w:val="auto"/>
              </w:rPr>
            </w:pPr>
            <w:r>
              <w:rPr>
                <w:rFonts w:ascii="Arial" w:cs="Arial" w:eastAsia="Arial" w:hAnsi="Arial"/>
                <w:sz w:val="18"/>
                <w:szCs w:val="18"/>
                <w:color w:val="auto"/>
              </w:rPr>
              <w:t>shares authorized;</w:t>
            </w:r>
          </w:p>
        </w:tc>
        <w:tc>
          <w:tcPr>
            <w:tcW w:w="740" w:type="dxa"/>
            <w:vAlign w:val="bottom"/>
          </w:tcPr>
          <w:p>
            <w:pPr>
              <w:spacing w:after="0" w:line="201" w:lineRule="exact"/>
              <w:rPr>
                <w:sz w:val="20"/>
                <w:szCs w:val="20"/>
                <w:color w:val="auto"/>
              </w:rPr>
            </w:pPr>
            <w:r>
              <w:rPr>
                <w:rFonts w:ascii="Arial" w:cs="Arial" w:eastAsia="Arial" w:hAnsi="Arial"/>
                <w:sz w:val="18"/>
                <w:szCs w:val="18"/>
                <w:color w:val="auto"/>
              </w:rPr>
              <w:t>and</w:t>
            </w:r>
          </w:p>
        </w:tc>
        <w:tc>
          <w:tcPr>
            <w:tcW w:w="34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shares issued and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outstanding, respectively</w:t>
            </w:r>
          </w:p>
        </w:tc>
        <w:tc>
          <w:tcPr>
            <w:tcW w:w="2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8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w:t>
            </w:r>
          </w:p>
        </w:tc>
        <w:tc>
          <w:tcPr>
            <w:tcW w:w="24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shares authorized;</w:t>
            </w:r>
          </w:p>
        </w:tc>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and</w:t>
            </w:r>
          </w:p>
        </w:tc>
        <w:tc>
          <w:tcPr>
            <w:tcW w:w="34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w:t>
            </w:r>
          </w:p>
        </w:tc>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shares outstanding, respectively</w:t>
            </w:r>
          </w:p>
        </w:tc>
        <w:tc>
          <w:tcPr>
            <w:tcW w:w="7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1"/>
              </w:rPr>
              <w:t>Treasury stock at cost,</w:t>
            </w:r>
          </w:p>
        </w:tc>
        <w:tc>
          <w:tcPr>
            <w:tcW w:w="3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shares</w:t>
            </w:r>
          </w:p>
        </w:tc>
        <w:tc>
          <w:tcPr>
            <w:tcW w:w="7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Undistributed net investment income</w:t>
            </w: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Net unrealized [gain][loss] on investments and foreign currency transactions</w:t>
            </w: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8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65"/>
        </w:trPr>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S-12</w:t>
            </w: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46" w:right="29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disclosure regarding federal income tax consequences of an investment in the Notes to the extent required to be disclosed by applicable law or regulation.]</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760"/>
          </w:cols>
          <w:pgMar w:left="240" w:top="459" w:right="89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ERISA CONSIDERATIONS]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[Insert disclosure regarding considerations for an investment in the Notes by entities subject to the Employee Retirement Income Security Act of 1974, as amended, related provisions under the Internal Revenue Code of 1986 or similar law to the extent required to be disclosed by applicable law or regulation.]</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80"/>
          </w:cols>
          <w:pgMar w:left="240" w:top="459" w:right="47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464"/>
        <w:spacing w:after="0" w:line="264" w:lineRule="auto"/>
        <w:tabs>
          <w:tab w:leader="none" w:pos="105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3720" w:type="dxa"/>
            <w:vAlign w:val="bottom"/>
          </w:tcPr>
          <w:p>
            <w:pPr>
              <w:jc w:val="center"/>
              <w:ind w:left="3068"/>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3720" w:type="dxa"/>
            <w:vAlign w:val="bottom"/>
          </w:tcPr>
          <w:p>
            <w:pPr>
              <w:jc w:val="center"/>
              <w:ind w:left="306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Total</w:t>
      </w:r>
    </w:p>
    <w:p>
      <w:pPr>
        <w:spacing w:after="0" w:line="209"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Subject to the terms and conditions set forth in the purchase agreement, the underwriters have agreed, severally and not jointly, to purchase all of the Notes sold under the purchase agreement if any of these Notes are purchased. If an underwriter defaults, the purchase agreement provides that the purchase commitments of the nondefaulting underwriters may be increased or the purchase agreement may be terminated.</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 underwriting discount of % per Note will be paid by us. [This underwriting discount will also apply to any Notes purchased pursuant to the over-allotment option.]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shows the total underwriting discounts and commissions that we are to pay to the underwriters in connection with this offering. [The information assumes either no exercise or full exercise by the underwriters of their over-allotment option.]</w:t>
      </w:r>
    </w:p>
    <w:p>
      <w:pPr>
        <w:spacing w:after="0" w:line="189" w:lineRule="exact"/>
        <w:rPr>
          <w:sz w:val="20"/>
          <w:szCs w:val="20"/>
          <w:color w:val="auto"/>
        </w:rPr>
      </w:pPr>
    </w:p>
    <w:p>
      <w:pPr>
        <w:ind w:left="6640"/>
        <w:spacing w:after="0"/>
        <w:tabs>
          <w:tab w:leader="none" w:pos="7880" w:val="left"/>
          <w:tab w:leader="none" w:pos="9660" w:val="left"/>
        </w:tabs>
        <w:rPr>
          <w:sz w:val="20"/>
          <w:szCs w:val="20"/>
          <w:color w:val="auto"/>
        </w:rPr>
      </w:pPr>
      <w:r>
        <w:rPr>
          <w:rFonts w:ascii="Arial" w:cs="Arial" w:eastAsia="Arial" w:hAnsi="Arial"/>
          <w:sz w:val="14"/>
          <w:szCs w:val="14"/>
          <w:b w:val="1"/>
          <w:bCs w:val="1"/>
          <w:u w:val="single" w:color="auto"/>
          <w:color w:val="auto"/>
        </w:rPr>
        <w:t>Per Note</w:t>
      </w:r>
      <w:r>
        <w:rPr>
          <w:sz w:val="20"/>
          <w:szCs w:val="20"/>
          <w:color w:val="auto"/>
        </w:rPr>
        <w:tab/>
      </w:r>
      <w:r>
        <w:rPr>
          <w:rFonts w:ascii="Arial" w:cs="Arial" w:eastAsia="Arial" w:hAnsi="Arial"/>
          <w:sz w:val="14"/>
          <w:szCs w:val="14"/>
          <w:b w:val="1"/>
          <w:bCs w:val="1"/>
          <w:u w:val="single" w:color="auto"/>
          <w:color w:val="auto"/>
        </w:rPr>
        <w:t>[Without Option</w:t>
      </w:r>
      <w:r>
        <w:rPr>
          <w:sz w:val="20"/>
          <w:szCs w:val="20"/>
          <w:color w:val="auto"/>
        </w:rPr>
        <w:tab/>
      </w:r>
      <w:r>
        <w:rPr>
          <w:rFonts w:ascii="Arial" w:cs="Arial" w:eastAsia="Arial" w:hAnsi="Arial"/>
          <w:sz w:val="13"/>
          <w:szCs w:val="13"/>
          <w:b w:val="1"/>
          <w:bCs w:val="1"/>
          <w:u w:val="single" w:color="auto"/>
          <w:color w:val="auto"/>
        </w:rPr>
        <w:t>With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6350</wp:posOffset>
            </wp:positionV>
            <wp:extent cx="6080125" cy="1371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Public offering price</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Underwriting discount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Proceeds to us,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expenses of the offering, not including the underwriting discount, are estimated at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and are payable by us.</w:t>
      </w:r>
    </w:p>
    <w:p>
      <w:pPr>
        <w:spacing w:after="0" w:line="211" w:lineRule="exact"/>
        <w:rPr>
          <w:sz w:val="20"/>
          <w:szCs w:val="20"/>
          <w:color w:val="auto"/>
        </w:rPr>
      </w:pPr>
    </w:p>
    <w:p>
      <w:pPr>
        <w:sectPr>
          <w:pgSz w:w="11900" w:h="16838" w:orient="portrait"/>
          <w:cols w:equalWidth="0" w:num="2">
            <w:col w:w="6820" w:space="400"/>
            <w:col w:w="4180"/>
          </w:cols>
          <w:pgMar w:left="240" w:top="45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[Over-allotment Option</w:t>
      </w:r>
    </w:p>
    <w:p>
      <w:pPr>
        <w:sectPr>
          <w:pgSz w:w="11900" w:h="16838" w:orient="portrait"/>
          <w:cols w:equalWidth="0" w:num="1">
            <w:col w:w="11400"/>
          </w:cols>
          <w:pgMar w:left="240" w:top="459" w:right="259" w:bottom="1440" w:gutter="0" w:footer="0" w:header="0"/>
          <w:type w:val="continuous"/>
        </w:sectPr>
      </w:pPr>
    </w:p>
    <w:p>
      <w:pPr>
        <w:spacing w:after="0" w:line="14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an option to the underwriters to purchase up to an additional $ public offering price within days from the date of this prospectus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aggregate principal amount of the Notes offered hereby at the</w:t>
      </w:r>
    </w:p>
    <w:p>
      <w:pPr>
        <w:spacing w:after="0" w:line="396" w:lineRule="exact"/>
        <w:rPr>
          <w:sz w:val="20"/>
          <w:szCs w:val="20"/>
          <w:color w:val="auto"/>
        </w:rPr>
      </w:pPr>
    </w:p>
    <w:p>
      <w:pPr>
        <w:sectPr>
          <w:pgSz w:w="11900" w:h="16838" w:orient="portrait"/>
          <w:cols w:equalWidth="0" w:num="2">
            <w:col w:w="6180" w:space="420"/>
            <w:col w:w="480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400"/>
          </w:cols>
          <w:pgMar w:left="240" w:top="459" w:right="259" w:bottom="1440" w:gutter="0" w:footer="0" w:header="0"/>
          <w:type w:val="continuous"/>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supplement solely to cover any over-allotments. If the underwriters exercise this option, each will be obligated, subject to conditions contained in the purchase agreement, to purchase a number of additional Notes proportionate to that underwriter’s initial principal amount reflected in the above table.]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for a period of days after the date of this prospectus supplement without first obtaining the written consent of [ ]. This consent may be given at any time without public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Notes are a new issue of securities with no established trading market. We intend to list the Notes on to begin within days after the original issue date. Currently there is no public market for the Notes.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 We expect trading in the Notes on</w:t>
      </w:r>
    </w:p>
    <w:p>
      <w:pPr>
        <w:spacing w:after="0" w:line="464" w:lineRule="exact"/>
        <w:rPr>
          <w:sz w:val="20"/>
          <w:szCs w:val="20"/>
          <w:color w:val="auto"/>
        </w:rPr>
      </w:pPr>
    </w:p>
    <w:p>
      <w:pPr>
        <w:sectPr>
          <w:pgSz w:w="11900" w:h="16838" w:orient="portrait"/>
          <w:cols w:equalWidth="0" w:num="2">
            <w:col w:w="8020" w:space="420"/>
            <w:col w:w="2960"/>
          </w:cols>
          <w:pgMar w:left="240" w:top="459" w:right="259" w:bottom="1440" w:gutter="0" w:footer="0" w:header="0"/>
          <w:type w:val="continuous"/>
        </w:sectPr>
      </w:pPr>
    </w:p>
    <w:p>
      <w:pPr>
        <w:ind w:right="100" w:firstLine="456"/>
        <w:spacing w:after="0" w:line="257" w:lineRule="auto"/>
        <w:rPr>
          <w:sz w:val="20"/>
          <w:szCs w:val="20"/>
          <w:color w:val="auto"/>
        </w:rPr>
      </w:pPr>
      <w:r>
        <w:rPr>
          <w:rFonts w:ascii="Arial" w:cs="Arial" w:eastAsia="Arial" w:hAnsi="Arial"/>
          <w:sz w:val="18"/>
          <w:szCs w:val="18"/>
          <w:color w:val="auto"/>
        </w:rPr>
        <w:t>We have been advised by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securities in excess of the aggregate principal amount of securities to be purchased by the underwriters in the offering, which creates a short position for the underwriters. Covering transactions involve purchases of the securities in the open market after the distribution has been completed in order to cover short positions. Stabilizing transactions consist of certain bids or purchases of securities made for the purpose of preventing or retarding a decline in the market price of the securities while the offering is in progress.</w:t>
      </w:r>
    </w:p>
    <w:p>
      <w:pPr>
        <w:spacing w:after="0" w:line="158"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type w:val="continuous"/>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[Describe any other specific transactions and compensation related thereto to the extent required to be disclosed by applicable law or regulation.]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[Describe if underwriters receiving proceeds of offering, if required by FINRA.]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principal business addresses of underwriters.]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40"/>
          </w:cols>
          <w:pgMar w:left="240" w:top="460" w:right="31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tabs>
          <w:tab w:leader="none" w:pos="10680" w:val="left"/>
        </w:tabs>
        <w:rPr>
          <w:sz w:val="20"/>
          <w:szCs w:val="20"/>
          <w:color w:val="auto"/>
        </w:rPr>
      </w:pPr>
      <w:r>
        <w:rPr>
          <w:rFonts w:ascii="Arial" w:cs="Arial" w:eastAsia="Arial" w:hAnsi="Arial"/>
          <w:sz w:val="17"/>
          <w:szCs w:val="17"/>
          <w:color w:val="auto"/>
        </w:rPr>
        <w:t>Hamilton LLP also represents the Adviser. Certain legal matters in connection with the offering will be passed upon for the underwriters by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600" w:hanging="592"/>
        <w:spacing w:after="0"/>
        <w:tabs>
          <w:tab w:leader="none" w:pos="6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240" w:top="459" w:right="51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financial statements and notes thereto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507" w:name="page508"/>
    <w:bookmarkEnd w:id="5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341630</wp:posOffset>
            </wp:positionV>
            <wp:extent cx="1346200" cy="660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40"/>
        <w:spacing w:after="0"/>
        <w:rPr>
          <w:sz w:val="20"/>
          <w:szCs w:val="20"/>
          <w:color w:val="auto"/>
        </w:rPr>
      </w:pPr>
      <w:r>
        <w:rPr>
          <w:rFonts w:ascii="Arial" w:cs="Arial" w:eastAsia="Arial" w:hAnsi="Arial"/>
          <w:sz w:val="26"/>
          <w:szCs w:val="26"/>
          <w:color w:val="auto"/>
        </w:rPr>
        <w:t>% [Insert ranking/conversion information]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1060450</wp:posOffset>
            </wp:positionV>
            <wp:extent cx="151765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60"/>
        <w:spacing w:after="0"/>
        <w:rPr>
          <w:sz w:val="20"/>
          <w:szCs w:val="20"/>
          <w:color w:val="auto"/>
        </w:rPr>
      </w:pPr>
      <w:r>
        <w:rPr>
          <w:rFonts w:ascii="Arial" w:cs="Arial" w:eastAsia="Arial" w:hAnsi="Arial"/>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975360</wp:posOffset>
            </wp:positionV>
            <wp:extent cx="724662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1026795</wp:posOffset>
            </wp:positionV>
            <wp:extent cx="7246620" cy="260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508" w:name="page509"/>
    <w:bookmarkEnd w:id="50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DE1A1E"/>
        </w:rPr>
        <w:t>Subject to Completion</w:t>
      </w:r>
    </w:p>
    <w:p>
      <w:pPr>
        <w:spacing w:after="0" w:line="28" w:lineRule="exact"/>
        <w:rPr>
          <w:sz w:val="20"/>
          <w:szCs w:val="20"/>
          <w:color w:val="auto"/>
        </w:rPr>
      </w:pPr>
    </w:p>
    <w:p>
      <w:pPr>
        <w:ind w:left="4020"/>
        <w:spacing w:after="0"/>
        <w:tabs>
          <w:tab w:leader="none" w:pos="7180" w:val="left"/>
        </w:tabs>
        <w:rPr>
          <w:sz w:val="20"/>
          <w:szCs w:val="20"/>
          <w:color w:val="auto"/>
        </w:rPr>
      </w:pPr>
      <w:r>
        <w:rPr>
          <w:rFonts w:ascii="Arial" w:cs="Arial" w:eastAsia="Arial" w:hAnsi="Arial"/>
          <w:sz w:val="14"/>
          <w:szCs w:val="14"/>
          <w:b w:val="1"/>
          <w:bCs w:val="1"/>
          <w:color w:val="DE1A1E"/>
        </w:rPr>
        <w:t>Preliminary Prospectus Supplement dated</w:t>
      </w:r>
      <w:r>
        <w:rPr>
          <w:sz w:val="20"/>
          <w:szCs w:val="20"/>
          <w:color w:val="auto"/>
        </w:rPr>
        <w:tab/>
      </w:r>
      <w:r>
        <w:rPr>
          <w:rFonts w:ascii="Arial" w:cs="Arial" w:eastAsia="Arial" w:hAnsi="Arial"/>
          <w:sz w:val="11"/>
          <w:szCs w:val="11"/>
          <w:b w:val="1"/>
          <w:bCs w:val="1"/>
          <w:color w:val="DE1A1E"/>
        </w:rPr>
        <w:t>, 20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PRELIMINARY PROSPECTUS SUPPLEMENT TO BE USED IN CONJUNCTION WITH FUTURE</w:t>
      </w:r>
    </w:p>
    <w:p>
      <w:pPr>
        <w:jc w:val="center"/>
        <w:spacing w:after="0"/>
        <w:rPr>
          <w:sz w:val="20"/>
          <w:szCs w:val="20"/>
          <w:color w:val="auto"/>
        </w:rPr>
      </w:pPr>
      <w:r>
        <w:rPr>
          <w:rFonts w:ascii="Arial" w:cs="Arial" w:eastAsia="Arial" w:hAnsi="Arial"/>
          <w:sz w:val="14"/>
          <w:szCs w:val="14"/>
          <w:color w:val="auto"/>
        </w:rPr>
        <w:t>RIGHTS OFFERINGS](1)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20"/>
                <w:szCs w:val="20"/>
                <w:color w:val="auto"/>
              </w:rPr>
            </w:pPr>
            <w:r>
              <w:rPr>
                <w:rFonts w:ascii="Arial" w:cs="Arial" w:eastAsia="Arial" w:hAnsi="Arial"/>
                <w:sz w:val="14"/>
                <w:szCs w:val="14"/>
                <w:b w:val="1"/>
                <w:bCs w:val="1"/>
                <w:color w:val="auto"/>
              </w:rPr>
              <w:t>(To Prospectus dated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15875</wp:posOffset>
            </wp:positionV>
            <wp:extent cx="1346200" cy="660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Up to</w:t>
            </w:r>
          </w:p>
        </w:tc>
        <w:tc>
          <w:tcPr>
            <w:tcW w:w="248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 of</w:t>
            </w:r>
          </w:p>
        </w:tc>
        <w:tc>
          <w:tcPr>
            <w:tcW w:w="3200" w:type="dxa"/>
            <w:vAlign w:val="bottom"/>
          </w:tcPr>
          <w:p>
            <w:pPr>
              <w:spacing w:after="0"/>
              <w:rPr>
                <w:sz w:val="14"/>
                <w:szCs w:val="14"/>
                <w:color w:val="auto"/>
              </w:rPr>
            </w:pPr>
          </w:p>
        </w:tc>
      </w:tr>
      <w:tr>
        <w:trPr>
          <w:trHeight w:val="149"/>
        </w:trPr>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32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6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3200" w:type="dxa"/>
            <w:vAlign w:val="bottom"/>
          </w:tcPr>
          <w:p>
            <w:pPr>
              <w:spacing w:after="0"/>
              <w:rPr>
                <w:sz w:val="12"/>
                <w:szCs w:val="12"/>
                <w:color w:val="auto"/>
              </w:rPr>
            </w:pPr>
          </w:p>
        </w:tc>
      </w:tr>
      <w:tr>
        <w:trPr>
          <w:trHeight w:val="186"/>
        </w:trPr>
        <w:tc>
          <w:tcPr>
            <w:tcW w:w="3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6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0"/>
              </w:rPr>
              <w:t>Exercise of Rights</w:t>
            </w:r>
          </w:p>
        </w:tc>
        <w:tc>
          <w:tcPr>
            <w:tcW w:w="3200" w:type="dxa"/>
            <w:vAlign w:val="bottom"/>
          </w:tcPr>
          <w:p>
            <w:pPr>
              <w:spacing w:after="0"/>
              <w:rPr>
                <w:sz w:val="16"/>
                <w:szCs w:val="16"/>
                <w:color w:val="auto"/>
              </w:rPr>
            </w:pPr>
          </w:p>
        </w:tc>
      </w:tr>
      <w:tr>
        <w:trPr>
          <w:trHeight w:val="134"/>
        </w:trPr>
        <w:tc>
          <w:tcPr>
            <w:tcW w:w="4520" w:type="dxa"/>
            <w:vAlign w:val="bottom"/>
            <w:gridSpan w:val="2"/>
          </w:tcPr>
          <w:p>
            <w:pPr>
              <w:spacing w:after="0"/>
              <w:rPr>
                <w:sz w:val="11"/>
                <w:szCs w:val="11"/>
                <w:color w:val="auto"/>
              </w:rPr>
            </w:pPr>
          </w:p>
        </w:tc>
        <w:tc>
          <w:tcPr>
            <w:tcW w:w="2380" w:type="dxa"/>
            <w:vAlign w:val="bottom"/>
            <w:tcBorders>
              <w:bottom w:val="single" w:sz="8" w:color="auto"/>
            </w:tcBorders>
            <w:gridSpan w:val="2"/>
          </w:tcPr>
          <w:p>
            <w:pPr>
              <w:spacing w:after="0"/>
              <w:rPr>
                <w:sz w:val="11"/>
                <w:szCs w:val="11"/>
                <w:color w:val="auto"/>
              </w:rPr>
            </w:pPr>
          </w:p>
        </w:tc>
        <w:tc>
          <w:tcPr>
            <w:tcW w:w="118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55"/>
        </w:trPr>
        <w:tc>
          <w:tcPr>
            <w:tcW w:w="8080" w:type="dxa"/>
            <w:vAlign w:val="bottom"/>
            <w:gridSpan w:val="5"/>
          </w:tcPr>
          <w:p>
            <w:pPr>
              <w:ind w:left="360"/>
              <w:spacing w:after="0"/>
              <w:rPr>
                <w:sz w:val="20"/>
                <w:szCs w:val="20"/>
                <w:color w:val="auto"/>
              </w:rPr>
            </w:pPr>
            <w:r>
              <w:rPr>
                <w:rFonts w:ascii="Arial" w:cs="Arial" w:eastAsia="Arial" w:hAnsi="Arial"/>
                <w:sz w:val="13"/>
                <w:szCs w:val="13"/>
                <w:color w:val="auto"/>
                <w:w w:val="89"/>
              </w:rPr>
              <w:t>We are issuing [transferable/non-transferable] rights to our stockholders of record, or record date stockholders, as of 5:00 p.m., New York City time, on</w:t>
            </w:r>
          </w:p>
        </w:tc>
        <w:tc>
          <w:tcPr>
            <w:tcW w:w="3200" w:type="dxa"/>
            <w:vAlign w:val="bottom"/>
          </w:tcPr>
          <w:p>
            <w:pPr>
              <w:ind w:left="400"/>
              <w:spacing w:after="0"/>
              <w:rPr>
                <w:sz w:val="20"/>
                <w:szCs w:val="20"/>
                <w:color w:val="auto"/>
              </w:rPr>
            </w:pPr>
            <w:r>
              <w:rPr>
                <w:rFonts w:ascii="Arial" w:cs="Arial" w:eastAsia="Arial" w:hAnsi="Arial"/>
                <w:sz w:val="13"/>
                <w:szCs w:val="13"/>
                <w:color w:val="auto"/>
                <w:w w:val="91"/>
              </w:rPr>
              <w:t>, 20  , or the record date. The rights entitle holders of</w:t>
            </w:r>
          </w:p>
        </w:tc>
      </w:tr>
      <w:tr>
        <w:trPr>
          <w:trHeight w:val="145"/>
        </w:trPr>
        <w:tc>
          <w:tcPr>
            <w:tcW w:w="3320" w:type="dxa"/>
            <w:vAlign w:val="bottom"/>
          </w:tcPr>
          <w:p>
            <w:pPr>
              <w:spacing w:after="0" w:line="145" w:lineRule="exact"/>
              <w:rPr>
                <w:sz w:val="20"/>
                <w:szCs w:val="20"/>
                <w:color w:val="auto"/>
              </w:rPr>
            </w:pPr>
            <w:r>
              <w:rPr>
                <w:rFonts w:ascii="Arial" w:cs="Arial" w:eastAsia="Arial" w:hAnsi="Arial"/>
                <w:sz w:val="13"/>
                <w:szCs w:val="13"/>
                <w:color w:val="auto"/>
                <w:w w:val="92"/>
              </w:rPr>
              <w:t>rights, or rights holders, to subscribe for an aggregate of up to</w:t>
            </w:r>
          </w:p>
        </w:tc>
        <w:tc>
          <w:tcPr>
            <w:tcW w:w="4760" w:type="dxa"/>
            <w:vAlign w:val="bottom"/>
            <w:gridSpan w:val="4"/>
          </w:tcPr>
          <w:p>
            <w:pPr>
              <w:ind w:left="180"/>
              <w:spacing w:after="0" w:line="145" w:lineRule="exact"/>
              <w:rPr>
                <w:sz w:val="20"/>
                <w:szCs w:val="20"/>
                <w:color w:val="auto"/>
              </w:rPr>
            </w:pPr>
            <w:r>
              <w:rPr>
                <w:rFonts w:ascii="Arial" w:cs="Arial" w:eastAsia="Arial" w:hAnsi="Arial"/>
                <w:sz w:val="13"/>
                <w:szCs w:val="13"/>
                <w:color w:val="auto"/>
                <w:w w:val="93"/>
              </w:rPr>
              <w:t>shares of our common stock. Record date stockholders will receive one right for each</w:t>
            </w:r>
          </w:p>
        </w:tc>
        <w:tc>
          <w:tcPr>
            <w:tcW w:w="3200" w:type="dxa"/>
            <w:vAlign w:val="bottom"/>
          </w:tcPr>
          <w:p>
            <w:pPr>
              <w:ind w:left="100"/>
              <w:spacing w:after="0" w:line="145" w:lineRule="exact"/>
              <w:rPr>
                <w:sz w:val="20"/>
                <w:szCs w:val="20"/>
                <w:color w:val="auto"/>
              </w:rPr>
            </w:pPr>
            <w:r>
              <w:rPr>
                <w:rFonts w:ascii="Arial" w:cs="Arial" w:eastAsia="Arial" w:hAnsi="Arial"/>
                <w:sz w:val="13"/>
                <w:szCs w:val="13"/>
                <w:color w:val="auto"/>
                <w:w w:val="86"/>
              </w:rPr>
              <w:t>shares of common stock owned on the record date. The rights</w:t>
            </w:r>
          </w:p>
        </w:tc>
      </w:tr>
    </w:tbl>
    <w:p>
      <w:pPr>
        <w:jc w:val="both"/>
        <w:ind w:right="240"/>
        <w:spacing w:after="0" w:line="245" w:lineRule="auto"/>
        <w:rPr>
          <w:sz w:val="20"/>
          <w:szCs w:val="20"/>
          <w:color w:val="auto"/>
        </w:rPr>
      </w:pPr>
      <w:r>
        <w:rPr>
          <w:rFonts w:ascii="Arial" w:cs="Arial" w:eastAsia="Arial" w:hAnsi="Arial"/>
          <w:sz w:val="12"/>
          <w:szCs w:val="12"/>
          <w:color w:val="auto"/>
        </w:rPr>
        <w:t>entitle the holder to purchase one new share of common stock for every right held, which we refer to as the basic subscription right[, and record date stockholders who fully exercise their rights will be entitled to subscribe, subject to certain limitations and pro rata allocation, for additional shares that remain unsubscribed as a result of any unexercised rights.][ In addition, any non-record date stockholder who exercises rights will be entitled to subscribe, subject to certain limitations and pro rata allocation, for any remaining shares that are not otherwise subscribed for by record date stockholders.]</w:t>
      </w:r>
    </w:p>
    <w:p>
      <w:pPr>
        <w:spacing w:after="0" w:line="13" w:lineRule="exact"/>
        <w:rPr>
          <w:sz w:val="20"/>
          <w:szCs w:val="20"/>
          <w:color w:val="auto"/>
        </w:rPr>
      </w:pPr>
    </w:p>
    <w:p>
      <w:pPr>
        <w:ind w:right="460" w:firstLine="342"/>
        <w:spacing w:after="0" w:line="237" w:lineRule="auto"/>
        <w:rPr>
          <w:sz w:val="20"/>
          <w:szCs w:val="20"/>
          <w:color w:val="auto"/>
        </w:rPr>
      </w:pPr>
      <w:r>
        <w:rPr>
          <w:rFonts w:ascii="Arial" w:cs="Arial" w:eastAsia="Arial" w:hAnsi="Arial"/>
          <w:sz w:val="13"/>
          <w:szCs w:val="13"/>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2" w:lineRule="exact"/>
        <w:rPr>
          <w:sz w:val="20"/>
          <w:szCs w:val="20"/>
          <w:color w:val="auto"/>
        </w:rPr>
      </w:pPr>
    </w:p>
    <w:p>
      <w:pPr>
        <w:ind w:right="140" w:firstLine="342"/>
        <w:spacing w:after="0" w:line="237" w:lineRule="auto"/>
        <w:rPr>
          <w:sz w:val="20"/>
          <w:szCs w:val="20"/>
          <w:color w:val="auto"/>
        </w:rPr>
      </w:pPr>
      <w:r>
        <w:rPr>
          <w:rFonts w:ascii="Arial" w:cs="Arial" w:eastAsia="Arial" w:hAnsi="Arial"/>
          <w:sz w:val="13"/>
          <w:szCs w:val="13"/>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1"/>
          <w:szCs w:val="11"/>
          <w:color w:val="auto"/>
        </w:rPr>
        <w:t>We are an externally managed, closed-end, non-diversified management investment company. TSL Advisers, LLC, or the Adviser, acts as our investment adviser and administrator. We and the Adviser are part of the</w:t>
      </w:r>
    </w:p>
    <w:p>
      <w:pPr>
        <w:spacing w:after="0" w:line="4" w:lineRule="exact"/>
        <w:rPr>
          <w:sz w:val="20"/>
          <w:szCs w:val="20"/>
          <w:color w:val="auto"/>
        </w:rPr>
      </w:pPr>
    </w:p>
    <w:p>
      <w:pPr>
        <w:spacing w:after="0"/>
        <w:tabs>
          <w:tab w:leader="none" w:pos="3260" w:val="left"/>
          <w:tab w:leader="none" w:pos="5820" w:val="left"/>
        </w:tabs>
        <w:rPr>
          <w:sz w:val="20"/>
          <w:szCs w:val="20"/>
          <w:color w:val="auto"/>
        </w:rPr>
      </w:pPr>
      <w:r>
        <w:rPr>
          <w:rFonts w:ascii="Arial" w:cs="Arial" w:eastAsia="Arial" w:hAnsi="Arial"/>
          <w:sz w:val="13"/>
          <w:szCs w:val="13"/>
          <w:color w:val="auto"/>
        </w:rPr>
        <w:t>TPG Special Situations Partners platform, which had over $</w:t>
      </w:r>
      <w:r>
        <w:rPr>
          <w:sz w:val="20"/>
          <w:szCs w:val="20"/>
          <w:color w:val="auto"/>
        </w:rPr>
        <w:tab/>
      </w:r>
      <w:r>
        <w:rPr>
          <w:rFonts w:ascii="Arial" w:cs="Arial" w:eastAsia="Arial" w:hAnsi="Arial"/>
          <w:sz w:val="13"/>
          <w:szCs w:val="13"/>
          <w:color w:val="auto"/>
        </w:rPr>
        <w:t>billion of assets under management as of</w:t>
      </w:r>
      <w:r>
        <w:rPr>
          <w:sz w:val="20"/>
          <w:szCs w:val="20"/>
          <w:color w:val="auto"/>
        </w:rPr>
        <w:tab/>
      </w:r>
      <w:r>
        <w:rPr>
          <w:rFonts w:ascii="Arial" w:cs="Arial" w:eastAsia="Arial" w:hAnsi="Arial"/>
          <w:sz w:val="11"/>
          <w:szCs w:val="11"/>
          <w:color w:val="auto"/>
        </w:rPr>
        <w:t>, 20 . TPG Special Situations Partners is the special situations and credit platform of TPG, a leading global</w:t>
      </w:r>
    </w:p>
    <w:p>
      <w:pPr>
        <w:spacing w:after="0"/>
        <w:tabs>
          <w:tab w:leader="none" w:pos="2920" w:val="left"/>
          <w:tab w:leader="none" w:pos="5480" w:val="left"/>
        </w:tabs>
        <w:rPr>
          <w:sz w:val="20"/>
          <w:szCs w:val="20"/>
          <w:color w:val="auto"/>
        </w:rPr>
      </w:pPr>
      <w:r>
        <w:rPr>
          <w:rFonts w:ascii="Arial" w:cs="Arial" w:eastAsia="Arial" w:hAnsi="Arial"/>
          <w:sz w:val="13"/>
          <w:szCs w:val="13"/>
          <w:color w:val="auto"/>
        </w:rPr>
        <w:t>private investment firm founded in 1992 with over $</w:t>
      </w:r>
      <w:r>
        <w:rPr>
          <w:sz w:val="20"/>
          <w:szCs w:val="20"/>
          <w:color w:val="auto"/>
        </w:rPr>
        <w:tab/>
      </w:r>
      <w:r>
        <w:rPr>
          <w:rFonts w:ascii="Arial" w:cs="Arial" w:eastAsia="Arial" w:hAnsi="Arial"/>
          <w:sz w:val="13"/>
          <w:szCs w:val="13"/>
          <w:color w:val="auto"/>
        </w:rPr>
        <w:t>billion of assets under management as of</w:t>
      </w:r>
      <w:r>
        <w:rPr>
          <w:sz w:val="20"/>
          <w:szCs w:val="20"/>
          <w:color w:val="auto"/>
        </w:rPr>
        <w:tab/>
      </w:r>
      <w:r>
        <w:rPr>
          <w:rFonts w:ascii="Arial" w:cs="Arial" w:eastAsia="Arial" w:hAnsi="Arial"/>
          <w:sz w:val="9"/>
          <w:szCs w:val="9"/>
          <w:color w:val="auto"/>
        </w:rPr>
        <w:t>, 20 .</w:t>
      </w:r>
    </w:p>
    <w:p>
      <w:pPr>
        <w:spacing w:after="0" w:line="16" w:lineRule="exact"/>
        <w:rPr>
          <w:sz w:val="20"/>
          <w:szCs w:val="20"/>
          <w:color w:val="auto"/>
        </w:rPr>
      </w:pPr>
    </w:p>
    <w:p>
      <w:pPr>
        <w:ind w:right="40" w:firstLine="342"/>
        <w:spacing w:after="0" w:line="226"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1"/>
          <w:szCs w:val="11"/>
          <w:color w:val="auto"/>
        </w:rPr>
        <w:t>Substantially all of our debt investments have variable interest rates that reset periodically based on interest rate benchmarks such as London Interbank Offered Rate, the Federal Funds Effective Rate or the Prime Rate.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As a result, significant increases in such interest rate benchmarks in the future would make it more difficult for these borrowers to service their obligations under the debt investments that we hold.</w:t>
      </w:r>
    </w:p>
    <w:p>
      <w:pPr>
        <w:spacing w:after="0" w:line="16" w:lineRule="exact"/>
        <w:rPr>
          <w:sz w:val="20"/>
          <w:szCs w:val="20"/>
          <w:color w:val="auto"/>
        </w:rPr>
      </w:pPr>
    </w:p>
    <w:p>
      <w:pPr>
        <w:ind w:right="180" w:firstLine="342"/>
        <w:spacing w:after="0" w:line="230" w:lineRule="auto"/>
        <w:rPr>
          <w:sz w:val="20"/>
          <w:szCs w:val="20"/>
          <w:color w:val="auto"/>
        </w:rPr>
      </w:pPr>
      <w:r>
        <w:rPr>
          <w:rFonts w:ascii="Arial" w:cs="Arial" w:eastAsia="Arial" w:hAnsi="Arial"/>
          <w:sz w:val="13"/>
          <w:szCs w:val="13"/>
          <w:color w:val="auto"/>
        </w:rPr>
        <w:t>Our common stock is traded on the New York Stock Exchange, or NYSE, under the symbol “TSLX.” [The rights are transferable and will be listed on under the symbol “ .”] On , 20 , the last reported sales price of our common stock on the NYSE was $ per share. The net asset value per share of our common stock at , 20 (the last date prior to the date of this prospectus supplement on which we determined net asset value) was $ .</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The subscription price per share will be [describe means of computing subscription price]. Because the subscription price will be determined on the expiration date, stockholders who elect to exercise their</w:t>
      </w:r>
    </w:p>
    <w:p>
      <w:pPr>
        <w:spacing w:after="0" w:line="23" w:lineRule="exact"/>
        <w:rPr>
          <w:sz w:val="20"/>
          <w:szCs w:val="20"/>
          <w:color w:val="auto"/>
        </w:rPr>
      </w:pPr>
    </w:p>
    <w:p>
      <w:pPr>
        <w:ind w:right="80"/>
        <w:spacing w:after="0" w:line="224" w:lineRule="auto"/>
        <w:rPr>
          <w:sz w:val="20"/>
          <w:szCs w:val="20"/>
          <w:color w:val="auto"/>
        </w:rPr>
      </w:pPr>
      <w:r>
        <w:rPr>
          <w:rFonts w:ascii="Arial" w:cs="Arial" w:eastAsia="Arial" w:hAnsi="Arial"/>
          <w:sz w:val="13"/>
          <w:szCs w:val="13"/>
          <w:b w:val="1"/>
          <w:bCs w:val="1"/>
          <w:color w:val="auto"/>
        </w:rPr>
        <w:t>rights will not know the subscription price per share at the time they exercise such rights. The rights will expire if they are not exercised by 5:00 p.m., New York City time, on , 20 , the expiration date of this offering, unless extended. We, in our sole discretion, may extend the period for exercising the rights. You will have no right to rescind your subscription after receipt of your payment of the estimated subscription price or a notice of guaranteed delivery except as described in this prospectus supplement or accompanying prospectus.</w:t>
      </w:r>
    </w:p>
    <w:p>
      <w:pPr>
        <w:spacing w:after="0" w:line="4" w:lineRule="exact"/>
        <w:rPr>
          <w:sz w:val="20"/>
          <w:szCs w:val="20"/>
          <w:color w:val="auto"/>
        </w:rPr>
      </w:pPr>
    </w:p>
    <w:p>
      <w:pPr>
        <w:jc w:val="both"/>
        <w:ind w:firstLine="342"/>
        <w:spacing w:after="0" w:line="230" w:lineRule="auto"/>
        <w:rPr>
          <w:sz w:val="20"/>
          <w:szCs w:val="20"/>
          <w:color w:val="auto"/>
        </w:rPr>
      </w:pPr>
      <w:r>
        <w:rPr>
          <w:rFonts w:ascii="Arial" w:cs="Arial" w:eastAsia="Arial" w:hAnsi="Arial"/>
          <w:sz w:val="13"/>
          <w:szCs w:val="13"/>
          <w:color w:val="auto"/>
        </w:rPr>
        <w:t>This offering will dilute the ownership interest and voting power of the common stock owned by stockholders who do not fully exercise their subscription rights. Stockholders who do not fully exercise their subscription rights should expect, upon completion of the offering, to own a smaller proportional interest in us than before the offering. Further, if the net proceeds per share from the offering are at a discount to our net asset value per share, this offering will reduce our net asset value per share.</w:t>
      </w:r>
    </w:p>
    <w:p>
      <w:pPr>
        <w:spacing w:after="0" w:line="12" w:lineRule="exact"/>
        <w:rPr>
          <w:sz w:val="20"/>
          <w:szCs w:val="20"/>
          <w:color w:val="auto"/>
        </w:rPr>
      </w:pPr>
    </w:p>
    <w:p>
      <w:pPr>
        <w:ind w:right="600" w:firstLine="456"/>
        <w:spacing w:after="0" w:line="276" w:lineRule="auto"/>
        <w:rPr>
          <w:sz w:val="20"/>
          <w:szCs w:val="20"/>
          <w:color w:val="auto"/>
        </w:rPr>
      </w:pPr>
      <w:r>
        <w:rPr>
          <w:rFonts w:ascii="Arial" w:cs="Arial" w:eastAsia="Arial" w:hAnsi="Arial"/>
          <w:sz w:val="18"/>
          <w:szCs w:val="18"/>
          <w:b w:val="1"/>
          <w:bCs w:val="1"/>
          <w:color w:val="auto"/>
        </w:rPr>
        <w:t>Investing in our common stock involves risks that are described in the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section beginning on page S-10 of this prospectus supplement and page [ ] of the accompanying prospectus, including the risk of leverage.</w:t>
      </w:r>
    </w:p>
    <w:p>
      <w:pPr>
        <w:spacing w:after="0" w:line="1" w:lineRule="exact"/>
        <w:rPr>
          <w:sz w:val="20"/>
          <w:szCs w:val="20"/>
          <w:color w:val="auto"/>
        </w:rPr>
      </w:pPr>
    </w:p>
    <w:p>
      <w:pPr>
        <w:ind w:right="40" w:firstLine="342"/>
        <w:spacing w:after="0" w:line="272" w:lineRule="auto"/>
        <w:rPr>
          <w:sz w:val="20"/>
          <w:szCs w:val="20"/>
          <w:color w:val="auto"/>
        </w:rPr>
      </w:pPr>
      <w:r>
        <w:rPr>
          <w:rFonts w:ascii="Arial" w:cs="Arial" w:eastAsia="Arial" w:hAnsi="Arial"/>
          <w:sz w:val="11"/>
          <w:szCs w:val="11"/>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100" w:type="dxa"/>
            <w:vAlign w:val="bottom"/>
            <w:gridSpan w:val="2"/>
          </w:tcPr>
          <w:p>
            <w:pPr>
              <w:ind w:left="2560"/>
              <w:spacing w:after="0"/>
              <w:rPr>
                <w:sz w:val="20"/>
                <w:szCs w:val="20"/>
                <w:color w:val="auto"/>
              </w:rPr>
            </w:pPr>
            <w:r>
              <w:rPr>
                <w:rFonts w:ascii="Arial" w:cs="Arial" w:eastAsia="Arial" w:hAnsi="Arial"/>
                <w:sz w:val="13"/>
                <w:szCs w:val="13"/>
                <w:b w:val="1"/>
                <w:bCs w:val="1"/>
                <w:color w:val="auto"/>
                <w:w w:val="85"/>
              </w:rPr>
              <w:t>Per Share</w:t>
            </w:r>
          </w:p>
        </w:tc>
        <w:tc>
          <w:tcPr>
            <w:tcW w:w="50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Estimated subscription price</w:t>
            </w:r>
            <w:r>
              <w:rPr>
                <w:rFonts w:ascii="Arial" w:cs="Arial" w:eastAsia="Arial" w:hAnsi="Arial"/>
                <w:sz w:val="11"/>
                <w:szCs w:val="11"/>
                <w:color w:val="auto"/>
              </w:rPr>
              <w:t>(1)</w:t>
            </w:r>
          </w:p>
        </w:tc>
        <w:tc>
          <w:tcPr>
            <w:tcW w:w="3100" w:type="dxa"/>
            <w:vAlign w:val="bottom"/>
            <w:gridSpan w:val="2"/>
            <w:shd w:val="clear" w:color="auto" w:fill="CCEEFF"/>
          </w:tcPr>
          <w:p>
            <w:pPr>
              <w:ind w:left="2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37"/>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r>
              <w:rPr>
                <w:rFonts w:ascii="Arial" w:cs="Arial" w:eastAsia="Arial" w:hAnsi="Arial"/>
                <w:sz w:val="11"/>
                <w:szCs w:val="11"/>
                <w:color w:val="auto"/>
              </w:rPr>
              <w:t>(2)</w:t>
            </w:r>
          </w:p>
        </w:tc>
        <w:tc>
          <w:tcPr>
            <w:tcW w:w="3100" w:type="dxa"/>
            <w:vAlign w:val="bottom"/>
            <w:gridSpan w:val="2"/>
          </w:tcPr>
          <w:p>
            <w:pPr>
              <w:ind w:left="2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37"/>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r>
              <w:rPr>
                <w:rFonts w:ascii="Arial" w:cs="Arial" w:eastAsia="Arial" w:hAnsi="Arial"/>
                <w:sz w:val="11"/>
                <w:szCs w:val="11"/>
                <w:color w:val="auto"/>
              </w:rPr>
              <w:t>(3)</w:t>
            </w:r>
          </w:p>
        </w:tc>
        <w:tc>
          <w:tcPr>
            <w:tcW w:w="3100" w:type="dxa"/>
            <w:vAlign w:val="bottom"/>
            <w:gridSpan w:val="2"/>
            <w:shd w:val="clear" w:color="auto" w:fill="CCEEFF"/>
          </w:tcPr>
          <w:p>
            <w:pPr>
              <w:ind w:left="2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37"/>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421"/>
        </w:numPr>
        <w:rPr>
          <w:rFonts w:ascii="Arial" w:cs="Arial" w:eastAsia="Arial" w:hAnsi="Arial"/>
          <w:sz w:val="13"/>
          <w:szCs w:val="13"/>
          <w:color w:val="auto"/>
        </w:rPr>
      </w:pPr>
      <w:r>
        <w:rPr>
          <w:rFonts w:ascii="Arial" w:cs="Arial" w:eastAsia="Arial" w:hAnsi="Arial"/>
          <w:sz w:val="13"/>
          <w:szCs w:val="13"/>
          <w:color w:val="auto"/>
        </w:rPr>
        <w:t>Estimated on the basis of [describe means of computing subscription price].</w:t>
      </w:r>
    </w:p>
    <w:tbl>
      <w:tblPr>
        <w:tblLayout w:type="fixed"/>
        <w:tblInd w:w="0" w:type="dxa"/>
        <w:tblCellMar>
          <w:top w:w="0" w:type="dxa"/>
          <w:left w:w="0" w:type="dxa"/>
          <w:bottom w:w="0" w:type="dxa"/>
          <w:right w:w="0" w:type="dxa"/>
        </w:tblCellMar>
      </w:tblPr>
      <w:tr>
        <w:trPr>
          <w:trHeight w:val="125"/>
        </w:trPr>
        <w:tc>
          <w:tcPr>
            <w:tcW w:w="260" w:type="dxa"/>
            <w:vAlign w:val="bottom"/>
          </w:tcPr>
          <w:p>
            <w:pPr>
              <w:jc w:val="right"/>
              <w:ind w:right="37"/>
              <w:spacing w:after="0" w:line="125" w:lineRule="exact"/>
              <w:rPr>
                <w:sz w:val="20"/>
                <w:szCs w:val="20"/>
                <w:color w:val="auto"/>
              </w:rPr>
            </w:pPr>
            <w:r>
              <w:rPr>
                <w:rFonts w:ascii="Arial" w:cs="Arial" w:eastAsia="Arial" w:hAnsi="Arial"/>
                <w:sz w:val="13"/>
                <w:szCs w:val="13"/>
                <w:color w:val="auto"/>
                <w:w w:val="87"/>
              </w:rPr>
              <w:t>(2)</w:t>
            </w:r>
          </w:p>
        </w:tc>
        <w:tc>
          <w:tcPr>
            <w:tcW w:w="1940" w:type="dxa"/>
            <w:vAlign w:val="bottom"/>
          </w:tcPr>
          <w:p>
            <w:pPr>
              <w:ind w:left="80"/>
              <w:spacing w:after="0" w:line="125" w:lineRule="exact"/>
              <w:rPr>
                <w:sz w:val="20"/>
                <w:szCs w:val="20"/>
                <w:color w:val="auto"/>
              </w:rPr>
            </w:pPr>
            <w:r>
              <w:rPr>
                <w:rFonts w:ascii="Arial" w:cs="Arial" w:eastAsia="Arial" w:hAnsi="Arial"/>
                <w:sz w:val="13"/>
                <w:szCs w:val="13"/>
                <w:color w:val="auto"/>
              </w:rPr>
              <w:t>In connection with this offering,[</w:t>
            </w:r>
          </w:p>
        </w:tc>
        <w:tc>
          <w:tcPr>
            <w:tcW w:w="9060" w:type="dxa"/>
            <w:vAlign w:val="bottom"/>
            <w:gridSpan w:val="4"/>
          </w:tcPr>
          <w:p>
            <w:pPr>
              <w:ind w:left="200"/>
              <w:spacing w:after="0" w:line="125" w:lineRule="exact"/>
              <w:rPr>
                <w:sz w:val="20"/>
                <w:szCs w:val="20"/>
                <w:color w:val="auto"/>
              </w:rPr>
            </w:pPr>
            <w:r>
              <w:rPr>
                <w:rFonts w:ascii="Arial" w:cs="Arial" w:eastAsia="Arial" w:hAnsi="Arial"/>
                <w:sz w:val="13"/>
                <w:szCs w:val="13"/>
                <w:color w:val="auto"/>
                <w:w w:val="89"/>
              </w:rPr>
              <w:t>], the dealer managers for this offering, will receive a fee for financial advisory, marketing and soliciting services equal to  % of the estimated subscription price per share for</w:t>
            </w:r>
          </w:p>
        </w:tc>
      </w:tr>
      <w:tr>
        <w:trPr>
          <w:trHeight w:val="135"/>
        </w:trPr>
        <w:tc>
          <w:tcPr>
            <w:tcW w:w="260" w:type="dxa"/>
            <w:vAlign w:val="bottom"/>
          </w:tcPr>
          <w:p>
            <w:pPr>
              <w:spacing w:after="0"/>
              <w:rPr>
                <w:sz w:val="11"/>
                <w:szCs w:val="11"/>
                <w:color w:val="auto"/>
              </w:rPr>
            </w:pPr>
          </w:p>
        </w:tc>
        <w:tc>
          <w:tcPr>
            <w:tcW w:w="6760" w:type="dxa"/>
            <w:vAlign w:val="bottom"/>
            <w:gridSpan w:val="4"/>
          </w:tcPr>
          <w:p>
            <w:pPr>
              <w:ind w:left="80"/>
              <w:spacing w:after="0" w:line="135" w:lineRule="exact"/>
              <w:rPr>
                <w:sz w:val="20"/>
                <w:szCs w:val="20"/>
                <w:color w:val="auto"/>
              </w:rPr>
            </w:pPr>
            <w:r>
              <w:rPr>
                <w:rFonts w:ascii="Arial" w:cs="Arial" w:eastAsia="Arial" w:hAnsi="Arial"/>
                <w:sz w:val="13"/>
                <w:szCs w:val="13"/>
                <w:color w:val="auto"/>
                <w:w w:val="87"/>
              </w:rPr>
              <w:t>each share issued pursuant to the exercise of rights. We have also agreed to reimburse the dealer managers an aggregate of up to $</w:t>
            </w:r>
          </w:p>
        </w:tc>
        <w:tc>
          <w:tcPr>
            <w:tcW w:w="4240" w:type="dxa"/>
            <w:vAlign w:val="bottom"/>
          </w:tcPr>
          <w:p>
            <w:pPr>
              <w:ind w:left="120"/>
              <w:spacing w:after="0" w:line="135" w:lineRule="exact"/>
              <w:rPr>
                <w:sz w:val="20"/>
                <w:szCs w:val="20"/>
                <w:color w:val="auto"/>
              </w:rPr>
            </w:pPr>
            <w:r>
              <w:rPr>
                <w:rFonts w:ascii="Arial" w:cs="Arial" w:eastAsia="Arial" w:hAnsi="Arial"/>
                <w:sz w:val="13"/>
                <w:szCs w:val="13"/>
                <w:color w:val="auto"/>
              </w:rPr>
              <w:t>for their expenses incurred in connection with the offering.</w:t>
            </w:r>
          </w:p>
        </w:tc>
      </w:tr>
      <w:tr>
        <w:trPr>
          <w:trHeight w:val="160"/>
        </w:trPr>
        <w:tc>
          <w:tcPr>
            <w:tcW w:w="260" w:type="dxa"/>
            <w:vAlign w:val="bottom"/>
          </w:tcPr>
          <w:p>
            <w:pPr>
              <w:jc w:val="right"/>
              <w:ind w:right="37"/>
              <w:spacing w:after="0"/>
              <w:rPr>
                <w:sz w:val="20"/>
                <w:szCs w:val="20"/>
                <w:color w:val="auto"/>
              </w:rPr>
            </w:pPr>
            <w:r>
              <w:rPr>
                <w:rFonts w:ascii="Arial" w:cs="Arial" w:eastAsia="Arial" w:hAnsi="Arial"/>
                <w:sz w:val="13"/>
                <w:szCs w:val="13"/>
                <w:color w:val="auto"/>
                <w:w w:val="87"/>
              </w:rPr>
              <w:t>(3)</w:t>
            </w:r>
          </w:p>
        </w:tc>
        <w:tc>
          <w:tcPr>
            <w:tcW w:w="4200" w:type="dxa"/>
            <w:vAlign w:val="bottom"/>
            <w:gridSpan w:val="2"/>
          </w:tcPr>
          <w:p>
            <w:pPr>
              <w:ind w:left="80"/>
              <w:spacing w:after="0"/>
              <w:rPr>
                <w:sz w:val="20"/>
                <w:szCs w:val="20"/>
                <w:color w:val="auto"/>
              </w:rPr>
            </w:pPr>
            <w:r>
              <w:rPr>
                <w:rFonts w:ascii="Arial" w:cs="Arial" w:eastAsia="Arial" w:hAnsi="Arial"/>
                <w:sz w:val="13"/>
                <w:szCs w:val="13"/>
                <w:color w:val="auto"/>
                <w:w w:val="89"/>
              </w:rPr>
              <w:t>Before deducting expenses payable by us related to this offering, estimated at $</w:t>
            </w:r>
          </w:p>
        </w:tc>
        <w:tc>
          <w:tcPr>
            <w:tcW w:w="1980" w:type="dxa"/>
            <w:vAlign w:val="bottom"/>
          </w:tcPr>
          <w:p>
            <w:pPr>
              <w:ind w:left="140"/>
              <w:spacing w:after="0"/>
              <w:rPr>
                <w:sz w:val="20"/>
                <w:szCs w:val="20"/>
                <w:color w:val="auto"/>
              </w:rPr>
            </w:pPr>
            <w:r>
              <w:rPr>
                <w:rFonts w:ascii="Arial" w:cs="Arial" w:eastAsia="Arial" w:hAnsi="Arial"/>
                <w:sz w:val="13"/>
                <w:szCs w:val="13"/>
                <w:color w:val="auto"/>
                <w:w w:val="92"/>
              </w:rPr>
              <w:t>, including an aggregate of up to $</w:t>
            </w:r>
          </w:p>
        </w:tc>
        <w:tc>
          <w:tcPr>
            <w:tcW w:w="4820" w:type="dxa"/>
            <w:vAlign w:val="bottom"/>
            <w:gridSpan w:val="2"/>
          </w:tcPr>
          <w:p>
            <w:pPr>
              <w:ind w:left="140"/>
              <w:spacing w:after="0"/>
              <w:rPr>
                <w:sz w:val="20"/>
                <w:szCs w:val="20"/>
                <w:color w:val="auto"/>
              </w:rPr>
            </w:pPr>
            <w:r>
              <w:rPr>
                <w:rFonts w:ascii="Arial" w:cs="Arial" w:eastAsia="Arial" w:hAnsi="Arial"/>
                <w:sz w:val="13"/>
                <w:szCs w:val="13"/>
                <w:color w:val="auto"/>
                <w:w w:val="87"/>
              </w:rPr>
              <w:t>to be paid to the dealer managers for their expenses incurred in connection with this offering.</w:t>
            </w:r>
          </w:p>
        </w:tc>
      </w:tr>
    </w:tbl>
    <w:p>
      <w:pPr>
        <w:spacing w:after="0" w:line="11"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The Securities and Exchange Commission, or SEC has not approved or disapproved of these securities or determined if this prospectus supplement or the accompanying prospectus is truthful or complete.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0"/>
          <w:szCs w:val="20"/>
          <w:color w:val="auto"/>
        </w:rPr>
      </w:pPr>
    </w:p>
    <w:tbl>
      <w:tblPr>
        <w:tblLayout w:type="fixed"/>
        <w:tblInd w:w="4240" w:type="dxa"/>
        <w:tblCellMar>
          <w:top w:w="0" w:type="dxa"/>
          <w:left w:w="0" w:type="dxa"/>
          <w:bottom w:w="0" w:type="dxa"/>
          <w:right w:w="0" w:type="dxa"/>
        </w:tblCellMar>
      </w:tblPr>
      <w:tr>
        <w:trPr>
          <w:trHeight w:val="164"/>
        </w:trPr>
        <w:tc>
          <w:tcPr>
            <w:tcW w:w="2400" w:type="dxa"/>
            <w:vAlign w:val="bottom"/>
          </w:tcPr>
          <w:p>
            <w:pPr>
              <w:spacing w:after="0"/>
              <w:rPr>
                <w:sz w:val="20"/>
                <w:szCs w:val="20"/>
                <w:color w:val="auto"/>
              </w:rPr>
            </w:pPr>
            <w:r>
              <w:rPr>
                <w:rFonts w:ascii="Arial" w:cs="Arial" w:eastAsia="Arial" w:hAnsi="Arial"/>
                <w:sz w:val="13"/>
                <w:szCs w:val="13"/>
                <w:b w:val="1"/>
                <w:bCs w:val="1"/>
                <w:color w:val="auto"/>
                <w:w w:val="91"/>
              </w:rPr>
              <w:t>The date of this prospectus supplement is</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ind w:left="160" w:right="80" w:hanging="148"/>
        <w:spacing w:after="0" w:line="223" w:lineRule="auto"/>
        <w:rPr>
          <w:sz w:val="20"/>
          <w:szCs w:val="20"/>
          <w:color w:val="auto"/>
        </w:rPr>
      </w:pPr>
      <w:r>
        <w:rPr>
          <w:rFonts w:ascii="Arial" w:cs="Arial" w:eastAsia="Arial" w:hAnsi="Arial"/>
          <w:sz w:val="13"/>
          <w:szCs w:val="13"/>
          <w:color w:val="auto"/>
        </w:rPr>
        <w:t>(1)In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22" w:right="23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We have not, and the dealer managers have not, authorized anyone to give you any information other than in this prospectus supplement and the accompanying prospectus, and we take no responsibility for any other information that others may give you. We are not, and the dealer managers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39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11"/>
            <w:vMerge w:val="restart"/>
          </w:tcPr>
          <w:p>
            <w:pPr>
              <w:spacing w:after="0"/>
              <w:rPr>
                <w:rFonts w:ascii="Arial" w:cs="Arial" w:eastAsia="Arial" w:hAnsi="Arial"/>
                <w:sz w:val="18"/>
                <w:szCs w:val="18"/>
                <w:color w:val="0000EE"/>
              </w:rPr>
            </w:pPr>
            <w:hyperlink w:anchor="page511">
              <w:r>
                <w:rPr>
                  <w:rFonts w:ascii="Arial" w:cs="Arial" w:eastAsia="Arial" w:hAnsi="Arial"/>
                  <w:sz w:val="18"/>
                  <w:szCs w:val="18"/>
                  <w:color w:val="0000EE"/>
                </w:rPr>
                <w:t>SPECIAL NOTE REGARDING FORWARD-LOOKING STATEMENTS</w:t>
              </w:r>
            </w:hyperlink>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40" w:type="dxa"/>
            <w:vAlign w:val="bottom"/>
            <w:gridSpan w:val="11"/>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9"/>
          </w:tcPr>
          <w:p>
            <w:pPr>
              <w:spacing w:after="0"/>
              <w:rPr>
                <w:rFonts w:ascii="Arial" w:cs="Arial" w:eastAsia="Arial" w:hAnsi="Arial"/>
                <w:sz w:val="18"/>
                <w:szCs w:val="18"/>
                <w:color w:val="0000EE"/>
              </w:rPr>
            </w:pPr>
            <w:hyperlink w:anchor="page512">
              <w:r>
                <w:rPr>
                  <w:rFonts w:ascii="Arial" w:cs="Arial" w:eastAsia="Arial" w:hAnsi="Arial"/>
                  <w:sz w:val="18"/>
                  <w:szCs w:val="18"/>
                  <w:color w:val="0000EE"/>
                </w:rPr>
                <w:t>THE COMPANY</w:t>
              </w:r>
            </w:hyperlink>
          </w:p>
        </w:tc>
        <w:tc>
          <w:tcPr>
            <w:tcW w:w="5600" w:type="dxa"/>
            <w:vAlign w:val="bottom"/>
            <w:gridSpan w:val="2"/>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15">
              <w:r>
                <w:rPr>
                  <w:rFonts w:ascii="Arial" w:cs="Arial" w:eastAsia="Arial" w:hAnsi="Arial"/>
                  <w:sz w:val="18"/>
                  <w:szCs w:val="18"/>
                  <w:color w:val="0000EE"/>
                  <w:w w:val="92"/>
                </w:rPr>
                <w:t>FEES AND EXPENSES</w:t>
              </w:r>
            </w:hyperlink>
          </w:p>
        </w:tc>
        <w:tc>
          <w:tcPr>
            <w:tcW w:w="914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518">
              <w:r>
                <w:rPr>
                  <w:rFonts w:ascii="Arial" w:cs="Arial" w:eastAsia="Arial" w:hAnsi="Arial"/>
                  <w:sz w:val="18"/>
                  <w:szCs w:val="18"/>
                  <w:color w:val="0000EE"/>
                </w:rPr>
                <w:t>RISK FACTORS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19">
              <w:r>
                <w:rPr>
                  <w:rFonts w:ascii="Arial" w:cs="Arial" w:eastAsia="Arial" w:hAnsi="Arial"/>
                  <w:sz w:val="18"/>
                  <w:szCs w:val="18"/>
                  <w:color w:val="0000EE"/>
                </w:rPr>
                <w:t>SELECTED FINANCIAL DATA AND OTHER INFORMATION</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20">
              <w:r>
                <w:rPr>
                  <w:rFonts w:ascii="Arial" w:cs="Arial" w:eastAsia="Arial" w:hAnsi="Arial"/>
                  <w:sz w:val="18"/>
                  <w:szCs w:val="18"/>
                  <w:color w:val="0000EE"/>
                </w:rPr>
                <w:t>THE RIGHTS OFFERING</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30">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31">
              <w:r>
                <w:rPr>
                  <w:rFonts w:ascii="Arial" w:cs="Arial" w:eastAsia="Arial" w:hAnsi="Arial"/>
                  <w:sz w:val="18"/>
                  <w:szCs w:val="18"/>
                  <w:color w:val="0000EE"/>
                </w:rPr>
                <w:t>PRICE RANGE OF COMMON STOCK AND DISTRIBUTIONS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34">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4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580" w:type="dxa"/>
            <w:vAlign w:val="bottom"/>
            <w:tcBorders>
              <w:top w:val="single" w:sz="8" w:color="0000EE"/>
            </w:tcBorders>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35">
              <w:r>
                <w:rPr>
                  <w:rFonts w:ascii="Arial" w:cs="Arial" w:eastAsia="Arial" w:hAnsi="Arial"/>
                  <w:sz w:val="18"/>
                  <w:szCs w:val="18"/>
                  <w:color w:val="0000EE"/>
                </w:rPr>
                <w:t>CAPITALIZATION</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36">
              <w:r>
                <w:rPr>
                  <w:rFonts w:ascii="Arial" w:cs="Arial" w:eastAsia="Arial" w:hAnsi="Arial"/>
                  <w:sz w:val="18"/>
                  <w:szCs w:val="18"/>
                  <w:color w:val="0000EE"/>
                </w:rPr>
                <w:t>DILUTION</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37">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8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90" w:lineRule="exact"/>
              <w:rPr>
                <w:rFonts w:ascii="Arial" w:cs="Arial" w:eastAsia="Arial" w:hAnsi="Arial"/>
                <w:sz w:val="18"/>
                <w:szCs w:val="18"/>
                <w:color w:val="0000EE"/>
              </w:rPr>
            </w:pPr>
            <w:hyperlink w:anchor="page538">
              <w:r>
                <w:rPr>
                  <w:rFonts w:ascii="Arial" w:cs="Arial" w:eastAsia="Arial" w:hAnsi="Arial"/>
                  <w:sz w:val="18"/>
                  <w:szCs w:val="18"/>
                  <w:color w:val="0000EE"/>
                </w:rPr>
                <w:t>FINANCIAL STATEMENTS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8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[Insert table of contents from base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40" w:hanging="325"/>
        <w:spacing w:after="0" w:line="277" w:lineRule="auto"/>
        <w:tabs>
          <w:tab w:leader="none" w:pos="9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 supplement and the accompanying prospectus.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900" w:right="140" w:hanging="325"/>
        <w:spacing w:after="0" w:line="277" w:lineRule="auto"/>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w:t>
      </w:r>
    </w:p>
    <w:p>
      <w:pPr>
        <w:spacing w:after="0" w:line="3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through ,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4"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w:t>
      </w:r>
    </w:p>
    <w:p>
      <w:pPr>
        <w:ind w:right="220"/>
        <w:spacing w:after="0" w:line="253" w:lineRule="auto"/>
        <w:rPr>
          <w:sz w:val="20"/>
          <w:szCs w:val="20"/>
          <w:color w:val="auto"/>
        </w:rPr>
      </w:pPr>
      <w:r>
        <w:rPr>
          <w:rFonts w:ascii="Arial" w:cs="Arial" w:eastAsia="Arial" w:hAnsi="Arial"/>
          <w:sz w:val="18"/>
          <w:szCs w:val="18"/>
          <w:color w:val="auto"/>
        </w:rPr>
        <w:t>first-lien position; and secured corporate bonds with similar features to these categories of first-lien loans. Our second-lien debt may include secured loans, and, to a lesser extent, secured corporate bonds, with a secondary priority behind first-lien debt. Based on fair value as of , 20 , our portfolio consisted of % first-lien debt investments, % second-lien debt investments, % mezzanine debt investments and % equity investments. Approximately % of our investments as of , 20 are floating rate in nature, subject to interest rate floors, which we believe helps act as a portfolio-wide hedge against inflation.</w:t>
      </w:r>
    </w:p>
    <w:p>
      <w:pPr>
        <w:spacing w:after="0" w:line="191" w:lineRule="exact"/>
        <w:rPr>
          <w:sz w:val="20"/>
          <w:szCs w:val="20"/>
          <w:color w:val="auto"/>
        </w:rPr>
      </w:pPr>
    </w:p>
    <w:p>
      <w:pPr>
        <w:ind w:left="460"/>
        <w:spacing w:after="0"/>
        <w:tabs>
          <w:tab w:leader="none" w:pos="1560" w:val="left"/>
          <w:tab w:leader="none" w:pos="2000" w:val="left"/>
          <w:tab w:leader="none" w:pos="502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w:t>
        <w:tab/>
        <w:t>, our portfolio was invested across</w:t>
      </w:r>
      <w:r>
        <w:rPr>
          <w:sz w:val="20"/>
          <w:szCs w:val="20"/>
          <w:color w:val="auto"/>
        </w:rPr>
        <w:tab/>
      </w:r>
      <w:r>
        <w:rPr>
          <w:rFonts w:ascii="Arial" w:cs="Arial" w:eastAsia="Arial" w:hAnsi="Arial"/>
          <w:sz w:val="16"/>
          <w:szCs w:val="16"/>
          <w:color w:val="auto"/>
        </w:rPr>
        <w:t>different industries. The largest industries in our portfolio, based on fair value as</w:t>
      </w:r>
    </w:p>
    <w:p>
      <w:pPr>
        <w:spacing w:after="0" w:line="23" w:lineRule="exact"/>
        <w:rPr>
          <w:sz w:val="20"/>
          <w:szCs w:val="20"/>
          <w:color w:val="auto"/>
        </w:rPr>
      </w:pPr>
    </w:p>
    <w:p>
      <w:pPr>
        <w:spacing w:after="0"/>
        <w:tabs>
          <w:tab w:leader="none" w:pos="860" w:val="left"/>
          <w:tab w:leader="none" w:pos="1300" w:val="left"/>
          <w:tab w:leader="none" w:pos="2280" w:val="left"/>
          <w:tab w:leader="none" w:pos="2880" w:val="left"/>
          <w:tab w:leader="none" w:pos="3860" w:val="left"/>
          <w:tab w:leader="none" w:pos="7740" w:val="left"/>
          <w:tab w:leader="none" w:pos="8120" w:val="left"/>
          <w:tab w:leader="none" w:pos="88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w:t>
        <w:tab/>
        <w:t>, were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7"/>
          <w:szCs w:val="17"/>
          <w:color w:val="auto"/>
        </w:rPr>
        <w:t>which represented, as a percentage of our portfolio,</w:t>
      </w:r>
      <w:r>
        <w:rPr>
          <w:sz w:val="20"/>
          <w:szCs w:val="20"/>
          <w:color w:val="auto"/>
        </w:rPr>
        <w:tab/>
      </w:r>
      <w:r>
        <w:rPr>
          <w:rFonts w:ascii="Arial" w:cs="Arial" w:eastAsia="Arial" w:hAnsi="Arial"/>
          <w:sz w:val="18"/>
          <w:szCs w:val="18"/>
          <w:color w:val="auto"/>
        </w:rPr>
        <w:t>%,</w:t>
        <w:tab/>
        <w:t>%, and</w:t>
      </w:r>
      <w:r>
        <w:rPr>
          <w:sz w:val="20"/>
          <w:szCs w:val="20"/>
          <w:color w:val="auto"/>
        </w:rPr>
        <w:tab/>
      </w:r>
      <w:r>
        <w:rPr>
          <w:rFonts w:ascii="Arial" w:cs="Arial" w:eastAsia="Arial" w:hAnsi="Arial"/>
          <w:sz w:val="16"/>
          <w:szCs w:val="16"/>
          <w:color w:val="auto"/>
        </w:rPr>
        <w:t>%, respectively. We expect that no</w:t>
      </w:r>
    </w:p>
    <w:p>
      <w:pPr>
        <w:spacing w:after="0" w:line="9"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color w:val="auto"/>
        </w:rPr>
        <w:t>single investment will represent more than</w:t>
      </w:r>
      <w:r>
        <w:rPr>
          <w:sz w:val="20"/>
          <w:szCs w:val="20"/>
          <w:color w:val="auto"/>
        </w:rPr>
        <w:tab/>
      </w:r>
      <w:r>
        <w:rPr>
          <w:rFonts w:ascii="Arial" w:cs="Arial" w:eastAsia="Arial" w:hAnsi="Arial"/>
          <w:sz w:val="16"/>
          <w:szCs w:val="16"/>
          <w:color w:val="auto"/>
        </w:rPr>
        <w:t>% of our total investment portfolio, based on fair value.</w:t>
      </w:r>
    </w:p>
    <w:p>
      <w:pPr>
        <w:sectPr>
          <w:pgSz w:w="11900" w:h="16838" w:orient="portrait"/>
          <w:cols w:equalWidth="0" w:num="1">
            <w:col w:w="11400"/>
          </w:cols>
          <w:pgMar w:left="240" w:top="459" w:right="259" w:bottom="1440" w:gutter="0" w:footer="0" w:header="0"/>
        </w:sectPr>
      </w:pPr>
    </w:p>
    <w:p>
      <w:pPr>
        <w:spacing w:after="0" w:line="211" w:lineRule="exact"/>
        <w:rPr>
          <w:sz w:val="20"/>
          <w:szCs w:val="20"/>
          <w:color w:val="auto"/>
        </w:rPr>
      </w:pPr>
    </w:p>
    <w:p>
      <w:pPr>
        <w:ind w:left="460"/>
        <w:spacing w:after="0"/>
        <w:tabs>
          <w:tab w:leader="none" w:pos="1560" w:val="left"/>
          <w:tab w:leader="none" w:pos="2000" w:val="left"/>
          <w:tab w:leader="none" w:pos="4160" w:val="left"/>
          <w:tab w:leader="none" w:pos="83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w:t>
        <w:tab/>
        <w:t>, we had investments in</w:t>
      </w:r>
      <w:r>
        <w:rPr>
          <w:sz w:val="20"/>
          <w:szCs w:val="20"/>
          <w:color w:val="auto"/>
        </w:rPr>
        <w:tab/>
      </w:r>
      <w:r>
        <w:rPr>
          <w:rFonts w:ascii="Arial" w:cs="Arial" w:eastAsia="Arial" w:hAnsi="Arial"/>
          <w:sz w:val="18"/>
          <w:szCs w:val="18"/>
          <w:color w:val="auto"/>
        </w:rPr>
        <w:t>portfolio companies with an aggregate fair value of $</w:t>
      </w:r>
      <w:r>
        <w:rPr>
          <w:sz w:val="20"/>
          <w:szCs w:val="20"/>
          <w:color w:val="auto"/>
        </w:rPr>
        <w:tab/>
      </w:r>
      <w:r>
        <w:rPr>
          <w:rFonts w:ascii="Arial" w:cs="Arial" w:eastAsia="Arial" w:hAnsi="Arial"/>
          <w:sz w:val="16"/>
          <w:szCs w:val="16"/>
          <w:color w:val="auto"/>
        </w:rPr>
        <w:t>million. For the months ended</w:t>
      </w:r>
    </w:p>
    <w:p>
      <w:pPr>
        <w:spacing w:after="0" w:line="23" w:lineRule="exact"/>
        <w:rPr>
          <w:sz w:val="20"/>
          <w:szCs w:val="20"/>
          <w:color w:val="auto"/>
        </w:rPr>
      </w:pPr>
    </w:p>
    <w:p>
      <w:pPr>
        <w:spacing w:after="0"/>
        <w:tabs>
          <w:tab w:leader="none" w:pos="340" w:val="left"/>
          <w:tab w:leader="none" w:pos="3980" w:val="left"/>
          <w:tab w:leader="none" w:pos="5040" w:val="left"/>
          <w:tab w:leader="none" w:pos="6200" w:val="left"/>
          <w:tab w:leader="none" w:pos="8780" w:val="left"/>
          <w:tab w:leader="none" w:pos="9940" w:val="left"/>
        </w:tabs>
        <w:rPr>
          <w:sz w:val="20"/>
          <w:szCs w:val="20"/>
          <w:color w:val="auto"/>
        </w:rPr>
      </w:pPr>
      <w:r>
        <w:rPr>
          <w:rFonts w:ascii="Arial" w:cs="Arial" w:eastAsia="Arial" w:hAnsi="Arial"/>
          <w:sz w:val="18"/>
          <w:szCs w:val="18"/>
          <w:color w:val="auto"/>
        </w:rPr>
        <w:t>20</w:t>
        <w:tab/>
        <w:t>, we made new investment commitments of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in</w:t>
      </w:r>
      <w:r>
        <w:rPr>
          <w:sz w:val="20"/>
          <w:szCs w:val="20"/>
          <w:color w:val="auto"/>
        </w:rPr>
        <w:tab/>
      </w:r>
      <w:r>
        <w:rPr>
          <w:rFonts w:ascii="Arial" w:cs="Arial" w:eastAsia="Arial" w:hAnsi="Arial"/>
          <w:sz w:val="18"/>
          <w:szCs w:val="18"/>
          <w:color w:val="auto"/>
        </w:rPr>
        <w:t>new portfolio companies and $</w:t>
      </w:r>
      <w:r>
        <w:rPr>
          <w:sz w:val="20"/>
          <w:szCs w:val="20"/>
          <w:color w:val="auto"/>
        </w:rPr>
        <w:tab/>
      </w:r>
      <w:r>
        <w:rPr>
          <w:rFonts w:ascii="Arial" w:cs="Arial" w:eastAsia="Arial" w:hAnsi="Arial"/>
          <w:sz w:val="18"/>
          <w:szCs w:val="18"/>
          <w:color w:val="auto"/>
        </w:rPr>
        <w:t>million in</w:t>
      </w:r>
      <w:r>
        <w:rPr>
          <w:sz w:val="20"/>
          <w:szCs w:val="20"/>
          <w:color w:val="auto"/>
        </w:rPr>
        <w:tab/>
      </w:r>
      <w:r>
        <w:rPr>
          <w:rFonts w:ascii="Arial" w:cs="Arial" w:eastAsia="Arial" w:hAnsi="Arial"/>
          <w:sz w:val="17"/>
          <w:szCs w:val="17"/>
          <w:color w:val="auto"/>
        </w:rPr>
        <w:t>existing portfolio</w:t>
      </w:r>
    </w:p>
    <w:p>
      <w:pPr>
        <w:spacing w:after="0" w:line="9" w:lineRule="exact"/>
        <w:rPr>
          <w:sz w:val="20"/>
          <w:szCs w:val="20"/>
          <w:color w:val="auto"/>
        </w:rPr>
      </w:pPr>
    </w:p>
    <w:p>
      <w:pPr>
        <w:spacing w:after="0"/>
        <w:tabs>
          <w:tab w:leader="none" w:pos="3000" w:val="left"/>
          <w:tab w:leader="none" w:pos="10380" w:val="left"/>
        </w:tabs>
        <w:rPr>
          <w:sz w:val="20"/>
          <w:szCs w:val="20"/>
          <w:color w:val="auto"/>
        </w:rPr>
      </w:pPr>
      <w:r>
        <w:rPr>
          <w:rFonts w:ascii="Arial" w:cs="Arial" w:eastAsia="Arial" w:hAnsi="Arial"/>
          <w:sz w:val="18"/>
          <w:szCs w:val="18"/>
          <w:color w:val="auto"/>
        </w:rPr>
        <w:t>companies. For this period, we had $</w:t>
      </w:r>
      <w:r>
        <w:rPr>
          <w:sz w:val="20"/>
          <w:szCs w:val="20"/>
          <w:color w:val="auto"/>
        </w:rPr>
        <w:tab/>
      </w:r>
      <w:r>
        <w:rPr>
          <w:rFonts w:ascii="Arial" w:cs="Arial" w:eastAsia="Arial" w:hAnsi="Arial"/>
          <w:sz w:val="18"/>
          <w:szCs w:val="18"/>
          <w:color w:val="auto"/>
        </w:rPr>
        <w:t>million aggregate principal amount in exits and repayments, resulting in net portfolio growth of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08" w:lineRule="exact"/>
        <w:rPr>
          <w:sz w:val="20"/>
          <w:szCs w:val="20"/>
          <w:color w:val="auto"/>
        </w:rPr>
      </w:pPr>
    </w:p>
    <w:p>
      <w:pPr>
        <w:sectPr>
          <w:pgSz w:w="11900" w:h="16838" w:orient="portrait"/>
          <w:cols w:equalWidth="0" w:num="2">
            <w:col w:w="11200" w:space="60"/>
            <w:col w:w="140"/>
          </w:cols>
          <w:pgMar w:left="240" w:top="459" w:right="259" w:bottom="1440" w:gutter="0" w:footer="0" w:header="0"/>
          <w:type w:val="continuous"/>
        </w:sectPr>
      </w:pPr>
    </w:p>
    <w:p>
      <w:pPr>
        <w:spacing w:after="0" w:line="1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 , we had investments in portfolio companies with an aggregate fair value of $ million. For the year ended December 31, 20 , we made new investment commitments of $ million, $ million in new portfolio companies and $ million in existing portfolio companies. For this period, we had $ million aggregate principal amount in exits and repayments, resulting in net portfolio growth of</w:t>
      </w:r>
    </w:p>
    <w:p>
      <w:pPr>
        <w:sectPr>
          <w:pgSz w:w="11900" w:h="16838" w:orient="portrait"/>
          <w:cols w:equalWidth="0" w:num="1">
            <w:col w:w="11400"/>
          </w:cols>
          <w:pgMar w:left="240" w:top="459" w:right="259" w:bottom="1440" w:gutter="0" w:footer="0" w:header="0"/>
          <w:type w:val="continuous"/>
        </w:sectPr>
      </w:pPr>
    </w:p>
    <w:p>
      <w:pPr>
        <w:ind w:left="460" w:hanging="452"/>
        <w:spacing w:after="0"/>
        <w:tabs>
          <w:tab w:leader="none" w:pos="4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million aggregate principal amount.</w:t>
      </w:r>
    </w:p>
    <w:p>
      <w:pPr>
        <w:spacing w:after="0" w:line="211" w:lineRule="exact"/>
        <w:rPr>
          <w:sz w:val="20"/>
          <w:szCs w:val="20"/>
          <w:color w:val="auto"/>
        </w:rPr>
      </w:pPr>
    </w:p>
    <w:p>
      <w:pPr>
        <w:jc w:val="both"/>
        <w:ind w:firstLine="456"/>
        <w:spacing w:after="0" w:line="274" w:lineRule="auto"/>
        <w:rPr>
          <w:sz w:val="20"/>
          <w:szCs w:val="20"/>
          <w:color w:val="auto"/>
        </w:rPr>
      </w:pPr>
      <w:r>
        <w:rPr>
          <w:rFonts w:ascii="Arial" w:cs="Arial" w:eastAsia="Arial" w:hAnsi="Arial"/>
          <w:sz w:val="17"/>
          <w:szCs w:val="17"/>
          <w:color w:val="auto"/>
        </w:rPr>
        <w:t>Since we began investing in 2011 through , 20 , our exited investments have resulted in an aggregate cash flow realized gross internal rate of return to us of approximately % (based on cash invested of approximately $ million and total proceeds from these exited investments of approximately</w:t>
      </w:r>
    </w:p>
    <w:p>
      <w:pPr>
        <w:jc w:val="both"/>
        <w:ind w:right="60" w:firstLine="8"/>
        <w:spacing w:after="0" w:line="255" w:lineRule="auto"/>
        <w:tabs>
          <w:tab w:leader="none" w:pos="45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million).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 —Results of Operations—Aggregate Cash Flow Realized Gross Internal Rate of Return.”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type w:val="continuous"/>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made by our investment review committee, or the Investment Review Committee, which includes senior personnel of TSSP and TPG.</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w:t>
      </w:r>
    </w:p>
    <w:p>
      <w:pPr>
        <w:ind w:right="140"/>
        <w:spacing w:after="0" w:line="253" w:lineRule="auto"/>
        <w:rPr>
          <w:sz w:val="20"/>
          <w:szCs w:val="20"/>
          <w:color w:val="auto"/>
        </w:rPr>
      </w:pPr>
      <w:r>
        <w:rPr>
          <w:rFonts w:ascii="Arial" w:cs="Arial" w:eastAsia="Arial" w:hAnsi="Arial"/>
          <w:sz w:val="18"/>
          <w:szCs w:val="18"/>
          <w:color w:val="auto"/>
        </w:rPr>
        <w:t>focused on investment opportunities in the broadly syndicated leveraged loan markets.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91" w:lineRule="exact"/>
        <w:rPr>
          <w:sz w:val="20"/>
          <w:szCs w:val="20"/>
          <w:color w:val="auto"/>
        </w:rPr>
      </w:pPr>
    </w:p>
    <w:p>
      <w:pPr>
        <w:ind w:left="460"/>
        <w:spacing w:after="0"/>
        <w:tabs>
          <w:tab w:leader="none" w:pos="6000" w:val="left"/>
          <w:tab w:leader="none" w:pos="9720" w:val="left"/>
          <w:tab w:leader="none" w:pos="10120" w:val="left"/>
        </w:tabs>
        <w:rPr>
          <w:sz w:val="20"/>
          <w:szCs w:val="20"/>
          <w:color w:val="auto"/>
        </w:rPr>
      </w:pPr>
      <w:r>
        <w:rPr>
          <w:rFonts w:ascii="Arial" w:cs="Arial" w:eastAsia="Arial" w:hAnsi="Arial"/>
          <w:sz w:val="18"/>
          <w:szCs w:val="18"/>
          <w:color w:val="auto"/>
        </w:rPr>
        <w:t>TPG is a leading global private investment firm founded in 1992 with</w:t>
      </w:r>
      <w:r>
        <w:rPr>
          <w:sz w:val="20"/>
          <w:szCs w:val="20"/>
          <w:color w:val="auto"/>
        </w:rPr>
        <w:tab/>
      </w:r>
      <w:r>
        <w:rPr>
          <w:rFonts w:ascii="Arial" w:cs="Arial" w:eastAsia="Arial" w:hAnsi="Arial"/>
          <w:sz w:val="18"/>
          <w:szCs w:val="18"/>
          <w:color w:val="auto"/>
        </w:rPr>
        <w:t>billion of assets under management, as of</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 and offices in</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of the Adviser consists primarily of senior executives of TSSP and TPG. TSSP and TPG executives, including members of our</w:t>
      </w:r>
    </w:p>
    <w:p>
      <w:pPr>
        <w:spacing w:after="0" w:line="35" w:lineRule="exact"/>
        <w:rPr>
          <w:sz w:val="20"/>
          <w:szCs w:val="20"/>
          <w:color w:val="auto"/>
        </w:rPr>
      </w:pPr>
    </w:p>
    <w:p>
      <w:pPr>
        <w:jc w:val="both"/>
        <w:ind w:right="800"/>
        <w:spacing w:after="0" w:line="255" w:lineRule="auto"/>
        <w:rPr>
          <w:sz w:val="20"/>
          <w:szCs w:val="20"/>
          <w:color w:val="auto"/>
        </w:rPr>
      </w:pPr>
      <w:r>
        <w:rPr>
          <w:rFonts w:ascii="Arial" w:cs="Arial" w:eastAsia="Arial" w:hAnsi="Arial"/>
          <w:sz w:val="18"/>
          <w:szCs w:val="18"/>
          <w:color w:val="auto"/>
        </w:rPr>
        <w:t>Investment Review Committee and certain of our other senior personnel, own a significant stake in the Adviser. As of , 20 , our Adviser owned % of our common stock. See “Management,” “Related-Party Transactions and Certain Relationships” and “Control Persons and Principal Stockholders” in the accompanying prospectus.</w:t>
      </w:r>
    </w:p>
    <w:p>
      <w:pPr>
        <w:spacing w:after="0" w:line="19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an amount so that our total borrowings are 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table or the accompanying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44"/>
        </w:trPr>
        <w:tc>
          <w:tcPr>
            <w:tcW w:w="5160" w:type="dxa"/>
            <w:vAlign w:val="bottom"/>
          </w:tcPr>
          <w:p>
            <w:pPr>
              <w:spacing w:after="0"/>
              <w:rPr>
                <w:sz w:val="20"/>
                <w:szCs w:val="20"/>
                <w:color w:val="auto"/>
              </w:rPr>
            </w:pPr>
            <w:r>
              <w:rPr>
                <w:rFonts w:ascii="Arial" w:cs="Arial" w:eastAsia="Arial" w:hAnsi="Arial"/>
                <w:sz w:val="18"/>
                <w:szCs w:val="18"/>
                <w:color w:val="auto"/>
              </w:rPr>
              <w:t>Sales load</w:t>
            </w:r>
          </w:p>
        </w:tc>
        <w:tc>
          <w:tcPr>
            <w:tcW w:w="4480" w:type="dxa"/>
            <w:vAlign w:val="bottom"/>
          </w:tcPr>
          <w:p>
            <w:pPr>
              <w:spacing w:after="0"/>
              <w:rPr>
                <w:sz w:val="21"/>
                <w:szCs w:val="21"/>
                <w:color w:val="auto"/>
              </w:rPr>
            </w:pPr>
          </w:p>
        </w:tc>
        <w:tc>
          <w:tcPr>
            <w:tcW w:w="860" w:type="dxa"/>
            <w:vAlign w:val="bottom"/>
            <w:gridSpan w:val="3"/>
          </w:tcPr>
          <w:p>
            <w:pPr>
              <w:ind w:left="320"/>
              <w:spacing w:after="0" w:line="243" w:lineRule="exact"/>
              <w:rPr>
                <w:sz w:val="20"/>
                <w:szCs w:val="20"/>
                <w:color w:val="auto"/>
              </w:rPr>
            </w:pPr>
            <w:r>
              <w:rPr>
                <w:rFonts w:ascii="Arial" w:cs="Arial" w:eastAsia="Arial" w:hAnsi="Arial"/>
                <w:sz w:val="15"/>
                <w:szCs w:val="15"/>
                <w:color w:val="auto"/>
              </w:rPr>
              <w:t>(1</w:t>
            </w:r>
            <w:r>
              <w:rPr>
                <w:rFonts w:ascii="Arial" w:cs="Arial" w:eastAsia="Arial" w:hAnsi="Arial"/>
                <w:sz w:val="28"/>
                <w:szCs w:val="28"/>
                <w:color w:val="auto"/>
                <w:vertAlign w:val="superscript"/>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4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line="216" w:lineRule="exact"/>
              <w:rPr>
                <w:sz w:val="20"/>
                <w:szCs w:val="20"/>
                <w:color w:val="auto"/>
              </w:rPr>
            </w:pPr>
            <w:r>
              <w:rPr>
                <w:rFonts w:ascii="Arial" w:cs="Arial" w:eastAsia="Arial" w:hAnsi="Arial"/>
                <w:sz w:val="13"/>
                <w:szCs w:val="13"/>
                <w:color w:val="auto"/>
              </w:rPr>
              <w:t>(2</w:t>
            </w:r>
            <w:r>
              <w:rPr>
                <w:rFonts w:ascii="Arial" w:cs="Arial" w:eastAsia="Arial" w:hAnsi="Arial"/>
                <w:sz w:val="25"/>
                <w:szCs w:val="25"/>
                <w:color w:val="auto"/>
                <w:vertAlign w:val="superscript"/>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44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(3)</w:t>
            </w: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3"/>
              </w:rPr>
              <w:t>Management Fee payable under the Investment Advisory Agreement</w:t>
            </w:r>
          </w:p>
        </w:tc>
        <w:tc>
          <w:tcPr>
            <w:tcW w:w="448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7"/>
              </w:rPr>
              <w:t>Incentive Fee payable under the Investment Advisory Agreement (</w:t>
            </w: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of net investment income and capital gains)</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448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(7)</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(8)(9)</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annual expenses</w:t>
            </w:r>
          </w:p>
        </w:tc>
        <w:tc>
          <w:tcPr>
            <w:tcW w:w="4480" w:type="dxa"/>
            <w:vAlign w:val="bottom"/>
          </w:tcPr>
          <w:p>
            <w:pPr>
              <w:spacing w:after="0"/>
              <w:rPr>
                <w:sz w:val="19"/>
                <w:szCs w:val="19"/>
                <w:color w:val="auto"/>
              </w:rPr>
            </w:pP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7"/>
              </w:rPr>
              <w:t>%</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(9)</w:t>
            </w:r>
          </w:p>
        </w:tc>
      </w:tr>
      <w:tr>
        <w:trPr>
          <w:trHeight w:val="20"/>
        </w:trPr>
        <w:tc>
          <w:tcPr>
            <w:tcW w:w="5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The sales load (dealer manager fee) with respect to the shares sold in this offering, which is a one-time fee paid to the underwriters, is the only sales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load paid in connection with this offering.</w:t>
      </w:r>
    </w:p>
    <w:p>
      <w:pPr>
        <w:spacing w:after="0" w:line="9" w:lineRule="exact"/>
        <w:rPr>
          <w:sz w:val="20"/>
          <w:szCs w:val="20"/>
          <w:color w:val="auto"/>
        </w:rPr>
      </w:pPr>
    </w:p>
    <w:p>
      <w:pPr>
        <w:spacing w:after="0"/>
        <w:tabs>
          <w:tab w:leader="none" w:pos="440" w:val="left"/>
          <w:tab w:leader="none" w:pos="5600" w:val="left"/>
        </w:tabs>
        <w:rPr>
          <w:sz w:val="20"/>
          <w:szCs w:val="20"/>
          <w:color w:val="auto"/>
        </w:rPr>
      </w:pPr>
      <w:r>
        <w:rPr>
          <w:rFonts w:ascii="Arial" w:cs="Arial" w:eastAsia="Arial" w:hAnsi="Arial"/>
          <w:sz w:val="18"/>
          <w:szCs w:val="18"/>
          <w:color w:val="auto"/>
        </w:rPr>
        <w:t>(2)</w:t>
        <w:tab/>
        <w:t>Amount reflects estimated offering expenses of approximately $</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460" w:right="660" w:hanging="452"/>
        <w:spacing w:after="0" w:line="250" w:lineRule="auto"/>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 in the accompanying prospectus.</w:t>
      </w:r>
    </w:p>
    <w:tbl>
      <w:tblPr>
        <w:tblLayout w:type="fixed"/>
        <w:tblInd w:w="0" w:type="dxa"/>
        <w:tblCellMar>
          <w:top w:w="0" w:type="dxa"/>
          <w:left w:w="0" w:type="dxa"/>
          <w:bottom w:w="0" w:type="dxa"/>
          <w:right w:w="0" w:type="dxa"/>
        </w:tblCellMar>
      </w:tblPr>
      <w:tr>
        <w:trPr>
          <w:trHeight w:val="203"/>
        </w:trPr>
        <w:tc>
          <w:tcPr>
            <w:tcW w:w="3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0"/>
              </w:rPr>
              <w:t>(4)</w:t>
            </w:r>
          </w:p>
        </w:tc>
        <w:tc>
          <w:tcPr>
            <w:tcW w:w="8700" w:type="dxa"/>
            <w:vAlign w:val="bottom"/>
            <w:gridSpan w:val="4"/>
          </w:tcPr>
          <w:p>
            <w:pPr>
              <w:ind w:left="120"/>
              <w:spacing w:after="0" w:line="203" w:lineRule="exact"/>
              <w:rPr>
                <w:sz w:val="20"/>
                <w:szCs w:val="20"/>
                <w:color w:val="auto"/>
              </w:rPr>
            </w:pPr>
            <w:r>
              <w:rPr>
                <w:rFonts w:ascii="Arial" w:cs="Arial" w:eastAsia="Arial" w:hAnsi="Arial"/>
                <w:sz w:val="18"/>
                <w:szCs w:val="18"/>
                <w:color w:val="auto"/>
                <w:w w:val="91"/>
              </w:rPr>
              <w:t>The net assets attributable to common stock used to calculate the percentages in this table reflect our net assets of $</w:t>
            </w:r>
          </w:p>
        </w:tc>
        <w:tc>
          <w:tcPr>
            <w:tcW w:w="2020" w:type="dxa"/>
            <w:vAlign w:val="bottom"/>
          </w:tcPr>
          <w:p>
            <w:pPr>
              <w:ind w:left="300"/>
              <w:spacing w:after="0" w:line="203" w:lineRule="exact"/>
              <w:rPr>
                <w:sz w:val="20"/>
                <w:szCs w:val="20"/>
                <w:color w:val="auto"/>
              </w:rPr>
            </w:pPr>
            <w:r>
              <w:rPr>
                <w:rFonts w:ascii="Arial" w:cs="Arial" w:eastAsia="Arial" w:hAnsi="Arial"/>
                <w:sz w:val="18"/>
                <w:szCs w:val="18"/>
                <w:color w:val="auto"/>
              </w:rPr>
              <w:t>million as of</w:t>
            </w:r>
          </w:p>
        </w:tc>
        <w:tc>
          <w:tcPr>
            <w:tcW w:w="36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20  .</w:t>
            </w:r>
          </w:p>
        </w:tc>
        <w:tc>
          <w:tcPr>
            <w:tcW w:w="3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(5)</w:t>
            </w:r>
          </w:p>
        </w:tc>
        <w:tc>
          <w:tcPr>
            <w:tcW w:w="2060" w:type="dxa"/>
            <w:vAlign w:val="bottom"/>
          </w:tcPr>
          <w:p>
            <w:pPr>
              <w:ind w:left="120"/>
              <w:spacing w:after="0"/>
              <w:rPr>
                <w:sz w:val="20"/>
                <w:szCs w:val="20"/>
                <w:color w:val="auto"/>
              </w:rPr>
            </w:pPr>
            <w:r>
              <w:rPr>
                <w:rFonts w:ascii="Arial" w:cs="Arial" w:eastAsia="Arial" w:hAnsi="Arial"/>
                <w:sz w:val="18"/>
                <w:szCs w:val="18"/>
                <w:color w:val="auto"/>
                <w:w w:val="98"/>
              </w:rPr>
              <w:t>The Management Fee is</w:t>
            </w:r>
          </w:p>
        </w:tc>
        <w:tc>
          <w:tcPr>
            <w:tcW w:w="8660" w:type="dxa"/>
            <w:vAlign w:val="bottom"/>
            <w:gridSpan w:val="4"/>
          </w:tcPr>
          <w:p>
            <w:pPr>
              <w:ind w:left="200"/>
              <w:spacing w:after="0"/>
              <w:rPr>
                <w:sz w:val="20"/>
                <w:szCs w:val="20"/>
                <w:color w:val="auto"/>
              </w:rPr>
            </w:pPr>
            <w:r>
              <w:rPr>
                <w:rFonts w:ascii="Arial" w:cs="Arial" w:eastAsia="Arial" w:hAnsi="Arial"/>
                <w:sz w:val="18"/>
                <w:szCs w:val="18"/>
                <w:color w:val="auto"/>
                <w:w w:val="89"/>
              </w:rPr>
              <w:t>% of the average value of our gross assets (including cash and cash equivalents and assets purchased with borrowed</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0"/>
              </w:rPr>
              <w:t>amounts) using the values at the end of the two most recently completed calendar quarters, adjusted for any share issuances or repurchases during the</w:t>
            </w: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1"/>
              </w:rPr>
              <w:t>period. We may from time to time decide it is appropriate to change the terms of our Investment Advisory Agreement. Under the 1940 Act, any material</w:t>
            </w:r>
          </w:p>
        </w:tc>
      </w:tr>
      <w:tr>
        <w:trPr>
          <w:trHeight w:val="216"/>
        </w:trPr>
        <w:tc>
          <w:tcPr>
            <w:tcW w:w="340" w:type="dxa"/>
            <w:vAlign w:val="bottom"/>
          </w:tcPr>
          <w:p>
            <w:pPr>
              <w:spacing w:after="0"/>
              <w:rPr>
                <w:sz w:val="18"/>
                <w:szCs w:val="18"/>
                <w:color w:val="auto"/>
              </w:rPr>
            </w:pPr>
          </w:p>
        </w:tc>
        <w:tc>
          <w:tcPr>
            <w:tcW w:w="10720" w:type="dxa"/>
            <w:vAlign w:val="bottom"/>
            <w:gridSpan w:val="5"/>
          </w:tcPr>
          <w:p>
            <w:pPr>
              <w:ind w:left="120"/>
              <w:spacing w:after="0"/>
              <w:rPr>
                <w:sz w:val="20"/>
                <w:szCs w:val="20"/>
                <w:color w:val="auto"/>
              </w:rPr>
            </w:pPr>
            <w:r>
              <w:rPr>
                <w:rFonts w:ascii="Arial" w:cs="Arial" w:eastAsia="Arial" w:hAnsi="Arial"/>
                <w:sz w:val="18"/>
                <w:szCs w:val="18"/>
                <w:color w:val="auto"/>
                <w:w w:val="91"/>
              </w:rPr>
              <w:t>change to our Investment Advisory Agreement (as defined in the accompanying prospectus) must be submitted to stockholders for approval. See</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720" w:type="dxa"/>
            <w:vAlign w:val="bottom"/>
            <w:gridSpan w:val="5"/>
          </w:tcPr>
          <w:p>
            <w:pPr>
              <w:ind w:left="120"/>
              <w:spacing w:after="0"/>
              <w:rPr>
                <w:sz w:val="20"/>
                <w:szCs w:val="20"/>
                <w:color w:val="auto"/>
              </w:rPr>
            </w:pPr>
            <w:r>
              <w:rPr>
                <w:rFonts w:ascii="Arial" w:cs="Arial" w:eastAsia="Arial" w:hAnsi="Arial"/>
                <w:sz w:val="18"/>
                <w:szCs w:val="18"/>
                <w:color w:val="auto"/>
                <w:w w:val="93"/>
              </w:rPr>
              <w:t>“Management and Other Agreements—Investment Advisory Agreement; Administration Agreement; License Agreement” in the accompanying</w:t>
            </w:r>
          </w:p>
        </w:tc>
        <w:tc>
          <w:tcPr>
            <w:tcW w:w="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prospectus.</w:t>
            </w:r>
          </w:p>
        </w:tc>
        <w:tc>
          <w:tcPr>
            <w:tcW w:w="3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83"/>
        </w:trPr>
        <w:tc>
          <w:tcPr>
            <w:tcW w:w="340" w:type="dxa"/>
            <w:vAlign w:val="bottom"/>
          </w:tcPr>
          <w:p>
            <w:pPr>
              <w:spacing w:after="0"/>
              <w:rPr>
                <w:sz w:val="24"/>
                <w:szCs w:val="24"/>
                <w:color w:val="auto"/>
              </w:rPr>
            </w:pPr>
          </w:p>
        </w:tc>
        <w:tc>
          <w:tcPr>
            <w:tcW w:w="10720" w:type="dxa"/>
            <w:vAlign w:val="bottom"/>
            <w:gridSpan w:val="5"/>
          </w:tcPr>
          <w:p>
            <w:pPr>
              <w:ind w:left="120"/>
              <w:spacing w:after="0"/>
              <w:rPr>
                <w:sz w:val="20"/>
                <w:szCs w:val="20"/>
                <w:color w:val="auto"/>
              </w:rPr>
            </w:pPr>
            <w:r>
              <w:rPr>
                <w:rFonts w:ascii="Arial" w:cs="Arial" w:eastAsia="Arial" w:hAnsi="Arial"/>
                <w:sz w:val="18"/>
                <w:szCs w:val="18"/>
                <w:color w:val="auto"/>
                <w:w w:val="91"/>
              </w:rPr>
              <w:t>The Management Fee reflected in the table is calculated by determining the ratio that the Management Fee bears to our net assets attributable to</w:t>
            </w:r>
          </w:p>
        </w:tc>
        <w:tc>
          <w:tcPr>
            <w:tcW w:w="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0"/>
              </w:rPr>
              <w:t>common stock (rather than our gross assets). The estimate of our Management Fee referenced in the table is based on our gross assets (including cash</w:t>
            </w:r>
          </w:p>
        </w:tc>
      </w:tr>
      <w:tr>
        <w:trPr>
          <w:trHeight w:val="230"/>
        </w:trPr>
        <w:tc>
          <w:tcPr>
            <w:tcW w:w="340" w:type="dxa"/>
            <w:vAlign w:val="bottom"/>
          </w:tcPr>
          <w:p>
            <w:pPr>
              <w:spacing w:after="0"/>
              <w:rPr>
                <w:sz w:val="20"/>
                <w:szCs w:val="20"/>
                <w:color w:val="auto"/>
              </w:rPr>
            </w:pPr>
          </w:p>
        </w:tc>
        <w:tc>
          <w:tcPr>
            <w:tcW w:w="5660" w:type="dxa"/>
            <w:vAlign w:val="bottom"/>
            <w:gridSpan w:val="2"/>
          </w:tcPr>
          <w:p>
            <w:pPr>
              <w:ind w:left="120"/>
              <w:spacing w:after="0"/>
              <w:rPr>
                <w:sz w:val="20"/>
                <w:szCs w:val="20"/>
                <w:color w:val="auto"/>
              </w:rPr>
            </w:pPr>
            <w:r>
              <w:rPr>
                <w:rFonts w:ascii="Arial" w:cs="Arial" w:eastAsia="Arial" w:hAnsi="Arial"/>
                <w:sz w:val="18"/>
                <w:szCs w:val="18"/>
                <w:color w:val="auto"/>
                <w:w w:val="93"/>
              </w:rPr>
              <w:t>and cash equivalents and assets purchased with borrowed amounts) as of</w:t>
            </w:r>
          </w:p>
        </w:tc>
        <w:tc>
          <w:tcPr>
            <w:tcW w:w="1340" w:type="dxa"/>
            <w:vAlign w:val="bottom"/>
          </w:tcPr>
          <w:p>
            <w:pPr>
              <w:ind w:left="280"/>
              <w:spacing w:after="0"/>
              <w:rPr>
                <w:sz w:val="20"/>
                <w:szCs w:val="20"/>
                <w:color w:val="auto"/>
              </w:rPr>
            </w:pPr>
            <w:r>
              <w:rPr>
                <w:rFonts w:ascii="Arial" w:cs="Arial" w:eastAsia="Arial" w:hAnsi="Arial"/>
                <w:sz w:val="18"/>
                <w:szCs w:val="18"/>
                <w:color w:val="auto"/>
              </w:rPr>
              <w:t>, 20   and</w:t>
            </w:r>
          </w:p>
        </w:tc>
        <w:tc>
          <w:tcPr>
            <w:tcW w:w="1700" w:type="dxa"/>
            <w:vAlign w:val="bottom"/>
          </w:tcPr>
          <w:p>
            <w:pPr>
              <w:jc w:val="right"/>
              <w:ind w:right="830"/>
              <w:spacing w:after="0"/>
              <w:rPr>
                <w:sz w:val="20"/>
                <w:szCs w:val="20"/>
                <w:color w:val="auto"/>
              </w:rPr>
            </w:pPr>
            <w:r>
              <w:rPr>
                <w:rFonts w:ascii="Arial" w:cs="Arial" w:eastAsia="Arial" w:hAnsi="Arial"/>
                <w:sz w:val="18"/>
                <w:szCs w:val="18"/>
                <w:color w:val="auto"/>
              </w:rPr>
              <w:t>, 20  .</w:t>
            </w: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460" w:hanging="452"/>
        <w:spacing w:after="0"/>
        <w:tabs>
          <w:tab w:leader="none" w:pos="46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twelve months after the date of</w:t>
      </w:r>
    </w:p>
    <w:p>
      <w:pPr>
        <w:spacing w:after="0" w:line="386"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this prospectus supplement. The Incentive Fee payable in the example below is based upon our actual results for the quarter ended , 20 , and assumes that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color w:val="auto"/>
        </w:rPr>
        <w:t>Incentive Fee is</w:t>
      </w:r>
      <w:r>
        <w:rPr>
          <w:sz w:val="20"/>
          <w:szCs w:val="20"/>
          <w:color w:val="auto"/>
        </w:rPr>
        <w:tab/>
      </w:r>
      <w:r>
        <w:rPr>
          <w:rFonts w:ascii="Arial" w:cs="Arial" w:eastAsia="Arial" w:hAnsi="Arial"/>
          <w:sz w:val="16"/>
          <w:szCs w:val="16"/>
          <w:color w:val="auto"/>
        </w:rPr>
        <w:t>% for all relevant periods. However, the Incentive Fee payable to the Adviser is based on our performance and will not be paid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achieve certain goals.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w:t>
      </w:r>
    </w:p>
    <w:p>
      <w:pPr>
        <w:spacing w:after="0" w:line="77"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The first component, payable at the end of each quarter in arrears, equals 100% of the pre-Incentive Fee net investment income in excess of a % quarterly “hurdle rate” until the Adviser has received % of the total pre-Incentive Fee net investment income for that quarter and, for pre-Incentive Fee net investment income in excess of % quarterly, % of all remaining pre-Incentive Fee net investment income for that quarter.</w:t>
      </w:r>
    </w:p>
    <w:p>
      <w:pPr>
        <w:spacing w:after="0" w:line="17"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w:t>
      </w:r>
    </w:p>
    <w:p>
      <w:pPr>
        <w:jc w:val="both"/>
        <w:ind w:left="460" w:right="80"/>
        <w:spacing w:after="0" w:line="281" w:lineRule="auto"/>
        <w:rPr>
          <w:sz w:val="20"/>
          <w:szCs w:val="20"/>
          <w:color w:val="auto"/>
        </w:rPr>
      </w:pPr>
      <w:r>
        <w:rPr>
          <w:rFonts w:ascii="Arial" w:cs="Arial" w:eastAsia="Arial" w:hAnsi="Arial"/>
          <w:sz w:val="16"/>
          <w:szCs w:val="16"/>
          <w:color w:val="auto"/>
        </w:rPr>
        <w:t>and thereafter at %,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2" w:lineRule="exact"/>
        <w:rPr>
          <w:sz w:val="20"/>
          <w:szCs w:val="20"/>
          <w:color w:val="auto"/>
        </w:rPr>
      </w:pPr>
    </w:p>
    <w:p>
      <w:pPr>
        <w:ind w:left="460" w:right="240"/>
        <w:spacing w:after="0" w:line="250" w:lineRule="auto"/>
        <w:rPr>
          <w:sz w:val="20"/>
          <w:szCs w:val="20"/>
          <w:color w:val="auto"/>
        </w:rPr>
      </w:pPr>
      <w:r>
        <w:rPr>
          <w:rFonts w:ascii="Arial" w:cs="Arial" w:eastAsia="Arial" w:hAnsi="Arial"/>
          <w:sz w:val="18"/>
          <w:szCs w:val="18"/>
          <w:color w:val="auto"/>
        </w:rPr>
        <w:t>See “Management and Other Agreements—Investment Advisory Agreement; Administration Agreement; License Agreement” in the accompanying prospectus.</w:t>
      </w:r>
    </w:p>
    <w:p>
      <w:pPr>
        <w:spacing w:after="0" w:line="1" w:lineRule="exact"/>
        <w:rPr>
          <w:sz w:val="20"/>
          <w:szCs w:val="20"/>
          <w:color w:val="auto"/>
        </w:rPr>
      </w:pPr>
    </w:p>
    <w:p>
      <w:pPr>
        <w:ind w:left="460" w:hanging="452"/>
        <w:spacing w:after="0"/>
        <w:tabs>
          <w:tab w:leader="none" w:pos="46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based on our interest expense for the quarter ended</w:t>
      </w:r>
    </w:p>
    <w:p>
      <w:pPr>
        <w:spacing w:after="0" w:line="32" w:lineRule="exact"/>
        <w:rPr>
          <w:rFonts w:ascii="Arial" w:cs="Arial" w:eastAsia="Arial" w:hAnsi="Arial"/>
          <w:sz w:val="16"/>
          <w:szCs w:val="16"/>
          <w:color w:val="auto"/>
        </w:rPr>
      </w:pPr>
    </w:p>
    <w:p>
      <w:pPr>
        <w:ind w:left="460" w:right="240" w:firstLine="714"/>
        <w:spacing w:after="0" w:line="281" w:lineRule="auto"/>
        <w:tabs>
          <w:tab w:leader="none" w:pos="1270" w:val="left"/>
        </w:tabs>
        <w:numPr>
          <w:ilvl w:val="1"/>
          <w:numId w:val="429"/>
        </w:numPr>
        <w:rPr>
          <w:rFonts w:ascii="Arial" w:cs="Arial" w:eastAsia="Arial" w:hAnsi="Arial"/>
          <w:sz w:val="16"/>
          <w:szCs w:val="16"/>
          <w:color w:val="auto"/>
        </w:rPr>
      </w:pPr>
      <w:r>
        <w:rPr>
          <w:rFonts w:ascii="Arial" w:cs="Arial" w:eastAsia="Arial" w:hAnsi="Arial"/>
          <w:sz w:val="16"/>
          <w:szCs w:val="16"/>
          <w:color w:val="auto"/>
        </w:rPr>
        <w:t>20 , under our credit facilities and debt securities based on assumed total borrowings outstanding equal to 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2"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Includes our overhead expenses, such as payments under the Administration Agreement (as defined in the accompanying prospectus) for certain expenses incurred by the Adviser. See “Management and Other Agreements—Investment Advisory Agreement; Administration Agreement; License Agreement” in the accompanying prospectus. We based these expenses on estimated amounts for the current fiscal year by annualizing expenses from</w:t>
      </w:r>
    </w:p>
    <w:p>
      <w:pPr>
        <w:spacing w:after="0" w:line="2" w:lineRule="exact"/>
        <w:rPr>
          <w:sz w:val="20"/>
          <w:szCs w:val="20"/>
          <w:color w:val="auto"/>
        </w:rPr>
      </w:pPr>
    </w:p>
    <w:p>
      <w:pPr>
        <w:ind w:left="460"/>
        <w:spacing w:after="0"/>
        <w:tabs>
          <w:tab w:leader="none" w:pos="1280" w:val="left"/>
          <w:tab w:leader="none" w:pos="2360" w:val="left"/>
          <w:tab w:leader="none" w:pos="280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ending</w:t>
      </w:r>
      <w:r>
        <w:rPr>
          <w:sz w:val="20"/>
          <w:szCs w:val="20"/>
          <w:color w:val="auto"/>
        </w:rPr>
        <w:tab/>
      </w:r>
      <w:r>
        <w:rPr>
          <w:rFonts w:ascii="Arial" w:cs="Arial" w:eastAsia="Arial" w:hAnsi="Arial"/>
          <w:sz w:val="18"/>
          <w:szCs w:val="18"/>
          <w:color w:val="auto"/>
        </w:rPr>
        <w:t>, 20</w:t>
        <w:tab/>
        <w:t>.</w:t>
      </w:r>
    </w:p>
    <w:p>
      <w:pPr>
        <w:spacing w:after="0" w:line="9" w:lineRule="exact"/>
        <w:rPr>
          <w:sz w:val="20"/>
          <w:szCs w:val="20"/>
          <w:color w:val="auto"/>
        </w:rPr>
      </w:pPr>
    </w:p>
    <w:p>
      <w:pPr>
        <w:ind w:left="460" w:hanging="452"/>
        <w:spacing w:after="0"/>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w:t>
      </w:r>
    </w:p>
    <w:p>
      <w:pPr>
        <w:ind w:left="360"/>
        <w:spacing w:after="0"/>
        <w:rPr>
          <w:sz w:val="20"/>
          <w:szCs w:val="20"/>
          <w:color w:val="auto"/>
        </w:rPr>
      </w:pPr>
      <w:r>
        <w:rPr>
          <w:rFonts w:ascii="Arial" w:cs="Arial" w:eastAsia="Arial" w:hAnsi="Arial"/>
          <w:sz w:val="18"/>
          <w:szCs w:val="18"/>
          <w:color w:val="auto"/>
        </w:rPr>
        <w:t>% for all relevant periods. Transaction expenses are not included in the following example.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6"/>
              </w:rPr>
              <w:t>5 years</w:t>
            </w: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6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You would pay the following expenses on a $1,000 common stock investment,</w:t>
            </w:r>
          </w:p>
        </w:tc>
        <w:tc>
          <w:tcPr>
            <w:tcW w:w="4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assuming a 5% annual return from realized capital gains</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89"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00"/>
          </w:cols>
          <w:pgMar w:left="240" w:top="459" w:right="35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stock may decline following the offering and our shares of common stock may trade at discounts from net asset value.</w:t>
      </w:r>
    </w:p>
    <w:p>
      <w:pPr>
        <w:spacing w:after="0" w:line="26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Shares of closed-end investment companies frequently trade at a market price that is less than the net asset value that is attributable to those shares. This characteristic of closed-end investment companies is separate and distinct from the risk that our net asset value per share may decline. It is not possible to predict whether any shares of common stock or rights will trade at, above, or below net asset value. The risk of loss associated with this characteristic of closed-end investment companies may be greater for investors expecting to sell shares of common stock purchased in the offering soon after the offering.</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established trading market for the rights, which could make it more difficult for you to sell rights and could adversely affect their price.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can be no assurances that an active public market for the rights will develop as a result of the offering of the rights by any selling holder or that,</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if such a market develops, it will be maintained. [The rights will be listed on under the symbol “ .”] Future trading prices of the rights will depend on many factors, including our operating results, the market for similar securities, the performance of our common stock (including the requirement that we</w:t>
      </w:r>
    </w:p>
    <w:p>
      <w:pPr>
        <w:ind w:right="20"/>
        <w:spacing w:after="0" w:line="261" w:lineRule="auto"/>
        <w:rPr>
          <w:sz w:val="20"/>
          <w:szCs w:val="20"/>
          <w:color w:val="auto"/>
        </w:rPr>
      </w:pPr>
      <w:r>
        <w:rPr>
          <w:rFonts w:ascii="Arial" w:cs="Arial" w:eastAsia="Arial" w:hAnsi="Arial"/>
          <w:sz w:val="18"/>
          <w:szCs w:val="18"/>
          <w:color w:val="auto"/>
        </w:rPr>
        <w:t>suspend the offering under certain circumstances) and our ability to terminate the offering of the rights if the subscription price is less than [ ]% of the net asset value attributable to a share of common stock disclosed in the most recent periodic report we filed with the SEC.</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terminate the rights offering at any time prior to delivery of the shares of our common stock offered hereby, and neither we nor the subscription agent will have any obligation to you except to return your subscription payments, without interest.</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may, in our sole discretion, terminate the rights offering at any time prior to delivery of the shares of our common stock offered hereby, if the</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subscription price is less than [ ]% of the net asset value attributable to a share of common stock disclosed in the most recent periodic report we filed with the SEC. If the rights offering is terminated, all rights will expire without value and the subscription agent will return as soon as practicable all exercise payments, without interest. [No amounts paid to acquire rights on [insert name of any applicable exchange on which rights are listed] or otherwise will be returned.]</w:t>
      </w:r>
    </w:p>
    <w:p>
      <w:pPr>
        <w:spacing w:after="0" w:line="29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Your interest in us may be diluted if you do not fully exercise your subscription rights. In addition, if the subscription price is less than our net asset value per share, then you would experience an immediate dilution of the aggregate net asset value of your shares.</w:t>
      </w:r>
    </w:p>
    <w:p>
      <w:pPr>
        <w:spacing w:after="0" w:line="3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Stockholders who do not fully exercise their subscription rights should expect that they will, at the completion of the offering,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the offering.</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if the subscription price is less than our net asset value per share,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the offering or what proportion of the shares will be purchased as a result of the offering. Such dilution could be substantial.</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fact that the rights are transferable may reduce the effects of any dilution as a result of the offering. Rights holders can transfer or sell their rights. The cash received from the sale of rights is partial compensation for any possible dilution. There can be no assurances, however, that a market for the rights will develop or the rights will have any value in that market.]</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[Insert any other risk factors applicable to the Rights and any additional relevant risk factors not included in the base prospectus to the extent required to be disclosed by applicable law or regulation.]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 derived</w:t>
      </w:r>
    </w:p>
    <w:p>
      <w:pPr>
        <w:spacing w:after="0" w:line="261" w:lineRule="auto"/>
        <w:rPr>
          <w:sz w:val="20"/>
          <w:szCs w:val="20"/>
          <w:color w:val="auto"/>
        </w:rPr>
      </w:pPr>
      <w:r>
        <w:rPr>
          <w:rFonts w:ascii="Arial" w:cs="Arial" w:eastAsia="Arial" w:hAnsi="Arial"/>
          <w:sz w:val="18"/>
          <w:szCs w:val="18"/>
          <w:color w:val="auto"/>
        </w:rPr>
        <w:t>the selected consolidated financial data for the ended , 20 and , 20 from our unaudited interim consolidated financial statements and related notes, which are included elsewhere in this prospectus supplement or the accompanying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RIGHTS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Offering</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or Board, has determined in good faith that the offering would result in a net benefit to the existing stockholders because [describe reasons]. The offering gives existing stockholders the right to purchase additional shares at a price that is expected to be below the then-current trading price without paying any commission or sales charges (although, if you exercise your rights through a financial institution, you will be responsible for paying any fees that such institution may charge). In connection with the approval of the offering, our Board considered, among other things, the following factors: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[Describe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Offering</w:t>
      </w:r>
    </w:p>
    <w:p>
      <w:pPr>
        <w:spacing w:after="0" w:line="12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We are issuing to record date stockholders [transferable/non-transferable] rights to subscribe for an aggregate of up to shares of our common stock. Each record date stockholder is being issued one transferable right for each shares of our common stock owned on the record date. The rights</w:t>
      </w:r>
    </w:p>
    <w:p>
      <w:pPr>
        <w:spacing w:after="0"/>
        <w:rPr>
          <w:sz w:val="20"/>
          <w:szCs w:val="20"/>
          <w:color w:val="auto"/>
        </w:rPr>
      </w:pPr>
      <w:r>
        <w:rPr>
          <w:rFonts w:ascii="Arial" w:cs="Arial" w:eastAsia="Arial" w:hAnsi="Arial"/>
          <w:sz w:val="16"/>
          <w:szCs w:val="16"/>
          <w:color w:val="auto"/>
        </w:rPr>
        <w:t>entitle each holder to acquire at the subscription price one share of our common stock for every right held, which we refer to as the basic subscription. Rights</w:t>
      </w:r>
    </w:p>
    <w:p>
      <w:pPr>
        <w:spacing w:after="0" w:line="3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may be exercised at any time during the subscription period, which commences on , 20 , the record date, and ends at 5:00 p.m., New York City time, on , 20 , the expiration date, which may be extended by us in our sole discretion.</w:t>
      </w:r>
    </w:p>
    <w:p>
      <w:pPr>
        <w:spacing w:after="0" w:line="170"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[The rights will be evidenced by subscription certificates that will be mailed to stockholders, except as discussed below under “—Foreign Stockholders.” We will not issue fractional rights.]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rights are transferable and will be listed on under the symbol “ .”] Rights holders who are not record date stockholders may purchase shares as described above, which we refer to as the basic subscription[, and may be entitled to subscribe for shares pursuant to the over-subscription privilege (as described below)]. Non-record date rights holders who purchase shares in the basic subscription[ or pursuant to the over-subscription privilege], together with record date stockholders who purchase shares, are hereinafter referred to as participating rights holders.</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[Shares for which there is no subscription during the basic subscription will be offered, by means of the over-subscription privilege, first to record date stockholders who fully exercise the rights issued to them pursuant to the offering and who wish to acquire more than the number of shares they are entitled to purchase pursuant to the exercise of their rights. In addition, any non-record date rights holder who exercises rights is entitled to subscribe for remaining shares that are not otherwise subscribed for by record date stockholders. Shares acquired pursuant to the over-subscription privilege are subject to certain limitations and pro rata allocations. See “—Over-Subscription Privilege” below.]</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purposes of determining the number of shares a record date stockholder may acquire pursuant to the offering, broker-dealers, trust companies, banks or others whose shares are held of record by Cede &amp; Co. (“Cede”) or by any other depository or nominee will be deemed to be the holders of the rights that are issued to Cede or the other depository or nominee on their behalf.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minimum number of rights that must be exercised in order for the offering to close.]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[Over-Subscription Privilege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Shares not subscribed for by rights holders, which we refer to as remaining shares, will be offered, by means of the over-subscription privilege, first to record date stockholders who have fully exercised the rights issued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60" w:right="27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them and who wish to acquire more than the number of shares they are entitled to purchase pursuant to the basic subscription. Rights holders should indicate on the subscription certificate that they submit with respect to the exercise of the rights issued to them how many additional shares they are willing to acquire pursuant to the over-subscription privilege. If there are sufficient remaining shares, all record date stockholders’ over-subscription requests will be honored in full. If record date stockholder requests for shares pursuant to the over-subscription privilege exceed the remaining shares available, the available remaining shares will be allocated pro rata among record date stockholders who over-subscribe based on the number of shares held on the record date. The percentage of remaining shares each over-subscribing stockholder may acquire will be rounded down to result in delivery of whole shares. The allocation process may involve a series of allocations to assure that the total number of remaining shares available for over-subscriptions is distributed on a pro rata basis. The formula to be used in allocating the remaining shares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Stockholder’s Record Date Position</w:t>
            </w:r>
          </w:p>
        </w:tc>
        <w:tc>
          <w:tcPr>
            <w:tcW w:w="5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vMerge w:val="restart"/>
          </w:tcPr>
          <w:p>
            <w:pPr>
              <w:ind w:left="380"/>
              <w:spacing w:after="0"/>
              <w:rPr>
                <w:sz w:val="20"/>
                <w:szCs w:val="20"/>
                <w:color w:val="auto"/>
              </w:rPr>
            </w:pPr>
            <w:r>
              <w:rPr>
                <w:rFonts w:ascii="Arial" w:cs="Arial" w:eastAsia="Arial" w:hAnsi="Arial"/>
                <w:sz w:val="18"/>
                <w:szCs w:val="18"/>
                <w:color w:val="auto"/>
                <w:w w:val="87"/>
              </w:rPr>
              <w:t>Remaining Shares</w:t>
            </w:r>
          </w:p>
        </w:tc>
        <w:tc>
          <w:tcPr>
            <w:tcW w:w="0" w:type="dxa"/>
            <w:vAlign w:val="bottom"/>
          </w:tcPr>
          <w:p>
            <w:pPr>
              <w:spacing w:after="0"/>
              <w:rPr>
                <w:sz w:val="1"/>
                <w:szCs w:val="1"/>
                <w:color w:val="auto"/>
              </w:rPr>
            </w:pPr>
          </w:p>
        </w:tc>
      </w:tr>
      <w:tr>
        <w:trPr>
          <w:trHeight w:val="88"/>
        </w:trPr>
        <w:tc>
          <w:tcPr>
            <w:tcW w:w="9020" w:type="dxa"/>
            <w:vAlign w:val="bottom"/>
            <w:vMerge w:val="restart"/>
          </w:tcPr>
          <w:p>
            <w:pPr>
              <w:jc w:val="center"/>
              <w:spacing w:after="0"/>
              <w:rPr>
                <w:sz w:val="20"/>
                <w:szCs w:val="20"/>
                <w:color w:val="auto"/>
              </w:rPr>
            </w:pPr>
            <w:r>
              <w:rPr>
                <w:rFonts w:ascii="Arial" w:cs="Arial" w:eastAsia="Arial" w:hAnsi="Arial"/>
                <w:sz w:val="18"/>
                <w:szCs w:val="18"/>
                <w:color w:val="auto"/>
                <w:w w:val="91"/>
              </w:rPr>
              <w:t>Total Record Date Position of All Over-Subscribers</w:t>
            </w:r>
          </w:p>
        </w:tc>
        <w:tc>
          <w:tcPr>
            <w:tcW w:w="58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0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rights holder other than a record date stockholder who exercises rights is entitled to subscribe for remaining shares that are not otherwise over-subscribed for by record date stockholders. These non-record date rights holders should indicate, in the subscription certificate submitted with respect to the exercise of any rights, how many shares they are willing to acquire pursuant to the over-subscription privilege. There can be no assurance that non-record date rights holders will receive shares pursuant to the over-subscription privilege.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sufficient remaining shares are available after the over-subscription privileges for the record date stockholders have been allotted, then all over-subscriptions by non-record date rights holders will be honored in full. If the remaining shares are insufficient to permit such allocation, the remaining shares will be allocated pro rata among the non-record date rights holders who wish to exercise their over-subscription privilege, based on the number of rights held by such rights holders on the expiration date; provided, however, that if this pro rata allocation results in any holder being allocated a greater number of shares than the holder subscribed for pursuant to the exercise of the over-subscription privilege, then such holder will be allocated only such number of shares pursuant to the over-subscription privilege as such holder subscribed for. The formula to be used in allocating the shares available to non-record date rights holders exercising their over-subscription privilege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ind w:left="2520"/>
              <w:spacing w:after="0"/>
              <w:rPr>
                <w:sz w:val="20"/>
                <w:szCs w:val="20"/>
                <w:color w:val="auto"/>
              </w:rPr>
            </w:pPr>
            <w:r>
              <w:rPr>
                <w:rFonts w:ascii="Arial" w:cs="Arial" w:eastAsia="Arial" w:hAnsi="Arial"/>
                <w:sz w:val="18"/>
                <w:szCs w:val="18"/>
                <w:color w:val="auto"/>
              </w:rPr>
              <w:t>Non-Record Date Rights Holder’s Rights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80" w:type="dxa"/>
            <w:vAlign w:val="bottom"/>
          </w:tcPr>
          <w:p>
            <w:pPr>
              <w:jc w:val="center"/>
              <w:ind w:left="70"/>
              <w:spacing w:after="0"/>
              <w:rPr>
                <w:sz w:val="20"/>
                <w:szCs w:val="20"/>
                <w:color w:val="auto"/>
              </w:rPr>
            </w:pPr>
            <w:r>
              <w:rPr>
                <w:rFonts w:ascii="Arial" w:cs="Arial" w:eastAsia="Arial" w:hAnsi="Arial"/>
                <w:sz w:val="18"/>
                <w:szCs w:val="18"/>
                <w:color w:val="auto"/>
                <w:w w:val="90"/>
              </w:rPr>
              <w:t>Shares Available for Non- Record Date</w:t>
            </w:r>
          </w:p>
        </w:tc>
      </w:tr>
      <w:tr>
        <w:trPr>
          <w:trHeight w:val="230"/>
        </w:trPr>
        <w:tc>
          <w:tcPr>
            <w:tcW w:w="804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Ownership as of the Expiration Date</w:t>
            </w:r>
          </w:p>
        </w:tc>
        <w:tc>
          <w:tcPr>
            <w:tcW w:w="380" w:type="dxa"/>
            <w:vAlign w:val="bottom"/>
          </w:tcPr>
          <w:p>
            <w:pPr>
              <w:spacing w:after="0"/>
              <w:rPr>
                <w:sz w:val="20"/>
                <w:szCs w:val="20"/>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color w:val="auto"/>
                <w:w w:val="93"/>
              </w:rPr>
              <w:t>Rights</w:t>
            </w:r>
          </w:p>
        </w:tc>
      </w:tr>
      <w:tr>
        <w:trPr>
          <w:trHeight w:val="195"/>
        </w:trPr>
        <w:tc>
          <w:tcPr>
            <w:tcW w:w="8040" w:type="dxa"/>
            <w:vAlign w:val="bottom"/>
          </w:tcPr>
          <w:p>
            <w:pPr>
              <w:jc w:val="center"/>
              <w:spacing w:after="0" w:line="195" w:lineRule="exact"/>
              <w:rPr>
                <w:sz w:val="20"/>
                <w:szCs w:val="20"/>
                <w:color w:val="auto"/>
              </w:rPr>
            </w:pPr>
            <w:r>
              <w:rPr>
                <w:rFonts w:ascii="Arial" w:cs="Arial" w:eastAsia="Arial" w:hAnsi="Arial"/>
                <w:sz w:val="18"/>
                <w:szCs w:val="18"/>
                <w:color w:val="auto"/>
                <w:w w:val="92"/>
              </w:rPr>
              <w:t>Total Rights Ownership as of the Expiration Date of Non-Record Date Rights</w:t>
            </w:r>
          </w:p>
        </w:tc>
        <w:tc>
          <w:tcPr>
            <w:tcW w:w="380" w:type="dxa"/>
            <w:vAlign w:val="bottom"/>
          </w:tcPr>
          <w:p>
            <w:pPr>
              <w:spacing w:after="0"/>
              <w:rPr>
                <w:sz w:val="16"/>
                <w:szCs w:val="16"/>
                <w:color w:val="auto"/>
              </w:rPr>
            </w:pPr>
          </w:p>
        </w:tc>
        <w:tc>
          <w:tcPr>
            <w:tcW w:w="2980" w:type="dxa"/>
            <w:vAlign w:val="bottom"/>
          </w:tcPr>
          <w:p>
            <w:pPr>
              <w:jc w:val="center"/>
              <w:ind w:left="70"/>
              <w:spacing w:after="0" w:line="195" w:lineRule="exact"/>
              <w:rPr>
                <w:sz w:val="20"/>
                <w:szCs w:val="20"/>
                <w:color w:val="auto"/>
              </w:rPr>
            </w:pPr>
            <w:r>
              <w:rPr>
                <w:rFonts w:ascii="Arial" w:cs="Arial" w:eastAsia="Arial" w:hAnsi="Arial"/>
                <w:sz w:val="18"/>
                <w:szCs w:val="18"/>
                <w:color w:val="auto"/>
                <w:w w:val="92"/>
              </w:rPr>
              <w:t>Holders Exercising Their</w:t>
            </w:r>
          </w:p>
        </w:tc>
      </w:tr>
      <w:tr>
        <w:trPr>
          <w:trHeight w:val="244"/>
        </w:trPr>
        <w:tc>
          <w:tcPr>
            <w:tcW w:w="8040" w:type="dxa"/>
            <w:vAlign w:val="bottom"/>
          </w:tcPr>
          <w:p>
            <w:pPr>
              <w:jc w:val="center"/>
              <w:spacing w:after="0"/>
              <w:rPr>
                <w:sz w:val="20"/>
                <w:szCs w:val="20"/>
                <w:color w:val="auto"/>
              </w:rPr>
            </w:pPr>
            <w:r>
              <w:rPr>
                <w:rFonts w:ascii="Arial" w:cs="Arial" w:eastAsia="Arial" w:hAnsi="Arial"/>
                <w:sz w:val="18"/>
                <w:szCs w:val="18"/>
                <w:color w:val="auto"/>
                <w:w w:val="92"/>
              </w:rPr>
              <w:t>Holders Exercising Their Over-Subscription Privilege</w:t>
            </w:r>
          </w:p>
        </w:tc>
        <w:tc>
          <w:tcPr>
            <w:tcW w:w="380" w:type="dxa"/>
            <w:vAlign w:val="bottom"/>
          </w:tcPr>
          <w:p>
            <w:pPr>
              <w:spacing w:after="0"/>
              <w:rPr>
                <w:sz w:val="21"/>
                <w:szCs w:val="21"/>
                <w:color w:val="auto"/>
              </w:rPr>
            </w:pPr>
          </w:p>
        </w:tc>
        <w:tc>
          <w:tcPr>
            <w:tcW w:w="2980" w:type="dxa"/>
            <w:vAlign w:val="bottom"/>
          </w:tcPr>
          <w:p>
            <w:pPr>
              <w:jc w:val="center"/>
              <w:ind w:left="70"/>
              <w:spacing w:after="0"/>
              <w:rPr>
                <w:sz w:val="20"/>
                <w:szCs w:val="20"/>
                <w:color w:val="auto"/>
              </w:rPr>
            </w:pPr>
            <w:r>
              <w:rPr>
                <w:rFonts w:ascii="Arial" w:cs="Arial" w:eastAsia="Arial" w:hAnsi="Arial"/>
                <w:sz w:val="18"/>
                <w:szCs w:val="18"/>
                <w:color w:val="auto"/>
                <w:w w:val="92"/>
              </w:rPr>
              <w:t>Over-Subscription Privilege</w:t>
            </w:r>
          </w:p>
        </w:tc>
      </w:tr>
    </w:tbl>
    <w:p>
      <w:pPr>
        <w:spacing w:after="0" w:line="20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Banks, brokers, trustees and other nominee holders of rights will be required to certify to the subscription agent, before any over-subscription privilege may be exercised with respect to any particular beneficial owner, as to the aggregate number of rights exercised pursuant to the basic subscription and the number of shares subscribed for pursuant to the over-subscription privilege by such beneficial owner.]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Subscription Price</w:t>
      </w:r>
    </w:p>
    <w:p>
      <w:pPr>
        <w:spacing w:after="0" w:line="121"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subscription price for the shares to be issued pursuant to the offering will be [describe means of computing subscription price]. Because the subscription price will be determined on the expiration date, rights holders will not know the subscription price at the time of exercise and will be required initially to pay for both the shares subscribed for pursuant to their basic subscription rights[ and, if eligible, any additional shares subscribed for pursuant to</w:t>
      </w:r>
    </w:p>
    <w:p>
      <w:pPr>
        <w:ind w:right="60"/>
        <w:spacing w:after="0" w:line="255" w:lineRule="auto"/>
        <w:rPr>
          <w:sz w:val="20"/>
          <w:szCs w:val="20"/>
          <w:color w:val="auto"/>
        </w:rPr>
      </w:pPr>
      <w:r>
        <w:rPr>
          <w:rFonts w:ascii="Arial" w:cs="Arial" w:eastAsia="Arial" w:hAnsi="Arial"/>
          <w:sz w:val="18"/>
          <w:szCs w:val="18"/>
          <w:color w:val="auto"/>
        </w:rPr>
        <w:t>the over-subscription privilege,] at the estimated subscription price of $ per share. Rights holders who exercise their rights will have no right to rescind a purchase after receipt of their completed subscription certificates together with payment for shares or a notice of guaranteed delivery by the subscription agent.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4020" w:type="dxa"/>
            <w:vAlign w:val="bottom"/>
          </w:tcPr>
          <w:p>
            <w:pPr>
              <w:spacing w:after="0"/>
              <w:rPr>
                <w:sz w:val="17"/>
                <w:szCs w:val="17"/>
                <w:color w:val="auto"/>
              </w:rPr>
            </w:pPr>
          </w:p>
        </w:tc>
        <w:tc>
          <w:tcPr>
            <w:tcW w:w="5880" w:type="dxa"/>
            <w:vAlign w:val="bottom"/>
          </w:tcPr>
          <w:p>
            <w:pPr>
              <w:spacing w:after="0"/>
              <w:rPr>
                <w:sz w:val="17"/>
                <w:szCs w:val="17"/>
                <w:color w:val="auto"/>
              </w:rPr>
            </w:pPr>
          </w:p>
        </w:tc>
      </w:tr>
      <w:tr>
        <w:trPr>
          <w:trHeight w:val="5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Expiration Of The Offering</w:t>
            </w:r>
          </w:p>
        </w:tc>
        <w:tc>
          <w:tcPr>
            <w:tcW w:w="5880" w:type="dxa"/>
            <w:vAlign w:val="bottom"/>
          </w:tcPr>
          <w:p>
            <w:pPr>
              <w:spacing w:after="0"/>
              <w:rPr>
                <w:sz w:val="24"/>
                <w:szCs w:val="24"/>
                <w:color w:val="auto"/>
              </w:rPr>
            </w:pPr>
          </w:p>
        </w:tc>
      </w:tr>
      <w:tr>
        <w:trPr>
          <w:trHeight w:val="310"/>
        </w:trPr>
        <w:tc>
          <w:tcPr>
            <w:tcW w:w="5380" w:type="dxa"/>
            <w:vAlign w:val="bottom"/>
            <w:gridSpan w:val="2"/>
          </w:tcPr>
          <w:p>
            <w:pPr>
              <w:ind w:left="460"/>
              <w:spacing w:after="0"/>
              <w:rPr>
                <w:sz w:val="20"/>
                <w:szCs w:val="20"/>
                <w:color w:val="auto"/>
              </w:rPr>
            </w:pPr>
            <w:r>
              <w:rPr>
                <w:rFonts w:ascii="Arial" w:cs="Arial" w:eastAsia="Arial" w:hAnsi="Arial"/>
                <w:sz w:val="18"/>
                <w:szCs w:val="18"/>
                <w:color w:val="auto"/>
              </w:rPr>
              <w:t>The offering will expire at 5:00 p.m., New York City time, on</w:t>
            </w:r>
          </w:p>
        </w:tc>
        <w:tc>
          <w:tcPr>
            <w:tcW w:w="5880" w:type="dxa"/>
            <w:vAlign w:val="bottom"/>
          </w:tcPr>
          <w:p>
            <w:pPr>
              <w:ind w:left="300"/>
              <w:spacing w:after="0"/>
              <w:rPr>
                <w:sz w:val="20"/>
                <w:szCs w:val="20"/>
                <w:color w:val="auto"/>
              </w:rPr>
            </w:pPr>
            <w:r>
              <w:rPr>
                <w:rFonts w:ascii="Arial" w:cs="Arial" w:eastAsia="Arial" w:hAnsi="Arial"/>
                <w:sz w:val="18"/>
                <w:szCs w:val="18"/>
                <w:color w:val="auto"/>
                <w:w w:val="92"/>
              </w:rPr>
              <w:t>, 20   , unless extended by us in our sole discretion. The rights will expire on</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5"/>
              </w:rPr>
              <w:t>the expiration date of the offering and may not be exercised thereafter.</w:t>
            </w:r>
          </w:p>
        </w:tc>
        <w:tc>
          <w:tcPr>
            <w:tcW w:w="58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40" w:firstLine="456"/>
        <w:spacing w:after="0" w:line="279" w:lineRule="auto"/>
        <w:rPr>
          <w:sz w:val="20"/>
          <w:szCs w:val="20"/>
          <w:color w:val="auto"/>
        </w:rPr>
      </w:pPr>
      <w:r>
        <w:rPr>
          <w:rFonts w:ascii="Arial" w:cs="Arial" w:eastAsia="Arial" w:hAnsi="Arial"/>
          <w:sz w:val="17"/>
          <w:szCs w:val="17"/>
          <w:color w:val="auto"/>
        </w:rPr>
        <w:t>Any extension of the offering will be followed as promptly as practicable by announcement thereof, and in no event later than 9:00 a.m., New York City time, on the next business day following the previously scheduled expiration date. Without limiting the manner in which we may choose to make such announcement, we will not, unless otherwise required by law, have any obligation to publish, advertise or otherwise communicate any such announcement other than by issuing a press release or such other means of announcement as we deem appropriate.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 Termination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reserve the right to amend the terms and conditions of the offering, whether the amended terms are more or less favorable to you. We will comply with all applicable laws, including the federal securities laws, in connection with any such amendment.</w:t>
      </w:r>
    </w:p>
    <w:p>
      <w:pPr>
        <w:spacing w:after="0" w:line="17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will decide all questions as to the validity, form and eligibility (including times of receipt, beneficial ownership and compliance with other procedural matters) in our sole discretion, and our determination shall be final and binding. The acceptance of subscription certificates and the subscription price also will be determined by us. Alternative, conditional or contingent subscriptions will not be accepted. We reserve the right to reject any exercise if such exercise is not in accordance with the terms of the offering or not in proper form or if the acceptance thereof or the issuance of shares of our common stock thereto could be deemed unlawful.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We will not be under any duty to give notification of any defect or irregularity in connection with the submission of subscription certificates or incur any liability for failure to give such notification.</w:t>
      </w:r>
    </w:p>
    <w:p>
      <w:pPr>
        <w:spacing w:after="0" w:line="16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may, in our sole discretion, terminate the rights offering at any time prior to delivery of the shares of our common stock offered hereby if the subscription price is less than [ ]% of the net asset value attributable to a share of common stock disclosed in the most recent periodic report we filed with the SEC by giving oral or written notice thereof to the subscription agent and making a public announcement thereof. If the offering is terminated, all rights will expire without value and we will promptly arrange for the refund, without interest, of all funds received from holders of rights. All monies received by the subscription agent in connection with the offering will be held by the subscription agent, on our behalf, in a segregated interest-bearing account at a negotiated rate. All such interest shall be payable to us even if we determine to terminate the offering and return your subscription payment. [In addition, no amounts paid to acquire rights on [insert name of any applicable exchange on which rights are listed] or otherwise will be returned.]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stockholder who chooses not to participate in the offering should expect to own a smaller interest in us upon completion of the offering. The offering will dilute the ownership interest and voting power of stockholders who do not fully exercise their basic subscription rights. The amount of dilution that a stockholder will experience could be substantial. Further, because the net proceeds per share from the offering may be lower than our net asset value per share, the offering may reduce our net asset value per share. The amount of dilution that a stockholder will experience could be substantial.</w:t>
      </w:r>
    </w:p>
    <w:p>
      <w:pPr>
        <w:spacing w:after="0" w:line="154"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Shares of closed-end investment companies have in the past frequently traded at discounts to their net asset values. This characteristic of closed-end investment companies is separate and distinct from the risk that our net asset value per share may decline. We cannot predict whether our shares will trade above, at or below our net asset value.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46" w:right="23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transferable feature of the rights will afford non-participating stockholders the potential of receiving cash payment upon the sale of rights, receipt of which may be viewed as partial compensation for the dilution of their interests.]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Net Asset Value Decline</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[If, subsequent to the effective date of this prospectus, our net asset value declines more than 10% from our net asset value as of that date, as required by the SEC’s registration form, we will suspend the offering until we amend this prospectus. In such event, the expiration date would be extended and we would notify record date stockholders of the decline and permit participating rights holders to cancel their exercise of rights.]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Agent</w:t>
      </w:r>
    </w:p>
    <w:p>
      <w:pPr>
        <w:spacing w:after="0" w:line="121" w:lineRule="exact"/>
        <w:rPr>
          <w:sz w:val="20"/>
          <w:szCs w:val="20"/>
          <w:color w:val="auto"/>
        </w:rPr>
      </w:pPr>
    </w:p>
    <w:p>
      <w:pPr>
        <w:ind w:left="1060" w:hanging="596"/>
        <w:spacing w:after="0"/>
        <w:tabs>
          <w:tab w:leader="none" w:pos="106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 will act as the information agent in connection with the offering. The information agent will receive for its services a fee estimated to be</w:t>
      </w:r>
    </w:p>
    <w:p>
      <w:pPr>
        <w:spacing w:after="0" w:line="35" w:lineRule="exact"/>
        <w:rPr>
          <w:sz w:val="20"/>
          <w:szCs w:val="20"/>
          <w:color w:val="auto"/>
        </w:rPr>
      </w:pPr>
    </w:p>
    <w:p>
      <w:pPr>
        <w:spacing w:after="0"/>
        <w:tabs>
          <w:tab w:leader="none" w:pos="1520" w:val="left"/>
          <w:tab w:leader="none" w:pos="738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plus reimbursement of all out-of-pocket expenses related to the offering. [</w:t>
      </w:r>
      <w:r>
        <w:rPr>
          <w:sz w:val="20"/>
          <w:szCs w:val="20"/>
          <w:color w:val="auto"/>
        </w:rPr>
        <w:tab/>
      </w:r>
      <w:r>
        <w:rPr>
          <w:rFonts w:ascii="Arial" w:cs="Arial" w:eastAsia="Arial" w:hAnsi="Arial"/>
          <w:sz w:val="15"/>
          <w:szCs w:val="15"/>
          <w:color w:val="auto"/>
        </w:rPr>
        <w:t>] can be contacted at the below address: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Agent Address]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Agent</w:t>
      </w:r>
    </w:p>
    <w:p>
      <w:pPr>
        <w:spacing w:after="0" w:line="121" w:lineRule="exact"/>
        <w:rPr>
          <w:sz w:val="20"/>
          <w:szCs w:val="20"/>
          <w:color w:val="auto"/>
        </w:rPr>
      </w:pPr>
    </w:p>
    <w:p>
      <w:pPr>
        <w:ind w:left="1060" w:hanging="596"/>
        <w:spacing w:after="0"/>
        <w:tabs>
          <w:tab w:leader="none" w:pos="106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 will act as the subscription agent in connection with the offering. The subscription agent will receive for its administrative, processing,</w:t>
      </w:r>
    </w:p>
    <w:p>
      <w:pPr>
        <w:spacing w:after="0" w:line="35"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invoicing and other services a fee estimated to be approximately $</w:t>
      </w:r>
      <w:r>
        <w:rPr>
          <w:sz w:val="20"/>
          <w:szCs w:val="20"/>
          <w:color w:val="auto"/>
        </w:rPr>
        <w:tab/>
      </w:r>
      <w:r>
        <w:rPr>
          <w:rFonts w:ascii="Arial" w:cs="Arial" w:eastAsia="Arial" w:hAnsi="Arial"/>
          <w:sz w:val="16"/>
          <w:szCs w:val="16"/>
          <w:color w:val="auto"/>
        </w:rPr>
        <w:t>, plus reimbursement of all out-of-pocket expenses related to the offering.</w:t>
      </w:r>
    </w:p>
    <w:p>
      <w:pPr>
        <w:spacing w:after="0" w:line="211" w:lineRule="exact"/>
        <w:rPr>
          <w:sz w:val="20"/>
          <w:szCs w:val="20"/>
          <w:color w:val="auto"/>
        </w:rPr>
      </w:pPr>
    </w:p>
    <w:p>
      <w:pPr>
        <w:ind w:right="420" w:firstLine="456"/>
        <w:spacing w:after="0" w:line="288" w:lineRule="auto"/>
        <w:rPr>
          <w:sz w:val="20"/>
          <w:szCs w:val="20"/>
          <w:color w:val="auto"/>
        </w:rPr>
      </w:pPr>
      <w:r>
        <w:rPr>
          <w:rFonts w:ascii="Arial" w:cs="Arial" w:eastAsia="Arial" w:hAnsi="Arial"/>
          <w:sz w:val="16"/>
          <w:szCs w:val="16"/>
          <w:color w:val="auto"/>
        </w:rPr>
        <w:t>Completed subscription certificates must be sent together with full payment of the subscription price for all shares subscribed for in the basic subscription[ and pursuant to the over-subscription privilege] to the subscription agent by one of the methods described below. Alternatively, an Eligible Guarantor Institution, as that term is defined in Rule 17Ad-15 under the Exchange Act may send notices of guaranteed delivery by facsimile</w:t>
      </w:r>
    </w:p>
    <w:p>
      <w:pPr>
        <w:ind w:right="80"/>
        <w:spacing w:after="0" w:line="281" w:lineRule="auto"/>
        <w:rPr>
          <w:sz w:val="20"/>
          <w:szCs w:val="20"/>
          <w:color w:val="auto"/>
        </w:rPr>
      </w:pPr>
      <w:r>
        <w:rPr>
          <w:rFonts w:ascii="Arial" w:cs="Arial" w:eastAsia="Arial" w:hAnsi="Arial"/>
          <w:sz w:val="16"/>
          <w:szCs w:val="16"/>
          <w:color w:val="auto"/>
        </w:rPr>
        <w:t>to which must be received by the subscription agent at or prior to 5:00 p.m., New York City time, on the expiration date of the offering. Facsimiles should be confirmed by telephone at . We will accept only properly completed and duly executed subscription certificates actually received at any of the</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addresses listed below, at or prior to 5:00 p.m., New York City time, on the expiration date of the offering or by the close of business on the third business day after the expiration date of the offering following timely receipt of a notice of guaranteed delivery. See “—Payment for Shares” below. In this prospectus supplement and the accompanying prospectus, close of business means 5:00 p.m., New York City time, on the relevant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Subscription Certificate Delivery Method</w:t>
            </w:r>
          </w:p>
        </w:tc>
        <w:tc>
          <w:tcPr>
            <w:tcW w:w="4160" w:type="dxa"/>
            <w:vAlign w:val="bottom"/>
            <w:gridSpan w:val="2"/>
            <w:vMerge w:val="restart"/>
          </w:tcPr>
          <w:p>
            <w:pPr>
              <w:ind w:left="2020"/>
              <w:spacing w:after="0"/>
              <w:rPr>
                <w:sz w:val="20"/>
                <w:szCs w:val="20"/>
                <w:color w:val="auto"/>
              </w:rPr>
            </w:pPr>
            <w:r>
              <w:rPr>
                <w:rFonts w:ascii="Arial" w:cs="Arial" w:eastAsia="Arial" w:hAnsi="Arial"/>
                <w:sz w:val="18"/>
                <w:szCs w:val="18"/>
                <w:color w:val="auto"/>
                <w:w w:val="89"/>
              </w:rPr>
              <w:t>Contact an Eligible Guarantor</w:t>
            </w:r>
          </w:p>
        </w:tc>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Address/Number</w:t>
            </w: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4160" w:type="dxa"/>
            <w:vAlign w:val="bottom"/>
            <w:gridSpan w:val="2"/>
            <w:vMerge w:val="continue"/>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40" w:type="dxa"/>
            <w:vAlign w:val="bottom"/>
          </w:tcPr>
          <w:p>
            <w:pPr>
              <w:spacing w:after="0" w:line="182" w:lineRule="exact"/>
              <w:rPr>
                <w:sz w:val="20"/>
                <w:szCs w:val="20"/>
                <w:color w:val="auto"/>
              </w:rPr>
            </w:pPr>
            <w:r>
              <w:rPr>
                <w:rFonts w:ascii="Arial" w:cs="Arial" w:eastAsia="Arial" w:hAnsi="Arial"/>
                <w:sz w:val="18"/>
                <w:szCs w:val="18"/>
                <w:color w:val="auto"/>
                <w:w w:val="92"/>
              </w:rPr>
              <w:t>By Notice of Guaranteed Delivery:</w:t>
            </w:r>
          </w:p>
        </w:tc>
        <w:tc>
          <w:tcPr>
            <w:tcW w:w="1500" w:type="dxa"/>
            <w:vAlign w:val="bottom"/>
            <w:vMerge w:val="continue"/>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306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Institution, which may include a</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20" w:type="dxa"/>
            <w:vAlign w:val="bottom"/>
            <w:gridSpan w:val="4"/>
          </w:tcPr>
          <w:p>
            <w:pPr>
              <w:ind w:left="2020"/>
              <w:spacing w:after="0"/>
              <w:rPr>
                <w:sz w:val="20"/>
                <w:szCs w:val="20"/>
                <w:color w:val="auto"/>
              </w:rPr>
            </w:pPr>
            <w:r>
              <w:rPr>
                <w:rFonts w:ascii="Arial" w:cs="Arial" w:eastAsia="Arial" w:hAnsi="Arial"/>
                <w:sz w:val="18"/>
                <w:szCs w:val="18"/>
                <w:color w:val="auto"/>
                <w:w w:val="92"/>
              </w:rPr>
              <w:t>commercial bank or trust company, a member firm of a domestic stock</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20" w:type="dxa"/>
            <w:vAlign w:val="bottom"/>
            <w:gridSpan w:val="4"/>
          </w:tcPr>
          <w:p>
            <w:pPr>
              <w:ind w:left="2020"/>
              <w:spacing w:after="0"/>
              <w:rPr>
                <w:sz w:val="20"/>
                <w:szCs w:val="20"/>
                <w:color w:val="auto"/>
              </w:rPr>
            </w:pPr>
            <w:r>
              <w:rPr>
                <w:rFonts w:ascii="Arial" w:cs="Arial" w:eastAsia="Arial" w:hAnsi="Arial"/>
                <w:sz w:val="18"/>
                <w:szCs w:val="18"/>
                <w:color w:val="auto"/>
                <w:w w:val="90"/>
              </w:rPr>
              <w:t>exchange or a savings bank or credit union, to notify us of your intent to</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20" w:type="dxa"/>
            <w:vAlign w:val="bottom"/>
            <w:gridSpan w:val="4"/>
          </w:tcPr>
          <w:p>
            <w:pPr>
              <w:ind w:left="2020"/>
              <w:spacing w:after="0"/>
              <w:rPr>
                <w:sz w:val="20"/>
                <w:szCs w:val="20"/>
                <w:color w:val="auto"/>
              </w:rPr>
            </w:pPr>
            <w:r>
              <w:rPr>
                <w:rFonts w:ascii="Arial" w:cs="Arial" w:eastAsia="Arial" w:hAnsi="Arial"/>
                <w:sz w:val="18"/>
                <w:szCs w:val="18"/>
                <w:color w:val="auto"/>
              </w:rPr>
              <w:t>exercise the rights.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By First Class Mail Only:</w:t>
            </w:r>
          </w:p>
        </w:tc>
        <w:tc>
          <w:tcPr>
            <w:tcW w:w="2380" w:type="dxa"/>
            <w:vAlign w:val="bottom"/>
          </w:tcPr>
          <w:p>
            <w:pPr>
              <w:ind w:left="20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(No Overnight/Express Mail)</w:t>
            </w:r>
          </w:p>
        </w:tc>
        <w:tc>
          <w:tcPr>
            <w:tcW w:w="7220" w:type="dxa"/>
            <w:vAlign w:val="bottom"/>
            <w:gridSpan w:val="4"/>
          </w:tcPr>
          <w:p>
            <w:pPr>
              <w:ind w:left="2020"/>
              <w:spacing w:after="0"/>
              <w:rPr>
                <w:sz w:val="20"/>
                <w:szCs w:val="20"/>
                <w:color w:val="auto"/>
              </w:rPr>
            </w:pPr>
            <w:r>
              <w:rPr>
                <w:rFonts w:ascii="Arial" w:cs="Arial" w:eastAsia="Arial" w:hAnsi="Arial"/>
                <w:sz w:val="18"/>
                <w:szCs w:val="18"/>
                <w:color w:val="auto"/>
              </w:rPr>
              <w:t>TSL Rights Offering</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220" w:type="dxa"/>
            <w:vAlign w:val="bottom"/>
            <w:gridSpan w:val="4"/>
          </w:tcPr>
          <w:p>
            <w:pPr>
              <w:ind w:left="2020"/>
              <w:spacing w:after="0"/>
              <w:rPr>
                <w:sz w:val="20"/>
                <w:szCs w:val="20"/>
                <w:color w:val="auto"/>
              </w:rPr>
            </w:pPr>
            <w:r>
              <w:rPr>
                <w:rFonts w:ascii="Arial" w:cs="Arial" w:eastAsia="Arial" w:hAnsi="Arial"/>
                <w:sz w:val="18"/>
                <w:szCs w:val="18"/>
                <w:color w:val="auto"/>
              </w:rPr>
              <w:t>[Subscription Agent Address]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By Overnight Delivery:</w:t>
            </w:r>
          </w:p>
        </w:tc>
        <w:tc>
          <w:tcPr>
            <w:tcW w:w="2380" w:type="dxa"/>
            <w:vAlign w:val="bottom"/>
          </w:tcPr>
          <w:p>
            <w:pPr>
              <w:ind w:left="20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20" w:type="dxa"/>
            <w:vAlign w:val="bottom"/>
            <w:gridSpan w:val="4"/>
          </w:tcPr>
          <w:p>
            <w:pPr>
              <w:ind w:left="2020"/>
              <w:spacing w:after="0"/>
              <w:rPr>
                <w:sz w:val="20"/>
                <w:szCs w:val="20"/>
                <w:color w:val="auto"/>
              </w:rPr>
            </w:pPr>
            <w:r>
              <w:rPr>
                <w:rFonts w:ascii="Arial" w:cs="Arial" w:eastAsia="Arial" w:hAnsi="Arial"/>
                <w:sz w:val="18"/>
                <w:szCs w:val="18"/>
                <w:color w:val="auto"/>
              </w:rPr>
              <w:t>TSL Rights Offering</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220" w:type="dxa"/>
            <w:vAlign w:val="bottom"/>
            <w:gridSpan w:val="4"/>
          </w:tcPr>
          <w:p>
            <w:pPr>
              <w:ind w:left="2020"/>
              <w:spacing w:after="0"/>
              <w:rPr>
                <w:sz w:val="20"/>
                <w:szCs w:val="20"/>
                <w:color w:val="auto"/>
              </w:rPr>
            </w:pPr>
            <w:r>
              <w:rPr>
                <w:rFonts w:ascii="Arial" w:cs="Arial" w:eastAsia="Arial" w:hAnsi="Arial"/>
                <w:sz w:val="18"/>
                <w:szCs w:val="18"/>
                <w:color w:val="auto"/>
              </w:rPr>
              <w:t>[Subscription Agent Address]</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tcPr>
          <w:p>
            <w:pPr>
              <w:ind w:left="1500"/>
              <w:spacing w:after="0"/>
              <w:rPr>
                <w:sz w:val="20"/>
                <w:szCs w:val="20"/>
                <w:color w:val="auto"/>
              </w:rPr>
            </w:pPr>
            <w:r>
              <w:rPr>
                <w:rFonts w:ascii="Arial" w:cs="Arial" w:eastAsia="Arial" w:hAnsi="Arial"/>
                <w:sz w:val="18"/>
                <w:szCs w:val="18"/>
                <w:color w:val="auto"/>
              </w:rPr>
              <w:t>S-15</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to an address other than one of the addresses listed above will not constitute valid delivery.</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Any questions or requests for assistance concerning the method of subscribing for shares or for additional copies of this prospectus or subscription certificates or notices of guaranteed delivery may be directed to the information agent at its telephone number and address listed below:</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Agent Address and Telephone Number]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may also contact their broker-dealers or nominees for information with respect to the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For Exercising Rights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Rights are evidenced by subscription certificates that, except as described below under “—Foreign Stockholders,” will be mailed to record date stockholders or, if a record date stockholder’s shares are held by Cede or any other depository or nominee on their behalf, to Cede or such depository or nominee. Rights may be exercised by completing and signing the subscription certificate that accompanies this prospectus and mailing it in the envelope provided, or otherwise delivering the completed and duly executed subscription certificate to the subscription agent, together with payment in full for all shares subscribed for in the basic subscription and pursuant to the over-subscription privilege at the estimated subscription price by the expiration date of the offering. Rights may also be exercised by contacting your broker, trustee or other nominee, who can arrange, on your behalf, to guarantee delivery of payment and delivery of a properly completed and duly executed subscription certificate pursuant to a notice of guaranteed delivery by the close of business on the third business day after the expiration date. A fee may be charged for this service. Completed subscription certificates and related payments must be received by the subscription agent at or prior to 5:00 p.m., New York City time, on or before the expiration date (unless payment is effected by means of a notice of guaranteed delivery as described below under “—Payment for Shares”) at the offices of the subscription agent at one of the addresses set forth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the Over-Subscription Privilege</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Record date stockholders who fully exercise all rights issued to them and rights holders other than record date stockholders, may both participate in the over-subscription privilege by indicating on their subscription certificate the number of shares they are willing to acquire. If sufficient remaining shares are available after the initial subscription, all over-subscriptions will be honored in full; otherwise remaining shares will be allocated first to record date stockholders and then (if any remaining shares are still available) to non-record date rights holders, and the number of remaining shares issued to some or all exercising rights holders participating in the over-subscription privilege may be reduced as described under “—Over-Subscription Privilege” above.]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Date Stockholders Whose Shares are Held by a Nominee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Record date stockholders whose shares are held by a nominee, such as a bank, broker-dealer or trustee, must contact that nominee to exercise their rights. In that case, the nominee will complete the subscription certificate on behalf of the record date stockholder and arrange for proper payment by one of the methods set forth under “—Payment for Shares”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Nominees, such as brokers, trustees or depositories for securities, who hold shares for the account of others should notify the respective beneficial owners of the shares as soon as possible to ascertain the beneficial owners’ intentions and to obtain instructions with respect to the rights. If the beneficial owner so instructs, the nominee should complete the subscription certificate and submit it to the subscription agent with the proper payment as described under “—Payment for Shares” below.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All questions as to the validity, form, eligibility (including times of receipt and matters pertaining to beneficial ownership) and the acceptance of subscription forms and the subscription price will be determined by us, which determinations will be final and binding. No alternative, conditional or contingent subscriptions will be accepted. We reserve the right to reject any exercise if such exercise is not in accordance with the terms of the offering or not in proper form or if the acceptance thereof or the issuance of shares of our common stock thereto could be deemed unlawful.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Stockholders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Stockholders whose record addresses are outside the United States (for these purposes, the United States includes its territories and possessions and the District of Columbia) will receive written notice of the rights offering; however, subscription certificates will not be mailed to such stockholders. The subscription agent will hold the rights to which those subscription certificates relate for these stockholders’ accounts until instructions are received to exercise the rights and such stockholders establish to the satisfaction of the subscription agent that they are permitted to exercise their subscription rights under applicable law. In addition, such stockholders must take all other steps that are necessary to exercise their subscription rights on or prior to the date required</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participation in the rights offering. If no instructions have been received by 5:00 p.m., New York City time, on , 20 , three business days prior to the expiration date (or, if the offering is extended, on or before three business days prior to the extended expiration date), the subscription agent will transfer the rights of these stockholders to the dealer managers, who will either purchase the rights or use their best efforts to sell them. The net proceeds, if any, from the sale of those rights will be remitted to these stockholders. If those rights are not purchased or sold prior to the expiration of the rights offering, they will expire.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For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Participating rights holders may choose between the following methods of payment:</w:t>
      </w:r>
    </w:p>
    <w:p>
      <w:pPr>
        <w:spacing w:after="0" w:line="131" w:lineRule="exact"/>
        <w:rPr>
          <w:sz w:val="20"/>
          <w:szCs w:val="20"/>
          <w:color w:val="auto"/>
        </w:rPr>
      </w:pPr>
    </w:p>
    <w:p>
      <w:pPr>
        <w:ind w:left="900" w:right="260" w:hanging="446"/>
        <w:spacing w:after="0" w:line="291" w:lineRule="auto"/>
        <w:tabs>
          <w:tab w:leader="none" w:pos="90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A participating rights holder may send the subscription certificate together with payment for the shares acquired in the basic subscription[ and any additional shares subscribed for pursuant to the over-subscription privilege] to the subscription agent based on the estimated subscription</w:t>
      </w:r>
    </w:p>
    <w:p>
      <w:pPr>
        <w:ind w:left="900" w:right="20"/>
        <w:spacing w:after="0" w:line="281" w:lineRule="auto"/>
        <w:rPr>
          <w:rFonts w:ascii="Arial" w:cs="Arial" w:eastAsia="Arial" w:hAnsi="Arial"/>
          <w:sz w:val="16"/>
          <w:szCs w:val="16"/>
          <w:color w:val="auto"/>
        </w:rPr>
      </w:pPr>
      <w:r>
        <w:rPr>
          <w:rFonts w:ascii="Arial" w:cs="Arial" w:eastAsia="Arial" w:hAnsi="Arial"/>
          <w:sz w:val="16"/>
          <w:szCs w:val="16"/>
          <w:color w:val="auto"/>
        </w:rPr>
        <w:t>price of $ . To be accepted, the payment, together with a properly completed and executed subscription certificate, must be received by the subscription agent at one of the subscription agent’s offices set forth above, at or prior to 5:00 p.m., New York City time, on the expiration date.</w:t>
      </w:r>
    </w:p>
    <w:p>
      <w:pPr>
        <w:spacing w:after="0" w:line="1" w:lineRule="exact"/>
        <w:rPr>
          <w:rFonts w:ascii="Arial" w:cs="Arial" w:eastAsia="Arial" w:hAnsi="Arial"/>
          <w:sz w:val="16"/>
          <w:szCs w:val="16"/>
          <w:color w:val="auto"/>
        </w:rPr>
      </w:pPr>
    </w:p>
    <w:p>
      <w:pPr>
        <w:jc w:val="both"/>
        <w:ind w:left="900" w:right="280" w:hanging="446"/>
        <w:spacing w:after="0" w:line="281" w:lineRule="auto"/>
        <w:tabs>
          <w:tab w:leader="none" w:pos="90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A participating rights holder may request an Eligible Guarantor Institution as that term is defined in Rule 17Ad-15 under the Exchange Act to send a notice of guaranteed delivery by facsimile or otherwise guaranteeing delivery of (i) payment of the full estimated subscription price of</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per share for the shares subscribed for in the basic subscription[ and any additional shares subscribed for pursuant to the over-subscription</w:t>
      </w:r>
    </w:p>
    <w:p>
      <w:pPr>
        <w:spacing w:after="0" w:line="9" w:lineRule="exact"/>
        <w:rPr>
          <w:sz w:val="20"/>
          <w:szCs w:val="20"/>
          <w:color w:val="auto"/>
        </w:rPr>
      </w:pPr>
    </w:p>
    <w:p>
      <w:pPr>
        <w:ind w:left="900" w:right="160"/>
        <w:spacing w:after="0" w:line="281" w:lineRule="auto"/>
        <w:rPr>
          <w:sz w:val="20"/>
          <w:szCs w:val="20"/>
          <w:color w:val="auto"/>
        </w:rPr>
      </w:pPr>
      <w:r>
        <w:rPr>
          <w:rFonts w:ascii="Arial" w:cs="Arial" w:eastAsia="Arial" w:hAnsi="Arial"/>
          <w:sz w:val="16"/>
          <w:szCs w:val="16"/>
          <w:color w:val="auto"/>
        </w:rPr>
        <w:t>privilege] and (ii) a properly completed and duly executed subscription certificate. The subscription agent will not honor a notice of guaranteed delivery unless a properly completed and duly executed subscription certificate and full payment for the shares is received by the subscription</w:t>
      </w:r>
    </w:p>
    <w:p>
      <w:pPr>
        <w:spacing w:after="0" w:line="1" w:lineRule="exact"/>
        <w:rPr>
          <w:sz w:val="20"/>
          <w:szCs w:val="20"/>
          <w:color w:val="auto"/>
        </w:rPr>
      </w:pPr>
    </w:p>
    <w:p>
      <w:pPr>
        <w:ind w:left="900" w:right="320"/>
        <w:spacing w:after="0" w:line="261" w:lineRule="auto"/>
        <w:rPr>
          <w:sz w:val="20"/>
          <w:szCs w:val="20"/>
          <w:color w:val="auto"/>
        </w:rPr>
      </w:pPr>
      <w:r>
        <w:rPr>
          <w:rFonts w:ascii="Arial" w:cs="Arial" w:eastAsia="Arial" w:hAnsi="Arial"/>
          <w:sz w:val="18"/>
          <w:szCs w:val="18"/>
          <w:color w:val="auto"/>
        </w:rPr>
        <w:t>agent at or prior to 5:00 p.m., New York City time, on , 20 (or, if the offering is extended, by the close of business three business days after the extended expiration date).</w:t>
      </w:r>
    </w:p>
    <w:p>
      <w:pPr>
        <w:spacing w:after="0" w:line="18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Participating rights holders will have no right to rescind their subscription after receipt of their payment for shares or a notice of guaranteed delivery by the subscription agent, except as provided above under “—Notice of Net Asset Value Decline.”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payments by a participating rights holder must be in U.S. dollars by money order or check or bank draft drawn on a bank or branch located in the</w:t>
      </w:r>
    </w:p>
    <w:p>
      <w:pPr>
        <w:spacing w:after="0" w:line="46"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United States and payable to . The subscription agent will hold all funds received by it pending distribution to us after consummation of the rights offering. If the offering is terminated, we will promptly arrange for the refund, without interest, of all funds received from holders of rights.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The method of delivery of subscription certificates and payment of the subscription price to us will be at the election and risk of the participating rights holders, but if sent by mail it is recommended that such certificates and payments be sent by registered mail, properly insured, with return receipt requested, and that a sufficient number of days be allowed to ensure delivery to the subscription agent and clearance of payment prior to 5:00 p.m., New York City time, on the expiration date or the date guaranteed payments are due under a notice of guaranteed delivery (as applicable). Because uncertified personal checks may take at least five business days to clear, you are strongly urged to pay, or arrange for payment, by means of certified or cashier’s check or money order.</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a date within business days following the expiration date, the subscription agent will send to each participating rights holder (or, if rights are held by Cede or any other depository or nominee, to Cede or such other depository or nominee) a confirmation showing (i) the number of shares purchased pursuant to the basic subscription; [(ii) the number of shares, if any, acquired pursuant to the over-subscription privilege; ](iii) the per share and total purchase price for such shares; and (iv) any additional amount payable to us by the participating rights holder or any excess to be refunded by us to the participating rights holder, in each case based on the subscription price as determined on the expiration date. If any participating rights holder, if eligible, exercises his or her right to acquire shares pursuant to the over-subscription privilege, any excess payment which would otherwise be refunded to him or her will be applied by us toward payment for shares acquired pursuant to the exercise of the over-subscription privilege. Any additional payment required from a participating rights holder must be received by the subscription agent within ten business days after the confirmation date. Any excess payment to be refunded by us to a participating rights holder will be mailed by the subscription agent to the rights holder as promptly as practicable. No interest will be paid on any amounts refunded.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Whichever of the two methods described above is used, issuance of the shares purchased is subject to collection of checks and actual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payment. </w:t>
      </w:r>
      <w:r>
        <w:rPr>
          <w:rFonts w:ascii="Arial" w:cs="Arial" w:eastAsia="Arial" w:hAnsi="Arial"/>
          <w:sz w:val="16"/>
          <w:szCs w:val="16"/>
          <w:color w:val="auto"/>
        </w:rPr>
        <w:t>If a participating rights holder who subscribes for shares pursuant to the basic subscription or over-subscription privilege does not make payment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amounts due by the expiration date, the date guaranteed payments are due under a notice of guaranteed delivery or within ten business days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confirmation date, as applicable, the subscription agent reserves the right to take any or all of the following actions: (i) find other participating rights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 wish to subscribe for such subscribed and unpaid for shares; (ii) apply any payment actually received by it from the participating rights holder toward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of the greatest whole number of shares which could be acquired by such participating rights holder upon exercise of the basic subscription and/or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over-subscription privilege; and/or (iii) exercise any and all other rights or remedies to which it may be entitled, including, without limitation, the right to 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 against payments actually received by it with respect to such subscribed for shares.</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will decide all questions as to the validity, form and eligibility (including times of receipt, beneficial ownership and compliance with other procedural matters) in our sole discretion, and our determination shall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We will not be under any duty to give notification of any defect or irregularity in connection with the submission of subscription certificates or incur any liability for failure to give such notification.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Rights are Transferable until the Trading Day Immediately Preceding the Expiration Date</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rights will be listed on under the symbol “ .” While we and the dealer managers will use our and their best efforts to ensure that an adequate trading market for the rights will exist, no assurance can be given that a market for the rights will develop. Trading in the rights on is expected to be conducted beginning on or about , 20 . The rights are transferable and are expected to continue trading until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including , 20 (or if the offering is extended, until the trading day immediately prior to the extended expiration date). Rights holders are encouraged to contact their broker-dealer, bank, trustee or other nominees for more information about trading of the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through the Subscription Agent and the Dealer Managers</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Stockholders who do not wish to exercise any or all of their rights may instruct the subscription agent to sell any rights they do not intend to exercise themselves through or to a dealer manager. Subscription certificates representing the rights to be sold through or to a dealer manager must be received by the</w:t>
      </w:r>
    </w:p>
    <w:p>
      <w:pPr>
        <w:spacing w:after="0" w:line="286" w:lineRule="auto"/>
        <w:rPr>
          <w:sz w:val="20"/>
          <w:szCs w:val="20"/>
          <w:color w:val="auto"/>
        </w:rPr>
      </w:pPr>
      <w:r>
        <w:rPr>
          <w:rFonts w:ascii="Arial" w:cs="Arial" w:eastAsia="Arial" w:hAnsi="Arial"/>
          <w:sz w:val="16"/>
          <w:szCs w:val="16"/>
          <w:color w:val="auto"/>
        </w:rPr>
        <w:t>subscription agent on or before , 20 (or if the offering is extended, until two business days prior to the extended expiration date). Upon the timely receipt by the subscription agent of appropriate instructions to sell rights, the subscription agent will ask the dealer managers either to purchase or to use their best efforts to complete the sale and the subscription agent will remit the proceeds of the sale to the selling stockholders. If the rights can be sold, sales of such rights will be deemed to have been effected at the weighted-average price received by the selling dealer manager on the day such rights are sold. The sale price of any rights sold to the dealer managers will be based upon the then-current market price for the rights. The dealer managers will also attempt to sell all rights which remain unclaimed as a result of subscription certificates being returned by the postal authorities to the subscription agent as undeliverable as of the business day prior to the expiration date of the offering. The subscription agent will hold the proceeds from those sales for the benefit of such non-claiming stockholders until such proceeds are either claimed or revert to the state pursuant to applicable state law. There can be no assurance that the dealer managers will purchase or be able to complete the sale of any such rights, and neither we nor the dealer managers have guaranteed any minimum sales price for the rights. If a stockholder does not utilize the services of the subscription agent and chooses to use another broker-dealer or other financial institution to sell rights, then the other broker-dealer or financial institution may charge a fee to sell the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Transfers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rights evidenced by a subscription certificate may be transferred in whole by endorsing the subscription certificate for transfer in accordance with the accompanying instructions. A portion of the rights evidenced by a single subscription certificate may be transferred by delivering to the subscription agent a subscription certificate properly endorsed for transfer, with instructions to register such portion of the rights evidenced thereby in the name of the transferee and to issue a new subscription certificate to the transferee evidencing such transferred rights. In such event, a new subscription certificate evidencing the balance of the rights, if any, will be issued to the stockholder or, if the stockholder so instructs, to an additional transferee. The signature on the subscription certificate must correspond to the name as written upon the face of the subscription certificate, without alteration or enlargement, or any change. A signature guarantee must be provided by an Eligible Guarantor Institution as that term is defined in Rule 17Ad-15 under the Exchange Act, subject to the standards and procedures adopted by 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Stockholders wishing to transfer all or a portion of their rights should allow at least five business days prior to the expiration date of the offering for</w:t>
      </w:r>
    </w:p>
    <w:p>
      <w:pPr>
        <w:spacing w:after="0" w:line="35" w:lineRule="exact"/>
        <w:rPr>
          <w:sz w:val="20"/>
          <w:szCs w:val="20"/>
          <w:color w:val="auto"/>
        </w:rPr>
      </w:pPr>
    </w:p>
    <w:p>
      <w:pPr>
        <w:ind w:right="60" w:firstLine="8"/>
        <w:spacing w:after="0" w:line="292" w:lineRule="auto"/>
        <w:tabs>
          <w:tab w:leader="none" w:pos="21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the transfer instructions to be received and processed by the subscription agent; (ii) a new subscription certificate to be issued and transmitted to the transferee or transferees with respect to transferred rights, and to the transferor with respect to retained rights, if any; and (iii) the rights evidenced by such new subscription certificate to be exercised or sold by the recipients thereof. Neither we nor the subscription agent nor the dealer managers shall have any liability to a transferee or transferor of rights if subscription certificates are not received in time for exercise prior to the expiration date of the offering or sale prior to the day immediately preceding the expiration date of the offering (or, if the offering is extended, the extended expiration date).</w:t>
      </w:r>
    </w:p>
    <w:p>
      <w:pPr>
        <w:spacing w:after="0" w:line="16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for the fees charged by the subscription agent, information agent and dealer managers, which will be paid by us, all commissions, fees and other expenses (including brokerage commissions and transfer taxes) incurred or charged in connection with the purchase, sale or exercise of rights will be for the account of the transferor of the rights, and none of those commissions, fees or expenses will be paid by us, the subscription agent, information agent or the dealer managers.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60" w:right="25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anticipate that the rights will be eligible for transfer through, and that the exercise of the basic subscription and the over-subscription privilege may be effected through, the facilities of the Depository Trust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Stock Certificates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Stock certificates will not be issued for shares of our common stock offered in the offering. Stockholders who are record owners will have the shares they acquire credited to their account with our transfer agent. All future dividends paid on such shares will be reinvested into additional shares or paid in cash if you have made such an election in connection with our dividend reinvestment plan. Stockholders whose common stock are held by a nominee will have the shares they acquire credited to the account of such nominee holder.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Of The Offering</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[Insert disclosure regarding material U.S. federal income tax considerations of the offering to the extent required to be disclosed by applicable law or regulation.]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ERISA Considerations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Stockholders who are employee benefit plans subject to the Employee Retirement Income Security Act of 1974, which we refer to as ERISA (including corporate pension, savings and 401(k) plans), governmental plans, Keogh and H.R. 10 plans of self-employed individuals and individual retirement accounts (IRAs) should carefully consider the application of the fiduciary duties imposed by ERISA or other applicable laws and the prohibited transaction rules prescribed by ERISA, the Code or other applicable laws to the holding, exercise, sale and transfer of the rights. Adverse consequences under ERISA, the Code or other applicable laws could also occur as a result of any additional cash contributions to such plans or accounts or any borrowing of cash by such plans or accounts in order to finance the exercise of rights. In addition, the trustee or custodian of any such plan or account should also determine that the holding, exercise, sale and transfer of the rights would be permissible under the investment guidelines and governing instruments of such plan or account and applicable law. Due to the complexity of these rules and the penalties for noncompliance, any such plans or accounts should consult with their counsel and other advisers regarding the impact of ERISA, the Code and any other applicable law on their holding, exercise, sale and transfer of the rights.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Arrangements</w:t>
      </w:r>
    </w:p>
    <w:p>
      <w:pPr>
        <w:spacing w:after="0" w:line="121" w:lineRule="exact"/>
        <w:rPr>
          <w:sz w:val="20"/>
          <w:szCs w:val="20"/>
          <w:color w:val="auto"/>
        </w:rPr>
      </w:pPr>
    </w:p>
    <w:p>
      <w:pPr>
        <w:ind w:firstLine="464"/>
        <w:spacing w:after="0" w:line="286" w:lineRule="auto"/>
        <w:tabs>
          <w:tab w:leader="none" w:pos="1056"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each a broker-dealer and member of FINRA, will act as dealer managers for the offering. Under the terms and subject to the conditions contained in the dealer manager agreement, the dealer managers will provide financial advisory and marketing services in connection with the offering and will solicit the acquisition and/or exercise of rights by stockholders and others[ and participation in the over-subscription privilege]. The dealer managers may use this prospectus for any or all of such activities. The offering is not contingent upon any number of rights being exercised. We have agreed to pay the</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dealer managers a fee for their financial advisory, marketing and soliciting services equal to % of the aggregate subscription price for shares issued pursuant to the offering. The dealer managers will reallow to other broker-dealers that have executed and delivered a soliciting dealer agreement and have solicited the exercise of rights, solicitation fees equal to % of the subscription price per share for each share issued pursuant to the exercise of rights[and the over-subscription privilege] as a result of their soliciting efforts.</w:t>
      </w:r>
    </w:p>
    <w:p>
      <w:pPr>
        <w:spacing w:after="0" w:line="1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have agreed to reimburse the dealer managers an aggregate amount up to $ for their expenses incurred in connection with the offering. We have agreed to indemnify the dealer managers and the soliciting dealers for, or contribute to losses arising out of, certain liabilities, including liabilities under the Securities Act. The dealer manager agreement also provides that the dealer managers will not be subject to any liability to us in rendering the services contemplated by the dealer manager agreement except for any act of bad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faith, willful misfeasance or gross negligence of such dealer manager or reckless disregard by such dealer manager of its obligations and duties under the dealer manager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principal business addresses of dealer managers.]</w:t>
      </w:r>
    </w:p>
    <w:p>
      <w:pPr>
        <w:spacing w:after="0" w:line="225" w:lineRule="exact"/>
        <w:rPr>
          <w:sz w:val="20"/>
          <w:szCs w:val="20"/>
          <w:color w:val="auto"/>
        </w:rPr>
      </w:pPr>
    </w:p>
    <w:p>
      <w:pPr>
        <w:ind w:right="340" w:firstLine="456"/>
        <w:spacing w:after="0" w:line="274" w:lineRule="auto"/>
        <w:rPr>
          <w:sz w:val="20"/>
          <w:szCs w:val="20"/>
          <w:color w:val="auto"/>
        </w:rPr>
      </w:pPr>
      <w:r>
        <w:rPr>
          <w:rFonts w:ascii="Arial" w:cs="Arial" w:eastAsia="Arial" w:hAnsi="Arial"/>
          <w:sz w:val="17"/>
          <w:szCs w:val="17"/>
          <w:color w:val="auto"/>
        </w:rPr>
        <w:t>We have agreed, with certain exceptions, with the dealer managers that, for a period of days following the date of this prospectus, we will not offer, pledge, sell, contract to sell or otherwise dispose of, directly or indirectly, any shares of our common stock or any securities convertible into or</w:t>
      </w:r>
    </w:p>
    <w:p>
      <w:pPr>
        <w:ind w:right="280"/>
        <w:spacing w:after="0" w:line="281" w:lineRule="auto"/>
        <w:rPr>
          <w:sz w:val="20"/>
          <w:szCs w:val="20"/>
          <w:color w:val="auto"/>
        </w:rPr>
      </w:pPr>
      <w:r>
        <w:rPr>
          <w:rFonts w:ascii="Arial" w:cs="Arial" w:eastAsia="Arial" w:hAnsi="Arial"/>
          <w:sz w:val="16"/>
          <w:szCs w:val="16"/>
          <w:color w:val="auto"/>
        </w:rPr>
        <w:t>exchangeable for shares of our common stock, or file any registration statement with respect thereto without the prior written consent of [ ]. In addition, our executive officers, directors, the Adviser and certain of its affiliates have agreed, with certain exceptions, with the dealer managers that, for a</w:t>
      </w:r>
    </w:p>
    <w:p>
      <w:pPr>
        <w:spacing w:after="0" w:line="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period of days following the date of this prospectus, that they will not offer, pledge, sell, contract to sell or otherwise dispose of, directly or indirectly, any shares of our common stock or any securities convertible into or exchangeable for shares of our common stock without the prior written consent of</w:t>
      </w:r>
    </w:p>
    <w:p>
      <w:pPr>
        <w:spacing w:after="0" w:line="1" w:lineRule="exact"/>
        <w:rPr>
          <w:sz w:val="20"/>
          <w:szCs w:val="20"/>
          <w:color w:val="auto"/>
        </w:rPr>
      </w:pPr>
    </w:p>
    <w:p>
      <w:pPr>
        <w:ind w:right="220" w:firstLine="8"/>
        <w:spacing w:after="0" w:line="261" w:lineRule="auto"/>
        <w:tabs>
          <w:tab w:leader="none" w:pos="6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However, those dealer managers may, in their sole discretion and at any time without notice, release all or any portion of the securities subject to these agreements.</w:t>
      </w:r>
    </w:p>
    <w:p>
      <w:pPr>
        <w:spacing w:after="0" w:line="18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dealer managers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dealer managers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dealer managers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dealer managers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Prior to the expiration of the offering, the dealer managers may independently offer for sale shares, including shares acquired through purchasing and exercising the rights, at prices they set. The dealer managers may realize profits or losses independent of any fees described in this prospectus supplement and accompanying prospectus.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[Describe any other specific transactions and compensation related thereto to the extent required to be disclosed by applicable law or regulation.]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[Describe if dealer managers receiving proceeds of offering, if required by FINRA.]</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529" w:name="page530"/>
    <w:bookmarkEnd w:id="529"/>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9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Pr>
          <w:p>
            <w:pPr>
              <w:ind w:left="3300"/>
              <w:spacing w:after="0"/>
              <w:rPr>
                <w:sz w:val="20"/>
                <w:szCs w:val="20"/>
                <w:color w:val="auto"/>
              </w:rPr>
            </w:pPr>
            <w:r>
              <w:rPr>
                <w:rFonts w:ascii="Arial" w:cs="Arial" w:eastAsia="Arial" w:hAnsi="Arial"/>
                <w:sz w:val="18"/>
                <w:szCs w:val="18"/>
                <w:b w:val="1"/>
                <w:bCs w:val="1"/>
                <w:color w:val="auto"/>
              </w:rPr>
              <w:t>USE OF PROCEEDS</w:t>
            </w:r>
          </w:p>
        </w:tc>
        <w:tc>
          <w:tcPr>
            <w:tcW w:w="3780" w:type="dxa"/>
            <w:vAlign w:val="bottom"/>
          </w:tcPr>
          <w:p>
            <w:pPr>
              <w:spacing w:after="0"/>
              <w:rPr>
                <w:sz w:val="24"/>
                <w:szCs w:val="24"/>
                <w:color w:val="auto"/>
              </w:rPr>
            </w:pPr>
          </w:p>
        </w:tc>
      </w:tr>
      <w:tr>
        <w:trPr>
          <w:trHeight w:val="418"/>
        </w:trPr>
        <w:tc>
          <w:tcPr>
            <w:tcW w:w="1580" w:type="dxa"/>
            <w:vAlign w:val="bottom"/>
            <w:gridSpan w:val="2"/>
          </w:tcPr>
          <w:p>
            <w:pPr>
              <w:ind w:left="460"/>
              <w:spacing w:after="0"/>
              <w:rPr>
                <w:sz w:val="20"/>
                <w:szCs w:val="20"/>
                <w:color w:val="auto"/>
              </w:rPr>
            </w:pPr>
            <w:r>
              <w:rPr>
                <w:rFonts w:ascii="Arial" w:cs="Arial" w:eastAsia="Arial" w:hAnsi="Arial"/>
                <w:sz w:val="18"/>
                <w:szCs w:val="18"/>
                <w:color w:val="auto"/>
              </w:rPr>
              <w:t>Assuming</w:t>
            </w:r>
          </w:p>
        </w:tc>
        <w:tc>
          <w:tcPr>
            <w:tcW w:w="5940" w:type="dxa"/>
            <w:vAlign w:val="bottom"/>
          </w:tcPr>
          <w:p>
            <w:pPr>
              <w:ind w:left="340"/>
              <w:spacing w:after="0"/>
              <w:rPr>
                <w:sz w:val="20"/>
                <w:szCs w:val="20"/>
                <w:color w:val="auto"/>
              </w:rPr>
            </w:pPr>
            <w:r>
              <w:rPr>
                <w:rFonts w:ascii="Arial" w:cs="Arial" w:eastAsia="Arial" w:hAnsi="Arial"/>
                <w:sz w:val="18"/>
                <w:szCs w:val="18"/>
                <w:color w:val="auto"/>
                <w:w w:val="92"/>
              </w:rPr>
              <w:t>shares of our common stock are sold at an estimated subscription price of $</w:t>
            </w:r>
          </w:p>
        </w:tc>
        <w:tc>
          <w:tcPr>
            <w:tcW w:w="3780" w:type="dxa"/>
            <w:vAlign w:val="bottom"/>
          </w:tcPr>
          <w:p>
            <w:pPr>
              <w:ind w:left="180"/>
              <w:spacing w:after="0"/>
              <w:rPr>
                <w:sz w:val="20"/>
                <w:szCs w:val="20"/>
                <w:color w:val="auto"/>
              </w:rPr>
            </w:pPr>
            <w:r>
              <w:rPr>
                <w:rFonts w:ascii="Arial" w:cs="Arial" w:eastAsia="Arial" w:hAnsi="Arial"/>
                <w:sz w:val="18"/>
                <w:szCs w:val="18"/>
                <w:color w:val="auto"/>
                <w:w w:val="91"/>
              </w:rPr>
              <w:t>per share, the net proceeds from this offering will</w:t>
            </w: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be approximately $</w:t>
            </w:r>
          </w:p>
        </w:tc>
        <w:tc>
          <w:tcPr>
            <w:tcW w:w="9720" w:type="dxa"/>
            <w:vAlign w:val="bottom"/>
            <w:gridSpan w:val="2"/>
          </w:tcPr>
          <w:p>
            <w:pPr>
              <w:ind w:left="180"/>
              <w:spacing w:after="0"/>
              <w:rPr>
                <w:sz w:val="20"/>
                <w:szCs w:val="20"/>
                <w:color w:val="auto"/>
              </w:rPr>
            </w:pPr>
            <w:r>
              <w:rPr>
                <w:rFonts w:ascii="Arial" w:cs="Arial" w:eastAsia="Arial" w:hAnsi="Arial"/>
                <w:sz w:val="18"/>
                <w:szCs w:val="18"/>
                <w:color w:val="auto"/>
                <w:w w:val="89"/>
              </w:rPr>
              <w:t>million, after deducting dealer manager fees and other expenses related to the offering payable by us. There can be no assurance that</w:t>
            </w: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of the rights will be exercised in full, and the subscription price will not be determined until the close of business on the expiration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00"/>
          </w:cols>
          <w:pgMar w:left="240" w:top="446" w:right="35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Our common stock is traded on the NYSE under the symbol “TSLX.” It is not possible to predict whether our common stock offered hereby will trade at, above or below net asset value. See “Risk Factors—Risks Related to Offerings Pursuant to This Prospectus” in the accompanying prospectus.</w:t>
      </w:r>
    </w:p>
    <w:p>
      <w:pPr>
        <w:spacing w:after="0" w:line="12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following table sets forth, for each fiscal quarter since our initial public offering, the net asset value per share of our common stock, the range of high and low closing sales prices of our common stock, the closing sales price as a premium (discount) to net asset value and the dividends or distributions</w:t>
      </w:r>
    </w:p>
    <w:tbl>
      <w:tblPr>
        <w:tblLayout w:type="fixed"/>
        <w:tblInd w:w="0" w:type="dxa"/>
        <w:tblCellMar>
          <w:top w:w="0" w:type="dxa"/>
          <w:left w:w="0" w:type="dxa"/>
          <w:bottom w:w="0" w:type="dxa"/>
          <w:right w:w="0" w:type="dxa"/>
        </w:tblCellMar>
      </w:tblPr>
      <w:tr>
        <w:trPr>
          <w:trHeight w:val="202"/>
        </w:trPr>
        <w:tc>
          <w:tcPr>
            <w:tcW w:w="1840" w:type="dxa"/>
            <w:vAlign w:val="bottom"/>
          </w:tcPr>
          <w:p>
            <w:pPr>
              <w:spacing w:after="0" w:line="202" w:lineRule="exact"/>
              <w:rPr>
                <w:sz w:val="20"/>
                <w:szCs w:val="20"/>
                <w:color w:val="auto"/>
              </w:rPr>
            </w:pPr>
            <w:r>
              <w:rPr>
                <w:rFonts w:ascii="Arial" w:cs="Arial" w:eastAsia="Arial" w:hAnsi="Arial"/>
                <w:sz w:val="18"/>
                <w:szCs w:val="18"/>
                <w:color w:val="auto"/>
              </w:rPr>
              <w:t>declared by us. On</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 20</w:t>
            </w:r>
          </w:p>
        </w:tc>
        <w:tc>
          <w:tcPr>
            <w:tcW w:w="5840" w:type="dxa"/>
            <w:vAlign w:val="bottom"/>
            <w:gridSpan w:val="7"/>
          </w:tcPr>
          <w:p>
            <w:pPr>
              <w:jc w:val="right"/>
              <w:ind w:right="8"/>
              <w:spacing w:after="0" w:line="202" w:lineRule="exact"/>
              <w:rPr>
                <w:sz w:val="20"/>
                <w:szCs w:val="20"/>
                <w:color w:val="auto"/>
              </w:rPr>
            </w:pPr>
            <w:r>
              <w:rPr>
                <w:rFonts w:ascii="Arial" w:cs="Arial" w:eastAsia="Arial" w:hAnsi="Arial"/>
                <w:sz w:val="18"/>
                <w:szCs w:val="18"/>
                <w:color w:val="auto"/>
                <w:w w:val="91"/>
              </w:rPr>
              <w:t>, the last reported closing sales price of our common stock on the NYSE was $</w:t>
            </w:r>
          </w:p>
        </w:tc>
        <w:tc>
          <w:tcPr>
            <w:tcW w:w="3160" w:type="dxa"/>
            <w:vAlign w:val="bottom"/>
            <w:gridSpan w:val="9"/>
          </w:tcPr>
          <w:p>
            <w:pPr>
              <w:jc w:val="right"/>
              <w:ind w:right="680"/>
              <w:spacing w:after="0" w:line="202" w:lineRule="exact"/>
              <w:rPr>
                <w:sz w:val="20"/>
                <w:szCs w:val="20"/>
                <w:color w:val="auto"/>
              </w:rPr>
            </w:pPr>
            <w:r>
              <w:rPr>
                <w:rFonts w:ascii="Arial" w:cs="Arial" w:eastAsia="Arial" w:hAnsi="Arial"/>
                <w:sz w:val="18"/>
                <w:szCs w:val="18"/>
                <w:color w:val="auto"/>
                <w:w w:val="99"/>
              </w:rPr>
              <w:t>per share, which represented a</w:t>
            </w:r>
          </w:p>
        </w:tc>
        <w:tc>
          <w:tcPr>
            <w:tcW w:w="0" w:type="dxa"/>
            <w:vAlign w:val="bottom"/>
          </w:tcPr>
          <w:p>
            <w:pPr>
              <w:spacing w:after="0"/>
              <w:rPr>
                <w:sz w:val="1"/>
                <w:szCs w:val="1"/>
                <w:color w:val="auto"/>
              </w:rPr>
            </w:pPr>
          </w:p>
        </w:tc>
      </w:tr>
      <w:tr>
        <w:trPr>
          <w:trHeight w:val="230"/>
        </w:trPr>
        <w:tc>
          <w:tcPr>
            <w:tcW w:w="6820" w:type="dxa"/>
            <w:vAlign w:val="bottom"/>
            <w:gridSpan w:val="6"/>
          </w:tcPr>
          <w:p>
            <w:pPr>
              <w:spacing w:after="0"/>
              <w:rPr>
                <w:sz w:val="20"/>
                <w:szCs w:val="20"/>
                <w:color w:val="auto"/>
              </w:rPr>
            </w:pPr>
            <w:r>
              <w:rPr>
                <w:rFonts w:ascii="Arial" w:cs="Arial" w:eastAsia="Arial" w:hAnsi="Arial"/>
                <w:sz w:val="18"/>
                <w:szCs w:val="18"/>
                <w:color w:val="auto"/>
                <w:w w:val="91"/>
              </w:rPr>
              <w:t>[premium][discount] of approximately  % to the net asset value per share reported by us as of</w:t>
            </w:r>
          </w:p>
        </w:tc>
        <w:tc>
          <w:tcPr>
            <w:tcW w:w="480" w:type="dxa"/>
            <w:vAlign w:val="bottom"/>
          </w:tcPr>
          <w:p>
            <w:pPr>
              <w:spacing w:after="0"/>
              <w:rPr>
                <w:sz w:val="20"/>
                <w:szCs w:val="20"/>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 20  .</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rPr>
              <w:t>Price Range</w:t>
            </w:r>
          </w:p>
        </w:tc>
        <w:tc>
          <w:tcPr>
            <w:tcW w:w="3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Sales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 to</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 to</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52"/>
        </w:trPr>
        <w:tc>
          <w:tcPr>
            <w:tcW w:w="1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Net Asset</w:t>
            </w: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Asset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Asset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Year ended December 31, 20</w:t>
            </w:r>
          </w:p>
        </w:tc>
        <w:tc>
          <w:tcPr>
            <w:tcW w:w="3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First Quarter (beginning</w:t>
            </w:r>
          </w:p>
        </w:tc>
        <w:tc>
          <w:tcPr>
            <w:tcW w:w="3280" w:type="dxa"/>
            <w:vAlign w:val="bottom"/>
          </w:tcPr>
          <w:p>
            <w:pPr>
              <w:jc w:val="right"/>
              <w:ind w:right="2390"/>
              <w:spacing w:after="0"/>
              <w:rPr>
                <w:sz w:val="20"/>
                <w:szCs w:val="20"/>
                <w:color w:val="auto"/>
              </w:rPr>
            </w:pPr>
            <w:r>
              <w:rPr>
                <w:rFonts w:ascii="Arial" w:cs="Arial" w:eastAsia="Arial" w:hAnsi="Arial"/>
                <w:sz w:val="18"/>
                <w:szCs w:val="18"/>
                <w:color w:val="auto"/>
              </w:rPr>
              <w:t>, 20  )</w:t>
            </w: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w:t>
            </w:r>
          </w:p>
        </w:tc>
        <w:tc>
          <w:tcPr>
            <w:tcW w:w="62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5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w:t>
            </w:r>
          </w:p>
        </w:tc>
        <w:tc>
          <w:tcPr>
            <w:tcW w:w="62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5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w w:val="93"/>
              </w:rPr>
              <w:t>[Year ending December 31, 20</w:t>
            </w:r>
          </w:p>
        </w:tc>
        <w:tc>
          <w:tcPr>
            <w:tcW w:w="3280" w:type="dxa"/>
            <w:vAlign w:val="bottom"/>
          </w:tcPr>
          <w:p>
            <w:pPr>
              <w:jc w:val="right"/>
              <w:ind w:right="30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5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w:t>
            </w:r>
          </w:p>
        </w:tc>
        <w:tc>
          <w:tcPr>
            <w:tcW w:w="62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5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w:t>
            </w:r>
          </w:p>
        </w:tc>
        <w:tc>
          <w:tcPr>
            <w:tcW w:w="62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274" w:lineRule="auto"/>
        <w:tabs>
          <w:tab w:leader="none" w:pos="46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460"/>
              <w:spacing w:after="0"/>
              <w:rPr>
                <w:sz w:val="20"/>
                <w:szCs w:val="20"/>
                <w:color w:val="auto"/>
              </w:rPr>
            </w:pPr>
            <w:r>
              <w:rPr>
                <w:rFonts w:ascii="Arial" w:cs="Arial" w:eastAsia="Arial" w:hAnsi="Arial"/>
                <w:sz w:val="18"/>
                <w:szCs w:val="18"/>
                <w:color w:val="auto"/>
              </w:rPr>
              <w:t>[On</w:t>
            </w:r>
          </w:p>
        </w:tc>
        <w:tc>
          <w:tcPr>
            <w:tcW w:w="3640" w:type="dxa"/>
            <w:vAlign w:val="bottom"/>
            <w:gridSpan w:val="2"/>
          </w:tcPr>
          <w:p>
            <w:pPr>
              <w:jc w:val="right"/>
              <w:ind w:right="40"/>
              <w:spacing w:after="0"/>
              <w:rPr>
                <w:sz w:val="20"/>
                <w:szCs w:val="20"/>
                <w:color w:val="auto"/>
              </w:rPr>
            </w:pPr>
            <w:r>
              <w:rPr>
                <w:rFonts w:ascii="Arial" w:cs="Arial" w:eastAsia="Arial" w:hAnsi="Arial"/>
                <w:sz w:val="18"/>
                <w:szCs w:val="18"/>
                <w:color w:val="auto"/>
              </w:rPr>
              <w:t>, 20  , our Board declared a dividend of $</w:t>
            </w:r>
          </w:p>
        </w:tc>
        <w:tc>
          <w:tcPr>
            <w:tcW w:w="2660" w:type="dxa"/>
            <w:vAlign w:val="bottom"/>
            <w:gridSpan w:val="4"/>
          </w:tcPr>
          <w:p>
            <w:pPr>
              <w:jc w:val="right"/>
              <w:spacing w:after="0"/>
              <w:rPr>
                <w:sz w:val="20"/>
                <w:szCs w:val="20"/>
                <w:color w:val="auto"/>
              </w:rPr>
            </w:pPr>
            <w:r>
              <w:rPr>
                <w:rFonts w:ascii="Arial" w:cs="Arial" w:eastAsia="Arial" w:hAnsi="Arial"/>
                <w:sz w:val="18"/>
                <w:szCs w:val="18"/>
                <w:color w:val="auto"/>
              </w:rPr>
              <w:t>per share for the quarter ending</w:t>
            </w:r>
          </w:p>
        </w:tc>
        <w:tc>
          <w:tcPr>
            <w:tcW w:w="480" w:type="dxa"/>
            <w:vAlign w:val="bottom"/>
          </w:tcPr>
          <w:p>
            <w:pPr>
              <w:spacing w:after="0"/>
              <w:rPr>
                <w:sz w:val="18"/>
                <w:szCs w:val="18"/>
                <w:color w:val="auto"/>
              </w:rPr>
            </w:pPr>
          </w:p>
        </w:tc>
        <w:tc>
          <w:tcPr>
            <w:tcW w:w="2800" w:type="dxa"/>
            <w:vAlign w:val="bottom"/>
            <w:gridSpan w:val="5"/>
          </w:tcPr>
          <w:p>
            <w:pPr>
              <w:ind w:left="160"/>
              <w:spacing w:after="0"/>
              <w:rPr>
                <w:sz w:val="20"/>
                <w:szCs w:val="20"/>
                <w:color w:val="auto"/>
              </w:rPr>
            </w:pPr>
            <w:r>
              <w:rPr>
                <w:rFonts w:ascii="Arial" w:cs="Arial" w:eastAsia="Arial" w:hAnsi="Arial"/>
                <w:sz w:val="18"/>
                <w:szCs w:val="18"/>
                <w:color w:val="auto"/>
                <w:w w:val="93"/>
              </w:rPr>
              <w:t>, 20  to stockholders of record as of</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20  . The dividend is expected to be paid on or about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 20</w:t>
            </w:r>
          </w:p>
        </w:tc>
        <w:tc>
          <w:tcPr>
            <w:tcW w:w="6240" w:type="dxa"/>
            <w:vAlign w:val="bottom"/>
            <w:gridSpan w:val="10"/>
          </w:tcPr>
          <w:p>
            <w:pPr>
              <w:jc w:val="right"/>
              <w:ind w:right="210"/>
              <w:spacing w:after="0"/>
              <w:rPr>
                <w:sz w:val="20"/>
                <w:szCs w:val="20"/>
                <w:color w:val="auto"/>
              </w:rPr>
            </w:pPr>
            <w:r>
              <w:rPr>
                <w:rFonts w:ascii="Arial" w:cs="Arial" w:eastAsia="Arial" w:hAnsi="Arial"/>
                <w:sz w:val="18"/>
                <w:szCs w:val="18"/>
                <w:color w:val="auto"/>
                <w:w w:val="92"/>
              </w:rPr>
              <w:t>. We anticipate that this dividend will be paid from income generated primarily by</w:t>
            </w:r>
          </w:p>
        </w:tc>
        <w:tc>
          <w:tcPr>
            <w:tcW w:w="0" w:type="dxa"/>
            <w:vAlign w:val="bottom"/>
          </w:tcPr>
          <w:p>
            <w:pPr>
              <w:spacing w:after="0"/>
              <w:rPr>
                <w:sz w:val="1"/>
                <w:szCs w:val="1"/>
                <w:color w:val="auto"/>
              </w:rPr>
            </w:pP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interest earned on our investment portfolio.]</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20" w:type="dxa"/>
            <w:vAlign w:val="bottom"/>
            <w:gridSpan w:val="4"/>
          </w:tcPr>
          <w:p>
            <w:pPr>
              <w:ind w:left="460"/>
              <w:spacing w:after="0"/>
              <w:rPr>
                <w:sz w:val="20"/>
                <w:szCs w:val="20"/>
                <w:color w:val="auto"/>
              </w:rPr>
            </w:pPr>
            <w:r>
              <w:rPr>
                <w:rFonts w:ascii="Arial" w:cs="Arial" w:eastAsia="Arial" w:hAnsi="Arial"/>
                <w:sz w:val="18"/>
                <w:szCs w:val="18"/>
                <w:color w:val="auto"/>
                <w:w w:val="92"/>
              </w:rPr>
              <w:t>The following tables summarize dividends declared during the</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1"/>
              </w:rPr>
              <w:t>ended</w:t>
            </w:r>
          </w:p>
        </w:tc>
        <w:tc>
          <w:tcPr>
            <w:tcW w:w="4420" w:type="dxa"/>
            <w:vAlign w:val="bottom"/>
            <w:gridSpan w:val="7"/>
          </w:tcPr>
          <w:p>
            <w:pPr>
              <w:ind w:left="480"/>
              <w:spacing w:after="0"/>
              <w:rPr>
                <w:sz w:val="20"/>
                <w:szCs w:val="20"/>
                <w:color w:val="auto"/>
              </w:rPr>
            </w:pPr>
            <w:r>
              <w:rPr>
                <w:rFonts w:ascii="Arial" w:cs="Arial" w:eastAsia="Arial" w:hAnsi="Arial"/>
                <w:sz w:val="18"/>
                <w:szCs w:val="18"/>
                <w:color w:val="auto"/>
                <w:w w:val="95"/>
              </w:rPr>
              <w:t>, 20  and the years ended December 31, 20  and 20</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Ended</w:t>
            </w:r>
          </w:p>
        </w:tc>
        <w:tc>
          <w:tcPr>
            <w:tcW w:w="12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20</w:t>
            </w: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Date Declared</w:t>
            </w:r>
          </w:p>
        </w:tc>
        <w:tc>
          <w:tcPr>
            <w:tcW w:w="276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6"/>
              </w:rPr>
              <w:t>Record Date</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w w:val="97"/>
              </w:rPr>
              <w:t>Payment Date</w:t>
            </w:r>
          </w:p>
        </w:tc>
        <w:tc>
          <w:tcPr>
            <w:tcW w:w="480" w:type="dxa"/>
            <w:vAlign w:val="bottom"/>
            <w:vMerge w:val="restart"/>
          </w:tcPr>
          <w:p>
            <w:pPr>
              <w:spacing w:after="0"/>
              <w:rPr>
                <w:sz w:val="10"/>
                <w:szCs w:val="10"/>
                <w:color w:val="auto"/>
              </w:rPr>
            </w:pPr>
          </w:p>
        </w:tc>
        <w:tc>
          <w:tcPr>
            <w:tcW w:w="76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76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40" w:type="dxa"/>
            <w:vAlign w:val="bottom"/>
            <w:gridSpan w:val="2"/>
            <w:shd w:val="clear" w:color="auto" w:fill="CCEEFF"/>
          </w:tcPr>
          <w:p>
            <w:pPr>
              <w:jc w:val="right"/>
              <w:ind w:right="2640"/>
              <w:spacing w:after="0"/>
              <w:rPr>
                <w:sz w:val="20"/>
                <w:szCs w:val="20"/>
                <w:color w:val="auto"/>
              </w:rPr>
            </w:pPr>
            <w:r>
              <w:rPr>
                <w:rFonts w:ascii="Arial" w:cs="Arial" w:eastAsia="Arial" w:hAnsi="Arial"/>
                <w:sz w:val="18"/>
                <w:szCs w:val="18"/>
                <w:color w:val="auto"/>
              </w:rPr>
              <w:t>, 20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 20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 20</w:t>
            </w:r>
          </w:p>
        </w:tc>
        <w:tc>
          <w:tcPr>
            <w:tcW w:w="4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40" w:type="dxa"/>
            <w:vAlign w:val="bottom"/>
            <w:gridSpan w:val="2"/>
          </w:tcPr>
          <w:p>
            <w:pPr>
              <w:jc w:val="right"/>
              <w:ind w:right="29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Borders>
              <w:bottom w:val="single" w:sz="8" w:color="auto"/>
            </w:tcBorders>
          </w:tcPr>
          <w:p>
            <w:pPr>
              <w:jc w:val="right"/>
              <w:ind w:right="58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vMerge w:val="restart"/>
          </w:tcPr>
          <w:p>
            <w:pPr>
              <w:ind w:left="520"/>
              <w:spacing w:after="0"/>
              <w:rPr>
                <w:sz w:val="20"/>
                <w:szCs w:val="20"/>
                <w:color w:val="auto"/>
              </w:rPr>
            </w:pPr>
            <w:r>
              <w:rPr>
                <w:rFonts w:ascii="Arial" w:cs="Arial" w:eastAsia="Arial" w:hAnsi="Arial"/>
                <w:sz w:val="18"/>
                <w:szCs w:val="18"/>
                <w:color w:val="auto"/>
              </w:rPr>
              <w:t>S-23</w:t>
            </w: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154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Record Date</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Payment Date</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5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 20</w:t>
            </w: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20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 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tcPr>
          <w:p>
            <w:pPr>
              <w:jc w:val="right"/>
              <w:ind w:right="1420"/>
              <w:spacing w:after="0"/>
              <w:rPr>
                <w:sz w:val="20"/>
                <w:szCs w:val="20"/>
                <w:color w:val="auto"/>
              </w:rPr>
            </w:pPr>
            <w:r>
              <w:rPr>
                <w:rFonts w:ascii="Arial" w:cs="Arial" w:eastAsia="Arial" w:hAnsi="Arial"/>
                <w:sz w:val="18"/>
                <w:szCs w:val="18"/>
                <w:color w:val="auto"/>
              </w:rPr>
              <w:t>, 20</w:t>
            </w:r>
          </w:p>
        </w:tc>
        <w:tc>
          <w:tcPr>
            <w:tcW w:w="820" w:type="dxa"/>
            <w:vAlign w:val="bottom"/>
          </w:tcPr>
          <w:p>
            <w:pPr>
              <w:spacing w:after="0"/>
              <w:rPr>
                <w:sz w:val="18"/>
                <w:szCs w:val="18"/>
                <w:color w:val="auto"/>
              </w:rPr>
            </w:pPr>
          </w:p>
        </w:tc>
        <w:tc>
          <w:tcPr>
            <w:tcW w:w="3060" w:type="dxa"/>
            <w:vAlign w:val="bottom"/>
            <w:gridSpan w:val="3"/>
          </w:tcPr>
          <w:p>
            <w:pPr>
              <w:jc w:val="right"/>
              <w:ind w:right="42"/>
              <w:spacing w:after="0"/>
              <w:rPr>
                <w:sz w:val="20"/>
                <w:szCs w:val="20"/>
                <w:color w:val="auto"/>
              </w:rPr>
            </w:pPr>
            <w:r>
              <w:rPr>
                <w:rFonts w:ascii="Arial" w:cs="Arial" w:eastAsia="Arial" w:hAnsi="Arial"/>
                <w:sz w:val="18"/>
                <w:szCs w:val="18"/>
                <w:color w:val="auto"/>
              </w:rPr>
              <w:t>, 20</w:t>
            </w:r>
          </w:p>
        </w:tc>
        <w:tc>
          <w:tcPr>
            <w:tcW w:w="60" w:type="dxa"/>
            <w:vAlign w:val="bottom"/>
          </w:tcPr>
          <w:p>
            <w:pPr>
              <w:spacing w:after="0"/>
              <w:rPr>
                <w:sz w:val="18"/>
                <w:szCs w:val="18"/>
                <w:color w:val="auto"/>
              </w:rPr>
            </w:pPr>
          </w:p>
        </w:tc>
        <w:tc>
          <w:tcPr>
            <w:tcW w:w="1860" w:type="dxa"/>
            <w:vAlign w:val="bottom"/>
            <w:gridSpan w:val="3"/>
          </w:tcPr>
          <w:p>
            <w:pPr>
              <w:jc w:val="right"/>
              <w:ind w:right="84"/>
              <w:spacing w:after="0"/>
              <w:rPr>
                <w:sz w:val="20"/>
                <w:szCs w:val="20"/>
                <w:color w:val="auto"/>
              </w:rPr>
            </w:pPr>
            <w:r>
              <w:rPr>
                <w:rFonts w:ascii="Arial" w:cs="Arial" w:eastAsia="Arial" w:hAnsi="Arial"/>
                <w:sz w:val="18"/>
                <w:szCs w:val="18"/>
                <w:color w:val="auto"/>
              </w:rPr>
              <w:t>, 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 20</w:t>
            </w:r>
          </w:p>
        </w:tc>
        <w:tc>
          <w:tcPr>
            <w:tcW w:w="8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 20</w:t>
            </w: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 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420" w:type="dxa"/>
            <w:vAlign w:val="bottom"/>
            <w:gridSpan w:val="2"/>
          </w:tcPr>
          <w:p>
            <w:pPr>
              <w:jc w:val="right"/>
              <w:ind w:right="1420"/>
              <w:spacing w:after="0"/>
              <w:rPr>
                <w:sz w:val="20"/>
                <w:szCs w:val="20"/>
                <w:color w:val="auto"/>
              </w:rPr>
            </w:pPr>
            <w:r>
              <w:rPr>
                <w:rFonts w:ascii="Arial" w:cs="Arial" w:eastAsia="Arial" w:hAnsi="Arial"/>
                <w:sz w:val="18"/>
                <w:szCs w:val="18"/>
                <w:color w:val="auto"/>
              </w:rPr>
              <w:t>, 20</w:t>
            </w:r>
          </w:p>
        </w:tc>
        <w:tc>
          <w:tcPr>
            <w:tcW w:w="820" w:type="dxa"/>
            <w:vAlign w:val="bottom"/>
          </w:tcPr>
          <w:p>
            <w:pPr>
              <w:spacing w:after="0"/>
              <w:rPr>
                <w:sz w:val="19"/>
                <w:szCs w:val="19"/>
                <w:color w:val="auto"/>
              </w:rPr>
            </w:pPr>
          </w:p>
        </w:tc>
        <w:tc>
          <w:tcPr>
            <w:tcW w:w="3060" w:type="dxa"/>
            <w:vAlign w:val="bottom"/>
            <w:gridSpan w:val="3"/>
          </w:tcPr>
          <w:p>
            <w:pPr>
              <w:jc w:val="right"/>
              <w:ind w:right="42"/>
              <w:spacing w:after="0"/>
              <w:rPr>
                <w:sz w:val="20"/>
                <w:szCs w:val="20"/>
                <w:color w:val="auto"/>
              </w:rPr>
            </w:pPr>
            <w:r>
              <w:rPr>
                <w:rFonts w:ascii="Arial" w:cs="Arial" w:eastAsia="Arial" w:hAnsi="Arial"/>
                <w:sz w:val="18"/>
                <w:szCs w:val="18"/>
                <w:color w:val="auto"/>
              </w:rPr>
              <w:t>, 20</w:t>
            </w:r>
          </w:p>
        </w:tc>
        <w:tc>
          <w:tcPr>
            <w:tcW w:w="60" w:type="dxa"/>
            <w:vAlign w:val="bottom"/>
          </w:tcPr>
          <w:p>
            <w:pPr>
              <w:spacing w:after="0"/>
              <w:rPr>
                <w:sz w:val="19"/>
                <w:szCs w:val="19"/>
                <w:color w:val="auto"/>
              </w:rPr>
            </w:pPr>
          </w:p>
        </w:tc>
        <w:tc>
          <w:tcPr>
            <w:tcW w:w="1860" w:type="dxa"/>
            <w:vAlign w:val="bottom"/>
            <w:gridSpan w:val="3"/>
          </w:tcPr>
          <w:p>
            <w:pPr>
              <w:jc w:val="right"/>
              <w:ind w:right="84"/>
              <w:spacing w:after="0"/>
              <w:rPr>
                <w:sz w:val="20"/>
                <w:szCs w:val="20"/>
                <w:color w:val="auto"/>
              </w:rPr>
            </w:pPr>
            <w:r>
              <w:rPr>
                <w:rFonts w:ascii="Arial" w:cs="Arial" w:eastAsia="Arial" w:hAnsi="Arial"/>
                <w:sz w:val="18"/>
                <w:szCs w:val="18"/>
                <w:color w:val="auto"/>
              </w:rPr>
              <w:t>, 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Total Dividends Declared</w:t>
            </w: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154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w w:val="96"/>
              </w:rPr>
              <w:t>Record Date</w:t>
            </w:r>
          </w:p>
        </w:tc>
        <w:tc>
          <w:tcPr>
            <w:tcW w:w="6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Payment Date</w:t>
            </w:r>
          </w:p>
        </w:tc>
        <w:tc>
          <w:tcPr>
            <w:tcW w:w="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5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 20</w:t>
            </w: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 20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 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tcPr>
          <w:p>
            <w:pPr>
              <w:jc w:val="right"/>
              <w:ind w:right="1420"/>
              <w:spacing w:after="0"/>
              <w:rPr>
                <w:sz w:val="20"/>
                <w:szCs w:val="20"/>
                <w:color w:val="auto"/>
              </w:rPr>
            </w:pPr>
            <w:r>
              <w:rPr>
                <w:rFonts w:ascii="Arial" w:cs="Arial" w:eastAsia="Arial" w:hAnsi="Arial"/>
                <w:sz w:val="18"/>
                <w:szCs w:val="18"/>
                <w:color w:val="auto"/>
              </w:rPr>
              <w:t>, 20</w:t>
            </w:r>
          </w:p>
        </w:tc>
        <w:tc>
          <w:tcPr>
            <w:tcW w:w="820" w:type="dxa"/>
            <w:vAlign w:val="bottom"/>
          </w:tcPr>
          <w:p>
            <w:pPr>
              <w:spacing w:after="0"/>
              <w:rPr>
                <w:sz w:val="18"/>
                <w:szCs w:val="18"/>
                <w:color w:val="auto"/>
              </w:rPr>
            </w:pPr>
          </w:p>
        </w:tc>
        <w:tc>
          <w:tcPr>
            <w:tcW w:w="3060" w:type="dxa"/>
            <w:vAlign w:val="bottom"/>
            <w:gridSpan w:val="3"/>
          </w:tcPr>
          <w:p>
            <w:pPr>
              <w:jc w:val="right"/>
              <w:ind w:right="102"/>
              <w:spacing w:after="0"/>
              <w:rPr>
                <w:sz w:val="20"/>
                <w:szCs w:val="20"/>
                <w:color w:val="auto"/>
              </w:rPr>
            </w:pPr>
            <w:r>
              <w:rPr>
                <w:rFonts w:ascii="Arial" w:cs="Arial" w:eastAsia="Arial" w:hAnsi="Arial"/>
                <w:sz w:val="18"/>
                <w:szCs w:val="18"/>
                <w:color w:val="auto"/>
              </w:rPr>
              <w:t>, 20</w:t>
            </w:r>
          </w:p>
        </w:tc>
        <w:tc>
          <w:tcPr>
            <w:tcW w:w="60" w:type="dxa"/>
            <w:vAlign w:val="bottom"/>
          </w:tcPr>
          <w:p>
            <w:pPr>
              <w:spacing w:after="0"/>
              <w:rPr>
                <w:sz w:val="18"/>
                <w:szCs w:val="18"/>
                <w:color w:val="auto"/>
              </w:rPr>
            </w:pPr>
          </w:p>
        </w:tc>
        <w:tc>
          <w:tcPr>
            <w:tcW w:w="1860" w:type="dxa"/>
            <w:vAlign w:val="bottom"/>
            <w:gridSpan w:val="3"/>
          </w:tcPr>
          <w:p>
            <w:pPr>
              <w:jc w:val="right"/>
              <w:ind w:right="104"/>
              <w:spacing w:after="0"/>
              <w:rPr>
                <w:sz w:val="20"/>
                <w:szCs w:val="20"/>
                <w:color w:val="auto"/>
              </w:rPr>
            </w:pPr>
            <w:r>
              <w:rPr>
                <w:rFonts w:ascii="Arial" w:cs="Arial" w:eastAsia="Arial" w:hAnsi="Arial"/>
                <w:sz w:val="18"/>
                <w:szCs w:val="18"/>
                <w:color w:val="auto"/>
              </w:rPr>
              <w:t>, 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 20</w:t>
            </w:r>
          </w:p>
        </w:tc>
        <w:tc>
          <w:tcPr>
            <w:tcW w:w="8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 20</w:t>
            </w: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 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420" w:type="dxa"/>
            <w:vAlign w:val="bottom"/>
            <w:gridSpan w:val="2"/>
          </w:tcPr>
          <w:p>
            <w:pPr>
              <w:jc w:val="right"/>
              <w:ind w:right="1420"/>
              <w:spacing w:after="0"/>
              <w:rPr>
                <w:sz w:val="20"/>
                <w:szCs w:val="20"/>
                <w:color w:val="auto"/>
              </w:rPr>
            </w:pPr>
            <w:r>
              <w:rPr>
                <w:rFonts w:ascii="Arial" w:cs="Arial" w:eastAsia="Arial" w:hAnsi="Arial"/>
                <w:sz w:val="18"/>
                <w:szCs w:val="18"/>
                <w:color w:val="auto"/>
              </w:rPr>
              <w:t>, 20</w:t>
            </w:r>
          </w:p>
        </w:tc>
        <w:tc>
          <w:tcPr>
            <w:tcW w:w="820" w:type="dxa"/>
            <w:vAlign w:val="bottom"/>
          </w:tcPr>
          <w:p>
            <w:pPr>
              <w:spacing w:after="0"/>
              <w:rPr>
                <w:sz w:val="19"/>
                <w:szCs w:val="19"/>
                <w:color w:val="auto"/>
              </w:rPr>
            </w:pPr>
          </w:p>
        </w:tc>
        <w:tc>
          <w:tcPr>
            <w:tcW w:w="3060" w:type="dxa"/>
            <w:vAlign w:val="bottom"/>
            <w:gridSpan w:val="3"/>
          </w:tcPr>
          <w:p>
            <w:pPr>
              <w:jc w:val="right"/>
              <w:ind w:right="102"/>
              <w:spacing w:after="0"/>
              <w:rPr>
                <w:sz w:val="20"/>
                <w:szCs w:val="20"/>
                <w:color w:val="auto"/>
              </w:rPr>
            </w:pPr>
            <w:r>
              <w:rPr>
                <w:rFonts w:ascii="Arial" w:cs="Arial" w:eastAsia="Arial" w:hAnsi="Arial"/>
                <w:sz w:val="18"/>
                <w:szCs w:val="18"/>
                <w:color w:val="auto"/>
              </w:rPr>
              <w:t>, 20</w:t>
            </w:r>
          </w:p>
        </w:tc>
        <w:tc>
          <w:tcPr>
            <w:tcW w:w="60" w:type="dxa"/>
            <w:vAlign w:val="bottom"/>
          </w:tcPr>
          <w:p>
            <w:pPr>
              <w:spacing w:after="0"/>
              <w:rPr>
                <w:sz w:val="19"/>
                <w:szCs w:val="19"/>
                <w:color w:val="auto"/>
              </w:rPr>
            </w:pPr>
          </w:p>
        </w:tc>
        <w:tc>
          <w:tcPr>
            <w:tcW w:w="1860" w:type="dxa"/>
            <w:vAlign w:val="bottom"/>
            <w:gridSpan w:val="3"/>
          </w:tcPr>
          <w:p>
            <w:pPr>
              <w:jc w:val="right"/>
              <w:ind w:right="104"/>
              <w:spacing w:after="0"/>
              <w:rPr>
                <w:sz w:val="20"/>
                <w:szCs w:val="20"/>
                <w:color w:val="auto"/>
              </w:rPr>
            </w:pPr>
            <w:r>
              <w:rPr>
                <w:rFonts w:ascii="Arial" w:cs="Arial" w:eastAsia="Arial" w:hAnsi="Arial"/>
                <w:sz w:val="18"/>
                <w:szCs w:val="18"/>
                <w:color w:val="auto"/>
              </w:rPr>
              <w:t>, 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Total Dividends Declared</w:t>
            </w: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58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8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The dividends declared during the</w:t>
            </w:r>
          </w:p>
        </w:tc>
        <w:tc>
          <w:tcPr>
            <w:tcW w:w="820" w:type="dxa"/>
            <w:vAlign w:val="bottom"/>
          </w:tcPr>
          <w:p>
            <w:pPr>
              <w:ind w:left="120"/>
              <w:spacing w:after="0"/>
              <w:rPr>
                <w:sz w:val="20"/>
                <w:szCs w:val="20"/>
                <w:color w:val="auto"/>
              </w:rPr>
            </w:pPr>
            <w:r>
              <w:rPr>
                <w:rFonts w:ascii="Arial" w:cs="Arial" w:eastAsia="Arial" w:hAnsi="Arial"/>
                <w:sz w:val="18"/>
                <w:szCs w:val="18"/>
                <w:color w:val="auto"/>
              </w:rPr>
              <w:t>ended</w:t>
            </w:r>
          </w:p>
        </w:tc>
        <w:tc>
          <w:tcPr>
            <w:tcW w:w="6720" w:type="dxa"/>
            <w:vAlign w:val="bottom"/>
            <w:gridSpan w:val="13"/>
          </w:tcPr>
          <w:p>
            <w:pPr>
              <w:ind w:left="280"/>
              <w:spacing w:after="0"/>
              <w:rPr>
                <w:sz w:val="20"/>
                <w:szCs w:val="20"/>
                <w:color w:val="auto"/>
              </w:rPr>
            </w:pPr>
            <w:r>
              <w:rPr>
                <w:rFonts w:ascii="Arial" w:cs="Arial" w:eastAsia="Arial" w:hAnsi="Arial"/>
                <w:sz w:val="18"/>
                <w:szCs w:val="18"/>
                <w:color w:val="auto"/>
                <w:w w:val="91"/>
              </w:rPr>
              <w:t>, 20  were derived from net investment income determined on a tax basis. The dividends</w:t>
            </w:r>
          </w:p>
        </w:tc>
        <w:tc>
          <w:tcPr>
            <w:tcW w:w="0" w:type="dxa"/>
            <w:vAlign w:val="bottom"/>
          </w:tcPr>
          <w:p>
            <w:pPr>
              <w:spacing w:after="0"/>
              <w:rPr>
                <w:sz w:val="1"/>
                <w:szCs w:val="1"/>
                <w:color w:val="auto"/>
              </w:rPr>
            </w:pPr>
          </w:p>
        </w:tc>
      </w:tr>
    </w:tbl>
    <w:p>
      <w:pPr>
        <w:ind w:right="800"/>
        <w:spacing w:after="0" w:line="261" w:lineRule="auto"/>
        <w:rPr>
          <w:sz w:val="20"/>
          <w:szCs w:val="20"/>
          <w:color w:val="auto"/>
        </w:rPr>
      </w:pPr>
      <w:r>
        <w:rPr>
          <w:rFonts w:ascii="Arial" w:cs="Arial" w:eastAsia="Arial" w:hAnsi="Arial"/>
          <w:sz w:val="18"/>
          <w:szCs w:val="18"/>
          <w:color w:val="auto"/>
        </w:rPr>
        <w:t>declared during the years ended December 31, 20 and December 31, 20 , were derived from net investment income and long-term capital gains, determined on a tax basis.</w:t>
      </w:r>
    </w:p>
    <w:p>
      <w:pPr>
        <w:spacing w:after="0" w:line="18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To be treated as a regulated investment company under Subchapter M of the Internal Revenue Code of 1986, as amended,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 of the amount by which our distributions for a calendar year are less than the sum of:</w:t>
      </w:r>
    </w:p>
    <w:p>
      <w:pPr>
        <w:spacing w:after="0" w:line="78" w:lineRule="exact"/>
        <w:rPr>
          <w:sz w:val="20"/>
          <w:szCs w:val="20"/>
          <w:color w:val="auto"/>
        </w:rPr>
      </w:pPr>
    </w:p>
    <w:p>
      <w:pPr>
        <w:ind w:left="900" w:hanging="325"/>
        <w:spacing w:after="0"/>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federal income tax. Depending on the level of taxable income earned in a calendar year, we may choose to carry forward taxable income for distribution in the</w:t>
      </w:r>
    </w:p>
    <w:p>
      <w:pPr>
        <w:sectPr>
          <w:pgSz w:w="11900" w:h="16838" w:orient="portrait"/>
          <w:cols w:equalWidth="0" w:num="1">
            <w:col w:w="11420"/>
          </w:cols>
          <w:pgMar w:left="240" w:top="459" w:right="239" w:bottom="1440" w:gutter="0" w:footer="0" w:header="0"/>
        </w:sectPr>
      </w:pPr>
    </w:p>
    <w:p>
      <w:pPr>
        <w:spacing w:after="0" w:line="3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following calendar year, and pay any applicable U.S. federal excise tax. [We elected to retain a small portion of income and capital gains for the calendar years ended December 31, 20 and 20 and the ended , 20 for purposes of additional liquidity and we recorded a net expense of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sectPr>
          <w:pgSz w:w="11900" w:h="16838" w:orient="portrait"/>
          <w:cols w:equalWidth="0" w:num="2">
            <w:col w:w="10900" w:space="360"/>
            <w:col w:w="160"/>
          </w:cols>
          <w:pgMar w:left="240" w:top="459" w:right="239" w:bottom="1440" w:gutter="0" w:footer="0" w:header="0"/>
          <w:type w:val="continuous"/>
        </w:sectPr>
      </w:pPr>
    </w:p>
    <w:p>
      <w:pPr>
        <w:ind w:right="180" w:firstLine="8"/>
        <w:spacing w:after="0" w:line="261" w:lineRule="auto"/>
        <w:tabs>
          <w:tab w:leader="none" w:pos="49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and $ , respectively, for U.S. federal excise tax as a result.] We cannot assure you that we will achieve results that will permit the payment of any dividends. See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type w:val="continuous"/>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requirements“in the accompanying prospectus.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common stockholders. If this happens, our common stockholders will be treated for U.S. federal income tax purposes as if they had received an actual distribution of the net capital gains that we retain and they reinvested the net after-tax proceeds in us. In this situation, our common stockholders would be eligible to claim a tax credit (or, in certain circumstances, a tax refund) equal to their allocable share of the tax we paid on the capital gains deemed distributed to them. See “Material U.S. Federal Income Tax Considerations” in the accompanying prospectus. We cannot assure you that we will achieve results that will permit us to pay any cash distributions or that will not be limited in our ability to pay dividends under the asset coverage test applicable to us under the 1940 Act.</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 in the accompanying prospectus.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534" w:name="page535"/>
    <w:bookmarkEnd w:id="534"/>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4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34"/>
        </w:trPr>
        <w:tc>
          <w:tcPr>
            <w:tcW w:w="3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4440" w:type="dxa"/>
            <w:vAlign w:val="bottom"/>
          </w:tcPr>
          <w:p>
            <w:pPr>
              <w:ind w:left="80"/>
              <w:spacing w:after="0"/>
              <w:rPr>
                <w:sz w:val="20"/>
                <w:szCs w:val="20"/>
                <w:color w:val="auto"/>
              </w:rPr>
            </w:pPr>
            <w:r>
              <w:rPr>
                <w:rFonts w:ascii="Arial" w:cs="Arial" w:eastAsia="Arial" w:hAnsi="Arial"/>
                <w:sz w:val="18"/>
                <w:szCs w:val="18"/>
                <w:b w:val="1"/>
                <w:bCs w:val="1"/>
                <w:color w:val="auto"/>
              </w:rPr>
              <w:t>CAPITALIZATION</w:t>
            </w:r>
          </w:p>
        </w:tc>
        <w:tc>
          <w:tcPr>
            <w:tcW w:w="200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w w:val="93"/>
              </w:rPr>
              <w:t>The following table sets forth (a) our actual capitalization at</w:t>
            </w:r>
          </w:p>
        </w:tc>
        <w:tc>
          <w:tcPr>
            <w:tcW w:w="6440" w:type="dxa"/>
            <w:vAlign w:val="bottom"/>
            <w:gridSpan w:val="2"/>
          </w:tcPr>
          <w:p>
            <w:pPr>
              <w:ind w:left="640"/>
              <w:spacing w:after="0"/>
              <w:rPr>
                <w:sz w:val="20"/>
                <w:szCs w:val="20"/>
                <w:color w:val="auto"/>
              </w:rPr>
            </w:pPr>
            <w:r>
              <w:rPr>
                <w:rFonts w:ascii="Arial" w:cs="Arial" w:eastAsia="Arial" w:hAnsi="Arial"/>
                <w:sz w:val="18"/>
                <w:szCs w:val="18"/>
                <w:color w:val="auto"/>
              </w:rPr>
              <w:t>, 20  and (b) our pro forma capitalization to reflect the effects of the sale</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of</w:t>
            </w:r>
          </w:p>
        </w:tc>
        <w:tc>
          <w:tcPr>
            <w:tcW w:w="8980" w:type="dxa"/>
            <w:vAlign w:val="bottom"/>
            <w:gridSpan w:val="3"/>
          </w:tcPr>
          <w:p>
            <w:pPr>
              <w:ind w:left="380"/>
              <w:spacing w:after="0"/>
              <w:rPr>
                <w:sz w:val="20"/>
                <w:szCs w:val="20"/>
                <w:color w:val="auto"/>
              </w:rPr>
            </w:pPr>
            <w:r>
              <w:rPr>
                <w:rFonts w:ascii="Arial" w:cs="Arial" w:eastAsia="Arial" w:hAnsi="Arial"/>
                <w:sz w:val="18"/>
                <w:szCs w:val="18"/>
                <w:color w:val="auto"/>
                <w:w w:val="92"/>
              </w:rPr>
              <w:t>shares of our common stock in this offering, assuming all rights are exercised at the estimated subscription price of $</w:t>
            </w:r>
          </w:p>
        </w:tc>
        <w:tc>
          <w:tcPr>
            <w:tcW w:w="2000" w:type="dxa"/>
            <w:vAlign w:val="bottom"/>
          </w:tcPr>
          <w:p>
            <w:pPr>
              <w:ind w:left="180"/>
              <w:spacing w:after="0"/>
              <w:rPr>
                <w:sz w:val="20"/>
                <w:szCs w:val="20"/>
                <w:color w:val="auto"/>
              </w:rPr>
            </w:pPr>
            <w:r>
              <w:rPr>
                <w:rFonts w:ascii="Arial" w:cs="Arial" w:eastAsia="Arial" w:hAnsi="Arial"/>
                <w:sz w:val="18"/>
                <w:szCs w:val="18"/>
                <w:color w:val="auto"/>
                <w:w w:val="87"/>
              </w:rPr>
              <w:t>per share, after deducting</w:t>
            </w:r>
          </w:p>
        </w:tc>
      </w:tr>
    </w:tbl>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dealer manager fees and other expenses related to this offering payable by us. You should read this table together with “Use of Proceeds” and our most recent balance sheet included elsewhere in this prospectus supplement or the accompanying prospectus.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As of</w:t>
            </w:r>
          </w:p>
        </w:tc>
        <w:tc>
          <w:tcPr>
            <w:tcW w:w="780" w:type="dxa"/>
            <w:vAlign w:val="bottom"/>
          </w:tcPr>
          <w:p>
            <w:pPr>
              <w:spacing w:after="0"/>
              <w:rPr>
                <w:sz w:val="20"/>
                <w:szCs w:val="20"/>
                <w:color w:val="auto"/>
              </w:rPr>
            </w:pPr>
            <w:r>
              <w:rPr>
                <w:rFonts w:ascii="Arial" w:cs="Arial" w:eastAsia="Arial" w:hAnsi="Arial"/>
                <w:sz w:val="14"/>
                <w:szCs w:val="14"/>
                <w:b w:val="1"/>
                <w:bCs w:val="1"/>
                <w:color w:val="auto"/>
              </w:rPr>
              <w:t>, 20</w:t>
            </w:r>
          </w:p>
        </w:tc>
        <w:tc>
          <w:tcPr>
            <w:tcW w:w="10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(unaudited, dollar amounts</w:t>
            </w:r>
          </w:p>
        </w:tc>
      </w:tr>
      <w:tr>
        <w:trPr>
          <w:trHeight w:val="171"/>
        </w:trPr>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r>
      <w:tr>
        <w:trPr>
          <w:trHeight w:val="142"/>
        </w:trPr>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Actual</w:t>
            </w:r>
          </w:p>
        </w:tc>
        <w:tc>
          <w:tcPr>
            <w:tcW w:w="7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2"/>
                <w:szCs w:val="12"/>
                <w:color w:val="auto"/>
              </w:rPr>
            </w:pPr>
          </w:p>
        </w:tc>
      </w:tr>
      <w:tr>
        <w:trPr>
          <w:trHeight w:val="210"/>
        </w:trPr>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[List Debt outstanding as of period reported]</w:t>
            </w: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Total Debt</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$0.01 par value;</w:t>
            </w:r>
          </w:p>
        </w:tc>
        <w:tc>
          <w:tcPr>
            <w:tcW w:w="1700" w:type="dxa"/>
            <w:vAlign w:val="bottom"/>
          </w:tcPr>
          <w:p>
            <w:pPr>
              <w:ind w:left="120"/>
              <w:spacing w:after="0" w:line="201" w:lineRule="exact"/>
              <w:rPr>
                <w:sz w:val="20"/>
                <w:szCs w:val="20"/>
                <w:color w:val="auto"/>
              </w:rPr>
            </w:pPr>
            <w:r>
              <w:rPr>
                <w:rFonts w:ascii="Arial" w:cs="Arial" w:eastAsia="Arial" w:hAnsi="Arial"/>
                <w:sz w:val="18"/>
                <w:szCs w:val="18"/>
                <w:color w:val="auto"/>
              </w:rPr>
              <w:t>shares authorized;</w:t>
            </w:r>
          </w:p>
        </w:tc>
        <w:tc>
          <w:tcPr>
            <w:tcW w:w="1040" w:type="dxa"/>
            <w:vAlign w:val="bottom"/>
          </w:tcPr>
          <w:p>
            <w:pPr>
              <w:ind w:left="260"/>
              <w:spacing w:after="0" w:line="201" w:lineRule="exact"/>
              <w:rPr>
                <w:sz w:val="20"/>
                <w:szCs w:val="20"/>
                <w:color w:val="auto"/>
              </w:rPr>
            </w:pPr>
            <w:r>
              <w:rPr>
                <w:rFonts w:ascii="Arial" w:cs="Arial" w:eastAsia="Arial" w:hAnsi="Arial"/>
                <w:sz w:val="18"/>
                <w:szCs w:val="18"/>
                <w:color w:val="auto"/>
              </w:rPr>
              <w:t>and</w:t>
            </w:r>
          </w:p>
        </w:tc>
        <w:tc>
          <w:tcPr>
            <w:tcW w:w="41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shares issued and outstanding,</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w:t>
            </w:r>
          </w:p>
        </w:tc>
        <w:tc>
          <w:tcPr>
            <w:tcW w:w="1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shares authorized;</w:t>
            </w:r>
          </w:p>
        </w:tc>
        <w:tc>
          <w:tcPr>
            <w:tcW w:w="10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and</w:t>
            </w:r>
          </w:p>
        </w:tc>
        <w:tc>
          <w:tcPr>
            <w:tcW w:w="410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shares issued,</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w:t>
            </w: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shares outstanding, respectively</w:t>
            </w:r>
          </w:p>
        </w:tc>
        <w:tc>
          <w:tcPr>
            <w:tcW w:w="28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w w:val="94"/>
              </w:rPr>
              <w:t>Additional paid-in capital</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w:t>
            </w: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w w:val="94"/>
              </w:rPr>
              <w:t>Undistributed net investment income</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Net unrealized [gain][loss] on investments and foreign currency transactions</w:t>
            </w:r>
          </w:p>
        </w:tc>
        <w:tc>
          <w:tcPr>
            <w:tcW w:w="2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65"/>
        </w:trPr>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S-27</w:t>
            </w: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45" w:right="319" w:bottom="1440" w:gutter="0" w:footer="0" w:header="0"/>
        </w:sectPr>
      </w:pPr>
    </w:p>
    <w:bookmarkStart w:id="535" w:name="page536"/>
    <w:bookmarkEnd w:id="5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Table of Contents</w:t>
              </w:r>
            </w:hyperlink>
          </w:p>
        </w:tc>
        <w:tc>
          <w:tcPr>
            <w:tcW w:w="2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34"/>
        </w:trPr>
        <w:tc>
          <w:tcPr>
            <w:tcW w:w="2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b w:val="1"/>
                <w:bCs w:val="1"/>
                <w:color w:val="auto"/>
              </w:rPr>
              <w:t>DILUTION</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8"/>
        </w:trPr>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As of</w:t>
            </w:r>
          </w:p>
        </w:tc>
        <w:tc>
          <w:tcPr>
            <w:tcW w:w="2640" w:type="dxa"/>
            <w:vAlign w:val="bottom"/>
          </w:tcPr>
          <w:p>
            <w:pPr>
              <w:ind w:left="120"/>
              <w:spacing w:after="0"/>
              <w:rPr>
                <w:sz w:val="20"/>
                <w:szCs w:val="20"/>
                <w:color w:val="auto"/>
              </w:rPr>
            </w:pPr>
            <w:r>
              <w:rPr>
                <w:rFonts w:ascii="Arial" w:cs="Arial" w:eastAsia="Arial" w:hAnsi="Arial"/>
                <w:sz w:val="18"/>
                <w:szCs w:val="18"/>
                <w:color w:val="auto"/>
                <w:w w:val="98"/>
              </w:rPr>
              <w:t>, 20  , our net asset value was $</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million, or approximately $</w:t>
            </w:r>
          </w:p>
        </w:tc>
        <w:tc>
          <w:tcPr>
            <w:tcW w:w="3500" w:type="dxa"/>
            <w:vAlign w:val="bottom"/>
            <w:gridSpan w:val="3"/>
          </w:tcPr>
          <w:p>
            <w:pPr>
              <w:ind w:left="180"/>
              <w:spacing w:after="0"/>
              <w:rPr>
                <w:sz w:val="20"/>
                <w:szCs w:val="20"/>
                <w:color w:val="auto"/>
              </w:rPr>
            </w:pPr>
            <w:r>
              <w:rPr>
                <w:rFonts w:ascii="Arial" w:cs="Arial" w:eastAsia="Arial" w:hAnsi="Arial"/>
                <w:sz w:val="18"/>
                <w:szCs w:val="18"/>
                <w:color w:val="auto"/>
                <w:w w:val="99"/>
              </w:rPr>
              <w:t>per share. After giving effect to the sale of</w:t>
            </w:r>
          </w:p>
        </w:tc>
        <w:tc>
          <w:tcPr>
            <w:tcW w:w="1200" w:type="dxa"/>
            <w:vAlign w:val="bottom"/>
          </w:tcPr>
          <w:p>
            <w:pPr>
              <w:ind w:left="260"/>
              <w:spacing w:after="0"/>
              <w:rPr>
                <w:sz w:val="20"/>
                <w:szCs w:val="20"/>
                <w:color w:val="auto"/>
              </w:rPr>
            </w:pPr>
            <w:r>
              <w:rPr>
                <w:rFonts w:ascii="Arial" w:cs="Arial" w:eastAsia="Arial" w:hAnsi="Arial"/>
                <w:sz w:val="18"/>
                <w:szCs w:val="18"/>
                <w:color w:val="auto"/>
                <w:w w:val="87"/>
              </w:rPr>
              <w:t>shares of our</w:t>
            </w:r>
          </w:p>
        </w:tc>
      </w:tr>
      <w:tr>
        <w:trPr>
          <w:trHeight w:val="216"/>
        </w:trPr>
        <w:tc>
          <w:tcPr>
            <w:tcW w:w="7620" w:type="dxa"/>
            <w:vAlign w:val="bottom"/>
            <w:gridSpan w:val="7"/>
          </w:tcPr>
          <w:p>
            <w:pPr>
              <w:spacing w:after="0"/>
              <w:rPr>
                <w:sz w:val="20"/>
                <w:szCs w:val="20"/>
                <w:color w:val="auto"/>
              </w:rPr>
            </w:pPr>
            <w:r>
              <w:rPr>
                <w:rFonts w:ascii="Arial" w:cs="Arial" w:eastAsia="Arial" w:hAnsi="Arial"/>
                <w:sz w:val="18"/>
                <w:szCs w:val="18"/>
                <w:color w:val="auto"/>
                <w:w w:val="92"/>
              </w:rPr>
              <w:t>common stock in this offering, assuming all rights are exercised at the estimated subscription price of $</w:t>
            </w:r>
          </w:p>
        </w:tc>
        <w:tc>
          <w:tcPr>
            <w:tcW w:w="3520" w:type="dxa"/>
            <w:vAlign w:val="bottom"/>
            <w:gridSpan w:val="3"/>
          </w:tcPr>
          <w:p>
            <w:pPr>
              <w:ind w:left="180"/>
              <w:spacing w:after="0"/>
              <w:rPr>
                <w:sz w:val="20"/>
                <w:szCs w:val="20"/>
                <w:color w:val="auto"/>
              </w:rPr>
            </w:pPr>
            <w:r>
              <w:rPr>
                <w:rFonts w:ascii="Arial" w:cs="Arial" w:eastAsia="Arial" w:hAnsi="Arial"/>
                <w:sz w:val="18"/>
                <w:szCs w:val="18"/>
                <w:color w:val="auto"/>
                <w:w w:val="88"/>
              </w:rPr>
              <w:t>per share, after deducting dealer manager fees</w:t>
            </w:r>
          </w:p>
        </w:tc>
      </w:tr>
      <w:tr>
        <w:trPr>
          <w:trHeight w:val="216"/>
        </w:trPr>
        <w:tc>
          <w:tcPr>
            <w:tcW w:w="8900" w:type="dxa"/>
            <w:vAlign w:val="bottom"/>
            <w:gridSpan w:val="8"/>
          </w:tcPr>
          <w:p>
            <w:pPr>
              <w:spacing w:after="0"/>
              <w:rPr>
                <w:sz w:val="20"/>
                <w:szCs w:val="20"/>
                <w:color w:val="auto"/>
              </w:rPr>
            </w:pPr>
            <w:r>
              <w:rPr>
                <w:rFonts w:ascii="Arial" w:cs="Arial" w:eastAsia="Arial" w:hAnsi="Arial"/>
                <w:sz w:val="18"/>
                <w:szCs w:val="18"/>
                <w:color w:val="auto"/>
                <w:w w:val="91"/>
              </w:rPr>
              <w:t>and other expenses related to this offering payable by us, our pro forma net asset value would have been approximately $</w:t>
            </w: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million, or approximately</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gridSpan w:val="4"/>
          </w:tcPr>
          <w:p>
            <w:pPr>
              <w:ind w:left="180"/>
              <w:spacing w:after="0"/>
              <w:rPr>
                <w:sz w:val="20"/>
                <w:szCs w:val="20"/>
                <w:color w:val="auto"/>
              </w:rPr>
            </w:pPr>
            <w:r>
              <w:rPr>
                <w:rFonts w:ascii="Arial" w:cs="Arial" w:eastAsia="Arial" w:hAnsi="Arial"/>
                <w:sz w:val="18"/>
                <w:szCs w:val="18"/>
                <w:color w:val="auto"/>
                <w:w w:val="91"/>
              </w:rPr>
              <w:t>per share, representing an immediate dilution of approximately $</w:t>
            </w:r>
          </w:p>
        </w:tc>
        <w:tc>
          <w:tcPr>
            <w:tcW w:w="3700" w:type="dxa"/>
            <w:vAlign w:val="bottom"/>
            <w:gridSpan w:val="3"/>
          </w:tcPr>
          <w:p>
            <w:pPr>
              <w:ind w:left="300"/>
              <w:spacing w:after="0"/>
              <w:rPr>
                <w:sz w:val="20"/>
                <w:szCs w:val="20"/>
                <w:color w:val="auto"/>
              </w:rPr>
            </w:pPr>
            <w:r>
              <w:rPr>
                <w:rFonts w:ascii="Arial" w:cs="Arial" w:eastAsia="Arial" w:hAnsi="Arial"/>
                <w:sz w:val="18"/>
                <w:szCs w:val="18"/>
                <w:color w:val="auto"/>
              </w:rPr>
              <w:t>per share to our existing stockholders.</w:t>
            </w: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dilutive effects of this offering on a per share basis, assuming all rights are exercised at the estimated subscription</w:t>
      </w:r>
    </w:p>
    <w:p>
      <w:pPr>
        <w:spacing w:after="0" w:line="4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6"/>
          <w:szCs w:val="16"/>
          <w:color w:val="auto"/>
        </w:rPr>
        <w:t>per share, after deducting dealer manager fees and other expenses related to this offering payable by us: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 20</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Pro Forma</w:t>
            </w:r>
          </w:p>
        </w:tc>
        <w:tc>
          <w:tcPr>
            <w:tcW w:w="180" w:type="dxa"/>
            <w:vAlign w:val="bottom"/>
            <w:gridSpan w:val="2"/>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3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Months Ended</w:t>
            </w:r>
          </w:p>
        </w:tc>
        <w:tc>
          <w:tcPr>
            <w:tcW w:w="10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 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right"/>
              <w:ind w:right="962"/>
              <w:spacing w:after="0" w:line="142" w:lineRule="exact"/>
              <w:rPr>
                <w:sz w:val="20"/>
                <w:szCs w:val="20"/>
                <w:color w:val="auto"/>
              </w:rPr>
            </w:pPr>
            <w:r>
              <w:rPr>
                <w:rFonts w:ascii="Arial" w:cs="Arial" w:eastAsia="Arial" w:hAnsi="Arial"/>
                <w:sz w:val="14"/>
                <w:szCs w:val="14"/>
                <w:b w:val="1"/>
                <w:bCs w:val="1"/>
                <w:color w:val="auto"/>
                <w:w w:val="93"/>
              </w:rPr>
              <w:t>Actual</w:t>
            </w:r>
          </w:p>
        </w:tc>
        <w:tc>
          <w:tcPr>
            <w:tcW w:w="80" w:type="dxa"/>
            <w:vAlign w:val="bottom"/>
          </w:tcPr>
          <w:p>
            <w:pPr>
              <w:spacing w:after="0"/>
              <w:rPr>
                <w:sz w:val="12"/>
                <w:szCs w:val="12"/>
                <w:color w:val="auto"/>
              </w:rPr>
            </w:pPr>
          </w:p>
        </w:tc>
        <w:tc>
          <w:tcPr>
            <w:tcW w:w="9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0"/>
              </w:rPr>
              <w:t>Net increase in assets resulting from net investment income per common share</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87"/>
              </w:rPr>
              <w:t>(1)</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6"/>
              </w:rPr>
              <w:t>(2)</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w w:val="94"/>
              </w:rPr>
              <w:t>Net decrease in net assets resulting from operations per common share</w:t>
            </w:r>
          </w:p>
        </w:tc>
        <w:tc>
          <w:tcPr>
            <w:tcW w:w="32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
              <w:spacing w:after="0"/>
              <w:rPr>
                <w:sz w:val="20"/>
                <w:szCs w:val="20"/>
                <w:color w:val="auto"/>
              </w:rPr>
            </w:pPr>
            <w:r>
              <w:rPr>
                <w:rFonts w:ascii="Arial" w:cs="Arial" w:eastAsia="Arial" w:hAnsi="Arial"/>
                <w:sz w:val="15"/>
                <w:szCs w:val="15"/>
                <w:color w:val="auto"/>
              </w:rPr>
              <w:t>(1)</w:t>
            </w:r>
          </w:p>
        </w:tc>
        <w:tc>
          <w:tcPr>
            <w:tcW w:w="640" w:type="dxa"/>
            <w:vAlign w:val="bottom"/>
          </w:tcPr>
          <w:p>
            <w:pPr>
              <w:spacing w:after="0"/>
              <w:rPr>
                <w:sz w:val="18"/>
                <w:szCs w:val="18"/>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w w:val="76"/>
              </w:rPr>
              <w:t>(2)</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Distributions per common share</w:t>
            </w:r>
          </w:p>
        </w:tc>
        <w:tc>
          <w:tcPr>
            <w:tcW w:w="3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6"/>
              </w:rPr>
              <w:t>(3)</w:t>
            </w:r>
          </w:p>
        </w:tc>
        <w:tc>
          <w:tcPr>
            <w:tcW w:w="80" w:type="dxa"/>
            <w:vAlign w:val="bottom"/>
          </w:tcPr>
          <w:p>
            <w:pPr>
              <w:spacing w:after="0"/>
              <w:rPr>
                <w:sz w:val="18"/>
                <w:szCs w:val="18"/>
                <w:color w:val="auto"/>
              </w:rPr>
            </w:pPr>
          </w:p>
        </w:tc>
      </w:tr>
      <w:tr>
        <w:trPr>
          <w:trHeight w:val="135"/>
        </w:trPr>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474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3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(1)</w:t>
            </w:r>
          </w:p>
        </w:tc>
        <w:tc>
          <w:tcPr>
            <w:tcW w:w="5560" w:type="dxa"/>
            <w:vAlign w:val="bottom"/>
            <w:gridSpan w:val="4"/>
          </w:tcPr>
          <w:p>
            <w:pPr>
              <w:ind w:left="120"/>
              <w:spacing w:after="0"/>
              <w:rPr>
                <w:sz w:val="20"/>
                <w:szCs w:val="20"/>
                <w:color w:val="auto"/>
              </w:rPr>
            </w:pPr>
            <w:r>
              <w:rPr>
                <w:rFonts w:ascii="Arial" w:cs="Arial" w:eastAsia="Arial" w:hAnsi="Arial"/>
                <w:sz w:val="18"/>
                <w:szCs w:val="18"/>
                <w:color w:val="auto"/>
                <w:w w:val="98"/>
              </w:rPr>
              <w:t>Basic and diluted, weighted average number of shares outstanding is</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w w:val="98"/>
              </w:rPr>
              <w:t>Assumes that on</w:t>
            </w:r>
          </w:p>
        </w:tc>
        <w:tc>
          <w:tcPr>
            <w:tcW w:w="8940" w:type="dxa"/>
            <w:vAlign w:val="bottom"/>
            <w:gridSpan w:val="10"/>
          </w:tcPr>
          <w:p>
            <w:pPr>
              <w:ind w:left="560"/>
              <w:spacing w:after="0"/>
              <w:rPr>
                <w:sz w:val="20"/>
                <w:szCs w:val="20"/>
                <w:color w:val="auto"/>
              </w:rPr>
            </w:pPr>
            <w:r>
              <w:rPr>
                <w:rFonts w:ascii="Arial" w:cs="Arial" w:eastAsia="Arial" w:hAnsi="Arial"/>
                <w:sz w:val="18"/>
                <w:szCs w:val="18"/>
                <w:color w:val="auto"/>
                <w:w w:val="95"/>
              </w:rPr>
              <w:t>, 20  , the beginning of the indicated period, (i) all rights were exercised at the estimated subscription price of $</w:t>
            </w:r>
          </w:p>
        </w:tc>
        <w:tc>
          <w:tcPr>
            <w:tcW w:w="300" w:type="dxa"/>
            <w:vAlign w:val="bottom"/>
            <w:gridSpan w:val="3"/>
          </w:tcPr>
          <w:p>
            <w:pPr>
              <w:ind w:left="80"/>
              <w:spacing w:after="0"/>
              <w:rPr>
                <w:sz w:val="20"/>
                <w:szCs w:val="20"/>
                <w:color w:val="auto"/>
              </w:rPr>
            </w:pPr>
            <w:r>
              <w:rPr>
                <w:rFonts w:ascii="Arial" w:cs="Arial" w:eastAsia="Arial" w:hAnsi="Arial"/>
                <w:sz w:val="18"/>
                <w:szCs w:val="18"/>
                <w:color w:val="auto"/>
                <w:w w:val="76"/>
              </w:rPr>
              <w:t>per</w:t>
            </w:r>
          </w:p>
        </w:tc>
      </w:tr>
      <w:tr>
        <w:trPr>
          <w:trHeight w:val="216"/>
        </w:trPr>
        <w:tc>
          <w:tcPr>
            <w:tcW w:w="34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share and (ii)</w:t>
            </w:r>
          </w:p>
        </w:tc>
        <w:tc>
          <w:tcPr>
            <w:tcW w:w="6420" w:type="dxa"/>
            <w:vAlign w:val="bottom"/>
            <w:gridSpan w:val="4"/>
          </w:tcPr>
          <w:p>
            <w:pPr>
              <w:jc w:val="right"/>
              <w:ind w:right="905"/>
              <w:spacing w:after="0"/>
              <w:rPr>
                <w:sz w:val="20"/>
                <w:szCs w:val="20"/>
                <w:color w:val="auto"/>
              </w:rPr>
            </w:pPr>
            <w:r>
              <w:rPr>
                <w:rFonts w:ascii="Arial" w:cs="Arial" w:eastAsia="Arial" w:hAnsi="Arial"/>
                <w:sz w:val="18"/>
                <w:szCs w:val="18"/>
                <w:color w:val="auto"/>
                <w:w w:val="91"/>
              </w:rPr>
              <w:t>shares of our common stock were issued upon the exercise of such rights.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(3)</w:t>
            </w:r>
          </w:p>
        </w:tc>
        <w:tc>
          <w:tcPr>
            <w:tcW w:w="5560" w:type="dxa"/>
            <w:vAlign w:val="bottom"/>
            <w:gridSpan w:val="4"/>
          </w:tcPr>
          <w:p>
            <w:pPr>
              <w:ind w:left="120"/>
              <w:spacing w:after="0"/>
              <w:rPr>
                <w:sz w:val="20"/>
                <w:szCs w:val="20"/>
                <w:color w:val="auto"/>
              </w:rPr>
            </w:pPr>
            <w:r>
              <w:rPr>
                <w:rFonts w:ascii="Arial" w:cs="Arial" w:eastAsia="Arial" w:hAnsi="Arial"/>
                <w:sz w:val="18"/>
                <w:szCs w:val="18"/>
                <w:color w:val="auto"/>
                <w:w w:val="95"/>
              </w:rPr>
              <w:t>Assumes actual cash distributions divided by adjusted shares, including</w:t>
            </w:r>
          </w:p>
        </w:tc>
        <w:tc>
          <w:tcPr>
            <w:tcW w:w="320" w:type="dxa"/>
            <w:vAlign w:val="bottom"/>
          </w:tcPr>
          <w:p>
            <w:pPr>
              <w:spacing w:after="0"/>
              <w:rPr>
                <w:sz w:val="20"/>
                <w:szCs w:val="20"/>
                <w:color w:val="auto"/>
              </w:rPr>
            </w:pPr>
          </w:p>
        </w:tc>
        <w:tc>
          <w:tcPr>
            <w:tcW w:w="3460" w:type="dxa"/>
            <w:vAlign w:val="bottom"/>
            <w:gridSpan w:val="5"/>
          </w:tcPr>
          <w:p>
            <w:pPr>
              <w:jc w:val="right"/>
              <w:ind w:right="602"/>
              <w:spacing w:after="0"/>
              <w:rPr>
                <w:sz w:val="20"/>
                <w:szCs w:val="20"/>
                <w:color w:val="auto"/>
              </w:rPr>
            </w:pPr>
            <w:r>
              <w:rPr>
                <w:rFonts w:ascii="Arial" w:cs="Arial" w:eastAsia="Arial" w:hAnsi="Arial"/>
                <w:sz w:val="18"/>
                <w:szCs w:val="18"/>
                <w:color w:val="auto"/>
                <w:w w:val="91"/>
              </w:rPr>
              <w:t>shares issued upon exercise of rights.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tcPr>
          <w:p>
            <w:pPr>
              <w:ind w:left="3740"/>
              <w:spacing w:after="0"/>
              <w:rPr>
                <w:sz w:val="20"/>
                <w:szCs w:val="20"/>
                <w:color w:val="auto"/>
              </w:rPr>
            </w:pPr>
            <w:r>
              <w:rPr>
                <w:rFonts w:ascii="Arial" w:cs="Arial" w:eastAsia="Arial" w:hAnsi="Arial"/>
                <w:sz w:val="18"/>
                <w:szCs w:val="18"/>
                <w:color w:val="auto"/>
                <w:w w:val="89"/>
              </w:rPr>
              <w:t>S-28</w:t>
            </w: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240" w:top="446" w:right="51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tabs>
          <w:tab w:leader="none" w:pos="10960" w:val="left"/>
        </w:tabs>
        <w:rPr>
          <w:sz w:val="20"/>
          <w:szCs w:val="20"/>
          <w:color w:val="auto"/>
        </w:rPr>
      </w:pPr>
      <w:r>
        <w:rPr>
          <w:rFonts w:ascii="Arial" w:cs="Arial" w:eastAsia="Arial" w:hAnsi="Arial"/>
          <w:sz w:val="17"/>
          <w:szCs w:val="17"/>
          <w:color w:val="auto"/>
        </w:rPr>
        <w:t>Hamilton LLP also represents the Adviser. Certain legal matters in connection with the offering will be passed upon for the dealer managers by [</w:t>
      </w:r>
      <w:r>
        <w:rPr>
          <w:sz w:val="20"/>
          <w:szCs w:val="20"/>
          <w:color w:val="auto"/>
        </w:rPr>
        <w:tab/>
      </w:r>
      <w:r>
        <w:rPr>
          <w:rFonts w:ascii="Arial" w:cs="Arial" w:eastAsia="Arial" w:hAnsi="Arial"/>
          <w:sz w:val="17"/>
          <w:szCs w:val="17"/>
          <w:color w:val="auto"/>
        </w:rPr>
        <w:t>],</w:t>
      </w:r>
    </w:p>
    <w:p>
      <w:pPr>
        <w:spacing w:after="0" w:line="21" w:lineRule="exact"/>
        <w:rPr>
          <w:sz w:val="20"/>
          <w:szCs w:val="20"/>
          <w:color w:val="auto"/>
        </w:rPr>
      </w:pPr>
    </w:p>
    <w:p>
      <w:pPr>
        <w:ind w:left="600" w:hanging="592"/>
        <w:spacing w:after="0"/>
        <w:tabs>
          <w:tab w:leader="none" w:pos="6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40"/>
          </w:cols>
          <w:pgMar w:left="240" w:top="459" w:right="51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financial statements and notes thereto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538" w:name="page539"/>
    <w:bookmarkEnd w:id="5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60"/>
        <w:spacing w:after="0"/>
        <w:tabs>
          <w:tab w:leader="none" w:pos="5100" w:val="left"/>
        </w:tabs>
        <w:rPr>
          <w:sz w:val="20"/>
          <w:szCs w:val="20"/>
          <w:color w:val="auto"/>
        </w:rPr>
      </w:pPr>
      <w:r>
        <w:rPr>
          <w:rFonts w:ascii="Arial" w:cs="Arial" w:eastAsia="Arial" w:hAnsi="Arial"/>
          <w:sz w:val="22"/>
          <w:szCs w:val="22"/>
          <w:b w:val="1"/>
          <w:bCs w:val="1"/>
          <w:color w:val="auto"/>
        </w:rPr>
        <w:t>Up to</w:t>
      </w:r>
      <w:r>
        <w:rPr>
          <w:sz w:val="20"/>
          <w:szCs w:val="20"/>
          <w:color w:val="auto"/>
        </w:rPr>
        <w:tab/>
      </w:r>
      <w:r>
        <w:rPr>
          <w:rFonts w:ascii="Arial" w:cs="Arial" w:eastAsia="Arial" w:hAnsi="Arial"/>
          <w:sz w:val="19"/>
          <w:szCs w:val="19"/>
          <w:b w:val="1"/>
          <w:bCs w:val="1"/>
          <w:color w:val="auto"/>
        </w:rPr>
        <w:t>Shares of Common Stock</w:t>
      </w:r>
    </w:p>
    <w:p>
      <w:pPr>
        <w:spacing w:after="0" w:line="14"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Issuable Upon Exercise of Rights to Subscribe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2650490</wp:posOffset>
            </wp:positionV>
            <wp:extent cx="151765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969645</wp:posOffset>
            </wp:positionV>
            <wp:extent cx="1346200" cy="660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40"/>
        <w:spacing w:after="0"/>
        <w:rPr>
          <w:sz w:val="20"/>
          <w:szCs w:val="20"/>
          <w:color w:val="auto"/>
        </w:rPr>
      </w:pPr>
      <w:r>
        <w:rPr>
          <w:rFonts w:ascii="Arial" w:cs="Arial" w:eastAsia="Arial" w:hAnsi="Arial"/>
          <w:sz w:val="29"/>
          <w:szCs w:val="29"/>
          <w:color w:val="auto"/>
        </w:rPr>
        <w:t>[Dealer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975360</wp:posOffset>
            </wp:positionV>
            <wp:extent cx="72466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1026795</wp:posOffset>
            </wp:positionV>
            <wp:extent cx="7246620" cy="260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539" w:name="page540"/>
    <w:bookmarkEnd w:id="5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99.5</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91" w:lineRule="exact"/>
        <w:rPr>
          <w:sz w:val="20"/>
          <w:szCs w:val="20"/>
          <w:color w:val="auto"/>
        </w:rPr>
      </w:pPr>
    </w:p>
    <w:tbl>
      <w:tblPr>
        <w:tblLayout w:type="fixed"/>
        <w:tblInd w:w="3420" w:type="dxa"/>
        <w:tblCellMar>
          <w:top w:w="0" w:type="dxa"/>
          <w:left w:w="0" w:type="dxa"/>
          <w:bottom w:w="0" w:type="dxa"/>
          <w:right w:w="0" w:type="dxa"/>
        </w:tblCellMar>
      </w:tblPr>
      <w:tr>
        <w:trPr>
          <w:trHeight w:val="234"/>
        </w:trPr>
        <w:tc>
          <w:tcPr>
            <w:tcW w:w="3700" w:type="dxa"/>
            <w:vAlign w:val="bottom"/>
          </w:tcPr>
          <w:p>
            <w:pPr>
              <w:ind w:left="1440"/>
              <w:spacing w:after="0"/>
              <w:rPr>
                <w:sz w:val="20"/>
                <w:szCs w:val="20"/>
                <w:color w:val="auto"/>
              </w:rPr>
            </w:pPr>
            <w:r>
              <w:rPr>
                <w:rFonts w:ascii="Arial" w:cs="Arial" w:eastAsia="Arial" w:hAnsi="Arial"/>
                <w:sz w:val="18"/>
                <w:szCs w:val="18"/>
                <w:b w:val="1"/>
                <w:bCs w:val="1"/>
                <w:color w:val="DE1A1E"/>
              </w:rPr>
              <w:t>Subject to Completion</w:t>
            </w:r>
          </w:p>
        </w:tc>
        <w:tc>
          <w:tcPr>
            <w:tcW w:w="720" w:type="dxa"/>
            <w:vAlign w:val="bottom"/>
          </w:tcPr>
          <w:p>
            <w:pPr>
              <w:spacing w:after="0"/>
              <w:rPr>
                <w:sz w:val="20"/>
                <w:szCs w:val="20"/>
                <w:color w:val="auto"/>
              </w:rPr>
            </w:pPr>
          </w:p>
        </w:tc>
      </w:tr>
      <w:tr>
        <w:trPr>
          <w:trHeight w:val="297"/>
        </w:trPr>
        <w:tc>
          <w:tcPr>
            <w:tcW w:w="3700" w:type="dxa"/>
            <w:vAlign w:val="bottom"/>
          </w:tcPr>
          <w:p>
            <w:pPr>
              <w:spacing w:after="0"/>
              <w:rPr>
                <w:sz w:val="20"/>
                <w:szCs w:val="20"/>
                <w:color w:val="auto"/>
              </w:rPr>
            </w:pPr>
            <w:r>
              <w:rPr>
                <w:rFonts w:ascii="Arial" w:cs="Arial" w:eastAsia="Arial" w:hAnsi="Arial"/>
                <w:sz w:val="18"/>
                <w:szCs w:val="18"/>
                <w:b w:val="1"/>
                <w:bCs w:val="1"/>
                <w:color w:val="DE1A1E"/>
              </w:rPr>
              <w:t>Preliminary Prospectus Supplement dated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DE1A1E"/>
              </w:rPr>
              <w:t>, 20</w:t>
            </w:r>
          </w:p>
        </w:tc>
      </w:tr>
    </w:tbl>
    <w:p>
      <w:pPr>
        <w:spacing w:after="0" w:line="53" w:lineRule="exact"/>
        <w:rPr>
          <w:sz w:val="20"/>
          <w:szCs w:val="20"/>
          <w:color w:val="auto"/>
        </w:rPr>
      </w:pPr>
    </w:p>
    <w:p>
      <w:pPr>
        <w:ind w:right="420" w:firstLine="415"/>
        <w:spacing w:after="0" w:line="326" w:lineRule="auto"/>
        <w:rPr>
          <w:sz w:val="20"/>
          <w:szCs w:val="20"/>
          <w:color w:val="auto"/>
        </w:rPr>
      </w:pPr>
      <w:r>
        <w:rPr>
          <w:rFonts w:ascii="Arial" w:cs="Arial" w:eastAsia="Arial" w:hAnsi="Arial"/>
          <w:sz w:val="18"/>
          <w:szCs w:val="18"/>
          <w:color w:val="auto"/>
        </w:rPr>
        <w:t xml:space="preserve">[FORM OF PRELIMINARY PROSPECTUS SUPPLEMENT TO BE USED IN CONJUNCTION WITH FUTURE WARRANT OFFERINGS](1) </w:t>
      </w:r>
      <w:r>
        <w:rPr>
          <w:rFonts w:ascii="Arial" w:cs="Arial" w:eastAsia="Arial" w:hAnsi="Arial"/>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(To Prospectus dated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51435</wp:posOffset>
            </wp:positionV>
            <wp:extent cx="1346200" cy="660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b w:val="1"/>
                <w:bCs w:val="1"/>
                <w:color w:val="auto"/>
              </w:rPr>
              <w:t>Warrants to Purchase Up to</w:t>
            </w:r>
          </w:p>
        </w:tc>
        <w:tc>
          <w:tcPr>
            <w:tcW w:w="1960" w:type="dxa"/>
            <w:vAlign w:val="bottom"/>
            <w:gridSpan w:val="2"/>
          </w:tcPr>
          <w:p>
            <w:pPr>
              <w:ind w:left="480"/>
              <w:spacing w:after="0"/>
              <w:rPr>
                <w:sz w:val="20"/>
                <w:szCs w:val="20"/>
                <w:color w:val="auto"/>
              </w:rPr>
            </w:pPr>
            <w:r>
              <w:rPr>
                <w:rFonts w:ascii="Arial" w:cs="Arial" w:eastAsia="Arial" w:hAnsi="Arial"/>
                <w:sz w:val="18"/>
                <w:szCs w:val="18"/>
                <w:b w:val="1"/>
                <w:bCs w:val="1"/>
                <w:color w:val="auto"/>
                <w:w w:val="96"/>
              </w:rPr>
              <w:t>[Type of Security]</w:t>
            </w:r>
          </w:p>
        </w:tc>
        <w:tc>
          <w:tcPr>
            <w:tcW w:w="2480" w:type="dxa"/>
            <w:vAlign w:val="bottom"/>
          </w:tcPr>
          <w:p>
            <w:pPr>
              <w:spacing w:after="0"/>
              <w:rPr>
                <w:sz w:val="20"/>
                <w:szCs w:val="20"/>
                <w:color w:val="auto"/>
              </w:rPr>
            </w:pPr>
          </w:p>
        </w:tc>
      </w:tr>
      <w:tr>
        <w:trPr>
          <w:trHeight w:val="203"/>
        </w:trPr>
        <w:tc>
          <w:tcPr>
            <w:tcW w:w="30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2400" w:type="dxa"/>
            <w:vAlign w:val="bottom"/>
            <w:tcBorders>
              <w:bottom w:val="single" w:sz="8" w:color="auto"/>
            </w:tcBorders>
            <w:gridSpan w:val="2"/>
          </w:tcPr>
          <w:p>
            <w:pPr>
              <w:spacing w:after="0"/>
              <w:rPr>
                <w:sz w:val="17"/>
                <w:szCs w:val="17"/>
                <w:color w:val="auto"/>
              </w:rPr>
            </w:pPr>
          </w:p>
        </w:tc>
        <w:tc>
          <w:tcPr>
            <w:tcW w:w="10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25"/>
        </w:trPr>
        <w:tc>
          <w:tcPr>
            <w:tcW w:w="3060" w:type="dxa"/>
            <w:vAlign w:val="bottom"/>
            <w:gridSpan w:val="2"/>
          </w:tcPr>
          <w:p>
            <w:pPr>
              <w:spacing w:after="0"/>
              <w:rPr>
                <w:sz w:val="20"/>
                <w:szCs w:val="20"/>
                <w:color w:val="auto"/>
              </w:rPr>
            </w:pPr>
            <w:r>
              <w:rPr>
                <w:rFonts w:ascii="Arial" w:cs="Arial" w:eastAsia="Arial" w:hAnsi="Arial"/>
                <w:sz w:val="14"/>
                <w:szCs w:val="14"/>
                <w:color w:val="auto"/>
                <w:w w:val="96"/>
              </w:rPr>
              <w:t>We are offering for sale warrants to purchase up to</w:t>
            </w:r>
          </w:p>
        </w:tc>
        <w:tc>
          <w:tcPr>
            <w:tcW w:w="4540" w:type="dxa"/>
            <w:vAlign w:val="bottom"/>
            <w:gridSpan w:val="4"/>
          </w:tcPr>
          <w:p>
            <w:pPr>
              <w:ind w:left="460"/>
              <w:spacing w:after="0"/>
              <w:rPr>
                <w:sz w:val="20"/>
                <w:szCs w:val="20"/>
                <w:color w:val="auto"/>
              </w:rPr>
            </w:pPr>
            <w:r>
              <w:rPr>
                <w:rFonts w:ascii="Arial" w:cs="Arial" w:eastAsia="Arial" w:hAnsi="Arial"/>
                <w:sz w:val="14"/>
                <w:szCs w:val="14"/>
                <w:color w:val="auto"/>
              </w:rPr>
              <w:t>[type of security]. Each warrant entitles the holder to purchase</w:t>
            </w:r>
          </w:p>
        </w:tc>
        <w:tc>
          <w:tcPr>
            <w:tcW w:w="2480" w:type="dxa"/>
            <w:vAlign w:val="bottom"/>
          </w:tcPr>
          <w:p>
            <w:pPr>
              <w:ind w:left="120"/>
              <w:spacing w:after="0"/>
              <w:rPr>
                <w:sz w:val="20"/>
                <w:szCs w:val="20"/>
                <w:color w:val="auto"/>
              </w:rPr>
            </w:pPr>
            <w:r>
              <w:rPr>
                <w:rFonts w:ascii="Arial" w:cs="Arial" w:eastAsia="Arial" w:hAnsi="Arial"/>
                <w:sz w:val="14"/>
                <w:szCs w:val="14"/>
                <w:color w:val="auto"/>
              </w:rPr>
              <w:t>[type of security].</w:t>
            </w:r>
          </w:p>
        </w:tc>
      </w:tr>
      <w:tr>
        <w:trPr>
          <w:trHeight w:val="216"/>
        </w:trPr>
        <w:tc>
          <w:tcPr>
            <w:tcW w:w="1740" w:type="dxa"/>
            <w:vAlign w:val="bottom"/>
          </w:tcPr>
          <w:p>
            <w:pPr>
              <w:spacing w:after="0"/>
              <w:rPr>
                <w:sz w:val="20"/>
                <w:szCs w:val="20"/>
                <w:color w:val="auto"/>
              </w:rPr>
            </w:pPr>
            <w:r>
              <w:rPr>
                <w:rFonts w:ascii="Arial" w:cs="Arial" w:eastAsia="Arial" w:hAnsi="Arial"/>
                <w:sz w:val="14"/>
                <w:szCs w:val="14"/>
                <w:color w:val="auto"/>
              </w:rPr>
              <w:t>The exercise price will be $</w:t>
            </w:r>
          </w:p>
        </w:tc>
        <w:tc>
          <w:tcPr>
            <w:tcW w:w="3900" w:type="dxa"/>
            <w:vAlign w:val="bottom"/>
            <w:gridSpan w:val="3"/>
          </w:tcPr>
          <w:p>
            <w:pPr>
              <w:ind w:left="160"/>
              <w:spacing w:after="0"/>
              <w:rPr>
                <w:sz w:val="20"/>
                <w:szCs w:val="20"/>
                <w:color w:val="auto"/>
              </w:rPr>
            </w:pPr>
            <w:r>
              <w:rPr>
                <w:rFonts w:ascii="Arial" w:cs="Arial" w:eastAsia="Arial" w:hAnsi="Arial"/>
                <w:sz w:val="14"/>
                <w:szCs w:val="14"/>
                <w:color w:val="auto"/>
              </w:rPr>
              <w:t>per warrant. The warrants will be exercisable beginning on</w:t>
            </w:r>
          </w:p>
        </w:tc>
        <w:tc>
          <w:tcPr>
            <w:tcW w:w="1960" w:type="dxa"/>
            <w:vAlign w:val="bottom"/>
            <w:gridSpan w:val="2"/>
          </w:tcPr>
          <w:p>
            <w:pPr>
              <w:ind w:left="280"/>
              <w:spacing w:after="0"/>
              <w:rPr>
                <w:sz w:val="20"/>
                <w:szCs w:val="20"/>
                <w:color w:val="auto"/>
              </w:rPr>
            </w:pPr>
            <w:r>
              <w:rPr>
                <w:rFonts w:ascii="Arial" w:cs="Arial" w:eastAsia="Arial" w:hAnsi="Arial"/>
                <w:sz w:val="14"/>
                <w:szCs w:val="14"/>
                <w:color w:val="auto"/>
              </w:rPr>
              <w:t>, 20   , and will expire on</w:t>
            </w:r>
          </w:p>
        </w:tc>
        <w:tc>
          <w:tcPr>
            <w:tcW w:w="2480" w:type="dxa"/>
            <w:vAlign w:val="bottom"/>
          </w:tcPr>
          <w:p>
            <w:pPr>
              <w:ind w:left="440"/>
              <w:spacing w:after="0"/>
              <w:rPr>
                <w:sz w:val="20"/>
                <w:szCs w:val="20"/>
                <w:color w:val="auto"/>
              </w:rPr>
            </w:pPr>
            <w:r>
              <w:rPr>
                <w:rFonts w:ascii="Arial" w:cs="Arial" w:eastAsia="Arial" w:hAnsi="Arial"/>
                <w:sz w:val="14"/>
                <w:szCs w:val="14"/>
                <w:color w:val="auto"/>
                <w:w w:val="95"/>
              </w:rPr>
              <w:t>, 20   , or earlier upon redemption.</w:t>
            </w:r>
          </w:p>
        </w:tc>
      </w:tr>
    </w:tbl>
    <w:p>
      <w:pPr>
        <w:spacing w:after="0" w:line="47" w:lineRule="exact"/>
        <w:rPr>
          <w:sz w:val="20"/>
          <w:szCs w:val="20"/>
          <w:color w:val="auto"/>
        </w:rPr>
      </w:pPr>
    </w:p>
    <w:p>
      <w:pPr>
        <w:ind w:right="360" w:firstLine="342"/>
        <w:spacing w:after="0" w:line="291" w:lineRule="auto"/>
        <w:rPr>
          <w:sz w:val="20"/>
          <w:szCs w:val="20"/>
          <w:color w:val="auto"/>
        </w:rPr>
      </w:pPr>
      <w:r>
        <w:rPr>
          <w:rFonts w:ascii="Arial" w:cs="Arial" w:eastAsia="Arial" w:hAnsi="Arial"/>
          <w:sz w:val="13"/>
          <w:szCs w:val="13"/>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2" w:lineRule="exact"/>
        <w:rPr>
          <w:sz w:val="20"/>
          <w:szCs w:val="20"/>
          <w:color w:val="auto"/>
        </w:rPr>
      </w:pPr>
    </w:p>
    <w:p>
      <w:pPr>
        <w:ind w:right="80" w:firstLine="342"/>
        <w:spacing w:after="0" w:line="253" w:lineRule="auto"/>
        <w:rPr>
          <w:sz w:val="20"/>
          <w:szCs w:val="20"/>
          <w:color w:val="auto"/>
        </w:rPr>
      </w:pPr>
      <w:r>
        <w:rPr>
          <w:rFonts w:ascii="Arial" w:cs="Arial" w:eastAsia="Arial" w:hAnsi="Arial"/>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are an externally managed, closed-end, non-diversified management investment company. TSL Advisers, LLC, or the Adviser, acts as our investment adviser and administrator. We and the</w:t>
      </w:r>
    </w:p>
    <w:p>
      <w:pPr>
        <w:spacing w:after="0" w:line="11" w:lineRule="exact"/>
        <w:rPr>
          <w:sz w:val="20"/>
          <w:szCs w:val="20"/>
          <w:color w:val="auto"/>
        </w:rPr>
      </w:pPr>
    </w:p>
    <w:p>
      <w:pPr>
        <w:ind w:right="280"/>
        <w:spacing w:after="0" w:line="237" w:lineRule="auto"/>
        <w:rPr>
          <w:sz w:val="20"/>
          <w:szCs w:val="20"/>
          <w:color w:val="auto"/>
        </w:rPr>
      </w:pPr>
      <w:r>
        <w:rPr>
          <w:rFonts w:ascii="Arial" w:cs="Arial" w:eastAsia="Arial" w:hAnsi="Arial"/>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spacing w:after="0" w:line="48" w:lineRule="exact"/>
        <w:rPr>
          <w:sz w:val="20"/>
          <w:szCs w:val="20"/>
          <w:color w:val="auto"/>
        </w:rPr>
      </w:pPr>
    </w:p>
    <w:p>
      <w:pPr>
        <w:ind w:right="60" w:firstLine="342"/>
        <w:spacing w:after="0" w:line="256"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4" w:lineRule="exact"/>
        <w:rPr>
          <w:sz w:val="20"/>
          <w:szCs w:val="20"/>
          <w:color w:val="auto"/>
        </w:rPr>
      </w:pPr>
    </w:p>
    <w:p>
      <w:pPr>
        <w:ind w:right="200" w:firstLine="342"/>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ectPr>
          <w:pgSz w:w="11900" w:h="16838" w:orient="portrait"/>
          <w:cols w:equalWidth="0" w:num="1">
            <w:col w:w="11420"/>
          </w:cols>
          <w:pgMar w:left="240" w:top="122"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tabs>
          <w:tab w:leader="none" w:pos="6660" w:val="left"/>
          <w:tab w:leader="none" w:pos="7020" w:val="left"/>
        </w:tabs>
        <w:rPr>
          <w:sz w:val="20"/>
          <w:szCs w:val="20"/>
          <w:color w:val="auto"/>
        </w:rPr>
      </w:pPr>
      <w:r>
        <w:rPr>
          <w:rFonts w:ascii="Arial" w:cs="Arial" w:eastAsia="Arial" w:hAnsi="Arial"/>
          <w:sz w:val="14"/>
          <w:szCs w:val="14"/>
          <w:color w:val="auto"/>
        </w:rPr>
        <w:t>[Our common stock is traded on the New York Stock Exchange, or NYSE, under the symbol “TSLX.” On</w:t>
      </w:r>
      <w:r>
        <w:rPr>
          <w:sz w:val="20"/>
          <w:szCs w:val="20"/>
          <w:color w:val="auto"/>
        </w:rPr>
        <w:tab/>
      </w:r>
      <w:r>
        <w:rPr>
          <w:rFonts w:ascii="Arial" w:cs="Arial" w:eastAsia="Arial" w:hAnsi="Arial"/>
          <w:sz w:val="14"/>
          <w:szCs w:val="14"/>
          <w:color w:val="auto"/>
        </w:rPr>
        <w:t>, 20</w:t>
      </w:r>
      <w:r>
        <w:rPr>
          <w:sz w:val="20"/>
          <w:szCs w:val="20"/>
          <w:color w:val="auto"/>
        </w:rPr>
        <w:tab/>
      </w:r>
      <w:r>
        <w:rPr>
          <w:rFonts w:ascii="Arial" w:cs="Arial" w:eastAsia="Arial" w:hAnsi="Arial"/>
          <w:sz w:val="12"/>
          <w:szCs w:val="12"/>
          <w:color w:val="auto"/>
        </w:rPr>
        <w:t>, the last reported sales price of our common stock on the NYSE was</w:t>
      </w:r>
    </w:p>
    <w:p>
      <w:pPr>
        <w:ind w:left="40"/>
        <w:spacing w:after="0"/>
        <w:tabs>
          <w:tab w:leader="none" w:pos="10440" w:val="left"/>
        </w:tabs>
        <w:rPr>
          <w:sz w:val="20"/>
          <w:szCs w:val="20"/>
          <w:color w:val="auto"/>
        </w:rPr>
      </w:pPr>
      <w:r>
        <w:rPr>
          <w:rFonts w:ascii="Arial" w:cs="Arial" w:eastAsia="Arial" w:hAnsi="Arial"/>
          <w:sz w:val="13"/>
          <w:szCs w:val="13"/>
          <w:color w:val="auto"/>
        </w:rPr>
        <w:t>per share. The net asset value per share of our common stock at , 20 (the last date prior to the date of this prospectus supplement on which we determined net asset value) was $</w:t>
      </w:r>
      <w:r>
        <w:rPr>
          <w:sz w:val="20"/>
          <w:szCs w:val="20"/>
          <w:color w:val="auto"/>
        </w:rPr>
        <w:tab/>
      </w:r>
      <w:r>
        <w:rPr>
          <w:rFonts w:ascii="Arial" w:cs="Arial" w:eastAsia="Arial" w:hAnsi="Arial"/>
          <w:sz w:val="14"/>
          <w:szCs w:val="14"/>
          <w:color w:val="auto"/>
        </w:rPr>
        <w:t>.]</w:t>
      </w:r>
    </w:p>
    <w:p>
      <w:pPr>
        <w:spacing w:after="0" w:line="57" w:lineRule="exact"/>
        <w:rPr>
          <w:sz w:val="20"/>
          <w:szCs w:val="20"/>
          <w:color w:val="auto"/>
        </w:rPr>
      </w:pPr>
    </w:p>
    <w:p>
      <w:pPr>
        <w:sectPr>
          <w:pgSz w:w="11900" w:h="16838" w:orient="portrait"/>
          <w:cols w:equalWidth="0" w:num="2">
            <w:col w:w="80" w:space="280"/>
            <w:col w:w="11060"/>
          </w:cols>
          <w:pgMar w:left="240" w:top="122" w:right="239" w:bottom="1440" w:gutter="0" w:footer="0" w:header="0"/>
          <w:type w:val="continuous"/>
        </w:sectPr>
      </w:pPr>
    </w:p>
    <w:p>
      <w:pPr>
        <w:ind w:right="160" w:firstLine="456"/>
        <w:spacing w:after="0" w:line="282" w:lineRule="auto"/>
        <w:rPr>
          <w:sz w:val="20"/>
          <w:szCs w:val="20"/>
          <w:color w:val="auto"/>
        </w:rPr>
      </w:pPr>
      <w:r>
        <w:rPr>
          <w:rFonts w:ascii="Arial" w:cs="Arial" w:eastAsia="Arial" w:hAnsi="Arial"/>
          <w:sz w:val="18"/>
          <w:szCs w:val="18"/>
          <w:b w:val="1"/>
          <w:bCs w:val="1"/>
          <w:color w:val="auto"/>
        </w:rPr>
        <w:t>Investing in our warrants involves risks that are described in the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section beginning on page S-8 of this prospectus supplement and page [ ] of the accompanying prospectus, including the risk of leverage.</w:t>
      </w:r>
    </w:p>
    <w:p>
      <w:pPr>
        <w:spacing w:after="0" w:line="13" w:lineRule="exact"/>
        <w:rPr>
          <w:sz w:val="20"/>
          <w:szCs w:val="20"/>
          <w:color w:val="auto"/>
        </w:rPr>
      </w:pPr>
    </w:p>
    <w:p>
      <w:pPr>
        <w:ind w:right="20" w:firstLine="342"/>
        <w:spacing w:after="0" w:line="243" w:lineRule="auto"/>
        <w:rPr>
          <w:sz w:val="20"/>
          <w:szCs w:val="20"/>
          <w:color w:val="auto"/>
        </w:rPr>
      </w:pPr>
      <w:r>
        <w:rPr>
          <w:rFonts w:ascii="Arial" w:cs="Arial" w:eastAsia="Arial" w:hAnsi="Arial"/>
          <w:sz w:val="13"/>
          <w:szCs w:val="13"/>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4"/>
          <w:szCs w:val="14"/>
          <w:color w:val="auto"/>
        </w:rPr>
        <w:t>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Per Warrant</w:t>
            </w:r>
          </w:p>
        </w:tc>
        <w:tc>
          <w:tcPr>
            <w:tcW w:w="50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42"/>
        </w:trPr>
        <w:tc>
          <w:tcPr>
            <w:tcW w:w="4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22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3120" w:type="dxa"/>
            <w:vAlign w:val="bottom"/>
            <w:gridSpan w:val="2"/>
          </w:tcPr>
          <w:p>
            <w:pPr>
              <w:jc w:val="right"/>
              <w:ind w:right="738"/>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r>
      <w:tr>
        <w:trPr>
          <w:trHeight w:val="149"/>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r>
              <w:rPr>
                <w:rFonts w:ascii="Arial" w:cs="Arial" w:eastAsia="Arial" w:hAnsi="Arial"/>
                <w:sz w:val="12"/>
                <w:szCs w:val="12"/>
                <w:color w:val="auto"/>
              </w:rPr>
              <w:t>(1)</w:t>
            </w:r>
          </w:p>
        </w:tc>
        <w:tc>
          <w:tcPr>
            <w:tcW w:w="3120" w:type="dxa"/>
            <w:vAlign w:val="bottom"/>
            <w:gridSpan w:val="2"/>
            <w:shd w:val="clear" w:color="auto" w:fill="CCEEFF"/>
          </w:tcPr>
          <w:p>
            <w:pPr>
              <w:jc w:val="right"/>
              <w:ind w:right="738"/>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tab/>
        <w:t>Before deducting expenses payable by us related to this offering, estimated at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sectPr>
          <w:pgSz w:w="11900" w:h="16838" w:orient="portrait"/>
          <w:cols w:equalWidth="0" w:num="2">
            <w:col w:w="4920" w:space="280"/>
            <w:col w:w="6220"/>
          </w:cols>
          <w:pgMar w:left="240" w:top="122" w:right="239" w:bottom="1440" w:gutter="0" w:footer="0" w:header="0"/>
          <w:type w:val="continuous"/>
        </w:sectPr>
      </w:pPr>
    </w:p>
    <w:p>
      <w:pPr>
        <w:jc w:val="both"/>
        <w:ind w:right="80"/>
        <w:spacing w:after="0" w:line="238" w:lineRule="auto"/>
        <w:rPr>
          <w:sz w:val="20"/>
          <w:szCs w:val="20"/>
          <w:color w:val="auto"/>
        </w:rPr>
      </w:pPr>
      <w:r>
        <w:rPr>
          <w:rFonts w:ascii="Arial" w:cs="Arial" w:eastAsia="Arial" w:hAnsi="Arial"/>
          <w:sz w:val="14"/>
          <w:szCs w:val="14"/>
          <w:color w:val="auto"/>
        </w:rPr>
        <w:t>[The underwriters may also purchase up to an additional warrants from us at the public offering price, less the underwriting discount, within days of the date of this prospectus supplement to cover over-allotments, if any. If the underwriters exercise this option in full, the total public offering price will be $ , the total underwriting discount (sales load) paid by us will be $ , and total proceeds, before expenses, will be $ .]</w:t>
      </w:r>
    </w:p>
    <w:p>
      <w:pPr>
        <w:sectPr>
          <w:pgSz w:w="11900" w:h="16838" w:orient="portrait"/>
          <w:cols w:equalWidth="0" w:num="1">
            <w:col w:w="11420"/>
          </w:cols>
          <w:pgMar w:left="240" w:top="122" w:right="239" w:bottom="1440" w:gutter="0" w:footer="0" w:header="0"/>
          <w:type w:val="continuous"/>
        </w:sectPr>
      </w:pPr>
    </w:p>
    <w:p>
      <w:pPr>
        <w:spacing w:after="0" w:line="30"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The Securities and Exchange Commission, or SEC has not approved or disapproved of these securities or determined if this prospectus supplement or the accompanying prospectus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is truthful or complete. Any representation to the contrary is a criminal offense.</w:t>
            </w:r>
          </w:p>
        </w:tc>
        <w:tc>
          <w:tcPr>
            <w:tcW w:w="520" w:type="dxa"/>
            <w:vAlign w:val="bottom"/>
          </w:tcPr>
          <w:p>
            <w:pPr>
              <w:spacing w:after="0"/>
              <w:rPr>
                <w:sz w:val="16"/>
                <w:szCs w:val="16"/>
                <w:color w:val="auto"/>
              </w:rPr>
            </w:pPr>
          </w:p>
        </w:tc>
      </w:tr>
      <w:tr>
        <w:trPr>
          <w:trHeight w:val="214"/>
        </w:trPr>
        <w:tc>
          <w:tcPr>
            <w:tcW w:w="3460" w:type="dxa"/>
            <w:vAlign w:val="bottom"/>
          </w:tcPr>
          <w:p>
            <w:pPr>
              <w:ind w:left="360"/>
              <w:spacing w:after="0"/>
              <w:rPr>
                <w:sz w:val="20"/>
                <w:szCs w:val="20"/>
                <w:color w:val="auto"/>
              </w:rPr>
            </w:pPr>
            <w:r>
              <w:rPr>
                <w:rFonts w:ascii="Arial" w:cs="Arial" w:eastAsia="Arial" w:hAnsi="Arial"/>
                <w:sz w:val="14"/>
                <w:szCs w:val="14"/>
                <w:color w:val="auto"/>
              </w:rPr>
              <w:t>The shares will be ready for delivery on or about</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 20  .</w:t>
            </w:r>
          </w:p>
        </w:tc>
        <w:tc>
          <w:tcPr>
            <w:tcW w:w="23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74"/>
        </w:trPr>
        <w:tc>
          <w:tcPr>
            <w:tcW w:w="3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225"/>
        </w:trPr>
        <w:tc>
          <w:tcPr>
            <w:tcW w:w="3460" w:type="dxa"/>
            <w:vAlign w:val="bottom"/>
          </w:tcPr>
          <w:p>
            <w:pPr>
              <w:spacing w:after="0"/>
              <w:rPr>
                <w:sz w:val="19"/>
                <w:szCs w:val="19"/>
                <w:color w:val="auto"/>
              </w:rPr>
            </w:pPr>
          </w:p>
        </w:tc>
        <w:tc>
          <w:tcPr>
            <w:tcW w:w="3440" w:type="dxa"/>
            <w:vAlign w:val="bottom"/>
            <w:gridSpan w:val="2"/>
          </w:tcPr>
          <w:p>
            <w:pPr>
              <w:ind w:left="540"/>
              <w:spacing w:after="0"/>
              <w:rPr>
                <w:sz w:val="20"/>
                <w:szCs w:val="20"/>
                <w:color w:val="auto"/>
              </w:rPr>
            </w:pPr>
            <w:r>
              <w:rPr>
                <w:rFonts w:ascii="Arial" w:cs="Arial" w:eastAsia="Arial" w:hAnsi="Arial"/>
                <w:sz w:val="14"/>
                <w:szCs w:val="14"/>
                <w:b w:val="1"/>
                <w:bCs w:val="1"/>
                <w:color w:val="auto"/>
              </w:rPr>
              <w:t>The date of this prospectus supplement is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180" w:right="60" w:hanging="172"/>
        <w:spacing w:after="0" w:line="249" w:lineRule="auto"/>
        <w:tabs>
          <w:tab w:leader="none" w:pos="180" w:val="left"/>
        </w:tabs>
        <w:numPr>
          <w:ilvl w:val="0"/>
          <w:numId w:val="441"/>
        </w:numPr>
        <w:rPr>
          <w:rFonts w:ascii="Arial" w:cs="Arial" w:eastAsia="Arial" w:hAnsi="Arial"/>
          <w:sz w:val="13"/>
          <w:szCs w:val="13"/>
          <w:color w:val="auto"/>
        </w:rPr>
      </w:pPr>
      <w:r>
        <w:rPr>
          <w:rFonts w:ascii="Arial" w:cs="Arial" w:eastAsia="Arial" w:hAnsi="Arial"/>
          <w:sz w:val="13"/>
          <w:szCs w:val="13"/>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22" w:right="239" w:bottom="1440" w:gutter="0" w:footer="0" w:header="0"/>
          <w:type w:val="continuous"/>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12"/>
            <w:vMerge w:val="restart"/>
          </w:tcPr>
          <w:p>
            <w:pPr>
              <w:spacing w:after="0"/>
              <w:rPr>
                <w:rFonts w:ascii="Arial" w:cs="Arial" w:eastAsia="Arial" w:hAnsi="Arial"/>
                <w:sz w:val="18"/>
                <w:szCs w:val="18"/>
                <w:color w:val="0000EE"/>
              </w:rPr>
            </w:pPr>
            <w:hyperlink w:anchor="page542">
              <w:r>
                <w:rPr>
                  <w:rFonts w:ascii="Arial" w:cs="Arial" w:eastAsia="Arial" w:hAnsi="Arial"/>
                  <w:sz w:val="18"/>
                  <w:szCs w:val="18"/>
                  <w:color w:val="0000EE"/>
                </w:rPr>
                <w:t>SPECIAL NOTE REGARDING FORWARD-LOOKING STATEMENTS</w:t>
              </w:r>
            </w:hyperlink>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40" w:type="dxa"/>
            <w:vAlign w:val="bottom"/>
            <w:gridSpan w:val="12"/>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10"/>
          </w:tcPr>
          <w:p>
            <w:pPr>
              <w:spacing w:after="0"/>
              <w:rPr>
                <w:rFonts w:ascii="Arial" w:cs="Arial" w:eastAsia="Arial" w:hAnsi="Arial"/>
                <w:sz w:val="18"/>
                <w:szCs w:val="18"/>
                <w:color w:val="0000EE"/>
              </w:rPr>
            </w:pPr>
            <w:hyperlink w:anchor="page543">
              <w:r>
                <w:rPr>
                  <w:rFonts w:ascii="Arial" w:cs="Arial" w:eastAsia="Arial" w:hAnsi="Arial"/>
                  <w:sz w:val="18"/>
                  <w:szCs w:val="18"/>
                  <w:color w:val="0000EE"/>
                </w:rPr>
                <w:t>THE COMPANY</w:t>
              </w:r>
            </w:hyperlink>
          </w:p>
        </w:tc>
        <w:tc>
          <w:tcPr>
            <w:tcW w:w="5600" w:type="dxa"/>
            <w:vAlign w:val="bottom"/>
            <w:gridSpan w:val="2"/>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546">
              <w:r>
                <w:rPr>
                  <w:rFonts w:ascii="Arial" w:cs="Arial" w:eastAsia="Arial" w:hAnsi="Arial"/>
                  <w:sz w:val="18"/>
                  <w:szCs w:val="18"/>
                  <w:color w:val="0000EE"/>
                  <w:w w:val="94"/>
                </w:rPr>
                <w:t>SPECIFIC TERMS OF OUR WARRANTS AND THE OFFERING</w:t>
              </w:r>
            </w:hyperlink>
          </w:p>
        </w:tc>
        <w:tc>
          <w:tcPr>
            <w:tcW w:w="60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RISK FACTORS</w:t>
            </w:r>
          </w:p>
        </w:tc>
        <w:tc>
          <w:tcPr>
            <w:tcW w:w="966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FEES AND EXPENSES</w:t>
            </w:r>
          </w:p>
        </w:tc>
        <w:tc>
          <w:tcPr>
            <w:tcW w:w="914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0940" w:type="dxa"/>
            <w:vAlign w:val="bottom"/>
            <w:gridSpan w:val="12"/>
          </w:tcPr>
          <w:p>
            <w:pPr>
              <w:spacing w:after="0" w:line="196" w:lineRule="exact"/>
              <w:rPr>
                <w:rFonts w:ascii="Arial" w:cs="Arial" w:eastAsia="Arial" w:hAnsi="Arial"/>
                <w:sz w:val="18"/>
                <w:szCs w:val="18"/>
                <w:color w:val="0000EE"/>
              </w:rPr>
            </w:pPr>
            <w:hyperlink w:anchor="page551">
              <w:r>
                <w:rPr>
                  <w:rFonts w:ascii="Arial" w:cs="Arial" w:eastAsia="Arial" w:hAnsi="Arial"/>
                  <w:sz w:val="18"/>
                  <w:szCs w:val="18"/>
                  <w:color w:val="0000EE"/>
                </w:rPr>
                <w:t>SELECTED FINANCIAL DATA AND OTHER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188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2"/>
          </w:tcPr>
          <w:p>
            <w:pPr>
              <w:spacing w:after="0" w:line="190" w:lineRule="exact"/>
              <w:rPr>
                <w:rFonts w:ascii="Arial" w:cs="Arial" w:eastAsia="Arial" w:hAnsi="Arial"/>
                <w:sz w:val="18"/>
                <w:szCs w:val="18"/>
                <w:color w:val="0000EE"/>
              </w:rPr>
            </w:pPr>
            <w:hyperlink w:anchor="page552">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2"/>
          </w:tcPr>
          <w:p>
            <w:pPr>
              <w:spacing w:after="0" w:line="190" w:lineRule="exact"/>
              <w:rPr>
                <w:rFonts w:ascii="Arial" w:cs="Arial" w:eastAsia="Arial" w:hAnsi="Arial"/>
                <w:sz w:val="18"/>
                <w:szCs w:val="18"/>
                <w:color w:val="0000EE"/>
              </w:rPr>
            </w:pPr>
            <w:hyperlink w:anchor="page553">
              <w:r>
                <w:rPr>
                  <w:rFonts w:ascii="Arial" w:cs="Arial" w:eastAsia="Arial" w:hAnsi="Arial"/>
                  <w:sz w:val="18"/>
                  <w:szCs w:val="18"/>
                  <w:color w:val="0000EE"/>
                </w:rPr>
                <w:t>DESCRIPTION OF OUR WARRANTS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2"/>
          </w:tcPr>
          <w:p>
            <w:pPr>
              <w:spacing w:after="0" w:line="190" w:lineRule="exact"/>
              <w:rPr>
                <w:rFonts w:ascii="Arial" w:cs="Arial" w:eastAsia="Arial" w:hAnsi="Arial"/>
                <w:sz w:val="18"/>
                <w:szCs w:val="18"/>
                <w:color w:val="0000EE"/>
              </w:rPr>
            </w:pPr>
            <w:hyperlink w:anchor="page554">
              <w:r>
                <w:rPr>
                  <w:rFonts w:ascii="Arial" w:cs="Arial" w:eastAsia="Arial" w:hAnsi="Arial"/>
                  <w:sz w:val="18"/>
                  <w:szCs w:val="18"/>
                  <w:color w:val="0000EE"/>
                </w:rPr>
                <w:t>PRICE RANGE OF COMMON STOCK AND DISTRIBUTIONS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188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2"/>
          </w:tcPr>
          <w:p>
            <w:pPr>
              <w:spacing w:after="0" w:line="190" w:lineRule="exact"/>
              <w:rPr>
                <w:rFonts w:ascii="Arial" w:cs="Arial" w:eastAsia="Arial" w:hAnsi="Arial"/>
                <w:sz w:val="18"/>
                <w:szCs w:val="18"/>
                <w:color w:val="0000EE"/>
              </w:rPr>
            </w:pPr>
            <w:hyperlink w:anchor="page557">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18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580" w:type="dxa"/>
            <w:vAlign w:val="bottom"/>
            <w:tcBorders>
              <w:top w:val="single" w:sz="8" w:color="0000EE"/>
            </w:tcBorders>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2"/>
          </w:tcPr>
          <w:p>
            <w:pPr>
              <w:spacing w:after="0" w:line="190" w:lineRule="exact"/>
              <w:rPr>
                <w:rFonts w:ascii="Arial" w:cs="Arial" w:eastAsia="Arial" w:hAnsi="Arial"/>
                <w:sz w:val="18"/>
                <w:szCs w:val="18"/>
                <w:color w:val="0000EE"/>
              </w:rPr>
            </w:pPr>
            <w:hyperlink w:anchor="page558">
              <w:r>
                <w:rPr>
                  <w:rFonts w:ascii="Arial" w:cs="Arial" w:eastAsia="Arial" w:hAnsi="Arial"/>
                  <w:sz w:val="18"/>
                  <w:szCs w:val="18"/>
                  <w:color w:val="0000EE"/>
                </w:rPr>
                <w:t>CAPITALIZATION</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2"/>
          </w:tcPr>
          <w:p>
            <w:pPr>
              <w:spacing w:after="0" w:line="190" w:lineRule="exact"/>
              <w:rPr>
                <w:rFonts w:ascii="Arial" w:cs="Arial" w:eastAsia="Arial" w:hAnsi="Arial"/>
                <w:sz w:val="18"/>
                <w:szCs w:val="18"/>
                <w:color w:val="0000EE"/>
              </w:rPr>
            </w:pPr>
            <w:hyperlink w:anchor="page559">
              <w:r>
                <w:rPr>
                  <w:rFonts w:ascii="Arial" w:cs="Arial" w:eastAsia="Arial" w:hAnsi="Arial"/>
                  <w:sz w:val="18"/>
                  <w:szCs w:val="18"/>
                  <w:color w:val="0000EE"/>
                </w:rPr>
                <w:t>UNDERWRITING</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2"/>
          </w:tcPr>
          <w:p>
            <w:pPr>
              <w:spacing w:after="0" w:line="190" w:lineRule="exact"/>
              <w:rPr>
                <w:rFonts w:ascii="Arial" w:cs="Arial" w:eastAsia="Arial" w:hAnsi="Arial"/>
                <w:sz w:val="18"/>
                <w:szCs w:val="18"/>
                <w:color w:val="0000EE"/>
              </w:rPr>
            </w:pPr>
            <w:hyperlink w:anchor="page562">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940" w:type="dxa"/>
            <w:vAlign w:val="bottom"/>
            <w:gridSpan w:val="12"/>
          </w:tcPr>
          <w:p>
            <w:pPr>
              <w:spacing w:after="0" w:line="190" w:lineRule="exact"/>
              <w:rPr>
                <w:rFonts w:ascii="Arial" w:cs="Arial" w:eastAsia="Arial" w:hAnsi="Arial"/>
                <w:sz w:val="18"/>
                <w:szCs w:val="18"/>
                <w:color w:val="0000EE"/>
              </w:rPr>
            </w:pPr>
            <w:hyperlink w:anchor="page563">
              <w:r>
                <w:rPr>
                  <w:rFonts w:ascii="Arial" w:cs="Arial" w:eastAsia="Arial" w:hAnsi="Arial"/>
                  <w:sz w:val="18"/>
                  <w:szCs w:val="18"/>
                  <w:color w:val="0000EE"/>
                </w:rPr>
                <w:t>FINANCIAL STATEMENTS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[Insert table of contents from base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40" w:hanging="325"/>
        <w:spacing w:after="0" w:line="277" w:lineRule="auto"/>
        <w:tabs>
          <w:tab w:leader="none" w:pos="9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 supplement and the accompanying prospectus.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60" w:right="23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900" w:right="140" w:hanging="325"/>
        <w:spacing w:after="0" w:line="277" w:lineRule="auto"/>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w:t>
      </w:r>
    </w:p>
    <w:p>
      <w:pPr>
        <w:spacing w:after="0" w:line="46" w:lineRule="exact"/>
        <w:rPr>
          <w:sz w:val="20"/>
          <w:szCs w:val="20"/>
          <w:color w:val="auto"/>
        </w:rPr>
      </w:pPr>
    </w:p>
    <w:p>
      <w:pPr>
        <w:ind w:firstLine="720"/>
        <w:spacing w:after="0" w:line="252" w:lineRule="auto"/>
        <w:rPr>
          <w:sz w:val="20"/>
          <w:szCs w:val="20"/>
          <w:color w:val="auto"/>
        </w:rPr>
      </w:pPr>
      <w:r>
        <w:rPr>
          <w:rFonts w:ascii="Arial" w:cs="Arial" w:eastAsia="Arial" w:hAnsi="Arial"/>
          <w:sz w:val="18"/>
          <w:szCs w:val="18"/>
          <w:color w:val="auto"/>
        </w:rPr>
        <w:t>,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4"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543" w:name="page544"/>
    <w:bookmarkEnd w:id="5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19"/>
        </w:trPr>
        <w:tc>
          <w:tcPr>
            <w:tcW w:w="11080" w:type="dxa"/>
            <w:vAlign w:val="bottom"/>
            <w:gridSpan w:val="13"/>
          </w:tcPr>
          <w:p>
            <w:pPr>
              <w:spacing w:after="0"/>
              <w:rPr>
                <w:sz w:val="20"/>
                <w:szCs w:val="20"/>
                <w:color w:val="auto"/>
              </w:rPr>
            </w:pPr>
            <w:r>
              <w:rPr>
                <w:rFonts w:ascii="Arial" w:cs="Arial" w:eastAsia="Arial" w:hAnsi="Arial"/>
                <w:sz w:val="18"/>
                <w:szCs w:val="18"/>
                <w:color w:val="auto"/>
                <w:w w:val="96"/>
              </w:rPr>
              <w:t>include secured loans, and, to a lesser extent, secured corporate bonds, with a secondary priority behind first-lien debt. Based on fair value as of</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w w:val="97"/>
              </w:rPr>
              <w:t>20  , our portfolio consisted of</w:t>
            </w:r>
          </w:p>
        </w:tc>
        <w:tc>
          <w:tcPr>
            <w:tcW w:w="140" w:type="dxa"/>
            <w:vAlign w:val="bottom"/>
          </w:tcPr>
          <w:p>
            <w:pPr>
              <w:spacing w:after="0"/>
              <w:rPr>
                <w:sz w:val="18"/>
                <w:szCs w:val="18"/>
                <w:color w:val="auto"/>
              </w:rPr>
            </w:pPr>
          </w:p>
        </w:tc>
        <w:tc>
          <w:tcPr>
            <w:tcW w:w="2340" w:type="dxa"/>
            <w:vAlign w:val="bottom"/>
            <w:gridSpan w:val="3"/>
          </w:tcPr>
          <w:p>
            <w:pPr>
              <w:ind w:left="40"/>
              <w:spacing w:after="0"/>
              <w:rPr>
                <w:sz w:val="20"/>
                <w:szCs w:val="20"/>
                <w:color w:val="auto"/>
              </w:rPr>
            </w:pPr>
            <w:r>
              <w:rPr>
                <w:rFonts w:ascii="Arial" w:cs="Arial" w:eastAsia="Arial" w:hAnsi="Arial"/>
                <w:sz w:val="18"/>
                <w:szCs w:val="18"/>
                <w:color w:val="auto"/>
                <w:w w:val="99"/>
              </w:rPr>
              <w:t>% first-lien debt investments,</w:t>
            </w:r>
          </w:p>
        </w:tc>
        <w:tc>
          <w:tcPr>
            <w:tcW w:w="2500" w:type="dxa"/>
            <w:vAlign w:val="bottom"/>
            <w:gridSpan w:val="2"/>
          </w:tcPr>
          <w:p>
            <w:pPr>
              <w:ind w:left="60"/>
              <w:spacing w:after="0"/>
              <w:rPr>
                <w:sz w:val="20"/>
                <w:szCs w:val="20"/>
                <w:color w:val="auto"/>
              </w:rPr>
            </w:pPr>
            <w:r>
              <w:rPr>
                <w:rFonts w:ascii="Arial" w:cs="Arial" w:eastAsia="Arial" w:hAnsi="Arial"/>
                <w:sz w:val="18"/>
                <w:szCs w:val="18"/>
                <w:color w:val="auto"/>
                <w:w w:val="93"/>
              </w:rPr>
              <w:t>% second-lien debt investments,</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2"/>
              </w:rPr>
              <w:t>% mezzanine debt investments and</w:t>
            </w: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2"/>
              </w:rPr>
              <w:t>% equity</w:t>
            </w:r>
          </w:p>
        </w:tc>
        <w:tc>
          <w:tcPr>
            <w:tcW w:w="340" w:type="dxa"/>
            <w:vAlign w:val="bottom"/>
          </w:tcPr>
          <w:p>
            <w:pPr>
              <w:spacing w:after="0"/>
              <w:rPr>
                <w:sz w:val="18"/>
                <w:szCs w:val="18"/>
                <w:color w:val="auto"/>
              </w:rPr>
            </w:pPr>
          </w:p>
        </w:tc>
      </w:tr>
      <w:tr>
        <w:trPr>
          <w:trHeight w:val="216"/>
        </w:trPr>
        <w:tc>
          <w:tcPr>
            <w:tcW w:w="4800" w:type="dxa"/>
            <w:vAlign w:val="bottom"/>
            <w:gridSpan w:val="7"/>
          </w:tcPr>
          <w:p>
            <w:pPr>
              <w:spacing w:after="0"/>
              <w:rPr>
                <w:sz w:val="20"/>
                <w:szCs w:val="20"/>
                <w:color w:val="auto"/>
              </w:rPr>
            </w:pPr>
            <w:r>
              <w:rPr>
                <w:rFonts w:ascii="Arial" w:cs="Arial" w:eastAsia="Arial" w:hAnsi="Arial"/>
                <w:sz w:val="18"/>
                <w:szCs w:val="18"/>
                <w:color w:val="auto"/>
              </w:rPr>
              <w:t>investments. Approximately  % of our investments as of</w:t>
            </w:r>
          </w:p>
        </w:tc>
        <w:tc>
          <w:tcPr>
            <w:tcW w:w="6620" w:type="dxa"/>
            <w:vAlign w:val="bottom"/>
            <w:gridSpan w:val="7"/>
          </w:tcPr>
          <w:p>
            <w:pPr>
              <w:ind w:left="120"/>
              <w:spacing w:after="0"/>
              <w:rPr>
                <w:sz w:val="20"/>
                <w:szCs w:val="20"/>
                <w:color w:val="auto"/>
              </w:rPr>
            </w:pPr>
            <w:r>
              <w:rPr>
                <w:rFonts w:ascii="Arial" w:cs="Arial" w:eastAsia="Arial" w:hAnsi="Arial"/>
                <w:sz w:val="18"/>
                <w:szCs w:val="18"/>
                <w:color w:val="auto"/>
                <w:w w:val="91"/>
              </w:rPr>
              <w:t>, 20   are floating rate in nature, subject to interest rate floors, which we believe helps act</w:t>
            </w:r>
          </w:p>
        </w:tc>
      </w:tr>
      <w:tr>
        <w:trPr>
          <w:trHeight w:val="230"/>
        </w:trPr>
        <w:tc>
          <w:tcPr>
            <w:tcW w:w="3700" w:type="dxa"/>
            <w:vAlign w:val="bottom"/>
            <w:gridSpan w:val="5"/>
          </w:tcPr>
          <w:p>
            <w:pPr>
              <w:spacing w:after="0"/>
              <w:rPr>
                <w:sz w:val="20"/>
                <w:szCs w:val="20"/>
                <w:color w:val="auto"/>
              </w:rPr>
            </w:pPr>
            <w:r>
              <w:rPr>
                <w:rFonts w:ascii="Arial" w:cs="Arial" w:eastAsia="Arial" w:hAnsi="Arial"/>
                <w:sz w:val="18"/>
                <w:szCs w:val="18"/>
                <w:color w:val="auto"/>
              </w:rPr>
              <w:t>as a portfolio-wide hedge against inflation.</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1220" w:type="dxa"/>
            <w:vAlign w:val="bottom"/>
          </w:tcPr>
          <w:p>
            <w:pPr>
              <w:ind w:left="46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24"/>
                <w:szCs w:val="24"/>
                <w:color w:val="auto"/>
              </w:rPr>
            </w:pPr>
          </w:p>
        </w:tc>
        <w:tc>
          <w:tcPr>
            <w:tcW w:w="3440" w:type="dxa"/>
            <w:vAlign w:val="bottom"/>
            <w:gridSpan w:val="5"/>
          </w:tcPr>
          <w:p>
            <w:pPr>
              <w:ind w:left="260"/>
              <w:spacing w:after="0"/>
              <w:rPr>
                <w:sz w:val="20"/>
                <w:szCs w:val="20"/>
                <w:color w:val="auto"/>
              </w:rPr>
            </w:pPr>
            <w:r>
              <w:rPr>
                <w:rFonts w:ascii="Arial" w:cs="Arial" w:eastAsia="Arial" w:hAnsi="Arial"/>
                <w:sz w:val="18"/>
                <w:szCs w:val="18"/>
                <w:color w:val="auto"/>
                <w:w w:val="99"/>
              </w:rPr>
              <w:t>, 20   , our portfolio was invested across</w:t>
            </w:r>
          </w:p>
        </w:tc>
        <w:tc>
          <w:tcPr>
            <w:tcW w:w="6280" w:type="dxa"/>
            <w:vAlign w:val="bottom"/>
            <w:gridSpan w:val="6"/>
          </w:tcPr>
          <w:p>
            <w:pPr>
              <w:ind w:left="200"/>
              <w:spacing w:after="0"/>
              <w:rPr>
                <w:sz w:val="20"/>
                <w:szCs w:val="20"/>
                <w:color w:val="auto"/>
              </w:rPr>
            </w:pPr>
            <w:r>
              <w:rPr>
                <w:rFonts w:ascii="Arial" w:cs="Arial" w:eastAsia="Arial" w:hAnsi="Arial"/>
                <w:sz w:val="18"/>
                <w:szCs w:val="18"/>
                <w:color w:val="auto"/>
                <w:w w:val="92"/>
              </w:rPr>
              <w:t>different industries. The largest industries in our portfolio, based on fair value as of</w:t>
            </w:r>
          </w:p>
        </w:tc>
        <w:tc>
          <w:tcPr>
            <w:tcW w:w="340" w:type="dxa"/>
            <w:vAlign w:val="bottom"/>
          </w:tcPr>
          <w:p>
            <w:pPr>
              <w:spacing w:after="0"/>
              <w:rPr>
                <w:sz w:val="24"/>
                <w:szCs w:val="24"/>
                <w:color w:val="auto"/>
              </w:rPr>
            </w:pPr>
          </w:p>
        </w:tc>
      </w:tr>
      <w:tr>
        <w:trPr>
          <w:trHeight w:val="216"/>
        </w:trPr>
        <w:tc>
          <w:tcPr>
            <w:tcW w:w="2320" w:type="dxa"/>
            <w:vAlign w:val="bottom"/>
            <w:gridSpan w:val="3"/>
          </w:tcPr>
          <w:p>
            <w:pPr>
              <w:ind w:left="720"/>
              <w:spacing w:after="0"/>
              <w:rPr>
                <w:sz w:val="20"/>
                <w:szCs w:val="20"/>
                <w:color w:val="auto"/>
              </w:rPr>
            </w:pPr>
            <w:r>
              <w:rPr>
                <w:rFonts w:ascii="Arial" w:cs="Arial" w:eastAsia="Arial" w:hAnsi="Arial"/>
                <w:sz w:val="18"/>
                <w:szCs w:val="18"/>
                <w:color w:val="auto"/>
              </w:rPr>
              <w:t>, 20  , were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740"/>
              <w:spacing w:after="0"/>
              <w:rPr>
                <w:sz w:val="20"/>
                <w:szCs w:val="20"/>
                <w:color w:val="auto"/>
              </w:rPr>
            </w:pPr>
            <w:r>
              <w:rPr>
                <w:rFonts w:ascii="Arial" w:cs="Arial" w:eastAsia="Arial" w:hAnsi="Arial"/>
                <w:sz w:val="18"/>
                <w:szCs w:val="18"/>
                <w:color w:val="auto"/>
              </w:rPr>
              <w:t>, and</w:t>
            </w:r>
          </w:p>
        </w:tc>
        <w:tc>
          <w:tcPr>
            <w:tcW w:w="320" w:type="dxa"/>
            <w:vAlign w:val="bottom"/>
          </w:tcPr>
          <w:p>
            <w:pPr>
              <w:spacing w:after="0"/>
              <w:rPr>
                <w:sz w:val="18"/>
                <w:szCs w:val="18"/>
                <w:color w:val="auto"/>
              </w:rPr>
            </w:pPr>
          </w:p>
        </w:tc>
        <w:tc>
          <w:tcPr>
            <w:tcW w:w="4200" w:type="dxa"/>
            <w:vAlign w:val="bottom"/>
            <w:gridSpan w:val="4"/>
          </w:tcPr>
          <w:p>
            <w:pPr>
              <w:ind w:left="280"/>
              <w:spacing w:after="0"/>
              <w:rPr>
                <w:sz w:val="20"/>
                <w:szCs w:val="20"/>
                <w:color w:val="auto"/>
              </w:rPr>
            </w:pPr>
            <w:r>
              <w:rPr>
                <w:rFonts w:ascii="Arial" w:cs="Arial" w:eastAsia="Arial" w:hAnsi="Arial"/>
                <w:sz w:val="18"/>
                <w:szCs w:val="18"/>
                <w:color w:val="auto"/>
                <w:w w:val="92"/>
              </w:rPr>
              <w:t>, which represented, as a percentage of our portfolio,</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w w:val="93"/>
              </w:rPr>
              <w:t>%, and   %, respectively. We expect</w:t>
            </w:r>
          </w:p>
        </w:tc>
      </w:tr>
      <w:tr>
        <w:trPr>
          <w:trHeight w:val="230"/>
        </w:trPr>
        <w:tc>
          <w:tcPr>
            <w:tcW w:w="3700" w:type="dxa"/>
            <w:vAlign w:val="bottom"/>
            <w:gridSpan w:val="5"/>
          </w:tcPr>
          <w:p>
            <w:pPr>
              <w:spacing w:after="0"/>
              <w:rPr>
                <w:sz w:val="20"/>
                <w:szCs w:val="20"/>
                <w:color w:val="auto"/>
              </w:rPr>
            </w:pPr>
            <w:r>
              <w:rPr>
                <w:rFonts w:ascii="Arial" w:cs="Arial" w:eastAsia="Arial" w:hAnsi="Arial"/>
                <w:sz w:val="18"/>
                <w:szCs w:val="18"/>
                <w:color w:val="auto"/>
                <w:w w:val="92"/>
              </w:rPr>
              <w:t>that no single investment will represent more than</w:t>
            </w:r>
          </w:p>
        </w:tc>
        <w:tc>
          <w:tcPr>
            <w:tcW w:w="4520" w:type="dxa"/>
            <w:vAlign w:val="bottom"/>
            <w:gridSpan w:val="5"/>
          </w:tcPr>
          <w:p>
            <w:pPr>
              <w:ind w:left="140"/>
              <w:spacing w:after="0"/>
              <w:rPr>
                <w:sz w:val="20"/>
                <w:szCs w:val="20"/>
                <w:color w:val="auto"/>
              </w:rPr>
            </w:pPr>
            <w:r>
              <w:rPr>
                <w:rFonts w:ascii="Arial" w:cs="Arial" w:eastAsia="Arial" w:hAnsi="Arial"/>
                <w:sz w:val="18"/>
                <w:szCs w:val="18"/>
                <w:color w:val="auto"/>
              </w:rPr>
              <w:t>% of our total investment portfolio, based on fair value.</w:t>
            </w: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1220" w:type="dxa"/>
            <w:vAlign w:val="bottom"/>
          </w:tcPr>
          <w:p>
            <w:pPr>
              <w:ind w:left="46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24"/>
                <w:szCs w:val="24"/>
                <w:color w:val="auto"/>
              </w:rPr>
            </w:pPr>
          </w:p>
        </w:tc>
        <w:tc>
          <w:tcPr>
            <w:tcW w:w="2660" w:type="dxa"/>
            <w:vAlign w:val="bottom"/>
            <w:gridSpan w:val="4"/>
          </w:tcPr>
          <w:p>
            <w:pPr>
              <w:ind w:left="220"/>
              <w:spacing w:after="0"/>
              <w:rPr>
                <w:sz w:val="20"/>
                <w:szCs w:val="20"/>
                <w:color w:val="auto"/>
              </w:rPr>
            </w:pPr>
            <w:r>
              <w:rPr>
                <w:rFonts w:ascii="Arial" w:cs="Arial" w:eastAsia="Arial" w:hAnsi="Arial"/>
                <w:sz w:val="18"/>
                <w:szCs w:val="18"/>
                <w:color w:val="auto"/>
              </w:rPr>
              <w:t>, 20   , we had investments in</w:t>
            </w:r>
          </w:p>
        </w:tc>
        <w:tc>
          <w:tcPr>
            <w:tcW w:w="4200" w:type="dxa"/>
            <w:vAlign w:val="bottom"/>
            <w:gridSpan w:val="4"/>
          </w:tcPr>
          <w:p>
            <w:pPr>
              <w:ind w:left="160"/>
              <w:spacing w:after="0"/>
              <w:rPr>
                <w:sz w:val="20"/>
                <w:szCs w:val="20"/>
                <w:color w:val="auto"/>
              </w:rPr>
            </w:pPr>
            <w:r>
              <w:rPr>
                <w:rFonts w:ascii="Arial" w:cs="Arial" w:eastAsia="Arial" w:hAnsi="Arial"/>
                <w:sz w:val="18"/>
                <w:szCs w:val="18"/>
                <w:color w:val="auto"/>
                <w:w w:val="96"/>
              </w:rPr>
              <w:t>portfolio companies with an aggregate fair value of $</w:t>
            </w:r>
          </w:p>
        </w:tc>
        <w:tc>
          <w:tcPr>
            <w:tcW w:w="2860" w:type="dxa"/>
            <w:vAlign w:val="bottom"/>
            <w:gridSpan w:val="3"/>
          </w:tcPr>
          <w:p>
            <w:pPr>
              <w:ind w:left="180"/>
              <w:spacing w:after="0"/>
              <w:rPr>
                <w:sz w:val="20"/>
                <w:szCs w:val="20"/>
                <w:color w:val="auto"/>
              </w:rPr>
            </w:pPr>
            <w:r>
              <w:rPr>
                <w:rFonts w:ascii="Arial" w:cs="Arial" w:eastAsia="Arial" w:hAnsi="Arial"/>
                <w:sz w:val="18"/>
                <w:szCs w:val="18"/>
                <w:color w:val="auto"/>
              </w:rPr>
              <w:t>million. For the months ended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gridSpan w:val="5"/>
          </w:tcPr>
          <w:p>
            <w:pPr>
              <w:spacing w:after="0"/>
              <w:rPr>
                <w:sz w:val="20"/>
                <w:szCs w:val="20"/>
                <w:color w:val="auto"/>
              </w:rPr>
            </w:pPr>
            <w:r>
              <w:rPr>
                <w:rFonts w:ascii="Arial" w:cs="Arial" w:eastAsia="Arial" w:hAnsi="Arial"/>
                <w:sz w:val="18"/>
                <w:szCs w:val="18"/>
                <w:color w:val="auto"/>
                <w:w w:val="94"/>
              </w:rPr>
              <w:t>20  , we made new investment commitments of $</w:t>
            </w:r>
          </w:p>
        </w:tc>
        <w:tc>
          <w:tcPr>
            <w:tcW w:w="32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million, $</w:t>
            </w:r>
          </w:p>
        </w:tc>
        <w:tc>
          <w:tcPr>
            <w:tcW w:w="1220" w:type="dxa"/>
            <w:vAlign w:val="bottom"/>
          </w:tcPr>
          <w:p>
            <w:pPr>
              <w:ind w:left="340"/>
              <w:spacing w:after="0"/>
              <w:rPr>
                <w:sz w:val="20"/>
                <w:szCs w:val="20"/>
                <w:color w:val="auto"/>
              </w:rPr>
            </w:pPr>
            <w:r>
              <w:rPr>
                <w:rFonts w:ascii="Arial" w:cs="Arial" w:eastAsia="Arial" w:hAnsi="Arial"/>
                <w:sz w:val="18"/>
                <w:szCs w:val="18"/>
                <w:color w:val="auto"/>
              </w:rPr>
              <w:t>million in</w:t>
            </w:r>
          </w:p>
        </w:tc>
        <w:tc>
          <w:tcPr>
            <w:tcW w:w="2680" w:type="dxa"/>
            <w:vAlign w:val="bottom"/>
            <w:gridSpan w:val="3"/>
          </w:tcPr>
          <w:p>
            <w:pPr>
              <w:jc w:val="right"/>
              <w:spacing w:after="0"/>
              <w:rPr>
                <w:sz w:val="20"/>
                <w:szCs w:val="20"/>
                <w:color w:val="auto"/>
              </w:rPr>
            </w:pPr>
            <w:r>
              <w:rPr>
                <w:rFonts w:ascii="Arial" w:cs="Arial" w:eastAsia="Arial" w:hAnsi="Arial"/>
                <w:sz w:val="18"/>
                <w:szCs w:val="18"/>
                <w:color w:val="auto"/>
              </w:rPr>
              <w:t>new portfolio companies and $</w:t>
            </w:r>
          </w:p>
        </w:tc>
        <w:tc>
          <w:tcPr>
            <w:tcW w:w="1340" w:type="dxa"/>
            <w:vAlign w:val="bottom"/>
          </w:tcPr>
          <w:p>
            <w:pPr>
              <w:ind w:left="380"/>
              <w:spacing w:after="0"/>
              <w:rPr>
                <w:sz w:val="20"/>
                <w:szCs w:val="20"/>
                <w:color w:val="auto"/>
              </w:rPr>
            </w:pPr>
            <w:r>
              <w:rPr>
                <w:rFonts w:ascii="Arial" w:cs="Arial" w:eastAsia="Arial" w:hAnsi="Arial"/>
                <w:sz w:val="18"/>
                <w:szCs w:val="18"/>
                <w:color w:val="auto"/>
              </w:rPr>
              <w:t>million in</w:t>
            </w:r>
          </w:p>
        </w:tc>
        <w:tc>
          <w:tcPr>
            <w:tcW w:w="1040" w:type="dxa"/>
            <w:vAlign w:val="bottom"/>
          </w:tcPr>
          <w:p>
            <w:pPr>
              <w:ind w:left="320"/>
              <w:spacing w:after="0"/>
              <w:rPr>
                <w:sz w:val="20"/>
                <w:szCs w:val="20"/>
                <w:color w:val="auto"/>
              </w:rPr>
            </w:pPr>
            <w:r>
              <w:rPr>
                <w:rFonts w:ascii="Arial" w:cs="Arial" w:eastAsia="Arial" w:hAnsi="Arial"/>
                <w:sz w:val="18"/>
                <w:szCs w:val="18"/>
                <w:color w:val="auto"/>
              </w:rPr>
              <w:t>existing</w:t>
            </w:r>
          </w:p>
        </w:tc>
        <w:tc>
          <w:tcPr>
            <w:tcW w:w="340" w:type="dxa"/>
            <w:vAlign w:val="bottom"/>
          </w:tcPr>
          <w:p>
            <w:pPr>
              <w:spacing w:after="0"/>
              <w:rPr>
                <w:sz w:val="18"/>
                <w:szCs w:val="18"/>
                <w:color w:val="auto"/>
              </w:rPr>
            </w:pPr>
          </w:p>
        </w:tc>
      </w:tr>
      <w:tr>
        <w:trPr>
          <w:trHeight w:val="216"/>
        </w:trPr>
        <w:tc>
          <w:tcPr>
            <w:tcW w:w="3700" w:type="dxa"/>
            <w:vAlign w:val="bottom"/>
            <w:gridSpan w:val="5"/>
          </w:tcPr>
          <w:p>
            <w:pPr>
              <w:spacing w:after="0"/>
              <w:rPr>
                <w:sz w:val="20"/>
                <w:szCs w:val="20"/>
                <w:color w:val="auto"/>
              </w:rPr>
            </w:pPr>
            <w:r>
              <w:rPr>
                <w:rFonts w:ascii="Arial" w:cs="Arial" w:eastAsia="Arial" w:hAnsi="Arial"/>
                <w:sz w:val="18"/>
                <w:szCs w:val="18"/>
                <w:color w:val="auto"/>
              </w:rPr>
              <w:t>portfolio companies. For this period, we had $</w:t>
            </w:r>
          </w:p>
        </w:tc>
        <w:tc>
          <w:tcPr>
            <w:tcW w:w="7380" w:type="dxa"/>
            <w:vAlign w:val="bottom"/>
            <w:gridSpan w:val="8"/>
          </w:tcPr>
          <w:p>
            <w:pPr>
              <w:ind w:left="40"/>
              <w:spacing w:after="0"/>
              <w:rPr>
                <w:sz w:val="20"/>
                <w:szCs w:val="20"/>
                <w:color w:val="auto"/>
              </w:rPr>
            </w:pPr>
            <w:r>
              <w:rPr>
                <w:rFonts w:ascii="Arial" w:cs="Arial" w:eastAsia="Arial" w:hAnsi="Arial"/>
                <w:sz w:val="18"/>
                <w:szCs w:val="18"/>
                <w:color w:val="auto"/>
                <w:w w:val="96"/>
              </w:rPr>
              <w:t>million aggregate principal amount in exits and repayments, resulting in net portfolio growth of $</w:t>
            </w:r>
          </w:p>
        </w:tc>
        <w:tc>
          <w:tcPr>
            <w:tcW w:w="340" w:type="dxa"/>
            <w:vAlign w:val="bottom"/>
          </w:tcPr>
          <w:p>
            <w:pPr>
              <w:spacing w:after="0"/>
              <w:rPr>
                <w:sz w:val="18"/>
                <w:szCs w:val="18"/>
                <w:color w:val="auto"/>
              </w:rPr>
            </w:pPr>
          </w:p>
        </w:tc>
      </w:tr>
      <w:tr>
        <w:trPr>
          <w:trHeight w:val="230"/>
        </w:trPr>
        <w:tc>
          <w:tcPr>
            <w:tcW w:w="3700" w:type="dxa"/>
            <w:vAlign w:val="bottom"/>
            <w:gridSpan w:val="5"/>
          </w:tcPr>
          <w:p>
            <w:pPr>
              <w:spacing w:after="0"/>
              <w:rPr>
                <w:sz w:val="20"/>
                <w:szCs w:val="20"/>
                <w:color w:val="auto"/>
              </w:rPr>
            </w:pPr>
            <w:r>
              <w:rPr>
                <w:rFonts w:ascii="Arial" w:cs="Arial" w:eastAsia="Arial" w:hAnsi="Arial"/>
                <w:sz w:val="18"/>
                <w:szCs w:val="18"/>
                <w:color w:val="auto"/>
              </w:rPr>
              <w:t>million aggregate principal amount.</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2320" w:type="dxa"/>
            <w:vAlign w:val="bottom"/>
            <w:gridSpan w:val="3"/>
          </w:tcPr>
          <w:p>
            <w:pPr>
              <w:ind w:left="460"/>
              <w:spacing w:after="0"/>
              <w:rPr>
                <w:sz w:val="20"/>
                <w:szCs w:val="20"/>
                <w:color w:val="auto"/>
              </w:rPr>
            </w:pPr>
            <w:r>
              <w:rPr>
                <w:rFonts w:ascii="Arial" w:cs="Arial" w:eastAsia="Arial" w:hAnsi="Arial"/>
                <w:sz w:val="18"/>
                <w:szCs w:val="18"/>
                <w:color w:val="auto"/>
                <w:w w:val="99"/>
              </w:rPr>
              <w:t>As of December 31, 20</w:t>
            </w:r>
          </w:p>
        </w:tc>
        <w:tc>
          <w:tcPr>
            <w:tcW w:w="1700" w:type="dxa"/>
            <w:vAlign w:val="bottom"/>
            <w:gridSpan w:val="3"/>
          </w:tcPr>
          <w:p>
            <w:pPr>
              <w:spacing w:after="0"/>
              <w:rPr>
                <w:sz w:val="20"/>
                <w:szCs w:val="20"/>
                <w:color w:val="auto"/>
              </w:rPr>
            </w:pPr>
            <w:r>
              <w:rPr>
                <w:rFonts w:ascii="Arial" w:cs="Arial" w:eastAsia="Arial" w:hAnsi="Arial"/>
                <w:sz w:val="18"/>
                <w:szCs w:val="18"/>
                <w:color w:val="auto"/>
                <w:w w:val="89"/>
              </w:rPr>
              <w:t>, we had investments in</w:t>
            </w:r>
          </w:p>
        </w:tc>
        <w:tc>
          <w:tcPr>
            <w:tcW w:w="4200" w:type="dxa"/>
            <w:vAlign w:val="bottom"/>
            <w:gridSpan w:val="4"/>
          </w:tcPr>
          <w:p>
            <w:pPr>
              <w:ind w:left="220"/>
              <w:spacing w:after="0"/>
              <w:rPr>
                <w:sz w:val="20"/>
                <w:szCs w:val="20"/>
                <w:color w:val="auto"/>
              </w:rPr>
            </w:pPr>
            <w:r>
              <w:rPr>
                <w:rFonts w:ascii="Arial" w:cs="Arial" w:eastAsia="Arial" w:hAnsi="Arial"/>
                <w:sz w:val="18"/>
                <w:szCs w:val="18"/>
                <w:color w:val="auto"/>
                <w:w w:val="94"/>
              </w:rPr>
              <w:t>portfolio companies with an aggregate fair value of $</w:t>
            </w:r>
          </w:p>
        </w:tc>
        <w:tc>
          <w:tcPr>
            <w:tcW w:w="2860" w:type="dxa"/>
            <w:vAlign w:val="bottom"/>
            <w:gridSpan w:val="3"/>
          </w:tcPr>
          <w:p>
            <w:pPr>
              <w:ind w:left="260"/>
              <w:spacing w:after="0"/>
              <w:rPr>
                <w:sz w:val="20"/>
                <w:szCs w:val="20"/>
                <w:color w:val="auto"/>
              </w:rPr>
            </w:pPr>
            <w:r>
              <w:rPr>
                <w:rFonts w:ascii="Arial" w:cs="Arial" w:eastAsia="Arial" w:hAnsi="Arial"/>
                <w:sz w:val="18"/>
                <w:szCs w:val="18"/>
                <w:color w:val="auto"/>
              </w:rPr>
              <w:t>million. For the year ended</w:t>
            </w:r>
          </w:p>
        </w:tc>
        <w:tc>
          <w:tcPr>
            <w:tcW w:w="340" w:type="dxa"/>
            <w:vAlign w:val="bottom"/>
          </w:tcPr>
          <w:p>
            <w:pPr>
              <w:spacing w:after="0"/>
              <w:rPr>
                <w:sz w:val="24"/>
                <w:szCs w:val="24"/>
                <w:color w:val="auto"/>
              </w:rPr>
            </w:pPr>
          </w:p>
        </w:tc>
      </w:tr>
      <w:tr>
        <w:trPr>
          <w:trHeight w:val="216"/>
        </w:trPr>
        <w:tc>
          <w:tcPr>
            <w:tcW w:w="4800" w:type="dxa"/>
            <w:vAlign w:val="bottom"/>
            <w:gridSpan w:val="7"/>
          </w:tcPr>
          <w:p>
            <w:pPr>
              <w:spacing w:after="0"/>
              <w:rPr>
                <w:sz w:val="20"/>
                <w:szCs w:val="20"/>
                <w:color w:val="auto"/>
              </w:rPr>
            </w:pPr>
            <w:r>
              <w:rPr>
                <w:rFonts w:ascii="Arial" w:cs="Arial" w:eastAsia="Arial" w:hAnsi="Arial"/>
                <w:sz w:val="18"/>
                <w:szCs w:val="18"/>
                <w:color w:val="auto"/>
                <w:w w:val="94"/>
              </w:rPr>
              <w:t>December 31, 20  , we made new investment commitments of $</w:t>
            </w:r>
          </w:p>
        </w:tc>
        <w:tc>
          <w:tcPr>
            <w:tcW w:w="1220" w:type="dxa"/>
            <w:vAlign w:val="bottom"/>
          </w:tcPr>
          <w:p>
            <w:pPr>
              <w:ind w:left="300"/>
              <w:spacing w:after="0"/>
              <w:rPr>
                <w:sz w:val="20"/>
                <w:szCs w:val="20"/>
                <w:color w:val="auto"/>
              </w:rPr>
            </w:pPr>
            <w:r>
              <w:rPr>
                <w:rFonts w:ascii="Arial" w:cs="Arial" w:eastAsia="Arial" w:hAnsi="Arial"/>
                <w:sz w:val="18"/>
                <w:szCs w:val="18"/>
                <w:color w:val="auto"/>
              </w:rPr>
              <w:t>million, $</w:t>
            </w:r>
          </w:p>
        </w:tc>
        <w:tc>
          <w:tcPr>
            <w:tcW w:w="1280" w:type="dxa"/>
            <w:vAlign w:val="bottom"/>
          </w:tcPr>
          <w:p>
            <w:pPr>
              <w:ind w:left="180"/>
              <w:spacing w:after="0"/>
              <w:rPr>
                <w:sz w:val="20"/>
                <w:szCs w:val="20"/>
                <w:color w:val="auto"/>
              </w:rPr>
            </w:pPr>
            <w:r>
              <w:rPr>
                <w:rFonts w:ascii="Arial" w:cs="Arial" w:eastAsia="Arial" w:hAnsi="Arial"/>
                <w:sz w:val="18"/>
                <w:szCs w:val="18"/>
                <w:color w:val="auto"/>
              </w:rPr>
              <w:t>million in</w:t>
            </w:r>
          </w:p>
        </w:tc>
        <w:tc>
          <w:tcPr>
            <w:tcW w:w="2740" w:type="dxa"/>
            <w:vAlign w:val="bottom"/>
            <w:gridSpan w:val="3"/>
          </w:tcPr>
          <w:p>
            <w:pPr>
              <w:ind w:left="200"/>
              <w:spacing w:after="0"/>
              <w:rPr>
                <w:sz w:val="20"/>
                <w:szCs w:val="20"/>
                <w:color w:val="auto"/>
              </w:rPr>
            </w:pPr>
            <w:r>
              <w:rPr>
                <w:rFonts w:ascii="Arial" w:cs="Arial" w:eastAsia="Arial" w:hAnsi="Arial"/>
                <w:sz w:val="18"/>
                <w:szCs w:val="18"/>
                <w:color w:val="auto"/>
              </w:rPr>
              <w:t>new portfolio companies and $</w:t>
            </w:r>
          </w:p>
        </w:tc>
        <w:tc>
          <w:tcPr>
            <w:tcW w:w="1040" w:type="dxa"/>
            <w:vAlign w:val="bottom"/>
          </w:tcPr>
          <w:p>
            <w:pPr>
              <w:jc w:val="center"/>
              <w:ind w:right="70"/>
              <w:spacing w:after="0"/>
              <w:rPr>
                <w:sz w:val="20"/>
                <w:szCs w:val="20"/>
                <w:color w:val="auto"/>
              </w:rPr>
            </w:pPr>
            <w:r>
              <w:rPr>
                <w:rFonts w:ascii="Arial" w:cs="Arial" w:eastAsia="Arial" w:hAnsi="Arial"/>
                <w:sz w:val="18"/>
                <w:szCs w:val="18"/>
                <w:color w:val="auto"/>
              </w:rPr>
              <w:t>million in</w:t>
            </w:r>
          </w:p>
        </w:tc>
        <w:tc>
          <w:tcPr>
            <w:tcW w:w="340" w:type="dxa"/>
            <w:vAlign w:val="bottom"/>
          </w:tcPr>
          <w:p>
            <w:pPr>
              <w:spacing w:after="0"/>
              <w:rPr>
                <w:sz w:val="18"/>
                <w:szCs w:val="18"/>
                <w:color w:val="auto"/>
              </w:rPr>
            </w:pPr>
          </w:p>
        </w:tc>
      </w:tr>
      <w:tr>
        <w:trPr>
          <w:trHeight w:val="216"/>
        </w:trPr>
        <w:tc>
          <w:tcPr>
            <w:tcW w:w="4800" w:type="dxa"/>
            <w:vAlign w:val="bottom"/>
            <w:gridSpan w:val="7"/>
          </w:tcPr>
          <w:p>
            <w:pPr>
              <w:jc w:val="center"/>
              <w:ind w:left="150"/>
              <w:spacing w:after="0"/>
              <w:rPr>
                <w:sz w:val="20"/>
                <w:szCs w:val="20"/>
                <w:color w:val="auto"/>
              </w:rPr>
            </w:pPr>
            <w:r>
              <w:rPr>
                <w:rFonts w:ascii="Arial" w:cs="Arial" w:eastAsia="Arial" w:hAnsi="Arial"/>
                <w:sz w:val="18"/>
                <w:szCs w:val="18"/>
                <w:color w:val="auto"/>
                <w:w w:val="92"/>
              </w:rPr>
              <w:t>existing portfolio companies. For this period, we had $</w:t>
            </w:r>
          </w:p>
        </w:tc>
        <w:tc>
          <w:tcPr>
            <w:tcW w:w="6280" w:type="dxa"/>
            <w:vAlign w:val="bottom"/>
            <w:gridSpan w:val="6"/>
          </w:tcPr>
          <w:p>
            <w:pPr>
              <w:ind w:left="100"/>
              <w:spacing w:after="0"/>
              <w:rPr>
                <w:sz w:val="20"/>
                <w:szCs w:val="20"/>
                <w:color w:val="auto"/>
              </w:rPr>
            </w:pPr>
            <w:r>
              <w:rPr>
                <w:rFonts w:ascii="Arial" w:cs="Arial" w:eastAsia="Arial" w:hAnsi="Arial"/>
                <w:sz w:val="18"/>
                <w:szCs w:val="18"/>
                <w:color w:val="auto"/>
                <w:w w:val="92"/>
              </w:rPr>
              <w:t>million aggregate principal amount in exits and repayments, resulting in net portfolio</w:t>
            </w:r>
          </w:p>
        </w:tc>
        <w:tc>
          <w:tcPr>
            <w:tcW w:w="34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growth of $</w:t>
            </w:r>
          </w:p>
        </w:tc>
        <w:tc>
          <w:tcPr>
            <w:tcW w:w="2800" w:type="dxa"/>
            <w:vAlign w:val="bottom"/>
            <w:gridSpan w:val="5"/>
          </w:tcPr>
          <w:p>
            <w:pPr>
              <w:jc w:val="center"/>
              <w:ind w:right="50"/>
              <w:spacing w:after="0"/>
              <w:rPr>
                <w:sz w:val="20"/>
                <w:szCs w:val="20"/>
                <w:color w:val="auto"/>
              </w:rPr>
            </w:pPr>
            <w:r>
              <w:rPr>
                <w:rFonts w:ascii="Arial" w:cs="Arial" w:eastAsia="Arial" w:hAnsi="Arial"/>
                <w:sz w:val="18"/>
                <w:szCs w:val="18"/>
                <w:color w:val="auto"/>
                <w:w w:val="92"/>
              </w:rPr>
              <w:t>million aggregate principal amount.</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3700" w:type="dxa"/>
            <w:vAlign w:val="bottom"/>
            <w:gridSpan w:val="5"/>
          </w:tcPr>
          <w:p>
            <w:pPr>
              <w:ind w:left="460"/>
              <w:spacing w:after="0"/>
              <w:rPr>
                <w:sz w:val="20"/>
                <w:szCs w:val="20"/>
                <w:color w:val="auto"/>
              </w:rPr>
            </w:pPr>
            <w:r>
              <w:rPr>
                <w:rFonts w:ascii="Arial" w:cs="Arial" w:eastAsia="Arial" w:hAnsi="Arial"/>
                <w:sz w:val="18"/>
                <w:szCs w:val="18"/>
                <w:color w:val="auto"/>
                <w:w w:val="96"/>
              </w:rPr>
              <w:t>Since we began investing in 2011 through</w:t>
            </w:r>
          </w:p>
        </w:tc>
        <w:tc>
          <w:tcPr>
            <w:tcW w:w="320" w:type="dxa"/>
            <w:vAlign w:val="bottom"/>
          </w:tcPr>
          <w:p>
            <w:pPr>
              <w:spacing w:after="0"/>
              <w:rPr>
                <w:sz w:val="24"/>
                <w:szCs w:val="24"/>
                <w:color w:val="auto"/>
              </w:rPr>
            </w:pPr>
          </w:p>
        </w:tc>
        <w:tc>
          <w:tcPr>
            <w:tcW w:w="7400" w:type="dxa"/>
            <w:vAlign w:val="bottom"/>
            <w:gridSpan w:val="8"/>
          </w:tcPr>
          <w:p>
            <w:pPr>
              <w:ind w:left="240"/>
              <w:spacing w:after="0"/>
              <w:rPr>
                <w:sz w:val="20"/>
                <w:szCs w:val="20"/>
                <w:color w:val="auto"/>
              </w:rPr>
            </w:pPr>
            <w:r>
              <w:rPr>
                <w:rFonts w:ascii="Arial" w:cs="Arial" w:eastAsia="Arial" w:hAnsi="Arial"/>
                <w:sz w:val="18"/>
                <w:szCs w:val="18"/>
                <w:color w:val="auto"/>
                <w:w w:val="92"/>
              </w:rPr>
              <w:t>, 20  , our exited investments have resulted in an aggregate cash flow realized gross internal rate</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w w:val="92"/>
              </w:rPr>
              <w:t>of return to us of approximately</w:t>
            </w:r>
          </w:p>
        </w:tc>
        <w:tc>
          <w:tcPr>
            <w:tcW w:w="140" w:type="dxa"/>
            <w:vAlign w:val="bottom"/>
          </w:tcPr>
          <w:p>
            <w:pPr>
              <w:spacing w:after="0"/>
              <w:rPr>
                <w:sz w:val="18"/>
                <w:szCs w:val="18"/>
                <w:color w:val="auto"/>
              </w:rPr>
            </w:pPr>
          </w:p>
        </w:tc>
        <w:tc>
          <w:tcPr>
            <w:tcW w:w="3560" w:type="dxa"/>
            <w:vAlign w:val="bottom"/>
            <w:gridSpan w:val="4"/>
          </w:tcPr>
          <w:p>
            <w:pPr>
              <w:ind w:left="60"/>
              <w:spacing w:after="0"/>
              <w:rPr>
                <w:sz w:val="20"/>
                <w:szCs w:val="20"/>
                <w:color w:val="auto"/>
              </w:rPr>
            </w:pPr>
            <w:r>
              <w:rPr>
                <w:rFonts w:ascii="Arial" w:cs="Arial" w:eastAsia="Arial" w:hAnsi="Arial"/>
                <w:sz w:val="18"/>
                <w:szCs w:val="18"/>
                <w:color w:val="auto"/>
                <w:w w:val="94"/>
              </w:rPr>
              <w:t>% (based on cash invested of approximately $</w:t>
            </w:r>
          </w:p>
        </w:tc>
        <w:tc>
          <w:tcPr>
            <w:tcW w:w="5060" w:type="dxa"/>
            <w:vAlign w:val="bottom"/>
            <w:gridSpan w:val="5"/>
          </w:tcPr>
          <w:p>
            <w:pPr>
              <w:ind w:left="220"/>
              <w:spacing w:after="0"/>
              <w:rPr>
                <w:sz w:val="20"/>
                <w:szCs w:val="20"/>
                <w:color w:val="auto"/>
              </w:rPr>
            </w:pPr>
            <w:r>
              <w:rPr>
                <w:rFonts w:ascii="Arial" w:cs="Arial" w:eastAsia="Arial" w:hAnsi="Arial"/>
                <w:sz w:val="18"/>
                <w:szCs w:val="18"/>
                <w:color w:val="auto"/>
              </w:rPr>
              <w:t>million and total proceeds from these exited investments of</w:t>
            </w:r>
          </w:p>
        </w:tc>
        <w:tc>
          <w:tcPr>
            <w:tcW w:w="34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w w:val="94"/>
              </w:rPr>
              <w:t>approximately $</w:t>
            </w:r>
          </w:p>
        </w:tc>
        <w:tc>
          <w:tcPr>
            <w:tcW w:w="140" w:type="dxa"/>
            <w:vAlign w:val="bottom"/>
          </w:tcPr>
          <w:p>
            <w:pPr>
              <w:spacing w:after="0"/>
              <w:rPr>
                <w:sz w:val="20"/>
                <w:szCs w:val="20"/>
                <w:color w:val="auto"/>
              </w:rPr>
            </w:pPr>
          </w:p>
        </w:tc>
        <w:tc>
          <w:tcPr>
            <w:tcW w:w="960" w:type="dxa"/>
            <w:vAlign w:val="bottom"/>
          </w:tcPr>
          <w:p>
            <w:pPr>
              <w:ind w:left="220"/>
              <w:spacing w:after="0"/>
              <w:rPr>
                <w:sz w:val="20"/>
                <w:szCs w:val="20"/>
                <w:color w:val="auto"/>
              </w:rPr>
            </w:pPr>
            <w:r>
              <w:rPr>
                <w:rFonts w:ascii="Arial" w:cs="Arial" w:eastAsia="Arial" w:hAnsi="Arial"/>
                <w:sz w:val="18"/>
                <w:szCs w:val="18"/>
                <w:color w:val="auto"/>
              </w:rPr>
              <w:t>million).</w:t>
            </w:r>
          </w:p>
        </w:tc>
        <w:tc>
          <w:tcPr>
            <w:tcW w:w="140" w:type="dxa"/>
            <w:vAlign w:val="bottom"/>
          </w:tcPr>
          <w:p>
            <w:pPr>
              <w:spacing w:after="0"/>
              <w:rPr>
                <w:sz w:val="20"/>
                <w:szCs w:val="20"/>
                <w:color w:val="auto"/>
              </w:rPr>
            </w:pPr>
          </w:p>
        </w:tc>
        <w:tc>
          <w:tcPr>
            <w:tcW w:w="8960" w:type="dxa"/>
            <w:vAlign w:val="bottom"/>
            <w:gridSpan w:val="10"/>
          </w:tcPr>
          <w:p>
            <w:pPr>
              <w:jc w:val="right"/>
              <w:spacing w:after="0"/>
              <w:rPr>
                <w:sz w:val="20"/>
                <w:szCs w:val="20"/>
                <w:color w:val="auto"/>
              </w:rPr>
            </w:pPr>
            <w:r>
              <w:rPr>
                <w:rFonts w:ascii="Arial" w:cs="Arial" w:eastAsia="Arial" w:hAnsi="Arial"/>
                <w:sz w:val="18"/>
                <w:szCs w:val="18"/>
                <w:color w:val="auto"/>
                <w:w w:val="91"/>
              </w:rPr>
              <w:t>percent of these exited investments resulted in an aggregate cash flow realized gross internal rate of return to us of 10% or</w:t>
            </w:r>
          </w:p>
        </w:tc>
      </w:tr>
    </w:tbl>
    <w:p>
      <w:pPr>
        <w:ind w:right="1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45" w:right="23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made by our investment review committee, or the Investment Review Committee, which includes senior personnel of TSSP and TPG.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TSSP is TPG’s special situations and credit platform and encompasses TPG Specialty Lending, Inc. TPG Opportunities Partners, which invests in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special situations and distressed investments across the credit cycle, and TPG Institutional Credit Partners, which is a “public-side” credit investment platform</w:t>
      </w:r>
    </w:p>
    <w:p>
      <w:pPr>
        <w:spacing w:after="0" w:line="32"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focused on investment opportunities in the broadly syndicated leveraged loan markets.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business, including investment professionals. The TSSP members of the Investment Review Committee are Joshua Easterly, Michael Fishman, Alan Waxman and David Stiepleman.</w:t>
      </w:r>
    </w:p>
    <w:p>
      <w:pPr>
        <w:spacing w:after="0" w:line="184"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TPG is a leading global private investment firm founded in 1992 with billion of assets under management, as of , 20 ,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of the Adviser consists primarily of senior executives of TSSP and TPG. TSSP and TPG executives, including members of our</w:t>
      </w:r>
    </w:p>
    <w:p>
      <w:pPr>
        <w:spacing w:after="0" w:line="35" w:lineRule="exact"/>
        <w:rPr>
          <w:sz w:val="20"/>
          <w:szCs w:val="20"/>
          <w:color w:val="auto"/>
        </w:rPr>
      </w:pPr>
    </w:p>
    <w:p>
      <w:pPr>
        <w:spacing w:after="0"/>
        <w:tabs>
          <w:tab w:leader="none" w:pos="9240" w:val="left"/>
          <w:tab w:leader="none" w:pos="9700" w:val="left"/>
        </w:tabs>
        <w:rPr>
          <w:sz w:val="20"/>
          <w:szCs w:val="20"/>
          <w:color w:val="auto"/>
        </w:rPr>
      </w:pPr>
      <w:r>
        <w:rPr>
          <w:rFonts w:ascii="Arial" w:cs="Arial" w:eastAsia="Arial" w:hAnsi="Arial"/>
          <w:sz w:val="18"/>
          <w:szCs w:val="18"/>
          <w:color w:val="auto"/>
        </w:rPr>
        <w:t>Investment Review Committee and certain of our other senior personnel, own a significant stake in the Adviser.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our Adviser owned</w:t>
      </w:r>
    </w:p>
    <w:p>
      <w:pPr>
        <w:spacing w:after="0" w:line="9" w:lineRule="exact"/>
        <w:rPr>
          <w:sz w:val="20"/>
          <w:szCs w:val="20"/>
          <w:color w:val="auto"/>
        </w:rPr>
      </w:pPr>
    </w:p>
    <w:p>
      <w:pPr>
        <w:ind w:right="60" w:firstLine="188"/>
        <w:spacing w:after="0" w:line="261" w:lineRule="auto"/>
        <w:tabs>
          <w:tab w:leader="none" w:pos="37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of our common stock. See “Management,” “Related-Party Transactions and Certain Relationships” and “Control Persons and Principal Stockholders” in the accompanying prospectus.</w:t>
      </w:r>
    </w:p>
    <w:p>
      <w:pPr>
        <w:spacing w:after="0" w:line="18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60" w:right="259" w:bottom="1440" w:gutter="0" w:footer="0" w:header="0"/>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SPECIFIC TERMS OF OUR WARRANTS AND THE OFFERING</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This prospectus supplement sets forth certain terms of our warrants that we are offering pursuant to this prospectus supplement and supplements the accompanying prospectus that is attached to the back of this prospectus supplement. This section outlines the specific legal and financial terms of our warrants. You should read this section together with the more general description of our warrants in this prospectus supplement under the heading “Description of Our Warrants” and in the accompanying prospectus under the heading “Description of Our Warrants” before investing in our warrants. Capitalized terms used in this prospectus supplement and not otherwise defined shall have the meanings ascribed to them in the accompanying prospectus.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material terms of warrants in tabular form to the extent required to be disclosed by applicable law or regulation.]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exercise your warrants, you may be unable to sell any [type of security] you purchase at a profit.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public trading market price of our [type of security] may decline after you elect to exercise your warrants. If that occurs, you will have committed to buy [type of security] at a price above the prevailing market price and you will have an immediate unrealized loss. Moreover, we cannot assure you that following the exercise of warrants you will be able to sell your [type of security] at a price equal to or greater than the exercise price.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exercise price is not necessarily an indication of our value.</w:t>
      </w:r>
    </w:p>
    <w:p>
      <w:pPr>
        <w:spacing w:after="0" w:line="117"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The exercise price of the warrants does not necessarily bear any relationship to any established criteria for valuation of business development companies. You should not consider the exercise price an indication of our value or any assurance of future value. After the date of this prospectus supplement, our [type of security] may trade at prices above or below the subscription price.]</w:t>
      </w:r>
    </w:p>
    <w:p>
      <w:pPr>
        <w:spacing w:after="0" w:line="181" w:lineRule="exact"/>
        <w:rPr>
          <w:sz w:val="20"/>
          <w:szCs w:val="20"/>
          <w:color w:val="auto"/>
        </w:rPr>
      </w:pPr>
    </w:p>
    <w:p>
      <w:pPr>
        <w:jc w:val="center"/>
        <w:ind w:left="560" w:right="140"/>
        <w:spacing w:after="0" w:line="449" w:lineRule="auto"/>
        <w:rPr>
          <w:sz w:val="20"/>
          <w:szCs w:val="20"/>
          <w:color w:val="auto"/>
        </w:rPr>
      </w:pPr>
      <w:r>
        <w:rPr>
          <w:rFonts w:ascii="Arial" w:cs="Arial" w:eastAsia="Arial" w:hAnsi="Arial"/>
          <w:sz w:val="18"/>
          <w:szCs w:val="18"/>
          <w:color w:val="auto"/>
        </w:rPr>
        <w:t>[Insert any additional relevant risk factors not included in the base prospectus to the extent required to be disclosed by applicable law or regulation.] S-8</w:t>
      </w:r>
    </w:p>
    <w:p>
      <w:pPr>
        <w:sectPr>
          <w:pgSz w:w="11900" w:h="16838" w:orient="portrait"/>
          <w:cols w:equalWidth="0" w:num="1">
            <w:col w:w="11280"/>
          </w:cols>
          <w:pgMar w:left="240" w:top="459" w:right="37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 (2)</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an amount so that our total borrowings are 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table or the accompanying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44"/>
        </w:trPr>
        <w:tc>
          <w:tcPr>
            <w:tcW w:w="5080" w:type="dxa"/>
            <w:vAlign w:val="bottom"/>
          </w:tcPr>
          <w:p>
            <w:pPr>
              <w:spacing w:after="0"/>
              <w:rPr>
                <w:sz w:val="20"/>
                <w:szCs w:val="20"/>
                <w:color w:val="auto"/>
              </w:rPr>
            </w:pPr>
            <w:r>
              <w:rPr>
                <w:rFonts w:ascii="Arial" w:cs="Arial" w:eastAsia="Arial" w:hAnsi="Arial"/>
                <w:sz w:val="18"/>
                <w:szCs w:val="18"/>
                <w:color w:val="auto"/>
              </w:rPr>
              <w:t>Sales load</w:t>
            </w:r>
          </w:p>
        </w:tc>
        <w:tc>
          <w:tcPr>
            <w:tcW w:w="4560" w:type="dxa"/>
            <w:vAlign w:val="bottom"/>
          </w:tcPr>
          <w:p>
            <w:pPr>
              <w:spacing w:after="0"/>
              <w:rPr>
                <w:sz w:val="21"/>
                <w:szCs w:val="21"/>
                <w:color w:val="auto"/>
              </w:rPr>
            </w:pPr>
          </w:p>
        </w:tc>
        <w:tc>
          <w:tcPr>
            <w:tcW w:w="860" w:type="dxa"/>
            <w:vAlign w:val="bottom"/>
            <w:gridSpan w:val="3"/>
          </w:tcPr>
          <w:p>
            <w:pPr>
              <w:ind w:left="320"/>
              <w:spacing w:after="0" w:line="243" w:lineRule="exact"/>
              <w:rPr>
                <w:sz w:val="20"/>
                <w:szCs w:val="20"/>
                <w:color w:val="auto"/>
              </w:rPr>
            </w:pPr>
            <w:r>
              <w:rPr>
                <w:rFonts w:ascii="Arial" w:cs="Arial" w:eastAsia="Arial" w:hAnsi="Arial"/>
                <w:sz w:val="15"/>
                <w:szCs w:val="15"/>
                <w:color w:val="auto"/>
              </w:rPr>
              <w:t>(1</w:t>
            </w:r>
            <w:r>
              <w:rPr>
                <w:rFonts w:ascii="Arial" w:cs="Arial" w:eastAsia="Arial" w:hAnsi="Arial"/>
                <w:sz w:val="28"/>
                <w:szCs w:val="28"/>
                <w:color w:val="auto"/>
                <w:vertAlign w:val="superscript"/>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4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line="216" w:lineRule="exact"/>
              <w:rPr>
                <w:sz w:val="20"/>
                <w:szCs w:val="20"/>
                <w:color w:val="auto"/>
              </w:rPr>
            </w:pPr>
            <w:r>
              <w:rPr>
                <w:rFonts w:ascii="Arial" w:cs="Arial" w:eastAsia="Arial" w:hAnsi="Arial"/>
                <w:sz w:val="13"/>
                <w:szCs w:val="13"/>
                <w:color w:val="auto"/>
              </w:rPr>
              <w:t>(2</w:t>
            </w:r>
            <w:r>
              <w:rPr>
                <w:rFonts w:ascii="Arial" w:cs="Arial" w:eastAsia="Arial" w:hAnsi="Arial"/>
                <w:sz w:val="25"/>
                <w:szCs w:val="25"/>
                <w:color w:val="auto"/>
                <w:vertAlign w:val="superscript"/>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45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(3)</w:t>
            </w: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91"/>
              </w:rPr>
              <w:t>Management Fee payable under the Investment Advisory Agreement</w:t>
            </w:r>
          </w:p>
        </w:tc>
        <w:tc>
          <w:tcPr>
            <w:tcW w:w="456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(5)</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5"/>
              </w:rPr>
              <w:t>Incentive Fee payable under the Investment Advisory Agreement (</w:t>
            </w: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of net investment income and capital gains)</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456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(8)(9)</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annual expenses</w:t>
            </w:r>
          </w:p>
        </w:tc>
        <w:tc>
          <w:tcPr>
            <w:tcW w:w="4560" w:type="dxa"/>
            <w:vAlign w:val="bottom"/>
          </w:tcPr>
          <w:p>
            <w:pPr>
              <w:spacing w:after="0"/>
              <w:rPr>
                <w:sz w:val="19"/>
                <w:szCs w:val="19"/>
                <w:color w:val="auto"/>
              </w:rPr>
            </w:pP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7"/>
              </w:rPr>
              <w:t>%</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(9)</w:t>
            </w:r>
          </w:p>
        </w:tc>
      </w:tr>
      <w:tr>
        <w:trPr>
          <w:trHeight w:val="20"/>
        </w:trPr>
        <w:tc>
          <w:tcPr>
            <w:tcW w:w="5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58" w:lineRule="auto"/>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sales load (underwriting discount) with respect to the shares sold in this offering, which is a one-time fee paid to the underwriters, is the only sales load paid in connection with this offering.</w:t>
      </w:r>
    </w:p>
    <w:p>
      <w:pPr>
        <w:spacing w:after="0" w:line="1" w:lineRule="exact"/>
        <w:rPr>
          <w:sz w:val="20"/>
          <w:szCs w:val="20"/>
          <w:color w:val="auto"/>
        </w:rPr>
      </w:pPr>
    </w:p>
    <w:p>
      <w:pPr>
        <w:spacing w:after="0"/>
        <w:tabs>
          <w:tab w:leader="none" w:pos="440" w:val="left"/>
          <w:tab w:leader="none" w:pos="5420" w:val="left"/>
        </w:tabs>
        <w:rPr>
          <w:sz w:val="20"/>
          <w:szCs w:val="20"/>
          <w:color w:val="auto"/>
        </w:rPr>
      </w:pPr>
      <w:r>
        <w:rPr>
          <w:rFonts w:ascii="Arial" w:cs="Arial" w:eastAsia="Arial" w:hAnsi="Arial"/>
          <w:sz w:val="17"/>
          <w:szCs w:val="17"/>
          <w:color w:val="auto"/>
        </w:rPr>
        <w:t>(2)</w:t>
        <w:tab/>
        <w:t>Amount reflects estimated offering expenses of approximately $</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left="460" w:right="660" w:hanging="452"/>
        <w:spacing w:after="0" w:line="250" w:lineRule="auto"/>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 in the accompanying prospectus.</w:t>
      </w:r>
    </w:p>
    <w:tbl>
      <w:tblPr>
        <w:tblLayout w:type="fixed"/>
        <w:tblInd w:w="0" w:type="dxa"/>
        <w:tblCellMar>
          <w:top w:w="0" w:type="dxa"/>
          <w:left w:w="0" w:type="dxa"/>
          <w:bottom w:w="0" w:type="dxa"/>
          <w:right w:w="0" w:type="dxa"/>
        </w:tblCellMar>
      </w:tblPr>
      <w:tr>
        <w:trPr>
          <w:trHeight w:val="203"/>
        </w:trPr>
        <w:tc>
          <w:tcPr>
            <w:tcW w:w="3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0"/>
              </w:rPr>
              <w:t>(4)</w:t>
            </w:r>
          </w:p>
        </w:tc>
        <w:tc>
          <w:tcPr>
            <w:tcW w:w="8620" w:type="dxa"/>
            <w:vAlign w:val="bottom"/>
            <w:gridSpan w:val="4"/>
          </w:tcPr>
          <w:p>
            <w:pPr>
              <w:ind w:left="120"/>
              <w:spacing w:after="0" w:line="203" w:lineRule="exact"/>
              <w:rPr>
                <w:sz w:val="20"/>
                <w:szCs w:val="20"/>
                <w:color w:val="auto"/>
              </w:rPr>
            </w:pPr>
            <w:r>
              <w:rPr>
                <w:rFonts w:ascii="Arial" w:cs="Arial" w:eastAsia="Arial" w:hAnsi="Arial"/>
                <w:sz w:val="18"/>
                <w:szCs w:val="18"/>
                <w:color w:val="auto"/>
                <w:w w:val="91"/>
              </w:rPr>
              <w:t>The net assets attributable to common stock used to calculate the percentages in this table reflect our net assets of $</w:t>
            </w:r>
          </w:p>
        </w:tc>
        <w:tc>
          <w:tcPr>
            <w:tcW w:w="2020" w:type="dxa"/>
            <w:vAlign w:val="bottom"/>
          </w:tcPr>
          <w:p>
            <w:pPr>
              <w:ind w:left="200"/>
              <w:spacing w:after="0" w:line="203" w:lineRule="exact"/>
              <w:rPr>
                <w:sz w:val="20"/>
                <w:szCs w:val="20"/>
                <w:color w:val="auto"/>
              </w:rPr>
            </w:pPr>
            <w:r>
              <w:rPr>
                <w:rFonts w:ascii="Arial" w:cs="Arial" w:eastAsia="Arial" w:hAnsi="Arial"/>
                <w:sz w:val="18"/>
                <w:szCs w:val="18"/>
                <w:color w:val="auto"/>
              </w:rPr>
              <w:t>million as of</w:t>
            </w:r>
          </w:p>
        </w:tc>
        <w:tc>
          <w:tcPr>
            <w:tcW w:w="4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20  .</w:t>
            </w: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(5)</w:t>
            </w:r>
          </w:p>
        </w:tc>
        <w:tc>
          <w:tcPr>
            <w:tcW w:w="2060" w:type="dxa"/>
            <w:vAlign w:val="bottom"/>
          </w:tcPr>
          <w:p>
            <w:pPr>
              <w:ind w:left="120"/>
              <w:spacing w:after="0"/>
              <w:rPr>
                <w:sz w:val="20"/>
                <w:szCs w:val="20"/>
                <w:color w:val="auto"/>
              </w:rPr>
            </w:pPr>
            <w:r>
              <w:rPr>
                <w:rFonts w:ascii="Arial" w:cs="Arial" w:eastAsia="Arial" w:hAnsi="Arial"/>
                <w:sz w:val="18"/>
                <w:szCs w:val="18"/>
                <w:color w:val="auto"/>
                <w:w w:val="98"/>
              </w:rPr>
              <w:t>The Management Fee is</w:t>
            </w:r>
          </w:p>
        </w:tc>
        <w:tc>
          <w:tcPr>
            <w:tcW w:w="8580" w:type="dxa"/>
            <w:vAlign w:val="bottom"/>
            <w:gridSpan w:val="4"/>
          </w:tcPr>
          <w:p>
            <w:pPr>
              <w:ind w:left="200"/>
              <w:spacing w:after="0"/>
              <w:rPr>
                <w:sz w:val="20"/>
                <w:szCs w:val="20"/>
                <w:color w:val="auto"/>
              </w:rPr>
            </w:pPr>
            <w:r>
              <w:rPr>
                <w:rFonts w:ascii="Arial" w:cs="Arial" w:eastAsia="Arial" w:hAnsi="Arial"/>
                <w:sz w:val="18"/>
                <w:szCs w:val="18"/>
                <w:color w:val="auto"/>
                <w:w w:val="89"/>
              </w:rPr>
              <w:t>% of the average value of our gross assets (including cash and cash equivalents and assets purchased with borrowed</w:t>
            </w:r>
          </w:p>
        </w:tc>
        <w:tc>
          <w:tcPr>
            <w:tcW w:w="4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0"/>
              </w:rPr>
              <w:t>amounts) using the values at the end of the two most recently completed calendar quarters, adjusted for any share issuances or repurchases during the</w:t>
            </w: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1"/>
              </w:rPr>
              <w:t>period. We may from time to time decide it is appropriate to change the terms of our Investment Advisory Agreement. Under the 1940 Act, any material</w:t>
            </w:r>
          </w:p>
        </w:tc>
      </w:tr>
      <w:tr>
        <w:trPr>
          <w:trHeight w:val="216"/>
        </w:trPr>
        <w:tc>
          <w:tcPr>
            <w:tcW w:w="340" w:type="dxa"/>
            <w:vAlign w:val="bottom"/>
          </w:tcPr>
          <w:p>
            <w:pPr>
              <w:spacing w:after="0"/>
              <w:rPr>
                <w:sz w:val="18"/>
                <w:szCs w:val="18"/>
                <w:color w:val="auto"/>
              </w:rPr>
            </w:pPr>
          </w:p>
        </w:tc>
        <w:tc>
          <w:tcPr>
            <w:tcW w:w="10640" w:type="dxa"/>
            <w:vAlign w:val="bottom"/>
            <w:gridSpan w:val="5"/>
          </w:tcPr>
          <w:p>
            <w:pPr>
              <w:ind w:left="120"/>
              <w:spacing w:after="0"/>
              <w:rPr>
                <w:sz w:val="20"/>
                <w:szCs w:val="20"/>
                <w:color w:val="auto"/>
              </w:rPr>
            </w:pPr>
            <w:r>
              <w:rPr>
                <w:rFonts w:ascii="Arial" w:cs="Arial" w:eastAsia="Arial" w:hAnsi="Arial"/>
                <w:sz w:val="18"/>
                <w:szCs w:val="18"/>
                <w:color w:val="auto"/>
                <w:w w:val="91"/>
              </w:rPr>
              <w:t>change to our Investment Advisory Agreement (as defined in the accompanying prospectus) must be submitted to stockholders for approval. See</w:t>
            </w:r>
          </w:p>
        </w:tc>
        <w:tc>
          <w:tcPr>
            <w:tcW w:w="4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640" w:type="dxa"/>
            <w:vAlign w:val="bottom"/>
            <w:gridSpan w:val="5"/>
          </w:tcPr>
          <w:p>
            <w:pPr>
              <w:ind w:left="120"/>
              <w:spacing w:after="0"/>
              <w:rPr>
                <w:sz w:val="20"/>
                <w:szCs w:val="20"/>
                <w:color w:val="auto"/>
              </w:rPr>
            </w:pPr>
            <w:r>
              <w:rPr>
                <w:rFonts w:ascii="Arial" w:cs="Arial" w:eastAsia="Arial" w:hAnsi="Arial"/>
                <w:sz w:val="18"/>
                <w:szCs w:val="18"/>
                <w:color w:val="auto"/>
                <w:w w:val="92"/>
              </w:rPr>
              <w:t>“Management and Other Agreements—Investment Advisory Agreement; Administration Agreement; License Agreement” in the accompanying</w:t>
            </w:r>
          </w:p>
        </w:tc>
        <w:tc>
          <w:tcPr>
            <w:tcW w:w="44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prospectus.</w:t>
            </w:r>
          </w:p>
        </w:tc>
        <w:tc>
          <w:tcPr>
            <w:tcW w:w="3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83"/>
        </w:trPr>
        <w:tc>
          <w:tcPr>
            <w:tcW w:w="340" w:type="dxa"/>
            <w:vAlign w:val="bottom"/>
          </w:tcPr>
          <w:p>
            <w:pPr>
              <w:spacing w:after="0"/>
              <w:rPr>
                <w:sz w:val="24"/>
                <w:szCs w:val="24"/>
                <w:color w:val="auto"/>
              </w:rPr>
            </w:pPr>
          </w:p>
        </w:tc>
        <w:tc>
          <w:tcPr>
            <w:tcW w:w="10640" w:type="dxa"/>
            <w:vAlign w:val="bottom"/>
            <w:gridSpan w:val="5"/>
          </w:tcPr>
          <w:p>
            <w:pPr>
              <w:ind w:left="120"/>
              <w:spacing w:after="0"/>
              <w:rPr>
                <w:sz w:val="20"/>
                <w:szCs w:val="20"/>
                <w:color w:val="auto"/>
              </w:rPr>
            </w:pPr>
            <w:r>
              <w:rPr>
                <w:rFonts w:ascii="Arial" w:cs="Arial" w:eastAsia="Arial" w:hAnsi="Arial"/>
                <w:sz w:val="18"/>
                <w:szCs w:val="18"/>
                <w:color w:val="auto"/>
                <w:w w:val="90"/>
              </w:rPr>
              <w:t>The Management Fee reflected in the table is calculated by determining the ratio that the Management Fee bears to our net assets attributable to</w:t>
            </w:r>
          </w:p>
        </w:tc>
        <w:tc>
          <w:tcPr>
            <w:tcW w:w="4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0"/>
              </w:rPr>
              <w:t>common stock (rather than our gross assets). The estimate of our Management Fee referenced in the table is based on our gross assets (including cash</w:t>
            </w:r>
          </w:p>
        </w:tc>
      </w:tr>
      <w:tr>
        <w:trPr>
          <w:trHeight w:val="230"/>
        </w:trPr>
        <w:tc>
          <w:tcPr>
            <w:tcW w:w="340" w:type="dxa"/>
            <w:vAlign w:val="bottom"/>
          </w:tcPr>
          <w:p>
            <w:pPr>
              <w:spacing w:after="0"/>
              <w:rPr>
                <w:sz w:val="20"/>
                <w:szCs w:val="20"/>
                <w:color w:val="auto"/>
              </w:rPr>
            </w:pPr>
          </w:p>
        </w:tc>
        <w:tc>
          <w:tcPr>
            <w:tcW w:w="5660" w:type="dxa"/>
            <w:vAlign w:val="bottom"/>
            <w:gridSpan w:val="2"/>
          </w:tcPr>
          <w:p>
            <w:pPr>
              <w:ind w:left="120"/>
              <w:spacing w:after="0"/>
              <w:rPr>
                <w:sz w:val="20"/>
                <w:szCs w:val="20"/>
                <w:color w:val="auto"/>
              </w:rPr>
            </w:pPr>
            <w:r>
              <w:rPr>
                <w:rFonts w:ascii="Arial" w:cs="Arial" w:eastAsia="Arial" w:hAnsi="Arial"/>
                <w:sz w:val="18"/>
                <w:szCs w:val="18"/>
                <w:color w:val="auto"/>
                <w:w w:val="93"/>
              </w:rPr>
              <w:t>and cash equivalents and assets purchased with borrowed amounts) as of</w:t>
            </w:r>
          </w:p>
        </w:tc>
        <w:tc>
          <w:tcPr>
            <w:tcW w:w="1420" w:type="dxa"/>
            <w:vAlign w:val="bottom"/>
          </w:tcPr>
          <w:p>
            <w:pPr>
              <w:ind w:left="280"/>
              <w:spacing w:after="0"/>
              <w:rPr>
                <w:sz w:val="20"/>
                <w:szCs w:val="20"/>
                <w:color w:val="auto"/>
              </w:rPr>
            </w:pPr>
            <w:r>
              <w:rPr>
                <w:rFonts w:ascii="Arial" w:cs="Arial" w:eastAsia="Arial" w:hAnsi="Arial"/>
                <w:sz w:val="18"/>
                <w:szCs w:val="18"/>
                <w:color w:val="auto"/>
              </w:rPr>
              <w:t>, 20   and</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 20  .</w:t>
            </w:r>
          </w:p>
        </w:tc>
        <w:tc>
          <w:tcPr>
            <w:tcW w:w="20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ind w:left="460" w:hanging="452"/>
        <w:spacing w:after="0"/>
        <w:tabs>
          <w:tab w:leader="none" w:pos="46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twelve months after the date of</w:t>
      </w:r>
    </w:p>
    <w:p>
      <w:pPr>
        <w:spacing w:after="0" w:line="386" w:lineRule="exact"/>
        <w:rPr>
          <w:sz w:val="20"/>
          <w:szCs w:val="20"/>
          <w:color w:val="auto"/>
        </w:rPr>
      </w:pPr>
    </w:p>
    <w:p>
      <w:pPr>
        <w:ind w:left="460" w:right="20"/>
        <w:spacing w:after="0" w:line="274" w:lineRule="auto"/>
        <w:rPr>
          <w:sz w:val="20"/>
          <w:szCs w:val="20"/>
          <w:color w:val="auto"/>
        </w:rPr>
      </w:pPr>
      <w:r>
        <w:rPr>
          <w:rFonts w:ascii="Arial" w:cs="Arial" w:eastAsia="Arial" w:hAnsi="Arial"/>
          <w:sz w:val="17"/>
          <w:szCs w:val="17"/>
          <w:color w:val="auto"/>
        </w:rPr>
        <w:t>this prospectus supplement. The Incentive Fee payable in the example below is based upon our actual results for the quarter ended , 20 , and assumes that the Incentive Fee is % for all relevant periods. However, the Incentive Fee payable to the Adviser is based on our performance and</w:t>
      </w:r>
    </w:p>
    <w:p>
      <w:pPr>
        <w:ind w:left="460"/>
        <w:spacing w:after="0"/>
        <w:rPr>
          <w:sz w:val="20"/>
          <w:szCs w:val="20"/>
          <w:color w:val="auto"/>
        </w:rPr>
      </w:pPr>
      <w:r>
        <w:rPr>
          <w:rFonts w:ascii="Arial" w:cs="Arial" w:eastAsia="Arial" w:hAnsi="Arial"/>
          <w:sz w:val="18"/>
          <w:szCs w:val="18"/>
          <w:color w:val="auto"/>
        </w:rPr>
        <w:t>will not be paid unless we achieve certain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(2)Include this section if warrants are for the purchase of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548" w:name="page549"/>
    <w:bookmarkEnd w:id="54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2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534"/>
        </w:trPr>
        <w:tc>
          <w:tcPr>
            <w:tcW w:w="3520" w:type="dxa"/>
            <w:vAlign w:val="bottom"/>
            <w:gridSpan w:val="2"/>
          </w:tcPr>
          <w:p>
            <w:pPr>
              <w:ind w:left="460"/>
              <w:spacing w:after="0"/>
              <w:rPr>
                <w:sz w:val="20"/>
                <w:szCs w:val="20"/>
                <w:color w:val="auto"/>
              </w:rPr>
            </w:pPr>
            <w:r>
              <w:rPr>
                <w:rFonts w:ascii="Arial" w:cs="Arial" w:eastAsia="Arial" w:hAnsi="Arial"/>
                <w:sz w:val="18"/>
                <w:szCs w:val="18"/>
                <w:color w:val="auto"/>
                <w:w w:val="95"/>
              </w:rPr>
              <w:t>The Incentive Fee consists of two parts:</w:t>
            </w:r>
          </w:p>
        </w:tc>
        <w:tc>
          <w:tcPr>
            <w:tcW w:w="11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6"/>
        </w:trPr>
        <w:tc>
          <w:tcPr>
            <w:tcW w:w="10840" w:type="dxa"/>
            <w:vAlign w:val="bottom"/>
            <w:gridSpan w:val="4"/>
          </w:tcPr>
          <w:p>
            <w:pPr>
              <w:ind w:left="460"/>
              <w:spacing w:after="0"/>
              <w:rPr>
                <w:sz w:val="20"/>
                <w:szCs w:val="20"/>
                <w:color w:val="auto"/>
              </w:rPr>
            </w:pPr>
            <w:r>
              <w:rPr>
                <w:rFonts w:ascii="Arial" w:cs="Arial" w:eastAsia="Arial" w:hAnsi="Arial"/>
                <w:sz w:val="18"/>
                <w:szCs w:val="18"/>
                <w:color w:val="auto"/>
                <w:w w:val="91"/>
              </w:rPr>
              <w:t>The first component, payable at the end of each quarter in arrears, equals 100% of the pre-Incentive Fee net investment income in excess of a</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gridSpan w:val="3"/>
          </w:tcPr>
          <w:p>
            <w:pPr>
              <w:ind w:left="460"/>
              <w:spacing w:after="0"/>
              <w:rPr>
                <w:sz w:val="20"/>
                <w:szCs w:val="20"/>
                <w:color w:val="auto"/>
              </w:rPr>
            </w:pPr>
            <w:r>
              <w:rPr>
                <w:rFonts w:ascii="Arial" w:cs="Arial" w:eastAsia="Arial" w:hAnsi="Arial"/>
                <w:sz w:val="18"/>
                <w:szCs w:val="18"/>
                <w:color w:val="auto"/>
              </w:rPr>
              <w:t>quarterly “hurdle rate” until the Adviser has received</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w w:val="91"/>
              </w:rPr>
              <w:t>% of the total pre-Incentive Fee net investment income for that quarter and, for pre-Incentive</w:t>
            </w:r>
          </w:p>
        </w:tc>
      </w:tr>
      <w:tr>
        <w:trPr>
          <w:trHeight w:val="230"/>
        </w:trPr>
        <w:tc>
          <w:tcPr>
            <w:tcW w:w="3520" w:type="dxa"/>
            <w:vAlign w:val="bottom"/>
            <w:gridSpan w:val="2"/>
          </w:tcPr>
          <w:p>
            <w:pPr>
              <w:ind w:left="460"/>
              <w:spacing w:after="0"/>
              <w:rPr>
                <w:sz w:val="20"/>
                <w:szCs w:val="20"/>
                <w:color w:val="auto"/>
              </w:rPr>
            </w:pPr>
            <w:r>
              <w:rPr>
                <w:rFonts w:ascii="Arial" w:cs="Arial" w:eastAsia="Arial" w:hAnsi="Arial"/>
                <w:sz w:val="18"/>
                <w:szCs w:val="18"/>
                <w:color w:val="auto"/>
                <w:w w:val="96"/>
              </w:rPr>
              <w:t>Fee net investment income in excess of</w:t>
            </w:r>
          </w:p>
        </w:tc>
        <w:tc>
          <w:tcPr>
            <w:tcW w:w="1120" w:type="dxa"/>
            <w:vAlign w:val="bottom"/>
          </w:tcPr>
          <w:p>
            <w:pPr>
              <w:ind w:left="180"/>
              <w:spacing w:after="0"/>
              <w:rPr>
                <w:sz w:val="20"/>
                <w:szCs w:val="20"/>
                <w:color w:val="auto"/>
              </w:rPr>
            </w:pPr>
            <w:r>
              <w:rPr>
                <w:rFonts w:ascii="Arial" w:cs="Arial" w:eastAsia="Arial" w:hAnsi="Arial"/>
                <w:sz w:val="18"/>
                <w:szCs w:val="18"/>
                <w:color w:val="auto"/>
                <w:w w:val="95"/>
              </w:rPr>
              <w:t>% quarterly,</w:t>
            </w:r>
          </w:p>
        </w:tc>
        <w:tc>
          <w:tcPr>
            <w:tcW w:w="6200" w:type="dxa"/>
            <w:vAlign w:val="bottom"/>
          </w:tcPr>
          <w:p>
            <w:pPr>
              <w:ind w:left="340"/>
              <w:spacing w:after="0"/>
              <w:rPr>
                <w:sz w:val="20"/>
                <w:szCs w:val="20"/>
                <w:color w:val="auto"/>
              </w:rPr>
            </w:pPr>
            <w:r>
              <w:rPr>
                <w:rFonts w:ascii="Arial" w:cs="Arial" w:eastAsia="Arial" w:hAnsi="Arial"/>
                <w:sz w:val="18"/>
                <w:szCs w:val="18"/>
                <w:color w:val="auto"/>
                <w:w w:val="97"/>
              </w:rPr>
              <w:t>% of all remaining pre-Incentive Fee net investment income for that quarter.</w:t>
            </w:r>
          </w:p>
        </w:tc>
        <w:tc>
          <w:tcPr>
            <w:tcW w:w="540" w:type="dxa"/>
            <w:vAlign w:val="bottom"/>
          </w:tcPr>
          <w:p>
            <w:pPr>
              <w:spacing w:after="0"/>
              <w:rPr>
                <w:sz w:val="20"/>
                <w:szCs w:val="20"/>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20"/>
        <w:spacing w:after="0" w:line="291" w:lineRule="auto"/>
        <w:rPr>
          <w:sz w:val="20"/>
          <w:szCs w:val="20"/>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w:t>
      </w:r>
    </w:p>
    <w:p>
      <w:pPr>
        <w:jc w:val="both"/>
        <w:ind w:left="460" w:right="80"/>
        <w:spacing w:after="0" w:line="281" w:lineRule="auto"/>
        <w:rPr>
          <w:sz w:val="20"/>
          <w:szCs w:val="20"/>
          <w:color w:val="auto"/>
        </w:rPr>
      </w:pPr>
      <w:r>
        <w:rPr>
          <w:rFonts w:ascii="Arial" w:cs="Arial" w:eastAsia="Arial" w:hAnsi="Arial"/>
          <w:sz w:val="16"/>
          <w:szCs w:val="16"/>
          <w:color w:val="auto"/>
        </w:rPr>
        <w:t>and thereafter at %,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2" w:lineRule="exact"/>
        <w:rPr>
          <w:sz w:val="20"/>
          <w:szCs w:val="20"/>
          <w:color w:val="auto"/>
        </w:rPr>
      </w:pPr>
    </w:p>
    <w:p>
      <w:pPr>
        <w:ind w:left="460" w:right="240"/>
        <w:spacing w:after="0" w:line="250" w:lineRule="auto"/>
        <w:rPr>
          <w:sz w:val="20"/>
          <w:szCs w:val="20"/>
          <w:color w:val="auto"/>
        </w:rPr>
      </w:pPr>
      <w:r>
        <w:rPr>
          <w:rFonts w:ascii="Arial" w:cs="Arial" w:eastAsia="Arial" w:hAnsi="Arial"/>
          <w:sz w:val="18"/>
          <w:szCs w:val="18"/>
          <w:color w:val="auto"/>
        </w:rPr>
        <w:t>See “Management and Other Agreements—Investment Advisory Agreement; Administration Agreement; License Agreement” in the accompanying prospectus.</w:t>
      </w:r>
    </w:p>
    <w:p>
      <w:pPr>
        <w:spacing w:after="0" w:line="1" w:lineRule="exact"/>
        <w:rPr>
          <w:sz w:val="20"/>
          <w:szCs w:val="20"/>
          <w:color w:val="auto"/>
        </w:rPr>
      </w:pPr>
    </w:p>
    <w:p>
      <w:pPr>
        <w:ind w:left="460" w:hanging="452"/>
        <w:spacing w:after="0"/>
        <w:tabs>
          <w:tab w:leader="none" w:pos="4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based on our interest expense for the quarter ended</w:t>
      </w:r>
    </w:p>
    <w:p>
      <w:pPr>
        <w:spacing w:after="0" w:line="32" w:lineRule="exact"/>
        <w:rPr>
          <w:rFonts w:ascii="Arial" w:cs="Arial" w:eastAsia="Arial" w:hAnsi="Arial"/>
          <w:sz w:val="16"/>
          <w:szCs w:val="16"/>
          <w:color w:val="auto"/>
        </w:rPr>
      </w:pPr>
    </w:p>
    <w:p>
      <w:pPr>
        <w:ind w:left="460" w:right="240" w:firstLine="714"/>
        <w:spacing w:after="0" w:line="281" w:lineRule="auto"/>
        <w:tabs>
          <w:tab w:leader="none" w:pos="127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20 , under our credit facilities and debt securities based on assumed total borrowings outstanding equal to 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2"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Includes our overhead expenses, such as payments under the Administration Agreement (as defined in the accompanying prospectus) for certain expenses incurred by the Adviser. See “Management and Other Agreements—Investment Advisory Agreement; Administration Agreement; License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in the accompanying prospectus. We based these expenses on estimated amounts for the current fiscal year by annualizing expenses from</w:t>
      </w:r>
    </w:p>
    <w:p>
      <w:pPr>
        <w:spacing w:after="0" w:line="32" w:lineRule="exact"/>
        <w:rPr>
          <w:sz w:val="20"/>
          <w:szCs w:val="20"/>
          <w:color w:val="auto"/>
        </w:rPr>
      </w:pPr>
    </w:p>
    <w:p>
      <w:pPr>
        <w:ind w:left="460"/>
        <w:spacing w:after="0"/>
        <w:tabs>
          <w:tab w:leader="none" w:pos="1460" w:val="left"/>
          <w:tab w:leader="none" w:pos="2680" w:val="left"/>
          <w:tab w:leader="none" w:pos="31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ending</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460" w:hanging="452"/>
        <w:spacing w:after="0"/>
        <w:tabs>
          <w:tab w:leader="none" w:pos="4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w:t>
      </w:r>
    </w:p>
    <w:p>
      <w:pPr>
        <w:ind w:left="360"/>
        <w:spacing w:after="0"/>
        <w:rPr>
          <w:sz w:val="20"/>
          <w:szCs w:val="20"/>
          <w:color w:val="auto"/>
        </w:rPr>
      </w:pPr>
      <w:r>
        <w:rPr>
          <w:rFonts w:ascii="Arial" w:cs="Arial" w:eastAsia="Arial" w:hAnsi="Arial"/>
          <w:sz w:val="18"/>
          <w:szCs w:val="18"/>
          <w:color w:val="auto"/>
        </w:rPr>
        <w:t>% for all relevant periods. Transaction expenses are not included in the following example.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1 year</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3 years</w:t>
            </w:r>
          </w:p>
        </w:tc>
        <w:tc>
          <w:tcPr>
            <w:tcW w:w="640" w:type="dxa"/>
            <w:vAlign w:val="bottom"/>
          </w:tcPr>
          <w:p>
            <w:pPr>
              <w:jc w:val="right"/>
              <w:ind w:right="27"/>
              <w:spacing w:after="0"/>
              <w:rPr>
                <w:sz w:val="20"/>
                <w:szCs w:val="20"/>
                <w:color w:val="auto"/>
              </w:rPr>
            </w:pPr>
            <w:r>
              <w:rPr>
                <w:rFonts w:ascii="Arial" w:cs="Arial" w:eastAsia="Arial" w:hAnsi="Arial"/>
                <w:sz w:val="14"/>
                <w:szCs w:val="14"/>
                <w:b w:val="1"/>
                <w:bCs w:val="1"/>
                <w:color w:val="auto"/>
              </w:rPr>
              <w:t>5 years</w:t>
            </w:r>
          </w:p>
        </w:tc>
        <w:tc>
          <w:tcPr>
            <w:tcW w:w="5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5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You would pay the following expenses on a $1,000 common stock investment,</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assuming a 5% annual return from realized capital gains</w:t>
            </w:r>
          </w:p>
        </w:tc>
        <w:tc>
          <w:tcPr>
            <w:tcW w:w="9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45" w:right="25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83"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60" w:right="27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 derived</w:t>
      </w:r>
    </w:p>
    <w:p>
      <w:pPr>
        <w:ind w:right="440"/>
        <w:spacing w:after="0" w:line="261" w:lineRule="auto"/>
        <w:rPr>
          <w:sz w:val="20"/>
          <w:szCs w:val="20"/>
          <w:color w:val="auto"/>
        </w:rPr>
      </w:pPr>
      <w:r>
        <w:rPr>
          <w:rFonts w:ascii="Arial" w:cs="Arial" w:eastAsia="Arial" w:hAnsi="Arial"/>
          <w:sz w:val="18"/>
          <w:szCs w:val="18"/>
          <w:color w:val="auto"/>
        </w:rPr>
        <w:t>the selected consolidated financial data for the ended , 20 and , 20 from our unaudited interim consolidated financial statements and related notes, which are included elsewhere in this prospectus supplement or the accompanying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40"/>
          </w:cols>
          <w:pgMar w:left="240" w:top="459" w:right="319" w:bottom="1440" w:gutter="0" w:footer="0" w:header="0"/>
        </w:sectPr>
      </w:pPr>
    </w:p>
    <w:bookmarkStart w:id="551" w:name="page552"/>
    <w:bookmarkEnd w:id="551"/>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b w:val="1"/>
                <w:bCs w:val="1"/>
                <w:color w:val="0000EE"/>
                <w:w w:val="93"/>
              </w:rPr>
            </w:pPr>
            <w:hyperlink w:anchor="page5">
              <w:r>
                <w:rPr>
                  <w:rFonts w:ascii="Arial" w:cs="Arial" w:eastAsia="Arial" w:hAnsi="Arial"/>
                  <w:sz w:val="18"/>
                  <w:szCs w:val="18"/>
                  <w:b w:val="1"/>
                  <w:bCs w:val="1"/>
                  <w:color w:val="0000EE"/>
                  <w:w w:val="93"/>
                </w:rPr>
                <w:t>Table of Contents</w:t>
              </w:r>
            </w:hyperlink>
          </w:p>
        </w:tc>
        <w:tc>
          <w:tcPr>
            <w:tcW w:w="4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gridSpan w:val="2"/>
          </w:tcPr>
          <w:p>
            <w:pPr>
              <w:ind w:left="3440"/>
              <w:spacing w:after="0"/>
              <w:rPr>
                <w:sz w:val="20"/>
                <w:szCs w:val="20"/>
                <w:color w:val="auto"/>
              </w:rPr>
            </w:pPr>
            <w:r>
              <w:rPr>
                <w:rFonts w:ascii="Arial" w:cs="Arial" w:eastAsia="Arial" w:hAnsi="Arial"/>
                <w:sz w:val="18"/>
                <w:szCs w:val="18"/>
                <w:b w:val="1"/>
                <w:bCs w:val="1"/>
                <w:color w:val="auto"/>
              </w:rPr>
              <w:t>USE OF PROCEEDS</w:t>
            </w: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5520" w:type="dxa"/>
            <w:vAlign w:val="bottom"/>
            <w:gridSpan w:val="3"/>
          </w:tcPr>
          <w:p>
            <w:pPr>
              <w:ind w:left="460"/>
              <w:spacing w:after="0"/>
              <w:rPr>
                <w:sz w:val="20"/>
                <w:szCs w:val="20"/>
                <w:color w:val="auto"/>
              </w:rPr>
            </w:pPr>
            <w:r>
              <w:rPr>
                <w:rFonts w:ascii="Arial" w:cs="Arial" w:eastAsia="Arial" w:hAnsi="Arial"/>
                <w:sz w:val="18"/>
                <w:szCs w:val="18"/>
                <w:color w:val="auto"/>
                <w:w w:val="96"/>
              </w:rPr>
              <w:t>We estimate that the net proceeds we will receive from the sale of</w:t>
            </w:r>
          </w:p>
        </w:tc>
        <w:tc>
          <w:tcPr>
            <w:tcW w:w="3920" w:type="dxa"/>
            <w:vAlign w:val="bottom"/>
            <w:gridSpan w:val="3"/>
          </w:tcPr>
          <w:p>
            <w:pPr>
              <w:ind w:left="220"/>
              <w:spacing w:after="0"/>
              <w:rPr>
                <w:sz w:val="20"/>
                <w:szCs w:val="20"/>
                <w:color w:val="auto"/>
              </w:rPr>
            </w:pPr>
            <w:r>
              <w:rPr>
                <w:rFonts w:ascii="Arial" w:cs="Arial" w:eastAsia="Arial" w:hAnsi="Arial"/>
                <w:sz w:val="18"/>
                <w:szCs w:val="18"/>
                <w:color w:val="auto"/>
                <w:w w:val="98"/>
              </w:rPr>
              <w:t>warrants in this offering will be approximately $</w:t>
            </w:r>
          </w:p>
        </w:tc>
        <w:tc>
          <w:tcPr>
            <w:tcW w:w="1040" w:type="dxa"/>
            <w:vAlign w:val="bottom"/>
          </w:tcPr>
          <w:p>
            <w:pPr>
              <w:ind w:left="200"/>
              <w:spacing w:after="0"/>
              <w:rPr>
                <w:sz w:val="20"/>
                <w:szCs w:val="20"/>
                <w:color w:val="auto"/>
              </w:rPr>
            </w:pPr>
            <w:r>
              <w:rPr>
                <w:rFonts w:ascii="Arial" w:cs="Arial" w:eastAsia="Arial" w:hAnsi="Arial"/>
                <w:sz w:val="18"/>
                <w:szCs w:val="18"/>
                <w:color w:val="auto"/>
              </w:rPr>
              <w:t>million (or</w:t>
            </w:r>
          </w:p>
        </w:tc>
        <w:tc>
          <w:tcPr>
            <w:tcW w:w="940" w:type="dxa"/>
            <w:vAlign w:val="bottom"/>
          </w:tcPr>
          <w:p>
            <w:pPr>
              <w:spacing w:after="0"/>
              <w:rPr>
                <w:sz w:val="24"/>
                <w:szCs w:val="24"/>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9040" w:type="dxa"/>
            <w:vAlign w:val="bottom"/>
            <w:gridSpan w:val="5"/>
          </w:tcPr>
          <w:p>
            <w:pPr>
              <w:ind w:left="100"/>
              <w:spacing w:after="0"/>
              <w:rPr>
                <w:sz w:val="20"/>
                <w:szCs w:val="20"/>
                <w:color w:val="auto"/>
              </w:rPr>
            </w:pPr>
            <w:r>
              <w:rPr>
                <w:rFonts w:ascii="Arial" w:cs="Arial" w:eastAsia="Arial" w:hAnsi="Arial"/>
                <w:sz w:val="18"/>
                <w:szCs w:val="18"/>
                <w:color w:val="auto"/>
                <w:w w:val="95"/>
              </w:rPr>
              <w:t>million if the underwriters fully exercise their over-allotment option), in each case assuming a public offering price of $</w:t>
            </w:r>
          </w:p>
        </w:tc>
        <w:tc>
          <w:tcPr>
            <w:tcW w:w="940" w:type="dxa"/>
            <w:vAlign w:val="bottom"/>
          </w:tcPr>
          <w:p>
            <w:pPr>
              <w:ind w:left="80"/>
              <w:spacing w:after="0"/>
              <w:rPr>
                <w:sz w:val="20"/>
                <w:szCs w:val="20"/>
                <w:color w:val="auto"/>
              </w:rPr>
            </w:pPr>
            <w:r>
              <w:rPr>
                <w:rFonts w:ascii="Arial" w:cs="Arial" w:eastAsia="Arial" w:hAnsi="Arial"/>
                <w:sz w:val="18"/>
                <w:szCs w:val="18"/>
                <w:color w:val="auto"/>
              </w:rPr>
              <w:t>per</w:t>
            </w: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w w:val="94"/>
              </w:rPr>
              <w:t>warrant, after deducting the underwriting discounts and commissions of $</w:t>
            </w: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million (or approximately $</w:t>
            </w:r>
          </w:p>
        </w:tc>
        <w:tc>
          <w:tcPr>
            <w:tcW w:w="3500" w:type="dxa"/>
            <w:vAlign w:val="bottom"/>
            <w:gridSpan w:val="3"/>
          </w:tcPr>
          <w:p>
            <w:pPr>
              <w:ind w:left="200"/>
              <w:spacing w:after="0"/>
              <w:rPr>
                <w:sz w:val="20"/>
                <w:szCs w:val="20"/>
                <w:color w:val="auto"/>
              </w:rPr>
            </w:pPr>
            <w:r>
              <w:rPr>
                <w:rFonts w:ascii="Arial" w:cs="Arial" w:eastAsia="Arial" w:hAnsi="Arial"/>
                <w:sz w:val="18"/>
                <w:szCs w:val="18"/>
                <w:color w:val="auto"/>
                <w:w w:val="94"/>
              </w:rPr>
              <w:t>million if the underwriters fully exercise their</w:t>
            </w:r>
          </w:p>
        </w:tc>
      </w:tr>
      <w:tr>
        <w:trPr>
          <w:trHeight w:val="230"/>
        </w:trPr>
        <w:tc>
          <w:tcPr>
            <w:tcW w:w="6700" w:type="dxa"/>
            <w:vAlign w:val="bottom"/>
            <w:gridSpan w:val="4"/>
          </w:tcPr>
          <w:p>
            <w:pPr>
              <w:spacing w:after="0"/>
              <w:rPr>
                <w:sz w:val="20"/>
                <w:szCs w:val="20"/>
                <w:color w:val="auto"/>
              </w:rPr>
            </w:pPr>
            <w:r>
              <w:rPr>
                <w:rFonts w:ascii="Arial" w:cs="Arial" w:eastAsia="Arial" w:hAnsi="Arial"/>
                <w:sz w:val="18"/>
                <w:szCs w:val="18"/>
                <w:color w:val="auto"/>
                <w:w w:val="94"/>
              </w:rPr>
              <w:t>over-allotment option) payable by us and estimated offering expenses of approximately $</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million payable by us.</w:t>
            </w: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46" w:right="23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This prospectus supplement sets forth certain terms of our warrants that we are offering pursuant to this prospectus supplement and the accompanying prospectus. This section outlines the specific legal and financial terms of our warrants. You should read this section together with the more general description of our warrants in the accompanying prospectus under the heading “Description of Our Warrants” before investing in our warrants. This summary is not necessarily complete and is subject to and entirely qualified by reference to [insert relevant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[Insert material terms of our warrants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40"/>
          </w:cols>
          <w:pgMar w:left="240" w:top="459" w:right="31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 RANGE OF COMMON STOCK AND DISTRIBUTIONS (3)</w:t>
      </w:r>
    </w:p>
    <w:p>
      <w:pPr>
        <w:spacing w:after="0" w:line="22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Our common stock is traded on the NYSE under the symbol “TSLX.” It is not possible to predict whether our common stock offered hereby will trade at, above or below net asset value. See “Risk Factors—Risks Related to Offerings Pursuant to This Prospectus” in the accompanying prospectus.</w:t>
      </w:r>
    </w:p>
    <w:p>
      <w:pPr>
        <w:spacing w:after="0" w:line="12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following table sets forth, for each fiscal quarter since our initial public offering, the net asset value per share of our common stock, the range of high and low closing sales prices of our common stock, the closing sales price as a premium (discount) to net asset value and the dividends or distributions</w:t>
      </w:r>
    </w:p>
    <w:tbl>
      <w:tblPr>
        <w:tblLayout w:type="fixed"/>
        <w:tblInd w:w="0" w:type="dxa"/>
        <w:tblCellMar>
          <w:top w:w="0" w:type="dxa"/>
          <w:left w:w="0" w:type="dxa"/>
          <w:bottom w:w="0" w:type="dxa"/>
          <w:right w:w="0" w:type="dxa"/>
        </w:tblCellMar>
      </w:tblPr>
      <w:tr>
        <w:trPr>
          <w:trHeight w:val="202"/>
        </w:trPr>
        <w:tc>
          <w:tcPr>
            <w:tcW w:w="2120" w:type="dxa"/>
            <w:vAlign w:val="bottom"/>
          </w:tcPr>
          <w:p>
            <w:pPr>
              <w:spacing w:after="0" w:line="202" w:lineRule="exact"/>
              <w:rPr>
                <w:sz w:val="20"/>
                <w:szCs w:val="20"/>
                <w:color w:val="auto"/>
              </w:rPr>
            </w:pPr>
            <w:r>
              <w:rPr>
                <w:rFonts w:ascii="Arial" w:cs="Arial" w:eastAsia="Arial" w:hAnsi="Arial"/>
                <w:sz w:val="18"/>
                <w:szCs w:val="18"/>
                <w:color w:val="auto"/>
              </w:rPr>
              <w:t>declared by us. On</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86"/>
              </w:rPr>
              <w:t>, 20</w:t>
            </w:r>
          </w:p>
        </w:tc>
        <w:tc>
          <w:tcPr>
            <w:tcW w:w="5940" w:type="dxa"/>
            <w:vAlign w:val="bottom"/>
            <w:gridSpan w:val="9"/>
          </w:tcPr>
          <w:p>
            <w:pPr>
              <w:jc w:val="right"/>
              <w:ind w:right="28"/>
              <w:spacing w:after="0" w:line="202" w:lineRule="exact"/>
              <w:rPr>
                <w:sz w:val="20"/>
                <w:szCs w:val="20"/>
                <w:color w:val="auto"/>
              </w:rPr>
            </w:pPr>
            <w:r>
              <w:rPr>
                <w:rFonts w:ascii="Arial" w:cs="Arial" w:eastAsia="Arial" w:hAnsi="Arial"/>
                <w:sz w:val="18"/>
                <w:szCs w:val="18"/>
                <w:color w:val="auto"/>
                <w:w w:val="93"/>
              </w:rPr>
              <w:t>, the last reported closing sales price of our common stock on the NYSE was $</w:t>
            </w:r>
          </w:p>
        </w:tc>
        <w:tc>
          <w:tcPr>
            <w:tcW w:w="3040" w:type="dxa"/>
            <w:vAlign w:val="bottom"/>
            <w:gridSpan w:val="9"/>
          </w:tcPr>
          <w:p>
            <w:pPr>
              <w:ind w:left="300"/>
              <w:spacing w:after="0" w:line="202" w:lineRule="exact"/>
              <w:rPr>
                <w:sz w:val="20"/>
                <w:szCs w:val="20"/>
                <w:color w:val="auto"/>
              </w:rPr>
            </w:pPr>
            <w:r>
              <w:rPr>
                <w:rFonts w:ascii="Arial" w:cs="Arial" w:eastAsia="Arial" w:hAnsi="Arial"/>
                <w:sz w:val="18"/>
                <w:szCs w:val="18"/>
                <w:color w:val="auto"/>
              </w:rPr>
              <w:t>per share, which represented a</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[premium][discount] of approximately</w:t>
            </w:r>
          </w:p>
        </w:tc>
        <w:tc>
          <w:tcPr>
            <w:tcW w:w="3940" w:type="dxa"/>
            <w:vAlign w:val="bottom"/>
            <w:gridSpan w:val="5"/>
          </w:tcPr>
          <w:p>
            <w:pPr>
              <w:jc w:val="right"/>
              <w:spacing w:after="0"/>
              <w:rPr>
                <w:sz w:val="20"/>
                <w:szCs w:val="20"/>
                <w:color w:val="auto"/>
              </w:rPr>
            </w:pPr>
            <w:r>
              <w:rPr>
                <w:rFonts w:ascii="Arial" w:cs="Arial" w:eastAsia="Arial" w:hAnsi="Arial"/>
                <w:sz w:val="18"/>
                <w:szCs w:val="18"/>
                <w:color w:val="auto"/>
                <w:w w:val="88"/>
              </w:rPr>
              <w:t>% to the net asset value per share reported by us as of</w:t>
            </w:r>
          </w:p>
        </w:tc>
        <w:tc>
          <w:tcPr>
            <w:tcW w:w="520" w:type="dxa"/>
            <w:vAlign w:val="bottom"/>
          </w:tcPr>
          <w:p>
            <w:pPr>
              <w:spacing w:after="0"/>
              <w:rPr>
                <w:sz w:val="20"/>
                <w:szCs w:val="20"/>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8"/>
                <w:szCs w:val="18"/>
                <w:color w:val="auto"/>
              </w:rPr>
              <w:t>, 20   .</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4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Sales</w:t>
            </w:r>
          </w:p>
        </w:tc>
        <w:tc>
          <w:tcPr>
            <w:tcW w:w="420" w:type="dxa"/>
            <w:vAlign w:val="bottom"/>
          </w:tcPr>
          <w:p>
            <w:pPr>
              <w:spacing w:after="0"/>
              <w:rPr>
                <w:sz w:val="8"/>
                <w:szCs w:val="8"/>
                <w:color w:val="auto"/>
              </w:rPr>
            </w:pP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Sales</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 to</w:t>
            </w:r>
          </w:p>
        </w:tc>
        <w:tc>
          <w:tcPr>
            <w:tcW w:w="420" w:type="dxa"/>
            <w:vAlign w:val="bottom"/>
          </w:tcPr>
          <w:p>
            <w:pPr>
              <w:spacing w:after="0"/>
              <w:rPr>
                <w:sz w:val="8"/>
                <w:szCs w:val="8"/>
                <w:color w:val="auto"/>
              </w:rPr>
            </w:pP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 to</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jc w:val="right"/>
              <w:ind w:right="348"/>
              <w:spacing w:after="0" w:line="151" w:lineRule="exact"/>
              <w:rPr>
                <w:sz w:val="20"/>
                <w:szCs w:val="20"/>
                <w:color w:val="auto"/>
              </w:rPr>
            </w:pPr>
            <w:r>
              <w:rPr>
                <w:rFonts w:ascii="Arial" w:cs="Arial" w:eastAsia="Arial" w:hAnsi="Arial"/>
                <w:sz w:val="14"/>
                <w:szCs w:val="14"/>
                <w:b w:val="1"/>
                <w:bCs w:val="1"/>
                <w:color w:val="auto"/>
              </w:rPr>
              <w:t>Price Range</w:t>
            </w:r>
          </w:p>
        </w:tc>
        <w:tc>
          <w:tcPr>
            <w:tcW w:w="3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7"/>
              </w:rPr>
              <w:t>Per</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gridSpan w:val="2"/>
          </w:tcPr>
          <w:p>
            <w:pPr>
              <w:jc w:val="center"/>
              <w:ind w:right="320"/>
              <w:spacing w:after="0" w:line="118"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3"/>
              </w:rPr>
              <w:t>Net Asset</w:t>
            </w:r>
          </w:p>
        </w:tc>
        <w:tc>
          <w:tcPr>
            <w:tcW w:w="42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3"/>
              </w:rPr>
              <w:t>Net Asset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Value(1)</w:t>
            </w:r>
          </w:p>
        </w:tc>
        <w:tc>
          <w:tcPr>
            <w:tcW w:w="12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5"/>
              </w:rPr>
              <w:t>Value(2)</w:t>
            </w:r>
          </w:p>
        </w:tc>
        <w:tc>
          <w:tcPr>
            <w:tcW w:w="4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Value(2)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Share(3)</w:t>
            </w:r>
          </w:p>
        </w:tc>
        <w:tc>
          <w:tcPr>
            <w:tcW w:w="0" w:type="dxa"/>
            <w:vAlign w:val="bottom"/>
          </w:tcPr>
          <w:p>
            <w:pPr>
              <w:spacing w:after="0"/>
              <w:rPr>
                <w:sz w:val="1"/>
                <w:szCs w:val="1"/>
                <w:color w:val="auto"/>
              </w:rPr>
            </w:pPr>
          </w:p>
        </w:tc>
      </w:tr>
      <w:tr>
        <w:trPr>
          <w:trHeight w:val="196"/>
        </w:trPr>
        <w:tc>
          <w:tcPr>
            <w:tcW w:w="2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Year ended December 31, 20</w:t>
            </w: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360"/>
              <w:spacing w:after="0"/>
              <w:rPr>
                <w:sz w:val="20"/>
                <w:szCs w:val="20"/>
                <w:color w:val="auto"/>
              </w:rPr>
            </w:pPr>
            <w:r>
              <w:rPr>
                <w:rFonts w:ascii="Arial" w:cs="Arial" w:eastAsia="Arial" w:hAnsi="Arial"/>
                <w:sz w:val="18"/>
                <w:szCs w:val="18"/>
                <w:color w:val="auto"/>
                <w:w w:val="91"/>
              </w:rPr>
              <w:t>First Quarter (beginning</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 20</w:t>
            </w:r>
          </w:p>
        </w:tc>
        <w:tc>
          <w:tcPr>
            <w:tcW w:w="154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4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gridSpan w:val="2"/>
          </w:tcPr>
          <w:p>
            <w:pPr>
              <w:jc w:val="right"/>
              <w:ind w:right="4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w w:val="94"/>
              </w:rPr>
              <w:t>[Year ending December 31, 20</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gridSpan w:val="2"/>
          </w:tcPr>
          <w:p>
            <w:pPr>
              <w:jc w:val="right"/>
              <w:ind w:right="4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80" w:type="dxa"/>
            <w:vAlign w:val="bottom"/>
            <w:gridSpan w:val="2"/>
          </w:tcPr>
          <w:p>
            <w:pPr>
              <w:jc w:val="right"/>
              <w:ind w:right="4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0"/>
                <w:szCs w:val="20"/>
                <w:color w:val="auto"/>
              </w:rPr>
            </w:pPr>
          </w:p>
        </w:tc>
        <w:tc>
          <w:tcPr>
            <w:tcW w:w="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274" w:lineRule="auto"/>
        <w:tabs>
          <w:tab w:leader="none" w:pos="4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ind w:left="720" w:hanging="263"/>
        <w:spacing w:after="0" w:line="258" w:lineRule="auto"/>
        <w:rPr>
          <w:sz w:val="20"/>
          <w:szCs w:val="20"/>
          <w:color w:val="auto"/>
        </w:rPr>
      </w:pPr>
      <w:r>
        <w:rPr>
          <w:rFonts w:ascii="Arial" w:cs="Arial" w:eastAsia="Arial" w:hAnsi="Arial"/>
          <w:sz w:val="18"/>
          <w:szCs w:val="18"/>
          <w:color w:val="auto"/>
        </w:rPr>
        <w:t>[On</w:t>
      </w:r>
      <w:r>
        <w:rPr>
          <w:sz w:val="20"/>
          <w:szCs w:val="20"/>
          <w:color w:val="auto"/>
        </w:rPr>
        <w:t xml:space="preserve"> </w:t>
      </w:r>
      <w:r>
        <w:rPr>
          <w:rFonts w:ascii="Arial" w:cs="Arial" w:eastAsia="Arial" w:hAnsi="Arial"/>
          <w:sz w:val="18"/>
          <w:szCs w:val="18"/>
          <w:color w:val="auto"/>
        </w:rPr>
        <w:t>, 20 , our Board declared a dividend of $ , 20 . The dividend is expected to be paid on or about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tabs>
          <w:tab w:leader="none" w:pos="3020" w:val="left"/>
          <w:tab w:leader="none" w:pos="3500" w:val="left"/>
        </w:tabs>
        <w:rPr>
          <w:sz w:val="20"/>
          <w:szCs w:val="20"/>
          <w:color w:val="auto"/>
        </w:rPr>
      </w:pPr>
      <w:r>
        <w:rPr>
          <w:rFonts w:ascii="Arial" w:cs="Arial" w:eastAsia="Arial" w:hAnsi="Arial"/>
          <w:sz w:val="18"/>
          <w:szCs w:val="18"/>
          <w:color w:val="auto"/>
        </w:rPr>
        <w:t>per share for the quarter ending</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to stockholders of record as of</w:t>
      </w:r>
    </w:p>
    <w:p>
      <w:pPr>
        <w:spacing w:after="0" w:line="23"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We anticipate that this dividend will be paid from income generated</w:t>
      </w:r>
    </w:p>
    <w:p>
      <w:pPr>
        <w:spacing w:after="0" w:line="8" w:lineRule="exact"/>
        <w:rPr>
          <w:sz w:val="20"/>
          <w:szCs w:val="20"/>
          <w:color w:val="auto"/>
        </w:rPr>
      </w:pPr>
    </w:p>
    <w:p>
      <w:pPr>
        <w:sectPr>
          <w:pgSz w:w="11900" w:h="16838" w:orient="portrait"/>
          <w:cols w:equalWidth="0" w:num="2">
            <w:col w:w="4700" w:space="260"/>
            <w:col w:w="64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primarily by interest earned on our 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(3)Include this section if warrants are for the purchase of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420"/>
          </w:cols>
          <w:pgMar w:left="240" w:top="459" w:right="239" w:bottom="1440" w:gutter="0" w:footer="0" w:header="0"/>
          <w:type w:val="continuous"/>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20" w:type="dxa"/>
            <w:vAlign w:val="bottom"/>
            <w:gridSpan w:val="5"/>
          </w:tcPr>
          <w:p>
            <w:pPr>
              <w:spacing w:after="0"/>
              <w:rPr>
                <w:sz w:val="20"/>
                <w:szCs w:val="20"/>
                <w:color w:val="auto"/>
              </w:rPr>
            </w:pPr>
            <w:r>
              <w:rPr>
                <w:rFonts w:ascii="Arial" w:cs="Arial" w:eastAsia="Arial" w:hAnsi="Arial"/>
                <w:sz w:val="18"/>
                <w:szCs w:val="18"/>
                <w:color w:val="auto"/>
                <w:w w:val="93"/>
              </w:rPr>
              <w:t>The following tables summarize dividends declared during the</w:t>
            </w:r>
          </w:p>
        </w:tc>
        <w:tc>
          <w:tcPr>
            <w:tcW w:w="1400" w:type="dxa"/>
            <w:vAlign w:val="bottom"/>
          </w:tcPr>
          <w:p>
            <w:pPr>
              <w:ind w:left="660"/>
              <w:spacing w:after="0"/>
              <w:rPr>
                <w:sz w:val="20"/>
                <w:szCs w:val="20"/>
                <w:color w:val="auto"/>
              </w:rPr>
            </w:pPr>
            <w:r>
              <w:rPr>
                <w:rFonts w:ascii="Arial" w:cs="Arial" w:eastAsia="Arial" w:hAnsi="Arial"/>
                <w:sz w:val="18"/>
                <w:szCs w:val="18"/>
                <w:color w:val="auto"/>
              </w:rPr>
              <w:t>ended</w:t>
            </w:r>
          </w:p>
        </w:tc>
        <w:tc>
          <w:tcPr>
            <w:tcW w:w="280" w:type="dxa"/>
            <w:vAlign w:val="bottom"/>
          </w:tcPr>
          <w:p>
            <w:pPr>
              <w:spacing w:after="0"/>
              <w:rPr>
                <w:sz w:val="20"/>
                <w:szCs w:val="20"/>
                <w:color w:val="auto"/>
              </w:rPr>
            </w:pPr>
          </w:p>
        </w:tc>
        <w:tc>
          <w:tcPr>
            <w:tcW w:w="4440" w:type="dxa"/>
            <w:vAlign w:val="bottom"/>
            <w:gridSpan w:val="14"/>
          </w:tcPr>
          <w:p>
            <w:pPr>
              <w:ind w:left="160"/>
              <w:spacing w:after="0"/>
              <w:rPr>
                <w:sz w:val="20"/>
                <w:szCs w:val="20"/>
                <w:color w:val="auto"/>
              </w:rPr>
            </w:pPr>
            <w:r>
              <w:rPr>
                <w:rFonts w:ascii="Arial" w:cs="Arial" w:eastAsia="Arial" w:hAnsi="Arial"/>
                <w:sz w:val="18"/>
                <w:szCs w:val="18"/>
                <w:color w:val="auto"/>
                <w:w w:val="98"/>
              </w:rPr>
              <w:t>, 20   and the years ended December 31, 20   and 20 :</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 20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Record Date</w:t>
            </w:r>
          </w:p>
        </w:tc>
        <w:tc>
          <w:tcPr>
            <w:tcW w:w="440" w:type="dxa"/>
            <w:vAlign w:val="bottom"/>
          </w:tcPr>
          <w:p>
            <w:pPr>
              <w:spacing w:after="0"/>
              <w:rPr>
                <w:sz w:val="10"/>
                <w:szCs w:val="10"/>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Payment Date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Dividend</w:t>
            </w:r>
          </w:p>
        </w:tc>
        <w:tc>
          <w:tcPr>
            <w:tcW w:w="2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 20</w:t>
            </w: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4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 20</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2"/>
              </w:rPr>
              <w:t>Payment Date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1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86"/>
              </w:rPr>
              <w:t>, 20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20</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gridSpan w:val="3"/>
          </w:tcPr>
          <w:p>
            <w:pPr>
              <w:jc w:val="center"/>
              <w:ind w:left="194"/>
              <w:spacing w:after="0"/>
              <w:rPr>
                <w:sz w:val="20"/>
                <w:szCs w:val="20"/>
                <w:color w:val="auto"/>
              </w:rPr>
            </w:pPr>
            <w:r>
              <w:rPr>
                <w:rFonts w:ascii="Arial" w:cs="Arial" w:eastAsia="Arial" w:hAnsi="Arial"/>
                <w:sz w:val="18"/>
                <w:szCs w:val="18"/>
                <w:color w:val="auto"/>
                <w:w w:val="86"/>
              </w:rPr>
              <w:t>, 20</w:t>
            </w:r>
          </w:p>
        </w:tc>
        <w:tc>
          <w:tcPr>
            <w:tcW w:w="140" w:type="dxa"/>
            <w:vAlign w:val="bottom"/>
          </w:tcPr>
          <w:p>
            <w:pPr>
              <w:spacing w:after="0"/>
              <w:rPr>
                <w:sz w:val="18"/>
                <w:szCs w:val="18"/>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8"/>
                <w:szCs w:val="18"/>
                <w:color w:val="auto"/>
              </w:rPr>
              <w:t>, 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86"/>
              </w:rPr>
              <w:t>, 20</w:t>
            </w:r>
          </w:p>
        </w:tc>
        <w:tc>
          <w:tcPr>
            <w:tcW w:w="14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20</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3"/>
          </w:tcPr>
          <w:p>
            <w:pPr>
              <w:jc w:val="center"/>
              <w:ind w:left="194"/>
              <w:spacing w:after="0"/>
              <w:rPr>
                <w:sz w:val="20"/>
                <w:szCs w:val="20"/>
                <w:color w:val="auto"/>
              </w:rPr>
            </w:pPr>
            <w:r>
              <w:rPr>
                <w:rFonts w:ascii="Arial" w:cs="Arial" w:eastAsia="Arial" w:hAnsi="Arial"/>
                <w:sz w:val="18"/>
                <w:szCs w:val="18"/>
                <w:color w:val="auto"/>
                <w:w w:val="86"/>
              </w:rPr>
              <w:t>, 20</w:t>
            </w:r>
          </w:p>
        </w:tc>
        <w:tc>
          <w:tcPr>
            <w:tcW w:w="140" w:type="dxa"/>
            <w:vAlign w:val="bottom"/>
          </w:tcPr>
          <w:p>
            <w:pPr>
              <w:spacing w:after="0"/>
              <w:rPr>
                <w:sz w:val="19"/>
                <w:szCs w:val="19"/>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8"/>
                <w:szCs w:val="18"/>
                <w:color w:val="auto"/>
              </w:rPr>
              <w:t>, 20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95"/>
              </w:rPr>
              <w:t>Total Dividends Declared</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 20</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2"/>
              </w:rPr>
              <w:t>Payment Date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1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86"/>
              </w:rPr>
              <w:t>, 20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20</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gridSpan w:val="3"/>
          </w:tcPr>
          <w:p>
            <w:pPr>
              <w:jc w:val="center"/>
              <w:ind w:left="194"/>
              <w:spacing w:after="0"/>
              <w:rPr>
                <w:sz w:val="20"/>
                <w:szCs w:val="20"/>
                <w:color w:val="auto"/>
              </w:rPr>
            </w:pPr>
            <w:r>
              <w:rPr>
                <w:rFonts w:ascii="Arial" w:cs="Arial" w:eastAsia="Arial" w:hAnsi="Arial"/>
                <w:sz w:val="18"/>
                <w:szCs w:val="18"/>
                <w:color w:val="auto"/>
                <w:w w:val="86"/>
              </w:rPr>
              <w:t>, 20</w:t>
            </w:r>
          </w:p>
        </w:tc>
        <w:tc>
          <w:tcPr>
            <w:tcW w:w="140" w:type="dxa"/>
            <w:vAlign w:val="bottom"/>
          </w:tcPr>
          <w:p>
            <w:pPr>
              <w:spacing w:after="0"/>
              <w:rPr>
                <w:sz w:val="18"/>
                <w:szCs w:val="18"/>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8"/>
                <w:szCs w:val="18"/>
                <w:color w:val="auto"/>
              </w:rPr>
              <w:t>, 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86"/>
              </w:rPr>
              <w:t>, 20</w:t>
            </w:r>
          </w:p>
        </w:tc>
        <w:tc>
          <w:tcPr>
            <w:tcW w:w="14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20</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3"/>
          </w:tcPr>
          <w:p>
            <w:pPr>
              <w:jc w:val="center"/>
              <w:ind w:left="194"/>
              <w:spacing w:after="0"/>
              <w:rPr>
                <w:sz w:val="20"/>
                <w:szCs w:val="20"/>
                <w:color w:val="auto"/>
              </w:rPr>
            </w:pPr>
            <w:r>
              <w:rPr>
                <w:rFonts w:ascii="Arial" w:cs="Arial" w:eastAsia="Arial" w:hAnsi="Arial"/>
                <w:sz w:val="18"/>
                <w:szCs w:val="18"/>
                <w:color w:val="auto"/>
                <w:w w:val="86"/>
              </w:rPr>
              <w:t>, 20</w:t>
            </w:r>
          </w:p>
        </w:tc>
        <w:tc>
          <w:tcPr>
            <w:tcW w:w="140" w:type="dxa"/>
            <w:vAlign w:val="bottom"/>
          </w:tcPr>
          <w:p>
            <w:pPr>
              <w:spacing w:after="0"/>
              <w:rPr>
                <w:sz w:val="19"/>
                <w:szCs w:val="19"/>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8"/>
                <w:szCs w:val="18"/>
                <w:color w:val="auto"/>
              </w:rPr>
              <w:t>, 20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95"/>
              </w:rPr>
              <w:t>Total Dividends Declared</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gridSpan w:val="1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00" w:type="dxa"/>
            <w:vAlign w:val="bottom"/>
            <w:gridSpan w:val="3"/>
          </w:tcPr>
          <w:p>
            <w:pPr>
              <w:spacing w:after="0"/>
              <w:rPr>
                <w:sz w:val="20"/>
                <w:szCs w:val="20"/>
                <w:color w:val="auto"/>
              </w:rPr>
            </w:pPr>
            <w:r>
              <w:rPr>
                <w:rFonts w:ascii="Arial" w:cs="Arial" w:eastAsia="Arial" w:hAnsi="Arial"/>
                <w:sz w:val="18"/>
                <w:szCs w:val="18"/>
                <w:color w:val="auto"/>
              </w:rPr>
              <w:t>The dividends declared during the</w:t>
            </w:r>
          </w:p>
        </w:tc>
        <w:tc>
          <w:tcPr>
            <w:tcW w:w="960" w:type="dxa"/>
            <w:vAlign w:val="bottom"/>
          </w:tcPr>
          <w:p>
            <w:pPr>
              <w:ind w:left="140"/>
              <w:spacing w:after="0"/>
              <w:rPr>
                <w:sz w:val="20"/>
                <w:szCs w:val="20"/>
                <w:color w:val="auto"/>
              </w:rPr>
            </w:pPr>
            <w:r>
              <w:rPr>
                <w:rFonts w:ascii="Arial" w:cs="Arial" w:eastAsia="Arial" w:hAnsi="Arial"/>
                <w:sz w:val="18"/>
                <w:szCs w:val="18"/>
                <w:color w:val="auto"/>
              </w:rPr>
              <w:t>ended</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6120" w:type="dxa"/>
            <w:vAlign w:val="bottom"/>
            <w:gridSpan w:val="16"/>
          </w:tcPr>
          <w:p>
            <w:pPr>
              <w:ind w:left="120"/>
              <w:spacing w:after="0"/>
              <w:rPr>
                <w:sz w:val="20"/>
                <w:szCs w:val="20"/>
                <w:color w:val="auto"/>
              </w:rPr>
            </w:pPr>
            <w:r>
              <w:rPr>
                <w:rFonts w:ascii="Arial" w:cs="Arial" w:eastAsia="Arial" w:hAnsi="Arial"/>
                <w:sz w:val="18"/>
                <w:szCs w:val="18"/>
                <w:color w:val="auto"/>
                <w:w w:val="90"/>
              </w:rPr>
              <w:t>were derived from net investment income determined on a tax basis. The dividends</w:t>
            </w:r>
          </w:p>
        </w:tc>
        <w:tc>
          <w:tcPr>
            <w:tcW w:w="0" w:type="dxa"/>
            <w:vAlign w:val="bottom"/>
          </w:tcPr>
          <w:p>
            <w:pPr>
              <w:spacing w:after="0"/>
              <w:rPr>
                <w:sz w:val="1"/>
                <w:szCs w:val="1"/>
                <w:color w:val="auto"/>
              </w:rPr>
            </w:pPr>
          </w:p>
        </w:tc>
      </w:tr>
    </w:tbl>
    <w:p>
      <w:pPr>
        <w:ind w:right="720"/>
        <w:spacing w:after="0" w:line="261" w:lineRule="auto"/>
        <w:rPr>
          <w:sz w:val="20"/>
          <w:szCs w:val="20"/>
          <w:color w:val="auto"/>
        </w:rPr>
      </w:pPr>
      <w:r>
        <w:rPr>
          <w:rFonts w:ascii="Arial" w:cs="Arial" w:eastAsia="Arial" w:hAnsi="Arial"/>
          <w:sz w:val="18"/>
          <w:szCs w:val="18"/>
          <w:color w:val="auto"/>
        </w:rPr>
        <w:t>declared during the years ended December 31, 20 and December 31, 20 , were derived from net investment income and long-term capital gains, determined on a tax basis.</w:t>
      </w:r>
    </w:p>
    <w:p>
      <w:pPr>
        <w:spacing w:after="0" w:line="1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treated as a regulated investment company under Subchapter M of the Internal Revenue Code of 1986, as amended,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 of the amount by which our distributions for a calendar year are less than the sum of:</w:t>
      </w:r>
    </w:p>
    <w:p>
      <w:pPr>
        <w:spacing w:after="0" w:line="78" w:lineRule="exact"/>
        <w:rPr>
          <w:sz w:val="20"/>
          <w:szCs w:val="20"/>
          <w:color w:val="auto"/>
        </w:rPr>
      </w:pPr>
    </w:p>
    <w:p>
      <w:pPr>
        <w:ind w:left="900" w:hanging="325"/>
        <w:spacing w:after="0"/>
        <w:tabs>
          <w:tab w:leader="none" w:pos="9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60" w:right="27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w:t>
      </w:r>
    </w:p>
    <w:p>
      <w:pPr>
        <w:ind w:right="120"/>
        <w:spacing w:after="0" w:line="250" w:lineRule="auto"/>
        <w:rPr>
          <w:sz w:val="20"/>
          <w:szCs w:val="20"/>
          <w:color w:val="auto"/>
        </w:rPr>
      </w:pPr>
      <w:r>
        <w:rPr>
          <w:rFonts w:ascii="Arial" w:cs="Arial" w:eastAsia="Arial" w:hAnsi="Arial"/>
          <w:sz w:val="18"/>
          <w:szCs w:val="18"/>
          <w:color w:val="auto"/>
        </w:rPr>
        <w:t>calendar years ended December 31, 20 and 20 and the ended , 20 for purposes of additional liquidity and we recorded a net expense of $ , $ and $ , respectively, for U.S. federal excise tax as a result.] We cannot assure you that we will achieve results that will permit the payment</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the accompanying prospectus.</w:t>
      </w:r>
    </w:p>
    <w:p>
      <w:pPr>
        <w:spacing w:after="0" w:line="19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common stockholders. If this happens, our common stockholders will be treated for U.S. federal income tax purposes as if they had received an actual distribution of the net capital gains that we retain and they reinvested the net after-tax proceeds in us. In this situation, our common stockholders would be eligible to claim a tax credit (or, in certain circumstances, a tax refund) equal to their allocable share of the tax we paid on the capital gains deemed distributed to them. See “Material U.S. Federal Income Tax Considerations” in the accompanying prospectus. We cannot assure you that we will achieve results that will permit us to pay any cash distributions or that will not be limited in our ability to pay dividends under the asset coverage test applicable to us under the 1940 Act.</w:t>
      </w:r>
    </w:p>
    <w:p>
      <w:pPr>
        <w:spacing w:after="0" w:line="17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 in the accompanying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557" w:name="page558"/>
    <w:bookmarkEnd w:id="557"/>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6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CAPITALIZATION(4)</w:t>
            </w:r>
          </w:p>
        </w:tc>
        <w:tc>
          <w:tcPr>
            <w:tcW w:w="4400" w:type="dxa"/>
            <w:vAlign w:val="bottom"/>
          </w:tcPr>
          <w:p>
            <w:pPr>
              <w:spacing w:after="0"/>
              <w:rPr>
                <w:sz w:val="24"/>
                <w:szCs w:val="24"/>
                <w:color w:val="auto"/>
              </w:rPr>
            </w:pPr>
          </w:p>
        </w:tc>
      </w:tr>
      <w:tr>
        <w:trPr>
          <w:trHeight w:val="432"/>
        </w:trPr>
        <w:tc>
          <w:tcPr>
            <w:tcW w:w="6020" w:type="dxa"/>
            <w:vAlign w:val="bottom"/>
            <w:gridSpan w:val="2"/>
          </w:tcPr>
          <w:p>
            <w:pPr>
              <w:ind w:left="460"/>
              <w:spacing w:after="0"/>
              <w:rPr>
                <w:sz w:val="20"/>
                <w:szCs w:val="20"/>
                <w:color w:val="auto"/>
              </w:rPr>
            </w:pPr>
            <w:r>
              <w:rPr>
                <w:rFonts w:ascii="Arial" w:cs="Arial" w:eastAsia="Arial" w:hAnsi="Arial"/>
                <w:sz w:val="18"/>
                <w:szCs w:val="18"/>
                <w:color w:val="auto"/>
                <w:w w:val="96"/>
              </w:rPr>
              <w:t>The following table sets forth (a) our actual consolidated capitalization at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 20</w:t>
            </w:r>
          </w:p>
        </w:tc>
        <w:tc>
          <w:tcPr>
            <w:tcW w:w="4400" w:type="dxa"/>
            <w:vAlign w:val="bottom"/>
          </w:tcPr>
          <w:p>
            <w:pPr>
              <w:ind w:left="180"/>
              <w:spacing w:after="0"/>
              <w:rPr>
                <w:sz w:val="20"/>
                <w:szCs w:val="20"/>
                <w:color w:val="auto"/>
              </w:rPr>
            </w:pPr>
            <w:r>
              <w:rPr>
                <w:rFonts w:ascii="Arial" w:cs="Arial" w:eastAsia="Arial" w:hAnsi="Arial"/>
                <w:sz w:val="18"/>
                <w:szCs w:val="18"/>
                <w:color w:val="auto"/>
                <w:w w:val="91"/>
              </w:rPr>
              <w:t>and (b) our pro forma consolidated capitalization to reflect</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effects of the sale of our warrants in this offering (assuming that the underwriters do not exercise their over-allotment option) assuming a public offering</w:t>
      </w:r>
    </w:p>
    <w:p>
      <w:pPr>
        <w:spacing w:after="0" w:line="3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price of $ per warrant,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gridSpan w:val="2"/>
          </w:tcPr>
          <w:p>
            <w:pPr>
              <w:ind w:left="460"/>
              <w:spacing w:after="0"/>
              <w:rPr>
                <w:sz w:val="20"/>
                <w:szCs w:val="20"/>
                <w:color w:val="auto"/>
              </w:rPr>
            </w:pPr>
            <w:r>
              <w:rPr>
                <w:rFonts w:ascii="Arial" w:cs="Arial" w:eastAsia="Arial" w:hAnsi="Arial"/>
                <w:sz w:val="14"/>
                <w:szCs w:val="14"/>
                <w:b w:val="1"/>
                <w:bCs w:val="1"/>
                <w:color w:val="auto"/>
              </w:rPr>
              <w:t>As of</w:t>
            </w:r>
          </w:p>
        </w:tc>
        <w:tc>
          <w:tcPr>
            <w:tcW w:w="780" w:type="dxa"/>
            <w:vAlign w:val="bottom"/>
          </w:tcPr>
          <w:p>
            <w:pPr>
              <w:jc w:val="right"/>
              <w:ind w:right="376"/>
              <w:spacing w:after="0"/>
              <w:rPr>
                <w:sz w:val="20"/>
                <w:szCs w:val="20"/>
                <w:color w:val="auto"/>
              </w:rPr>
            </w:pPr>
            <w:r>
              <w:rPr>
                <w:rFonts w:ascii="Arial" w:cs="Arial" w:eastAsia="Arial" w:hAnsi="Arial"/>
                <w:sz w:val="14"/>
                <w:szCs w:val="14"/>
                <w:b w:val="1"/>
                <w:bCs w:val="1"/>
                <w:color w:val="auto"/>
              </w:rPr>
              <w:t>, 20</w:t>
            </w:r>
          </w:p>
        </w:tc>
        <w:tc>
          <w:tcPr>
            <w:tcW w:w="10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(unaudited, dollar amounts</w:t>
            </w:r>
          </w:p>
        </w:tc>
      </w:tr>
      <w:tr>
        <w:trPr>
          <w:trHeight w:val="171"/>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r>
      <w:tr>
        <w:trPr>
          <w:trHeight w:val="142"/>
        </w:trPr>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Actual</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r>
      <w:tr>
        <w:trPr>
          <w:trHeight w:val="210"/>
        </w:trPr>
        <w:tc>
          <w:tcPr>
            <w:tcW w:w="2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Cash and cash equivalents</w:t>
            </w:r>
          </w:p>
        </w:tc>
        <w:tc>
          <w:tcPr>
            <w:tcW w:w="7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[List Debt outstanding as of period reported]</w:t>
            </w: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Total 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80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$0.01 par value;</w:t>
            </w:r>
          </w:p>
        </w:tc>
        <w:tc>
          <w:tcPr>
            <w:tcW w:w="1740" w:type="dxa"/>
            <w:vAlign w:val="bottom"/>
          </w:tcPr>
          <w:p>
            <w:pPr>
              <w:ind w:left="140"/>
              <w:spacing w:after="0" w:line="201" w:lineRule="exact"/>
              <w:rPr>
                <w:sz w:val="20"/>
                <w:szCs w:val="20"/>
                <w:color w:val="auto"/>
              </w:rPr>
            </w:pPr>
            <w:r>
              <w:rPr>
                <w:rFonts w:ascii="Arial" w:cs="Arial" w:eastAsia="Arial" w:hAnsi="Arial"/>
                <w:sz w:val="18"/>
                <w:szCs w:val="18"/>
                <w:color w:val="auto"/>
              </w:rPr>
              <w:t>shares authorized;</w:t>
            </w:r>
          </w:p>
        </w:tc>
        <w:tc>
          <w:tcPr>
            <w:tcW w:w="1060" w:type="dxa"/>
            <w:vAlign w:val="bottom"/>
          </w:tcPr>
          <w:p>
            <w:pPr>
              <w:ind w:left="300"/>
              <w:spacing w:after="0" w:line="201" w:lineRule="exact"/>
              <w:rPr>
                <w:sz w:val="20"/>
                <w:szCs w:val="20"/>
                <w:color w:val="auto"/>
              </w:rPr>
            </w:pPr>
            <w:r>
              <w:rPr>
                <w:rFonts w:ascii="Arial" w:cs="Arial" w:eastAsia="Arial" w:hAnsi="Arial"/>
                <w:sz w:val="18"/>
                <w:szCs w:val="18"/>
                <w:color w:val="auto"/>
              </w:rPr>
              <w:t>and</w:t>
            </w:r>
          </w:p>
        </w:tc>
        <w:tc>
          <w:tcPr>
            <w:tcW w:w="402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shares issued and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00" w:type="dxa"/>
            <w:vAlign w:val="bottom"/>
            <w:gridSpan w:val="2"/>
          </w:tcPr>
          <w:p>
            <w:pPr>
              <w:ind w:left="180"/>
              <w:spacing w:after="0"/>
              <w:rPr>
                <w:sz w:val="20"/>
                <w:szCs w:val="20"/>
                <w:color w:val="auto"/>
              </w:rPr>
            </w:pPr>
            <w:r>
              <w:rPr>
                <w:rFonts w:ascii="Arial" w:cs="Arial" w:eastAsia="Arial" w:hAnsi="Arial"/>
                <w:sz w:val="18"/>
                <w:szCs w:val="18"/>
                <w:color w:val="auto"/>
                <w:w w:val="95"/>
              </w:rPr>
              <w:t>outstanding, respectively</w:t>
            </w: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r>
      <w:tr>
        <w:trPr>
          <w:trHeight w:val="202"/>
        </w:trPr>
        <w:tc>
          <w:tcPr>
            <w:tcW w:w="2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w:t>
            </w:r>
          </w:p>
        </w:tc>
        <w:tc>
          <w:tcPr>
            <w:tcW w:w="1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shares authorized;</w:t>
            </w:r>
          </w:p>
        </w:tc>
        <w:tc>
          <w:tcPr>
            <w:tcW w:w="10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and</w:t>
            </w:r>
          </w:p>
        </w:tc>
        <w:tc>
          <w:tcPr>
            <w:tcW w:w="402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shares issued, respectively;</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and</w:t>
            </w:r>
          </w:p>
        </w:tc>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shares outstanding, respectively</w:t>
            </w:r>
          </w:p>
        </w:tc>
        <w:tc>
          <w:tcPr>
            <w:tcW w:w="10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w w:val="95"/>
              </w:rPr>
              <w:t>Undistributed net investment income</w:t>
            </w: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Net unrealized [gain][loss] on investments and foreign currency transactions</w:t>
            </w: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capitalization</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right"/>
        <w:ind w:right="5380"/>
        <w:spacing w:after="0" w:line="449" w:lineRule="auto"/>
        <w:rPr>
          <w:sz w:val="20"/>
          <w:szCs w:val="20"/>
          <w:color w:val="auto"/>
        </w:rPr>
      </w:pPr>
      <w:r>
        <w:rPr>
          <w:rFonts w:ascii="Arial" w:cs="Arial" w:eastAsia="Arial" w:hAnsi="Arial"/>
          <w:sz w:val="18"/>
          <w:szCs w:val="18"/>
          <w:color w:val="auto"/>
        </w:rPr>
        <w:t>(4)Add to Capitalization table the securities underlying the warrants, if applicable. S-19</w:t>
      </w:r>
    </w:p>
    <w:p>
      <w:pPr>
        <w:sectPr>
          <w:pgSz w:w="11900" w:h="16838" w:orient="portrait"/>
          <w:cols w:equalWidth="0" w:num="1">
            <w:col w:w="11320"/>
          </w:cols>
          <w:pgMar w:left="240" w:top="445" w:right="339"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464"/>
        <w:spacing w:after="0" w:line="264" w:lineRule="auto"/>
        <w:tabs>
          <w:tab w:leader="none" w:pos="105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number of warrants set forth opposite its name below.</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3820" w:type="dxa"/>
            <w:vAlign w:val="bottom"/>
          </w:tcPr>
          <w:p>
            <w:pPr>
              <w:jc w:val="center"/>
              <w:ind w:left="30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3820" w:type="dxa"/>
            <w:vAlign w:val="bottom"/>
          </w:tcPr>
          <w:p>
            <w:pPr>
              <w:jc w:val="center"/>
              <w:ind w:left="3088"/>
              <w:spacing w:after="0"/>
              <w:rPr>
                <w:sz w:val="20"/>
                <w:szCs w:val="20"/>
                <w:color w:val="auto"/>
              </w:rPr>
            </w:pPr>
            <w:r>
              <w:rPr>
                <w:rFonts w:ascii="Arial" w:cs="Arial" w:eastAsia="Arial" w:hAnsi="Arial"/>
                <w:sz w:val="14"/>
                <w:szCs w:val="14"/>
                <w:b w:val="1"/>
                <w:bCs w:val="1"/>
                <w:u w:val="single" w:color="auto"/>
                <w:color w:val="auto"/>
                <w:w w:val="95"/>
              </w:rPr>
              <w:t>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Total</w:t>
      </w:r>
    </w:p>
    <w:p>
      <w:pPr>
        <w:spacing w:after="0" w:line="209"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Subject to the terms and conditions set forth in the purchase agreement, the underwriters have agreed, severally and not jointly, to purchase all of the warrants sold under the purchase agreement if any of these warrants are purchased. If an underwriter defaults, the purchase agreement provides that the purchase commitments of the nondefaulting underwriters may be increased or the purchase agreement may be terminated.</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underwriters are offering the warrants, subject to prior sale, when, as and if issued to and accepted by them, subject to approval of legal matters by their counsel, including the validity of the warrants,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have advised us that the underwriters propose initially to offer the warrants to the public at the public offering price set forth on the</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cover page of this prospectus and to dealers at that price less a concession not in excess of $ per warrant. After the initial offering, the public offering price, concession or any other term of the offering may be changed.</w:t>
      </w:r>
    </w:p>
    <w:p>
      <w:pPr>
        <w:spacing w:after="0" w:line="18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Per Warrant</w:t>
            </w:r>
          </w:p>
        </w:tc>
        <w:tc>
          <w:tcPr>
            <w:tcW w:w="56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 Option]</w:t>
            </w:r>
          </w:p>
        </w:tc>
      </w:tr>
      <w:tr>
        <w:trPr>
          <w:trHeight w:val="196"/>
        </w:trPr>
        <w:tc>
          <w:tcPr>
            <w:tcW w:w="92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18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to us, before expenses</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432"/>
        </w:trPr>
        <w:tc>
          <w:tcPr>
            <w:tcW w:w="7020" w:type="dxa"/>
            <w:vAlign w:val="bottom"/>
            <w:gridSpan w:val="6"/>
          </w:tcPr>
          <w:p>
            <w:pPr>
              <w:ind w:left="460"/>
              <w:spacing w:after="0"/>
              <w:rPr>
                <w:sz w:val="20"/>
                <w:szCs w:val="20"/>
                <w:color w:val="auto"/>
              </w:rPr>
            </w:pPr>
            <w:r>
              <w:rPr>
                <w:rFonts w:ascii="Arial" w:cs="Arial" w:eastAsia="Arial" w:hAnsi="Arial"/>
                <w:sz w:val="18"/>
                <w:szCs w:val="18"/>
                <w:color w:val="auto"/>
                <w:w w:val="93"/>
              </w:rPr>
              <w:t>The expenses of the offering, not including the underwriting discount, are estimated at $</w:t>
            </w:r>
          </w:p>
        </w:tc>
        <w:tc>
          <w:tcPr>
            <w:tcW w:w="2640" w:type="dxa"/>
            <w:vAlign w:val="bottom"/>
            <w:gridSpan w:val="3"/>
          </w:tcPr>
          <w:p>
            <w:pPr>
              <w:ind w:left="200"/>
              <w:spacing w:after="0"/>
              <w:rPr>
                <w:sz w:val="20"/>
                <w:szCs w:val="20"/>
                <w:color w:val="auto"/>
              </w:rPr>
            </w:pPr>
            <w:r>
              <w:rPr>
                <w:rFonts w:ascii="Arial" w:cs="Arial" w:eastAsia="Arial" w:hAnsi="Arial"/>
                <w:sz w:val="18"/>
                <w:szCs w:val="18"/>
                <w:color w:val="auto"/>
              </w:rPr>
              <w:t>and are payable by us.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[Over-allotment Option</w:t>
            </w: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0"/>
        </w:trPr>
        <w:tc>
          <w:tcPr>
            <w:tcW w:w="5360" w:type="dxa"/>
            <w:vAlign w:val="bottom"/>
            <w:gridSpan w:val="3"/>
          </w:tcPr>
          <w:p>
            <w:pPr>
              <w:ind w:left="460"/>
              <w:spacing w:after="0"/>
              <w:rPr>
                <w:sz w:val="20"/>
                <w:szCs w:val="20"/>
                <w:color w:val="auto"/>
              </w:rPr>
            </w:pPr>
            <w:r>
              <w:rPr>
                <w:rFonts w:ascii="Arial" w:cs="Arial" w:eastAsia="Arial" w:hAnsi="Arial"/>
                <w:sz w:val="18"/>
                <w:szCs w:val="18"/>
                <w:color w:val="auto"/>
                <w:w w:val="94"/>
              </w:rPr>
              <w:t>We have granted an option to the underwriters to purchase up to</w:t>
            </w:r>
          </w:p>
        </w:tc>
        <w:tc>
          <w:tcPr>
            <w:tcW w:w="5940" w:type="dxa"/>
            <w:vAlign w:val="bottom"/>
            <w:gridSpan w:val="8"/>
          </w:tcPr>
          <w:p>
            <w:pPr>
              <w:ind w:left="300"/>
              <w:spacing w:after="0"/>
              <w:rPr>
                <w:sz w:val="20"/>
                <w:szCs w:val="20"/>
                <w:color w:val="auto"/>
              </w:rPr>
            </w:pPr>
            <w:r>
              <w:rPr>
                <w:rFonts w:ascii="Arial" w:cs="Arial" w:eastAsia="Arial" w:hAnsi="Arial"/>
                <w:sz w:val="18"/>
                <w:szCs w:val="18"/>
                <w:color w:val="auto"/>
                <w:w w:val="91"/>
              </w:rPr>
              <w:t>additional warrants at the public offering price, less the underwriting discount.</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w w:val="96"/>
              </w:rPr>
              <w:t>The underwriters may exercise this option for</w:t>
            </w:r>
          </w:p>
        </w:tc>
        <w:tc>
          <w:tcPr>
            <w:tcW w:w="7800" w:type="dxa"/>
            <w:vAlign w:val="bottom"/>
            <w:gridSpan w:val="9"/>
          </w:tcPr>
          <w:p>
            <w:pPr>
              <w:ind w:left="200"/>
              <w:spacing w:after="0"/>
              <w:rPr>
                <w:sz w:val="20"/>
                <w:szCs w:val="20"/>
                <w:color w:val="auto"/>
              </w:rPr>
            </w:pPr>
            <w:r>
              <w:rPr>
                <w:rFonts w:ascii="Arial" w:cs="Arial" w:eastAsia="Arial" w:hAnsi="Arial"/>
                <w:sz w:val="18"/>
                <w:szCs w:val="18"/>
                <w:color w:val="auto"/>
                <w:w w:val="91"/>
              </w:rPr>
              <w:t>days from the date of this prospectus supplement solely to cover any over-allotments. If the underwriters</w:t>
            </w:r>
          </w:p>
        </w:tc>
      </w:tr>
    </w:tbl>
    <w:p>
      <w:pPr>
        <w:ind w:right="800"/>
        <w:spacing w:after="0" w:line="261" w:lineRule="auto"/>
        <w:rPr>
          <w:sz w:val="20"/>
          <w:szCs w:val="20"/>
          <w:color w:val="auto"/>
        </w:rPr>
      </w:pPr>
      <w:r>
        <w:rPr>
          <w:rFonts w:ascii="Arial" w:cs="Arial" w:eastAsia="Arial" w:hAnsi="Arial"/>
          <w:sz w:val="18"/>
          <w:szCs w:val="18"/>
          <w:color w:val="auto"/>
        </w:rPr>
        <w:t>exercise this option, each will be obligated, subject to conditions contained in the purchase agreement, to purchase a number of additional warrants proportionate to that underwriter’s initial amount reflected in the above table.]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559" w:name="page560"/>
    <w:bookmarkEnd w:id="55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2340" w:type="dxa"/>
            <w:vAlign w:val="bottom"/>
          </w:tcPr>
          <w:p>
            <w:pPr>
              <w:spacing w:after="0"/>
              <w:rPr>
                <w:sz w:val="17"/>
                <w:szCs w:val="17"/>
                <w:color w:val="auto"/>
              </w:rPr>
            </w:pPr>
          </w:p>
        </w:tc>
        <w:tc>
          <w:tcPr>
            <w:tcW w:w="7380" w:type="dxa"/>
            <w:vAlign w:val="bottom"/>
          </w:tcPr>
          <w:p>
            <w:pPr>
              <w:spacing w:after="0"/>
              <w:rPr>
                <w:sz w:val="17"/>
                <w:szCs w:val="17"/>
                <w:color w:val="auto"/>
              </w:rPr>
            </w:pPr>
          </w:p>
        </w:tc>
      </w:tr>
      <w:tr>
        <w:trPr>
          <w:trHeight w:val="534"/>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[No Sales of Similar Securities</w:t>
            </w:r>
          </w:p>
        </w:tc>
        <w:tc>
          <w:tcPr>
            <w:tcW w:w="738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10760" w:type="dxa"/>
            <w:vAlign w:val="bottom"/>
            <w:gridSpan w:val="3"/>
          </w:tcPr>
          <w:p>
            <w:pPr>
              <w:ind w:left="140"/>
              <w:spacing w:after="0"/>
              <w:rPr>
                <w:sz w:val="20"/>
                <w:szCs w:val="20"/>
                <w:color w:val="auto"/>
              </w:rPr>
            </w:pPr>
            <w:r>
              <w:rPr>
                <w:rFonts w:ascii="Arial" w:cs="Arial" w:eastAsia="Arial" w:hAnsi="Arial"/>
                <w:sz w:val="18"/>
                <w:szCs w:val="18"/>
                <w:color w:val="auto"/>
                <w:w w:val="93"/>
              </w:rPr>
              <w:t>We have agreed, with exceptions, not to sell or transfer any warrants or [type of security] for   days after the date of this prospectus supplement</w:t>
            </w: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without first obtaining the written consent of [</w:t>
            </w:r>
          </w:p>
        </w:tc>
        <w:tc>
          <w:tcPr>
            <w:tcW w:w="7380" w:type="dxa"/>
            <w:vAlign w:val="bottom"/>
          </w:tcPr>
          <w:p>
            <w:pPr>
              <w:jc w:val="right"/>
              <w:ind w:right="6770"/>
              <w:spacing w:after="0"/>
              <w:rPr>
                <w:sz w:val="20"/>
                <w:szCs w:val="20"/>
                <w:color w:val="auto"/>
              </w:rPr>
            </w:pPr>
            <w:r>
              <w:rPr>
                <w:rFonts w:ascii="Arial" w:cs="Arial" w:eastAsia="Arial" w:hAnsi="Arial"/>
                <w:sz w:val="18"/>
                <w:szCs w:val="18"/>
                <w:color w:val="auto"/>
              </w:rPr>
              <w:t>].]</w:t>
            </w:r>
          </w:p>
        </w:tc>
      </w:tr>
      <w:tr>
        <w:trPr>
          <w:trHeight w:val="540"/>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[Listing</w:t>
            </w:r>
          </w:p>
        </w:tc>
        <w:tc>
          <w:tcPr>
            <w:tcW w:w="73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10760" w:type="dxa"/>
            <w:vAlign w:val="bottom"/>
            <w:gridSpan w:val="3"/>
          </w:tcPr>
          <w:p>
            <w:pPr>
              <w:ind w:left="140"/>
              <w:spacing w:after="0"/>
              <w:rPr>
                <w:sz w:val="20"/>
                <w:szCs w:val="20"/>
                <w:color w:val="auto"/>
              </w:rPr>
            </w:pPr>
            <w:r>
              <w:rPr>
                <w:rFonts w:ascii="Arial" w:cs="Arial" w:eastAsia="Arial" w:hAnsi="Arial"/>
                <w:sz w:val="18"/>
                <w:szCs w:val="18"/>
                <w:color w:val="auto"/>
              </w:rPr>
              <w:t>[Our [type of security] is listed on the under the symbol “TSLX.”]</w:t>
            </w:r>
          </w:p>
        </w:tc>
      </w:tr>
      <w:tr>
        <w:trPr>
          <w:trHeight w:val="418"/>
        </w:trPr>
        <w:tc>
          <w:tcPr>
            <w:tcW w:w="320" w:type="dxa"/>
            <w:vAlign w:val="bottom"/>
          </w:tcPr>
          <w:p>
            <w:pPr>
              <w:spacing w:after="0"/>
              <w:rPr>
                <w:sz w:val="24"/>
                <w:szCs w:val="24"/>
                <w:color w:val="auto"/>
              </w:rPr>
            </w:pPr>
          </w:p>
        </w:tc>
        <w:tc>
          <w:tcPr>
            <w:tcW w:w="10760" w:type="dxa"/>
            <w:vAlign w:val="bottom"/>
            <w:gridSpan w:val="3"/>
          </w:tcPr>
          <w:p>
            <w:pPr>
              <w:ind w:left="140"/>
              <w:spacing w:after="0"/>
              <w:rPr>
                <w:sz w:val="20"/>
                <w:szCs w:val="20"/>
                <w:color w:val="auto"/>
              </w:rPr>
            </w:pPr>
            <w:r>
              <w:rPr>
                <w:rFonts w:ascii="Arial" w:cs="Arial" w:eastAsia="Arial" w:hAnsi="Arial"/>
                <w:sz w:val="18"/>
                <w:szCs w:val="18"/>
                <w:color w:val="auto"/>
                <w:w w:val="90"/>
              </w:rPr>
              <w:t>[Our warrants are a new issue of securities with no established trading market. We intend to list our warrants on . We expect trading in our warrants</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on</w:t>
            </w:r>
          </w:p>
        </w:tc>
        <w:tc>
          <w:tcPr>
            <w:tcW w:w="10760" w:type="dxa"/>
            <w:vAlign w:val="bottom"/>
            <w:gridSpan w:val="3"/>
          </w:tcPr>
          <w:p>
            <w:pPr>
              <w:ind w:left="460"/>
              <w:spacing w:after="0"/>
              <w:rPr>
                <w:sz w:val="20"/>
                <w:szCs w:val="20"/>
                <w:color w:val="auto"/>
              </w:rPr>
            </w:pPr>
            <w:r>
              <w:rPr>
                <w:rFonts w:ascii="Arial" w:cs="Arial" w:eastAsia="Arial" w:hAnsi="Arial"/>
                <w:sz w:val="18"/>
                <w:szCs w:val="18"/>
                <w:color w:val="auto"/>
              </w:rPr>
              <w:t>to begin within   days after the original issue date. Currently there is no public market for our warrants.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0" w:firstLine="456"/>
        <w:spacing w:after="0" w:line="257" w:lineRule="auto"/>
        <w:rPr>
          <w:sz w:val="20"/>
          <w:szCs w:val="20"/>
          <w:color w:val="auto"/>
        </w:rPr>
      </w:pPr>
      <w:r>
        <w:rPr>
          <w:rFonts w:ascii="Arial" w:cs="Arial" w:eastAsia="Arial" w:hAnsi="Arial"/>
          <w:sz w:val="18"/>
          <w:szCs w:val="18"/>
          <w:color w:val="auto"/>
        </w:rPr>
        <w:t>We have been advised by the underwriters that they presently intend to make a market in our warrants after completion of the offering as permitted by applicable laws and regulations. The underwriters are not obligated, however, to make a market in our warrants and any such market making may be discontinued at any time in the sole discretion of the underwriters without any notice. Accordingly, no assurance can be given as to the liquidity of, or development of a public trading market for, our warrants. If any active public trading market for our warrants does not develop, the market price and liquidity of our warrants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Until the distribution of the warrants is completed, SEC rules may limit underwriters and selling group members from bidding for and purchasing our warrants or [type of security]. However, the representatives may engage in transactions that stabilize the price of the warrants, such as bids or purchases to peg, fix or maintain that price.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warrants in the open market. These transactions may include short sales, purchases on the open market to cover positions created by short sales and stabilizing transactions. Short sales involve the sale by the underwriters of a greater number of warrants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warrants in the open market. In determining the source of warrants to close out the covered short position, the underwriters will consider, among other things, the price of warrants available for purchase in the open market as compared to the price at which they may purchase warrants through the over-allotment option. “Naked” short sales are sales in excess of the over-allotment option. The underwriters must close out any naked short position by purchasing warrants in the open market. A naked short position is more likely to be created if the underwriters are concerned that there may be downward pressure on the price of our warrants in the open market after pricing that could adversely affect investors who purchase in the offering. Stabilizing transactions consist of various bids for or purchases of warrants made by the underwriters in the open market prior to the completion of the offering.</w:t>
      </w:r>
    </w:p>
    <w:p>
      <w:pPr>
        <w:spacing w:after="0" w:line="16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our warrants or preventing or retarding a decline in the market price of our warrants. As a result, the price of our warrants may be higher than</w:t>
      </w:r>
    </w:p>
    <w:p>
      <w:pPr>
        <w:ind w:right="400"/>
        <w:spacing w:after="0" w:line="261" w:lineRule="auto"/>
        <w:rPr>
          <w:sz w:val="20"/>
          <w:szCs w:val="20"/>
          <w:color w:val="auto"/>
        </w:rPr>
      </w:pPr>
      <w:r>
        <w:rPr>
          <w:rFonts w:ascii="Arial" w:cs="Arial" w:eastAsia="Arial" w:hAnsi="Arial"/>
          <w:sz w:val="18"/>
          <w:szCs w:val="18"/>
          <w:color w:val="auto"/>
        </w:rPr>
        <w:t>the price that might otherwise exist in the open market. The underwriters may conduct these transactions on , in the over-the-counter market or otherwise.</w:t>
      </w:r>
    </w:p>
    <w:p>
      <w:pPr>
        <w:spacing w:after="0" w:line="18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warrants. In addition, neither we nor any of the underwriters make any representation that the representatives will engage in these transactions or that these transactions, once commenced, will not be discontinued without notice.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46" w:right="239"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[Describe any other specific transactions and compensation related thereto to the extent required to be disclosed by applicable law or regulation.]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[Describe if underwriters receiving proceeds of offering, if required by FINRA.]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principal business addresses of underwriters.]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40"/>
          </w:cols>
          <w:pgMar w:left="240" w:top="459" w:right="319"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tabs>
          <w:tab w:leader="none" w:pos="10680" w:val="left"/>
        </w:tabs>
        <w:rPr>
          <w:sz w:val="20"/>
          <w:szCs w:val="20"/>
          <w:color w:val="auto"/>
        </w:rPr>
      </w:pPr>
      <w:r>
        <w:rPr>
          <w:rFonts w:ascii="Arial" w:cs="Arial" w:eastAsia="Arial" w:hAnsi="Arial"/>
          <w:sz w:val="17"/>
          <w:szCs w:val="17"/>
          <w:color w:val="auto"/>
        </w:rPr>
        <w:t>Hamilton LLP also represents the Adviser. Certain legal matters in connection with the offering will be passed upon for the underwriters by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600" w:hanging="592"/>
        <w:spacing w:after="0"/>
        <w:tabs>
          <w:tab w:leader="none" w:pos="6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240" w:top="459" w:right="519"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financial statements and notes thereto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563" w:name="page564"/>
    <w:bookmarkEnd w:id="5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1283970</wp:posOffset>
            </wp:positionV>
            <wp:extent cx="1346200" cy="660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80"/>
        <w:spacing w:after="0"/>
        <w:tabs>
          <w:tab w:leader="none" w:pos="6680" w:val="left"/>
        </w:tabs>
        <w:rPr>
          <w:sz w:val="20"/>
          <w:szCs w:val="20"/>
          <w:color w:val="auto"/>
        </w:rPr>
      </w:pPr>
      <w:r>
        <w:rPr>
          <w:rFonts w:ascii="Arial" w:cs="Arial" w:eastAsia="Arial" w:hAnsi="Arial"/>
          <w:sz w:val="25"/>
          <w:szCs w:val="25"/>
          <w:color w:val="auto"/>
        </w:rPr>
        <w:t>Warrants to Purchase Up to</w:t>
      </w:r>
      <w:r>
        <w:rPr>
          <w:sz w:val="20"/>
          <w:szCs w:val="20"/>
          <w:color w:val="auto"/>
        </w:rPr>
        <w:tab/>
      </w:r>
      <w:r>
        <w:rPr>
          <w:rFonts w:ascii="Arial" w:cs="Arial" w:eastAsia="Arial" w:hAnsi="Arial"/>
          <w:sz w:val="23"/>
          <w:szCs w:val="23"/>
          <w:color w:val="auto"/>
        </w:rPr>
        <w:t>[Type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1037590</wp:posOffset>
            </wp:positionV>
            <wp:extent cx="151765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Arial" w:cs="Arial" w:eastAsia="Arial" w:hAnsi="Arial"/>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24662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1061085</wp:posOffset>
            </wp:positionV>
            <wp:extent cx="7246620" cy="260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type w:val="continuous"/>
        </w:sectPr>
      </w:pPr>
    </w:p>
    <w:bookmarkStart w:id="564" w:name="page565"/>
    <w:bookmarkEnd w:id="5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Writer’s Direct Dial: +1 (212) 225-2286</w:t>
      </w:r>
    </w:p>
    <w:p>
      <w:pPr>
        <w:spacing w:after="0" w:line="46"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E-Mail: afleisher@cgsh.com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400"/>
        <w:spacing w:after="0"/>
        <w:rPr>
          <w:sz w:val="20"/>
          <w:szCs w:val="20"/>
          <w:color w:val="auto"/>
        </w:rPr>
      </w:pPr>
      <w:r>
        <w:rPr>
          <w:rFonts w:ascii="Arial" w:cs="Arial" w:eastAsia="Arial" w:hAnsi="Arial"/>
          <w:sz w:val="16"/>
          <w:szCs w:val="16"/>
          <w:color w:val="auto"/>
        </w:rPr>
        <w:t>July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-2233930</wp:posOffset>
            </wp:positionV>
            <wp:extent cx="6003290" cy="19723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003290" cy="1972310"/>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6260" w:space="720"/>
            <w:col w:w="4380"/>
          </w:cols>
          <w:pgMar w:left="240" w:top="1440" w:right="29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June 23, 2014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Nos. 814-00854 and 333-196969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Greene:</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to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in its letter dated July 22, 2014 with respect to the above referenced Registration Statement on Form N-2 filed on June 23, 2014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filed today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the Registration Statement, together with this letter via EDGAR submission.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letter are used as defined in Amendment No. 1.</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your convenience, the text of the Staff’s comments is set forth in bold below, followed in each case by the Company’s response. Unless otherwise indicated, all page references in the responses set forth below are to the pages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74295</wp:posOffset>
            </wp:positionV>
            <wp:extent cx="5076825" cy="11176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076825" cy="11176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type w:val="continuous"/>
        </w:sectPr>
      </w:pPr>
    </w:p>
    <w:bookmarkStart w:id="565" w:name="page566"/>
    <w:bookmarkEnd w:id="5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17" w:lineRule="exact"/>
        <w:rPr>
          <w:sz w:val="20"/>
          <w:szCs w:val="20"/>
          <w:color w:val="auto"/>
        </w:rPr>
      </w:pPr>
    </w:p>
    <w:p>
      <w:pPr>
        <w:ind w:left="460" w:right="1520" w:hanging="452"/>
        <w:spacing w:after="0" w:line="407" w:lineRule="auto"/>
        <w:tabs>
          <w:tab w:leader="none" w:pos="184"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Confirm that the disclosure in the filing meets the type size requirements of Rule 420 under Regulation C of the Securities Act. </w:t>
      </w:r>
      <w:r>
        <w:rPr>
          <w:rFonts w:ascii="Arial" w:cs="Arial" w:eastAsia="Arial" w:hAnsi="Arial"/>
          <w:sz w:val="18"/>
          <w:szCs w:val="18"/>
          <w:u w:val="single" w:color="auto"/>
          <w:color w:val="auto"/>
        </w:rPr>
        <w:t>Response: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confirms that the disclosure in the filing meets the type size requirements of Rule 420 under Regulation C of the Securities Act.</w:t>
      </w:r>
    </w:p>
    <w:p>
      <w:pPr>
        <w:spacing w:after="0" w:line="341" w:lineRule="exact"/>
        <w:rPr>
          <w:sz w:val="20"/>
          <w:szCs w:val="20"/>
          <w:color w:val="auto"/>
        </w:rPr>
      </w:pPr>
    </w:p>
    <w:p>
      <w:pPr>
        <w:ind w:right="160" w:firstLine="8"/>
        <w:spacing w:after="0" w:line="261" w:lineRule="auto"/>
        <w:tabs>
          <w:tab w:leader="none" w:pos="18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The cover page of the submission indicates that this offering was made on Form N-2. The submission contains a prospectus, including financial statements, and Part C. No guidance accompanies the submission indicating whether all the information required by Parts A and B of Form N-2 have been included therein. Upon amending the filing to respond to the staff’s comments, please include information indicating how and where the information required by the form has been presented.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response to the Staff’s comment, the Company has included information indicating how and where the information required by Parts A and B of Form N-2 has been presented in the Registration Statement.</w:t>
      </w:r>
    </w:p>
    <w:p>
      <w:pPr>
        <w:spacing w:after="0" w:line="275" w:lineRule="exact"/>
        <w:rPr>
          <w:sz w:val="20"/>
          <w:szCs w:val="20"/>
          <w:color w:val="auto"/>
        </w:rPr>
      </w:pPr>
    </w:p>
    <w:p>
      <w:pPr>
        <w:ind w:right="60" w:firstLine="8"/>
        <w:spacing w:after="0" w:line="314" w:lineRule="auto"/>
        <w:tabs>
          <w:tab w:leader="none" w:pos="180" w:val="left"/>
        </w:tabs>
        <w:numPr>
          <w:ilvl w:val="0"/>
          <w:numId w:val="456"/>
        </w:numPr>
        <w:rPr>
          <w:rFonts w:ascii="Arial" w:cs="Arial" w:eastAsia="Arial" w:hAnsi="Arial"/>
          <w:sz w:val="16"/>
          <w:szCs w:val="16"/>
          <w:b w:val="1"/>
          <w:bCs w:val="1"/>
          <w:color w:val="auto"/>
        </w:rPr>
      </w:pPr>
      <w:r>
        <w:rPr>
          <w:rFonts w:ascii="Arial" w:cs="Arial" w:eastAsia="Arial" w:hAnsi="Arial"/>
          <w:sz w:val="16"/>
          <w:szCs w:val="16"/>
          <w:b w:val="1"/>
          <w:bCs w:val="1"/>
          <w:color w:val="auto"/>
        </w:rPr>
        <w:t>Because the disclosure in the prospectus provides only a generic description of the debt securities that the Fund may issue, please provide a representation that the Fund will not file a prospectus supplement for a take-down of a debt offering referred to as “senior” unless the terms of such an offering are fully described in a post-effective amendment or a new registration statement that must be accelerated by the staff.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respectfully advises the Staff that it will not offer any “senior” security unless the terms of such an offering are fully described in the Registration Statement as discussed below. Convention in the securities industry is to refer to unsecured indebtedness as “senior” if that indebtedness ranks senior in right of payment to future indebtedness of the Company that is expressly subordinated in right of payment to such unsecured indebtedness. In this regard, the Company has added disclosure on page 161. Secured indebtedness is senior to senior unsecured indebtedness, but only to the extent of the relevant security interest. Market convention is to refer to such indebtedness as “senior secured” indebtedness. In this regard, the Company notes the disclosure on page 161 that describes that unsecured indebtedness will effectively rank junior to any secured indebtedness that the Company incurs to the extent of the value of the assets securing such secured indebtedness. Similarly, any senior unsecured indebtedness of the Company will rank structurally junior to existing and future indebtedness (including trade payables) incurred by the Company’s subsidiaries, financing vehicles or similar facilities. In this regard, the Company notes the relevant disclosure on page 161. Therefore, the Company believes that it is appropriate to refer to unsecured debt securities as “senior”, and no further disclosure or post-effective amendments or registration statements are necessary, if that unsecured indebtedness ranks senior in right of payment to future indebtedness of the Company that is expressly subordinated in right of payment to such unsecured indebtedness.</w:t>
      </w:r>
    </w:p>
    <w:p>
      <w:pPr>
        <w:sectPr>
          <w:pgSz w:w="11900" w:h="16838" w:orient="portrait"/>
          <w:cols w:equalWidth="0" w:num="1">
            <w:col w:w="11400"/>
          </w:cols>
          <w:pgMar w:left="240" w:top="273" w:right="259" w:bottom="1440" w:gutter="0" w:footer="0" w:header="0"/>
        </w:sectPr>
      </w:pPr>
    </w:p>
    <w:bookmarkStart w:id="566" w:name="page567"/>
    <w:bookmarkEnd w:id="5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Facing Page</w:t>
      </w:r>
    </w:p>
    <w:p>
      <w:pPr>
        <w:spacing w:after="0" w:line="117" w:lineRule="exact"/>
        <w:rPr>
          <w:sz w:val="20"/>
          <w:szCs w:val="20"/>
          <w:color w:val="auto"/>
        </w:rPr>
      </w:pPr>
    </w:p>
    <w:p>
      <w:pPr>
        <w:ind w:firstLine="8"/>
        <w:spacing w:after="0" w:line="277" w:lineRule="auto"/>
        <w:tabs>
          <w:tab w:leader="none" w:pos="180" w:val="left"/>
        </w:tabs>
        <w:numPr>
          <w:ilvl w:val="0"/>
          <w:numId w:val="457"/>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in footnote 5 states the following: “Each unit may consist of a combination of any one or more of the securities being registered hereunder and may also include securities issued by third parties, including the U.S. Treasury.” In this connection, explain supplementally the other types of third party securities that may be included? Explain why you are offering units that include securities of third parties? Please provide us with an example of a “unit” and how it will be offered and priced. Please also provide an analysis explaining the basis for offering debt obligations of third parties, including U.S. Treasuries. In your response please address the following:</w:t>
      </w:r>
    </w:p>
    <w:p>
      <w:pPr>
        <w:spacing w:after="0" w:line="73" w:lineRule="exact"/>
        <w:rPr>
          <w:rFonts w:ascii="Arial" w:cs="Arial" w:eastAsia="Arial" w:hAnsi="Arial"/>
          <w:sz w:val="17"/>
          <w:szCs w:val="17"/>
          <w:b w:val="1"/>
          <w:bCs w:val="1"/>
          <w:color w:val="auto"/>
        </w:rPr>
      </w:pPr>
    </w:p>
    <w:p>
      <w:pPr>
        <w:ind w:left="900" w:hanging="325"/>
        <w:spacing w:after="0"/>
        <w:tabs>
          <w:tab w:leader="none" w:pos="900" w:val="left"/>
        </w:tabs>
        <w:numPr>
          <w:ilvl w:val="1"/>
          <w:numId w:val="457"/>
        </w:numPr>
        <w:rPr>
          <w:rFonts w:ascii="Arial" w:cs="Arial" w:eastAsia="Arial" w:hAnsi="Arial"/>
          <w:sz w:val="18"/>
          <w:szCs w:val="18"/>
          <w:b w:val="1"/>
          <w:bCs w:val="1"/>
          <w:color w:val="auto"/>
        </w:rPr>
      </w:pPr>
      <w:r>
        <w:rPr>
          <w:rFonts w:ascii="Arial" w:cs="Arial" w:eastAsia="Arial" w:hAnsi="Arial"/>
          <w:sz w:val="18"/>
          <w:szCs w:val="18"/>
          <w:b w:val="1"/>
          <w:bCs w:val="1"/>
          <w:color w:val="auto"/>
        </w:rPr>
        <w:t>Should the Fund be deemed to be either a distributor or a co-issuer of debt securities of third parties?</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1"/>
          <w:numId w:val="457"/>
        </w:numPr>
        <w:rPr>
          <w:rFonts w:ascii="Arial" w:cs="Arial" w:eastAsia="Arial" w:hAnsi="Arial"/>
          <w:sz w:val="18"/>
          <w:szCs w:val="18"/>
          <w:b w:val="1"/>
          <w:bCs w:val="1"/>
          <w:color w:val="auto"/>
        </w:rPr>
      </w:pPr>
      <w:r>
        <w:rPr>
          <w:rFonts w:ascii="Arial" w:cs="Arial" w:eastAsia="Arial" w:hAnsi="Arial"/>
          <w:sz w:val="18"/>
          <w:szCs w:val="18"/>
          <w:b w:val="1"/>
          <w:bCs w:val="1"/>
          <w:color w:val="auto"/>
        </w:rPr>
        <w:t>Would a registration statement be filed for third party debt securities?</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1"/>
          <w:numId w:val="457"/>
        </w:numPr>
        <w:rPr>
          <w:rFonts w:ascii="Arial" w:cs="Arial" w:eastAsia="Arial" w:hAnsi="Arial"/>
          <w:sz w:val="16"/>
          <w:szCs w:val="16"/>
          <w:b w:val="1"/>
          <w:bCs w:val="1"/>
          <w:color w:val="auto"/>
        </w:rPr>
      </w:pPr>
      <w:r>
        <w:rPr>
          <w:rFonts w:ascii="Arial" w:cs="Arial" w:eastAsia="Arial" w:hAnsi="Arial"/>
          <w:sz w:val="16"/>
          <w:szCs w:val="16"/>
          <w:b w:val="1"/>
          <w:bCs w:val="1"/>
          <w:color w:val="auto"/>
        </w:rPr>
        <w:t>Would third party debt securities, including U.S. Treasuries, be purchased directly from the third party or in the secondary market?</w:t>
      </w:r>
    </w:p>
    <w:p>
      <w:pPr>
        <w:spacing w:after="0" w:line="248"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Because there is insufficient information provided in the filing on this matter, please add an undertaking to Part C indicating that the Fund will file a post-effective amendment before offering units which include a combination of other securities.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respectfully informs the Staff that it has revised the Registration Statement to remove any references to units. The Company advises the Staff that it does not currently intend to offer, issue or sell units pursuant to the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Cover</w:t>
      </w:r>
    </w:p>
    <w:p>
      <w:pPr>
        <w:spacing w:after="0" w:line="117" w:lineRule="exact"/>
        <w:rPr>
          <w:sz w:val="20"/>
          <w:szCs w:val="20"/>
          <w:color w:val="auto"/>
        </w:rPr>
      </w:pPr>
    </w:p>
    <w:p>
      <w:pPr>
        <w:ind w:right="40" w:firstLine="8"/>
        <w:spacing w:after="0" w:line="277" w:lineRule="auto"/>
        <w:tabs>
          <w:tab w:leader="none" w:pos="180" w:val="left"/>
        </w:tabs>
        <w:numPr>
          <w:ilvl w:val="0"/>
          <w:numId w:val="4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Disclosure in the seventh paragraph states that: “In the event we offer common stock, the offering price per share of our common stock less any underwriting discounts or commissions will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not be less than the net asset value per share of our common stock at the time we make the offering.” Either delete or explain the circumstances contemplated by the highlighted word. As stated in §23(b): “No registered closed-end company shall sell any common stock of which it is the issuer at a price below the current net asset value of such stock, exclusive of any distributing commission or discount .. . .” </w:t>
      </w:r>
      <w:r>
        <w:rPr>
          <w:rFonts w:ascii="Arial" w:cs="Arial" w:eastAsia="Arial" w:hAnsi="Arial"/>
          <w:sz w:val="17"/>
          <w:szCs w:val="17"/>
          <w:b w:val="1"/>
          <w:bCs w:val="1"/>
          <w:i w:val="1"/>
          <w:iCs w:val="1"/>
          <w:color w:val="auto"/>
        </w:rPr>
        <w:t>See</w:t>
      </w:r>
      <w:r>
        <w:rPr>
          <w:rFonts w:ascii="Arial" w:cs="Arial" w:eastAsia="Arial" w:hAnsi="Arial"/>
          <w:sz w:val="17"/>
          <w:szCs w:val="17"/>
          <w:b w:val="1"/>
          <w:bCs w:val="1"/>
          <w:color w:val="auto"/>
        </w:rPr>
        <w:t xml:space="preserve"> also, General Public Service Corporation, available June 24, 1963.</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respectfully advises the Staff that the word “generally” in the disclosure quoted by the Staff refers to the circumstances contemplated in the sentence on the cover that follows the sentence noted by the Staff, which reads as follows:</w:t>
      </w:r>
    </w:p>
    <w:p>
      <w:pPr>
        <w:spacing w:after="0" w:line="170"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i w:val="1"/>
          <w:iCs w:val="1"/>
          <w:color w:val="auto"/>
        </w:rPr>
        <w:t>However, we may issue shares of our common stock pursuant to this prospectus at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ectPr>
          <w:pgSz w:w="11900" w:h="16838" w:orient="portrait"/>
          <w:cols w:equalWidth="0" w:num="1">
            <w:col w:w="11380"/>
          </w:cols>
          <w:pgMar w:left="240" w:top="274" w:right="279" w:bottom="1440" w:gutter="0" w:footer="0" w:header="0"/>
        </w:sectPr>
      </w:pPr>
    </w:p>
    <w:bookmarkStart w:id="567" w:name="page568"/>
    <w:bookmarkEnd w:id="5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Inside Front Cover</w:t>
      </w:r>
    </w:p>
    <w:p>
      <w:pPr>
        <w:spacing w:after="0" w:line="117" w:lineRule="exact"/>
        <w:rPr>
          <w:sz w:val="20"/>
          <w:szCs w:val="20"/>
          <w:color w:val="auto"/>
        </w:rPr>
      </w:pPr>
    </w:p>
    <w:p>
      <w:pPr>
        <w:ind w:right="180" w:firstLine="8"/>
        <w:spacing w:after="0" w:line="282" w:lineRule="auto"/>
        <w:tabs>
          <w:tab w:leader="none" w:pos="18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prominent statement appearing at the bottom of the page, the substance of which is required by Rule 481(b)(1) under the 1940 Act to reflect the changes brought about by the National Securities Markets Improvement Act of 1996.</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prominent statement on the front cover.</w:t>
      </w:r>
    </w:p>
    <w:p>
      <w:pPr>
        <w:spacing w:after="0" w:line="329" w:lineRule="exact"/>
        <w:rPr>
          <w:sz w:val="20"/>
          <w:szCs w:val="20"/>
          <w:color w:val="auto"/>
        </w:rPr>
      </w:pPr>
    </w:p>
    <w:p>
      <w:pPr>
        <w:ind w:right="520" w:firstLine="8"/>
        <w:spacing w:after="0" w:line="282" w:lineRule="auto"/>
        <w:tabs>
          <w:tab w:leader="none" w:pos="18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Prospectus supplements to be filed by the Fund in connection with each take down will contain the price table required by Item 1.1.g. of the Form N-2. Confirm that the table will contain expenses related to selling stockholders, where applicable.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respectfully advises the Staff that any prospectus supplements to be filed by the Company in connection with a take-down from the Registration Statement will contain the price table required by Item 1.1g of Form N-2 and that table will contain expenses relating to any selling stockholders to the extent required by Form N-2. In addition, if the Company pays any expenses on behalf of selling stockholders, the Company will disclose those amounts in the price table.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ii</w:t>
      </w:r>
    </w:p>
    <w:p>
      <w:pPr>
        <w:spacing w:after="0" w:line="99" w:lineRule="exact"/>
        <w:rPr>
          <w:sz w:val="20"/>
          <w:szCs w:val="20"/>
          <w:color w:val="auto"/>
        </w:rPr>
      </w:pPr>
    </w:p>
    <w:p>
      <w:pPr>
        <w:ind w:firstLine="8"/>
        <w:spacing w:after="0" w:line="261" w:lineRule="auto"/>
        <w:tabs>
          <w:tab w:leader="none" w:pos="18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The first paragraph indicates that the Fund will use the shelf registration process and make delayed offerings under Rule 415 under the Securities Act. In light of disclosure elsewhere in this document indicating that the Fund may issue shares either directly or pursuant to rights offerings or units at below net asset value, add an undertaking to Part C to file a post-effective amendment which contains a prospectus prior to any offering of Fund securities below net asset value.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added the requested undertaking to Part C.</w:t>
      </w:r>
    </w:p>
    <w:p>
      <w:pPr>
        <w:sectPr>
          <w:pgSz w:w="11900" w:h="16838" w:orient="portrait"/>
          <w:cols w:equalWidth="0" w:num="1">
            <w:col w:w="11380"/>
          </w:cols>
          <w:pgMar w:left="240" w:top="273" w:right="279" w:bottom="1440" w:gutter="0" w:footer="0" w:header="0"/>
        </w:sectPr>
      </w:pPr>
    </w:p>
    <w:bookmarkStart w:id="568" w:name="page569"/>
    <w:bookmarkEnd w:id="5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99" w:lineRule="exact"/>
        <w:rPr>
          <w:sz w:val="20"/>
          <w:szCs w:val="20"/>
          <w:color w:val="auto"/>
        </w:rPr>
      </w:pPr>
    </w:p>
    <w:p>
      <w:pPr>
        <w:ind w:right="20" w:firstLine="8"/>
        <w:spacing w:after="0" w:line="261" w:lineRule="auto"/>
        <w:tabs>
          <w:tab w:leader="none" w:pos="180"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in the second paragraph defines certain entities. Other disclosure captioned “Management’s Discussion and Analysis of Financial Condition and Results of Operations” defines certain wholly owned subsidiaries. Still other affiliates are defined later in that same discussion. These disclosures should be combined at the beginning of the document so as to clearly list and identify entities that are repeatedly referred to throughout filing.</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response to the Staff’s comment, definitions for certain wholly owned subsidiaries have been added to the second paragraph of the “Summary” section on page 1. The two affiliates referenced in the Staff’s comment, TPG Opportunities Partners and TPG Institutional Credit Partners, are not defined as the reference to these entities was included only to explain more fully what other businesses are part of TSSP’s platform besides the Company. TPG Opportunities Partners invests in special situations and distressed investments across the credit cycle and TPG Institutional Credit Partners is a “public-side” credit investment platform focused on investment opportunities in the broadly syndicated leveraged loan markets. The Company has revised the disclosure on pages 3, 56, 84 and 111 to add this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12</w:t>
      </w:r>
    </w:p>
    <w:p>
      <w:pPr>
        <w:spacing w:after="0" w:line="99" w:lineRule="exact"/>
        <w:rPr>
          <w:sz w:val="20"/>
          <w:szCs w:val="20"/>
          <w:color w:val="auto"/>
        </w:rPr>
      </w:pPr>
    </w:p>
    <w:p>
      <w:pPr>
        <w:ind w:right="300" w:firstLine="8"/>
        <w:spacing w:after="0" w:line="277" w:lineRule="auto"/>
        <w:tabs>
          <w:tab w:leader="none" w:pos="270" w:val="left"/>
        </w:tabs>
        <w:numPr>
          <w:ilvl w:val="0"/>
          <w:numId w:val="463"/>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in the first paragraph indicates that the Fund may issue shares at a price per share that is less than the Fund’s net asset value per share by, among others means: “with the prior approval of the majority of our common stockholders.” Although this provision is consistent with §23(b) applicable to closed-end funds, §63(2), applicable to BDCs requires approval by, among others means, a vote of a majority of a BDCs “outstanding securities.” Please revise the disclosure to meet the requirements of §63(2), applicable to business development companies, which requires approval by a vote of a majority of the holders of a BDCs “outstanding voting securities.”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the front cover and pages 12, 14 and 173.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16</w:t>
      </w:r>
    </w:p>
    <w:p>
      <w:pPr>
        <w:spacing w:after="0" w:line="99" w:lineRule="exact"/>
        <w:rPr>
          <w:sz w:val="20"/>
          <w:szCs w:val="20"/>
          <w:color w:val="auto"/>
        </w:rPr>
      </w:pPr>
    </w:p>
    <w:p>
      <w:pPr>
        <w:ind w:left="260" w:hanging="252"/>
        <w:spacing w:after="0"/>
        <w:tabs>
          <w:tab w:leader="none" w:pos="26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fee table disclosure consistent with the following:</w:t>
      </w:r>
    </w:p>
    <w:p>
      <w:pPr>
        <w:spacing w:after="0" w:line="130"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disclose the time period covered by the table,</w:t>
      </w:r>
    </w:p>
    <w:p>
      <w:pPr>
        <w:sectPr>
          <w:pgSz w:w="11900" w:h="16838" w:orient="portrait"/>
          <w:cols w:equalWidth="0" w:num="1">
            <w:col w:w="11380"/>
          </w:cols>
          <w:pgMar w:left="240" w:top="274" w:right="27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 16.</w:t>
      </w:r>
    </w:p>
    <w:p>
      <w:pPr>
        <w:spacing w:after="0" w:line="127" w:lineRule="exact"/>
        <w:rPr>
          <w:sz w:val="20"/>
          <w:szCs w:val="20"/>
          <w:color w:val="auto"/>
        </w:rPr>
      </w:pPr>
    </w:p>
    <w:p>
      <w:pPr>
        <w:jc w:val="both"/>
        <w:ind w:left="440" w:right="160" w:hanging="324"/>
        <w:spacing w:after="0" w:line="378" w:lineRule="auto"/>
        <w:tabs>
          <w:tab w:leader="none" w:pos="440" w:val="left"/>
        </w:tabs>
        <w:numPr>
          <w:ilvl w:val="0"/>
          <w:numId w:val="4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disclosure captioned “Management And Other Agreements - </w:t>
      </w:r>
      <w:r>
        <w:rPr>
          <w:rFonts w:ascii="Arial" w:cs="Arial" w:eastAsia="Arial" w:hAnsi="Arial"/>
          <w:sz w:val="15"/>
          <w:szCs w:val="15"/>
          <w:b w:val="1"/>
          <w:bCs w:val="1"/>
          <w:i w:val="1"/>
          <w:iCs w:val="1"/>
          <w:color w:val="auto"/>
        </w:rPr>
        <w:t>Investment Advisory Agreement; Administration Agreement; License Agreement,</w:t>
      </w:r>
      <w:r>
        <w:rPr>
          <w:rFonts w:ascii="Arial" w:cs="Arial" w:eastAsia="Arial" w:hAnsi="Arial"/>
          <w:sz w:val="15"/>
          <w:szCs w:val="15"/>
          <w:b w:val="1"/>
          <w:bCs w:val="1"/>
          <w:color w:val="auto"/>
        </w:rPr>
        <w:t>” at page 113, in the fifth and sixth paragraphs, discusses past and future fee waivers. Footnote the substance of that disclosure to the fee table,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respectfully advises the Staff that the fee waivers discussed in the sixth and seventh paragraphs on page 113 reference past fee waivers.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the table is forward-looking, fee waivers with respect to the Management Fee are not a relevant assumption for the calculations in the table.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the Company’s initial public offering, the Adviser has not and does not intend to waive its right to receive the full Management Fee.</w:t>
      </w:r>
    </w:p>
    <w:p>
      <w:pPr>
        <w:spacing w:after="0" w:line="245" w:lineRule="exact"/>
        <w:rPr>
          <w:sz w:val="20"/>
          <w:szCs w:val="20"/>
          <w:color w:val="auto"/>
        </w:rPr>
      </w:pPr>
    </w:p>
    <w:p>
      <w:pPr>
        <w:ind w:left="440" w:right="100" w:hanging="324"/>
        <w:spacing w:after="0" w:line="289" w:lineRule="auto"/>
        <w:tabs>
          <w:tab w:leader="none" w:pos="440" w:val="left"/>
        </w:tabs>
        <w:numPr>
          <w:ilvl w:val="0"/>
          <w:numId w:val="466"/>
        </w:numPr>
        <w:rPr>
          <w:rFonts w:ascii="Arial" w:cs="Arial" w:eastAsia="Arial" w:hAnsi="Arial"/>
          <w:sz w:val="17"/>
          <w:szCs w:val="17"/>
          <w:b w:val="1"/>
          <w:bCs w:val="1"/>
          <w:color w:val="auto"/>
        </w:rPr>
      </w:pPr>
      <w:r>
        <w:rPr>
          <w:rFonts w:ascii="Arial" w:cs="Arial" w:eastAsia="Arial" w:hAnsi="Arial"/>
          <w:sz w:val="17"/>
          <w:szCs w:val="17"/>
          <w:b w:val="1"/>
          <w:bCs w:val="1"/>
          <w:color w:val="auto"/>
        </w:rPr>
        <w:t>in describing the waiver in the sixth paragraph, it is said that the adviser waived “its right to receive the Management Fee in excess of the sum of (i) 0.25% of aggregate committed but undrawn capital and (ii) 0.75% of aggregate drawn capital . . . as determined as of the end of any calendar quarter.” Provide disclosure that clarifies what this means or provide an illustration,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The Company respectfully advises the Staff that the distinction between aggregate committed but undrawn capital and aggregate drawn capital no longer applies following the Company’s initial public offering because the Adviser has not and does not intend to waive its right to receive its full Management Fee, as disclosed on page 113. The historical financial statements reflect the actual fee waiver amounts of the Management Fee for periods prior to the Company’s initial public offering and the Company believes no further disclosure regarding the fee waiver calculations is necessary.</w:t>
      </w:r>
    </w:p>
    <w:p>
      <w:pPr>
        <w:spacing w:after="0" w:line="177" w:lineRule="exact"/>
        <w:rPr>
          <w:sz w:val="20"/>
          <w:szCs w:val="20"/>
          <w:color w:val="auto"/>
        </w:rPr>
      </w:pPr>
    </w:p>
    <w:p>
      <w:pPr>
        <w:ind w:left="440" w:right="60" w:hanging="324"/>
        <w:spacing w:after="0" w:line="289" w:lineRule="auto"/>
        <w:tabs>
          <w:tab w:leader="none" w:pos="440" w:val="left"/>
        </w:tabs>
        <w:numPr>
          <w:ilvl w:val="0"/>
          <w:numId w:val="467"/>
        </w:numPr>
        <w:rPr>
          <w:rFonts w:ascii="Arial" w:cs="Arial" w:eastAsia="Arial" w:hAnsi="Arial"/>
          <w:sz w:val="17"/>
          <w:szCs w:val="17"/>
          <w:b w:val="1"/>
          <w:bCs w:val="1"/>
          <w:color w:val="auto"/>
        </w:rPr>
      </w:pPr>
      <w:r>
        <w:rPr>
          <w:rFonts w:ascii="Arial" w:cs="Arial" w:eastAsia="Arial" w:hAnsi="Arial"/>
          <w:sz w:val="17"/>
          <w:szCs w:val="17"/>
          <w:b w:val="1"/>
          <w:bCs w:val="1"/>
          <w:color w:val="auto"/>
        </w:rPr>
        <w:t>the second sentence of the second paragraph of footnote 4 states the following: “The estimate of our Management Fee referenced in the table is based on our gross assets (including cash and cash equivalents and assets purchased with borrowed money) and our net assets attributable to common stock as of March 31, 2014.” The sentence is confusing and should be clarified.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 16.</w:t>
      </w:r>
    </w:p>
    <w:p>
      <w:pPr>
        <w:sectPr>
          <w:pgSz w:w="11900" w:h="16838" w:orient="portrait"/>
          <w:cols w:equalWidth="0" w:num="1">
            <w:col w:w="11420"/>
          </w:cols>
          <w:pgMar w:left="240" w:top="274" w:right="239" w:bottom="1440" w:gutter="0" w:footer="0" w:header="0"/>
        </w:sectPr>
      </w:pPr>
    </w:p>
    <w:bookmarkStart w:id="570" w:name="page571"/>
    <w:bookmarkEnd w:id="5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ind w:right="2740"/>
        <w:spacing w:after="0" w:line="261" w:lineRule="auto"/>
        <w:rPr>
          <w:sz w:val="20"/>
          <w:szCs w:val="20"/>
          <w:color w:val="auto"/>
        </w:rPr>
      </w:pPr>
      <w:r>
        <w:rPr>
          <w:rFonts w:ascii="Arial" w:cs="Arial" w:eastAsia="Arial" w:hAnsi="Arial"/>
          <w:sz w:val="18"/>
          <w:szCs w:val="18"/>
          <w:b w:val="1"/>
          <w:bCs w:val="1"/>
          <w:i w:val="1"/>
          <w:iCs w:val="1"/>
          <w:color w:val="auto"/>
        </w:rPr>
        <w:t xml:space="preserve">Regulations governing our operation as a BDC affect our ability to, and the way in which we, raise additional capital </w:t>
      </w:r>
      <w:r>
        <w:rPr>
          <w:rFonts w:ascii="Arial" w:cs="Arial" w:eastAsia="Arial" w:hAnsi="Arial"/>
          <w:sz w:val="18"/>
          <w:szCs w:val="18"/>
          <w:b w:val="1"/>
          <w:bCs w:val="1"/>
          <w:color w:val="auto"/>
        </w:rPr>
        <w:t>Page 23</w:t>
      </w:r>
    </w:p>
    <w:p>
      <w:pPr>
        <w:spacing w:after="0" w:line="72" w:lineRule="exact"/>
        <w:rPr>
          <w:sz w:val="20"/>
          <w:szCs w:val="20"/>
          <w:color w:val="auto"/>
        </w:rPr>
      </w:pPr>
    </w:p>
    <w:p>
      <w:pPr>
        <w:ind w:right="200" w:firstLine="8"/>
        <w:spacing w:after="0" w:line="256" w:lineRule="auto"/>
        <w:tabs>
          <w:tab w:leader="none" w:pos="27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light of the following disclosure, add appropriate risk disclosure, including appropriate illustrations depicting the effects of dilution, with respect to offerings by the Fund of its common stock at prices below its current net asset value: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Some disclosure on this topic appears on page 150 under the caption “Description of Our Subscription Rights - </w:t>
      </w:r>
      <w:r>
        <w:rPr>
          <w:rFonts w:ascii="Arial" w:cs="Arial" w:eastAsia="Arial" w:hAnsi="Arial"/>
          <w:sz w:val="18"/>
          <w:szCs w:val="18"/>
          <w:b w:val="1"/>
          <w:bCs w:val="1"/>
          <w:i w:val="1"/>
          <w:iCs w:val="1"/>
          <w:color w:val="auto"/>
        </w:rPr>
        <w:t>Dilutive Effects</w:t>
      </w:r>
      <w:r>
        <w:rPr>
          <w:rFonts w:ascii="Arial" w:cs="Arial" w:eastAsia="Arial" w:hAnsi="Arial"/>
          <w:sz w:val="18"/>
          <w:szCs w:val="18"/>
          <w:b w:val="1"/>
          <w:bCs w:val="1"/>
          <w:color w:val="auto"/>
        </w:rPr>
        <w:t>” but a more robust discussion is needed.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In response to the Staff’s comment, the Company has revised the disclosure on page 23. The Company does not intend to offer or sell common stock at prices below its then current net asset value without shareholder approval. If the Company does receive shareholder approval to offer or sell common stock at prices below its then current net asset value, it will file a post-effective amendment to the Registration Statement with the Staff.</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36</w:t>
      </w:r>
    </w:p>
    <w:p>
      <w:pPr>
        <w:spacing w:after="0" w:line="99" w:lineRule="exact"/>
        <w:rPr>
          <w:sz w:val="20"/>
          <w:szCs w:val="20"/>
          <w:color w:val="auto"/>
        </w:rPr>
      </w:pPr>
    </w:p>
    <w:p>
      <w:pPr>
        <w:ind w:firstLine="8"/>
        <w:spacing w:after="0" w:line="347" w:lineRule="auto"/>
        <w:tabs>
          <w:tab w:leader="none" w:pos="270" w:val="left"/>
        </w:tabs>
        <w:numPr>
          <w:ilvl w:val="0"/>
          <w:numId w:val="469"/>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under this caption indicates that, although the Fund has not done so, it could use its wholly owned subsidiary, TPG SL SPV, LLC, to form a CLO or other securitization vehicle in the future. Add disclosure which more fully describes the manner in which the subsidiary may be used.</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the Company advised the Staff in its correspondence dated January 30, 2014, the Company has not securitized any of its investments or formed any collateralized loan obligations (“CLOs”) to date. As disclosed on page 36, if the Company were to form securitization vehicles in the future, any such entities would likely be consolidated on the Company’s Consolidated Balance Sheet. In addition, as disclosed, if the Company forms a CLO, including using the Company’s wholly owned subsidiary, TPG SL SPV, LLC, which holds the debt investments that support its asset-backed credit facility with Natixis Bank, as the CLO or securitization vehicle, the Company would sell debt interests in the entity holding a pool of assets, such as TPG SL SPV, LLC, on a non-recourse or limited-recourse basis to purchasers, while retaining all or most of the exposure to the performance of these investments. We also note the following disclosure on page 23:</w:t>
      </w:r>
    </w:p>
    <w:p>
      <w:pPr>
        <w:spacing w:after="0" w:line="18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i w:val="1"/>
          <w:iCs w:val="1"/>
          <w:color w:val="auto"/>
        </w:rPr>
        <w:t>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w:t>
      </w:r>
    </w:p>
    <w:p>
      <w:pPr>
        <w:sectPr>
          <w:pgSz w:w="11900" w:h="16838" w:orient="portrait"/>
          <w:cols w:equalWidth="0" w:num="1">
            <w:col w:w="11420"/>
          </w:cols>
          <w:pgMar w:left="240" w:top="274" w:right="239" w:bottom="1440" w:gutter="0" w:footer="0" w:header="0"/>
        </w:sectPr>
      </w:pPr>
    </w:p>
    <w:bookmarkStart w:id="571" w:name="page572"/>
    <w:bookmarkEnd w:id="5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right="2560"/>
        <w:spacing w:after="0" w:line="277" w:lineRule="auto"/>
        <w:rPr>
          <w:sz w:val="20"/>
          <w:szCs w:val="20"/>
          <w:color w:val="auto"/>
        </w:rPr>
      </w:pPr>
      <w:r>
        <w:rPr>
          <w:rFonts w:ascii="Arial" w:cs="Arial" w:eastAsia="Arial" w:hAnsi="Arial"/>
          <w:sz w:val="18"/>
          <w:szCs w:val="18"/>
          <w:b w:val="1"/>
          <w:bCs w:val="1"/>
          <w:i w:val="1"/>
          <w:iCs w:val="1"/>
          <w:color w:val="auto"/>
        </w:rPr>
        <w:t xml:space="preserve">Our investments in foreign companies may involve significant risks in addition to the risks inherent in U.S. investments </w:t>
      </w:r>
      <w:r>
        <w:rPr>
          <w:rFonts w:ascii="Arial" w:cs="Arial" w:eastAsia="Arial" w:hAnsi="Arial"/>
          <w:sz w:val="18"/>
          <w:szCs w:val="18"/>
          <w:b w:val="1"/>
          <w:bCs w:val="1"/>
          <w:color w:val="auto"/>
        </w:rPr>
        <w:t>Page 41</w:t>
      </w:r>
    </w:p>
    <w:p>
      <w:pPr>
        <w:spacing w:after="0" w:line="58" w:lineRule="exact"/>
        <w:rPr>
          <w:sz w:val="20"/>
          <w:szCs w:val="20"/>
          <w:color w:val="auto"/>
        </w:rPr>
      </w:pPr>
    </w:p>
    <w:p>
      <w:pPr>
        <w:ind w:right="520" w:firstLine="8"/>
        <w:spacing w:after="0" w:line="266" w:lineRule="auto"/>
        <w:tabs>
          <w:tab w:leader="none" w:pos="27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in this and later sections indicates that the Fund may invest in U.S. and non-U.S. issuers. Explain to the staff whether this policy would permit the Fund to invest in securities of Russian banks, including securities issued by subsidiaries of Russian banks located outside of Russia? We may have further comments.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Company respectfully advises the Staff that it has no current plan to invest in securities of Russian banks, including securities issued by subsidiaries of Russian banks located outside of Russia. In addition, the Company will comply with any Treasury Department or other applicable sanctions against Russia if it were to consider investments in securities issued by subsidiaries of Russian banks located outside of Russia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50</w:t>
      </w:r>
    </w:p>
    <w:p>
      <w:pPr>
        <w:spacing w:after="0" w:line="99" w:lineRule="exact"/>
        <w:rPr>
          <w:sz w:val="20"/>
          <w:szCs w:val="20"/>
          <w:color w:val="auto"/>
        </w:rPr>
      </w:pPr>
    </w:p>
    <w:p>
      <w:pPr>
        <w:ind w:firstLine="8"/>
        <w:spacing w:after="0" w:line="303" w:lineRule="auto"/>
        <w:tabs>
          <w:tab w:leader="none" w:pos="270" w:val="left"/>
        </w:tabs>
        <w:numPr>
          <w:ilvl w:val="0"/>
          <w:numId w:val="4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Disclosure in the second paragraph states that the Fund expects that it will take less than three months to invest offering proceeds depending on a number of circumstances, but then states: “However, we can offer no assurance that we will be able to achieve this goal.” If the delay may extend beyond three months, describe the reasons for and consequences of the delay. </w:t>
      </w:r>
      <w:r>
        <w:rPr>
          <w:rFonts w:ascii="Arial" w:cs="Arial" w:eastAsia="Arial" w:hAnsi="Arial"/>
          <w:sz w:val="16"/>
          <w:szCs w:val="16"/>
          <w:b w:val="1"/>
          <w:bCs w:val="1"/>
          <w:i w:val="1"/>
          <w:iCs w:val="1"/>
          <w:color w:val="auto"/>
        </w:rPr>
        <w:t>See</w:t>
      </w:r>
      <w:r>
        <w:rPr>
          <w:rFonts w:ascii="Arial" w:cs="Arial" w:eastAsia="Arial" w:hAnsi="Arial"/>
          <w:sz w:val="16"/>
          <w:szCs w:val="16"/>
          <w:b w:val="1"/>
          <w:bCs w:val="1"/>
          <w:color w:val="auto"/>
        </w:rPr>
        <w:t xml:space="preserve"> Item 7.2 of Form N-2. If the investment process is delayed more than six months will the Fund obtain shareholder consent to go beyond six months as required by Guide 1 to Form N-2?</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 response to the Staff’s comment, the Company has revised the disclosure on page 50. If the Company anticipates not being able to invest offering proceeds in less than three months in connection with any particular transaction under the Registration Statement, the Company will disclose such fact in the prospectus supplement for the particular transaction and will comply with Guide 1 to Form N-2 if the investment process is delayed more than six months.</w:t>
      </w:r>
    </w:p>
    <w:p>
      <w:pPr>
        <w:sectPr>
          <w:pgSz w:w="11900" w:h="16838" w:orient="portrait"/>
          <w:cols w:equalWidth="0" w:num="1">
            <w:col w:w="11420"/>
          </w:cols>
          <w:pgMar w:left="240" w:top="273" w:right="239" w:bottom="1440" w:gutter="0" w:footer="0" w:header="0"/>
        </w:sectPr>
      </w:pPr>
    </w:p>
    <w:bookmarkStart w:id="572" w:name="page573"/>
    <w:bookmarkEnd w:id="5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ind w:right="2000"/>
        <w:spacing w:after="0" w:line="261"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Relationship with our Adviser, TSSP and TPG</w:t>
      </w:r>
    </w:p>
    <w:p>
      <w:pPr>
        <w:spacing w:after="0"/>
        <w:rPr>
          <w:sz w:val="20"/>
          <w:szCs w:val="20"/>
          <w:color w:val="auto"/>
        </w:rPr>
      </w:pPr>
      <w:r>
        <w:rPr>
          <w:rFonts w:ascii="Arial" w:cs="Arial" w:eastAsia="Arial" w:hAnsi="Arial"/>
          <w:sz w:val="18"/>
          <w:szCs w:val="18"/>
          <w:b w:val="1"/>
          <w:bCs w:val="1"/>
          <w:color w:val="auto"/>
        </w:rPr>
        <w:t>Page 56</w:t>
      </w:r>
    </w:p>
    <w:p>
      <w:pPr>
        <w:spacing w:after="0" w:line="99" w:lineRule="exact"/>
        <w:rPr>
          <w:sz w:val="20"/>
          <w:szCs w:val="20"/>
          <w:color w:val="auto"/>
        </w:rPr>
      </w:pPr>
    </w:p>
    <w:p>
      <w:pPr>
        <w:ind w:right="180" w:firstLine="8"/>
        <w:spacing w:after="0" w:line="282" w:lineRule="auto"/>
        <w:tabs>
          <w:tab w:leader="none" w:pos="27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in the second paragraph refers to “TPG Specialty Lending.” Clarify whether this is the Fund; earlier definitions do not refer to the Fund in this manner. In this connection, see comment 9.</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pages 3, 56, 84 and 111.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130</w:t>
      </w:r>
    </w:p>
    <w:p>
      <w:pPr>
        <w:spacing w:after="0" w:line="99" w:lineRule="exact"/>
        <w:rPr>
          <w:sz w:val="20"/>
          <w:szCs w:val="20"/>
          <w:color w:val="auto"/>
        </w:rPr>
      </w:pPr>
    </w:p>
    <w:p>
      <w:pPr>
        <w:ind w:right="540" w:firstLine="8"/>
        <w:spacing w:after="0" w:line="282" w:lineRule="auto"/>
        <w:tabs>
          <w:tab w:leader="none" w:pos="270"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 respect to the selling stockholders named in the table, disclose the relationship of each stockholder to the Fund. </w:t>
      </w:r>
      <w:r>
        <w:rPr>
          <w:rFonts w:ascii="Arial" w:cs="Arial" w:eastAsia="Arial" w:hAnsi="Arial"/>
          <w:sz w:val="18"/>
          <w:szCs w:val="18"/>
          <w:b w:val="1"/>
          <w:bCs w:val="1"/>
          <w:i w:val="1"/>
          <w:iCs w:val="1"/>
          <w:color w:val="auto"/>
        </w:rPr>
        <w:t>See</w:t>
      </w:r>
      <w:r>
        <w:rPr>
          <w:rFonts w:ascii="Arial" w:cs="Arial" w:eastAsia="Arial" w:hAnsi="Arial"/>
          <w:sz w:val="18"/>
          <w:szCs w:val="18"/>
          <w:b w:val="1"/>
          <w:bCs w:val="1"/>
          <w:color w:val="auto"/>
        </w:rPr>
        <w:t xml:space="preserve"> Regulation S-K, Rule 507.</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respectfully acknowledges the Staff’s comment and confirms it will disclose any “other material relationship which the selling security holder has had within the past three years with the registrant or any of its predecessors or affiliates” with respect to selling stockholders named in the table as required under Regulation S-K, Rule 507.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CAPITAL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143</w:t>
      </w:r>
    </w:p>
    <w:p>
      <w:pPr>
        <w:spacing w:after="0" w:line="99" w:lineRule="exact"/>
        <w:rPr>
          <w:sz w:val="20"/>
          <w:szCs w:val="20"/>
          <w:color w:val="auto"/>
        </w:rPr>
      </w:pPr>
    </w:p>
    <w:p>
      <w:pPr>
        <w:ind w:right="540" w:firstLine="8"/>
        <w:spacing w:after="0" w:line="313" w:lineRule="auto"/>
        <w:tabs>
          <w:tab w:leader="none" w:pos="270" w:val="left"/>
        </w:tabs>
        <w:numPr>
          <w:ilvl w:val="0"/>
          <w:numId w:val="474"/>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in this segment of the filing discusses preferred stock twice, once under the above caption and later under a caption devoted to preferred stock. Absent a good reason to position a discussion at this point, we suggest combining these discussions.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 143.</w:t>
      </w:r>
    </w:p>
    <w:p>
      <w:pPr>
        <w:sectPr>
          <w:pgSz w:w="11900" w:h="16838" w:orient="portrait"/>
          <w:cols w:equalWidth="0" w:num="1">
            <w:col w:w="11320"/>
          </w:cols>
          <w:pgMar w:left="240" w:top="274" w:right="339" w:bottom="1440" w:gutter="0" w:footer="0" w:header="0"/>
        </w:sectPr>
      </w:pPr>
    </w:p>
    <w:bookmarkStart w:id="573" w:name="page574"/>
    <w:bookmarkEnd w:id="5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PREFERRED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148</w:t>
      </w:r>
    </w:p>
    <w:p>
      <w:pPr>
        <w:spacing w:after="0" w:line="99" w:lineRule="exact"/>
        <w:rPr>
          <w:sz w:val="20"/>
          <w:szCs w:val="20"/>
          <w:color w:val="auto"/>
        </w:rPr>
      </w:pPr>
    </w:p>
    <w:p>
      <w:pPr>
        <w:ind w:left="460" w:right="4600" w:hanging="452"/>
        <w:spacing w:after="0" w:line="407" w:lineRule="auto"/>
        <w:tabs>
          <w:tab w:leader="none" w:pos="274"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Revise the last paragraph of this discussion so as to remove the redundant disclosure. </w:t>
      </w:r>
      <w:r>
        <w:rPr>
          <w:rFonts w:ascii="Arial" w:cs="Arial" w:eastAsia="Arial" w:hAnsi="Arial"/>
          <w:sz w:val="18"/>
          <w:szCs w:val="18"/>
          <w:u w:val="single" w:color="auto"/>
          <w:color w:val="auto"/>
        </w:rPr>
        <w:t>Response: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 147.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165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Revise the above caption to disclose:</w:t>
      </w:r>
    </w:p>
    <w:p>
      <w:pPr>
        <w:spacing w:after="0" w:line="131" w:lineRule="exact"/>
        <w:rPr>
          <w:sz w:val="20"/>
          <w:szCs w:val="20"/>
          <w:color w:val="auto"/>
        </w:rPr>
      </w:pPr>
    </w:p>
    <w:p>
      <w:pPr>
        <w:ind w:left="440" w:hanging="324"/>
        <w:spacing w:after="0"/>
        <w:tabs>
          <w:tab w:leader="none" w:pos="4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whether units present any unusual or unique risks of which potential purchasers should be aware;</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how units are affected by the asset coverage requirements of the 1940 Act;</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476"/>
        </w:numPr>
        <w:rPr>
          <w:rFonts w:ascii="Arial" w:cs="Arial" w:eastAsia="Arial" w:hAnsi="Arial"/>
          <w:sz w:val="17"/>
          <w:szCs w:val="17"/>
          <w:b w:val="1"/>
          <w:bCs w:val="1"/>
          <w:color w:val="auto"/>
        </w:rPr>
      </w:pPr>
      <w:r>
        <w:rPr>
          <w:rFonts w:ascii="Arial" w:cs="Arial" w:eastAsia="Arial" w:hAnsi="Arial"/>
          <w:sz w:val="17"/>
          <w:szCs w:val="17"/>
          <w:b w:val="1"/>
          <w:bCs w:val="1"/>
          <w:color w:val="auto"/>
        </w:rPr>
        <w:t>whether units will have trading symbols of their own and/or whether holders will be able to trade the unit components individually;</w:t>
      </w:r>
    </w:p>
    <w:p>
      <w:pPr>
        <w:spacing w:after="0" w:line="142" w:lineRule="exact"/>
        <w:rPr>
          <w:rFonts w:ascii="Arial" w:cs="Arial" w:eastAsia="Arial" w:hAnsi="Arial"/>
          <w:sz w:val="17"/>
          <w:szCs w:val="17"/>
          <w:b w:val="1"/>
          <w:bCs w:val="1"/>
          <w:color w:val="auto"/>
        </w:rPr>
      </w:pPr>
    </w:p>
    <w:p>
      <w:pPr>
        <w:ind w:left="440" w:hanging="324"/>
        <w:spacing w:after="0"/>
        <w:tabs>
          <w:tab w:leader="none" w:pos="4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whether there are any voting right issues or conflicts with respect to unit components;</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476"/>
        </w:numPr>
        <w:rPr>
          <w:rFonts w:ascii="Arial" w:cs="Arial" w:eastAsia="Arial" w:hAnsi="Arial"/>
          <w:sz w:val="17"/>
          <w:szCs w:val="17"/>
          <w:b w:val="1"/>
          <w:bCs w:val="1"/>
          <w:color w:val="auto"/>
        </w:rPr>
      </w:pPr>
      <w:r>
        <w:rPr>
          <w:rFonts w:ascii="Arial" w:cs="Arial" w:eastAsia="Arial" w:hAnsi="Arial"/>
          <w:sz w:val="17"/>
          <w:szCs w:val="17"/>
          <w:b w:val="1"/>
          <w:bCs w:val="1"/>
          <w:color w:val="auto"/>
        </w:rPr>
        <w:t>explain how unit holders are to interpret per share disclosures, e.g., income and expense information, in Fund disclosure documents,</w:t>
      </w:r>
    </w:p>
    <w:p>
      <w:pPr>
        <w:spacing w:after="0" w:line="142" w:lineRule="exact"/>
        <w:rPr>
          <w:rFonts w:ascii="Arial" w:cs="Arial" w:eastAsia="Arial" w:hAnsi="Arial"/>
          <w:sz w:val="17"/>
          <w:szCs w:val="17"/>
          <w:b w:val="1"/>
          <w:bCs w:val="1"/>
          <w:color w:val="auto"/>
        </w:rPr>
      </w:pPr>
    </w:p>
    <w:p>
      <w:pPr>
        <w:ind w:left="440" w:right="100" w:hanging="324"/>
        <w:spacing w:after="0" w:line="266" w:lineRule="auto"/>
        <w:tabs>
          <w:tab w:leader="none" w:pos="4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describe the profile of rights of holders of such units, i.e., among others, their rights with respect to receipt of distributions, voting on matters submitted to a vote of shareholders, tendering shares in connection with any share repurchases, and how this will work for shareholders when shares are held in street name,</w:t>
      </w:r>
    </w:p>
    <w:p>
      <w:pPr>
        <w:spacing w:after="0" w:line="81" w:lineRule="exact"/>
        <w:rPr>
          <w:rFonts w:ascii="Arial" w:cs="Arial" w:eastAsia="Arial" w:hAnsi="Arial"/>
          <w:sz w:val="18"/>
          <w:szCs w:val="18"/>
          <w:b w:val="1"/>
          <w:bCs w:val="1"/>
          <w:color w:val="auto"/>
        </w:rPr>
      </w:pPr>
    </w:p>
    <w:p>
      <w:pPr>
        <w:ind w:left="440" w:hanging="324"/>
        <w:spacing w:after="0"/>
        <w:tabs>
          <w:tab w:leader="none" w:pos="4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explain to the staff the meaning of the last bullet, to wit: “fully registered or global form,”</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how the Fund benefits by issuing units;</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how this benefit differs from the Fund issuing individual unit components; and</w:t>
      </w:r>
    </w:p>
    <w:p>
      <w:pPr>
        <w:spacing w:after="0" w:line="130" w:lineRule="exact"/>
        <w:rPr>
          <w:rFonts w:ascii="Arial" w:cs="Arial" w:eastAsia="Arial" w:hAnsi="Arial"/>
          <w:sz w:val="18"/>
          <w:szCs w:val="18"/>
          <w:b w:val="1"/>
          <w:bCs w:val="1"/>
          <w:color w:val="auto"/>
        </w:rPr>
      </w:pPr>
    </w:p>
    <w:p>
      <w:pPr>
        <w:ind w:left="440" w:right="720" w:hanging="324"/>
        <w:spacing w:after="0" w:line="282" w:lineRule="auto"/>
        <w:tabs>
          <w:tab w:leader="none" w:pos="4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whether this benefit to the Fund gives rise to any disadvantage for shareholders in purchasing units, when compared to the individual components comprising the units.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your response letter, please fully explain to the staff how the offering price will be allocated to the components of the units.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Although the Fund may, under the Act, sell its common shares at a price below NAV, could the offering of units indirectly result in the Fund selling shares of its common stock at a price below NAV outside of such authority? In your response letter, explain whether the units may be structured so as to, in effect, offer shares of the Fund’s common stock at a price below NAV by lowering the price of the other securities included in a unit.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respectfully informs the Staff that it has revised the Registration Statement to remove any references to units. The Company advises the Staff that it does not currently intend to offer, issue or sell units pursuant to the Registration Statement.</w:t>
      </w:r>
    </w:p>
    <w:p>
      <w:pPr>
        <w:sectPr>
          <w:pgSz w:w="11900" w:h="16838" w:orient="portrait"/>
          <w:cols w:equalWidth="0" w:num="1">
            <w:col w:w="11400"/>
          </w:cols>
          <w:pgMar w:left="240" w:top="274" w:right="259" w:bottom="1440" w:gutter="0" w:footer="0" w:header="0"/>
        </w:sectPr>
      </w:pPr>
    </w:p>
    <w:bookmarkStart w:id="574" w:name="page575"/>
    <w:bookmarkEnd w:id="5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176</w:t>
      </w:r>
    </w:p>
    <w:p>
      <w:pPr>
        <w:spacing w:after="0" w:line="99" w:lineRule="exact"/>
        <w:rPr>
          <w:sz w:val="20"/>
          <w:szCs w:val="20"/>
          <w:color w:val="auto"/>
        </w:rPr>
      </w:pPr>
    </w:p>
    <w:p>
      <w:pPr>
        <w:ind w:right="120" w:firstLine="8"/>
        <w:spacing w:after="0" w:line="282" w:lineRule="auto"/>
        <w:tabs>
          <w:tab w:leader="none" w:pos="27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Explain supplementally the type of transactions contemplated in the discussion in the tenth paragraph which begins with the clause: “We or the selling stockholders may enter into derivative transactions with third parties . . .”</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respectfully advises the Staff that it currently has no plans to enter into any derivative transactions with third parties, or sell securities not covered by the Registration Statement to third parties in privately negotiated transactions. If the Company were to engage in any such derivative transaction in the future, the transaction would be structured such that it would not be a “senior security” as defined in Section 18(g) of the Investment Company Act of 1940, as amended, with respect to the Company. One example of the type of transaction contemplated in the discussion referenced by the Staff would be an “equity line” financing, under which an investor and the Company would enter into a written agreement under which the Company has the right to put its common stock to the investor, similar to the structure discussed in Question 139.13 of the Division of Corporate Finance’s Compliance and Disclosure Interpretations of Securities Act Sections, last updated on May 16, 2013.</w:t>
      </w:r>
    </w:p>
    <w:p>
      <w:pPr>
        <w:spacing w:after="0" w:line="178" w:lineRule="exact"/>
        <w:rPr>
          <w:sz w:val="20"/>
          <w:szCs w:val="20"/>
          <w:color w:val="auto"/>
        </w:rPr>
      </w:pPr>
    </w:p>
    <w:p>
      <w:pPr>
        <w:ind w:left="4380"/>
        <w:spacing w:after="0"/>
        <w:tabs>
          <w:tab w:leader="none" w:pos="5000" w:val="left"/>
          <w:tab w:leader="none" w:pos="5680" w:val="left"/>
          <w:tab w:leader="none" w:pos="630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Adam E. Fleisher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E. Fleisher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131" w:lineRule="exact"/>
        <w:rPr>
          <w:sz w:val="20"/>
          <w:szCs w:val="20"/>
          <w:color w:val="auto"/>
        </w:rPr>
      </w:pPr>
    </w:p>
    <w:p>
      <w:pPr>
        <w:ind w:left="460" w:hanging="452"/>
        <w:spacing w:after="0"/>
        <w:tabs>
          <w:tab w:leader="none" w:pos="4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Vincent J. DiStefano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A. Gerstenzang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Helena K. Grannis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1400"/>
      </w:cols>
      <w:pgMar w:left="240" w:top="2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22C0EF"/>
    <w:multiLevelType w:val="hybridMultilevel"/>
    <w:lvl w:ilvl="0">
      <w:lvlJc w:val="left"/>
      <w:lvlText w:val="☐"/>
      <w:numFmt w:val="bullet"/>
      <w:start w:val="1"/>
    </w:lvl>
  </w:abstractNum>
  <w:abstractNum w:abstractNumId="1">
    <w:nsid w:val="57C5BB4F"/>
    <w:multiLevelType w:val="hybridMultilevel"/>
    <w:lvl w:ilvl="0">
      <w:lvlJc w:val="left"/>
      <w:lvlText w:val="(%1)"/>
      <w:numFmt w:val="decimal"/>
      <w:start w:val="1"/>
    </w:lvl>
  </w:abstractNum>
  <w:abstractNum w:abstractNumId="2">
    <w:nsid w:val="1803D089"/>
    <w:multiLevelType w:val="hybridMultilevel"/>
    <w:lvl w:ilvl="0">
      <w:lvlJc w:val="left"/>
      <w:lvlText w:val="•"/>
      <w:numFmt w:val="bullet"/>
      <w:start w:val="1"/>
    </w:lvl>
  </w:abstractNum>
  <w:abstractNum w:abstractNumId="3">
    <w:nsid w:val="4F3A06D4"/>
    <w:multiLevelType w:val="hybridMultilevel"/>
    <w:lvl w:ilvl="0">
      <w:lvlJc w:val="left"/>
      <w:lvlText w:val="•"/>
      <w:numFmt w:val="bullet"/>
      <w:start w:val="1"/>
    </w:lvl>
    <w:lvl w:ilvl="1">
      <w:lvlJc w:val="left"/>
      <w:lvlText w:val="•"/>
      <w:numFmt w:val="bullet"/>
      <w:start w:val="1"/>
    </w:lvl>
  </w:abstractNum>
  <w:abstractNum w:abstractNumId="4">
    <w:nsid w:val="59A377B6"/>
    <w:multiLevelType w:val="hybridMultilevel"/>
    <w:lvl w:ilvl="0">
      <w:lvlJc w:val="left"/>
      <w:lvlText w:val="•"/>
      <w:numFmt w:val="bullet"/>
      <w:start w:val="1"/>
    </w:lvl>
  </w:abstractNum>
  <w:abstractNum w:abstractNumId="5">
    <w:nsid w:val="48AEB063"/>
    <w:multiLevelType w:val="hybridMultilevel"/>
    <w:lvl w:ilvl="0">
      <w:lvlJc w:val="left"/>
      <w:lvlText w:val="•"/>
      <w:numFmt w:val="bullet"/>
      <w:start w:val="1"/>
    </w:lvl>
  </w:abstractNum>
  <w:abstractNum w:abstractNumId="6">
    <w:nsid w:val="24E135"/>
    <w:multiLevelType w:val="hybridMultilevel"/>
    <w:lvl w:ilvl="0">
      <w:lvlJc w:val="left"/>
      <w:lvlText w:val="•"/>
      <w:numFmt w:val="bullet"/>
      <w:start w:val="1"/>
    </w:lvl>
  </w:abstractNum>
  <w:abstractNum w:abstractNumId="7">
    <w:nsid w:val="BB13C1"/>
    <w:multiLevelType w:val="hybridMultilevel"/>
    <w:lvl w:ilvl="0">
      <w:lvlJc w:val="left"/>
      <w:lvlText w:val="•"/>
      <w:numFmt w:val="bullet"/>
      <w:start w:val="1"/>
    </w:lvl>
  </w:abstractNum>
  <w:abstractNum w:abstractNumId="8">
    <w:nsid w:val="271210C7"/>
    <w:multiLevelType w:val="hybridMultilevel"/>
    <w:lvl w:ilvl="0">
      <w:lvlJc w:val="left"/>
      <w:lvlText w:val="•"/>
      <w:numFmt w:val="bullet"/>
      <w:start w:val="1"/>
    </w:lvl>
  </w:abstractNum>
  <w:abstractNum w:abstractNumId="9">
    <w:nsid w:val="217B22E4"/>
    <w:multiLevelType w:val="hybridMultilevel"/>
    <w:lvl w:ilvl="0">
      <w:lvlJc w:val="left"/>
      <w:lvlText w:val="•"/>
      <w:numFmt w:val="bullet"/>
      <w:start w:val="1"/>
    </w:lvl>
  </w:abstractNum>
  <w:abstractNum w:abstractNumId="10">
    <w:nsid w:val="53E31A24"/>
    <w:multiLevelType w:val="hybridMultilevel"/>
    <w:lvl w:ilvl="0">
      <w:lvlJc w:val="left"/>
      <w:lvlText w:val="(%1)"/>
      <w:numFmt w:val="lowerLetter"/>
      <w:start w:val="2"/>
    </w:lvl>
  </w:abstractNum>
  <w:abstractNum w:abstractNumId="11">
    <w:nsid w:val="6DC45E83"/>
    <w:multiLevelType w:val="hybridMultilevel"/>
    <w:lvl w:ilvl="0">
      <w:lvlJc w:val="left"/>
      <w:lvlText w:val="(%1)"/>
      <w:numFmt w:val="decimal"/>
      <w:start w:val="1"/>
    </w:lvl>
  </w:abstractNum>
  <w:abstractNum w:abstractNumId="12">
    <w:nsid w:val="17304A67"/>
    <w:multiLevelType w:val="hybridMultilevel"/>
    <w:lvl w:ilvl="0">
      <w:lvlJc w:val="left"/>
      <w:lvlText w:val="(%1)"/>
      <w:numFmt w:val="decimal"/>
      <w:start w:val="7"/>
    </w:lvl>
  </w:abstractNum>
  <w:abstractNum w:abstractNumId="13">
    <w:nsid w:val="2BB180D8"/>
    <w:multiLevelType w:val="hybridMultilevel"/>
    <w:lvl w:ilvl="0">
      <w:lvlJc w:val="left"/>
      <w:lvlText w:val="(%1)"/>
      <w:numFmt w:val="decimal"/>
      <w:start w:val="1"/>
    </w:lvl>
  </w:abstractNum>
  <w:abstractNum w:abstractNumId="14">
    <w:nsid w:val="556B69ED"/>
    <w:multiLevelType w:val="hybridMultilevel"/>
    <w:lvl w:ilvl="0">
      <w:lvlJc w:val="left"/>
      <w:lvlText w:val="(%1)"/>
      <w:numFmt w:val="decimal"/>
      <w:start w:val="1"/>
    </w:lvl>
  </w:abstractNum>
  <w:abstractNum w:abstractNumId="15">
    <w:nsid w:val="70836196"/>
    <w:multiLevelType w:val="hybridMultilevel"/>
    <w:lvl w:ilvl="0">
      <w:lvlJc w:val="left"/>
      <w:lvlText w:val="(%1)"/>
      <w:numFmt w:val="decimal"/>
      <w:start w:val="1"/>
    </w:lvl>
  </w:abstractNum>
  <w:abstractNum w:abstractNumId="16">
    <w:nsid w:val="539F7F12"/>
    <w:multiLevelType w:val="hybridMultilevel"/>
    <w:lvl w:ilvl="0">
      <w:lvlJc w:val="left"/>
      <w:lvlText w:val="•"/>
      <w:numFmt w:val="bullet"/>
      <w:start w:val="1"/>
    </w:lvl>
    <w:lvl w:ilvl="1">
      <w:lvlJc w:val="left"/>
      <w:lvlText w:val="•"/>
      <w:numFmt w:val="bullet"/>
      <w:start w:val="1"/>
    </w:lvl>
  </w:abstractNum>
  <w:abstractNum w:abstractNumId="17">
    <w:nsid w:val="2817E7EC"/>
    <w:multiLevelType w:val="hybridMultilevel"/>
    <w:lvl w:ilvl="0">
      <w:lvlJc w:val="left"/>
      <w:lvlText w:val="•"/>
      <w:numFmt w:val="bullet"/>
      <w:start w:val="1"/>
    </w:lvl>
  </w:abstractNum>
  <w:abstractNum w:abstractNumId="18">
    <w:nsid w:val="71482545"/>
    <w:multiLevelType w:val="hybridMultilevel"/>
    <w:lvl w:ilvl="0">
      <w:lvlJc w:val="left"/>
      <w:lvlText w:val="•"/>
      <w:numFmt w:val="bullet"/>
      <w:start w:val="1"/>
    </w:lvl>
  </w:abstractNum>
  <w:abstractNum w:abstractNumId="19">
    <w:nsid w:val="17D78639"/>
    <w:multiLevelType w:val="hybridMultilevel"/>
    <w:lvl w:ilvl="0">
      <w:lvlJc w:val="left"/>
      <w:lvlText w:val="•"/>
      <w:numFmt w:val="bullet"/>
      <w:start w:val="1"/>
    </w:lvl>
  </w:abstractNum>
  <w:abstractNum w:abstractNumId="20">
    <w:nsid w:val="141D2302"/>
    <w:multiLevelType w:val="hybridMultilevel"/>
    <w:lvl w:ilvl="0">
      <w:lvlJc w:val="left"/>
      <w:lvlText w:val="•"/>
      <w:numFmt w:val="bullet"/>
      <w:start w:val="1"/>
    </w:lvl>
  </w:abstractNum>
  <w:abstractNum w:abstractNumId="21">
    <w:nsid w:val="407168D8"/>
    <w:multiLevelType w:val="hybridMultilevel"/>
    <w:lvl w:ilvl="0">
      <w:lvlJc w:val="left"/>
      <w:lvlText w:val="•"/>
      <w:numFmt w:val="bullet"/>
      <w:start w:val="1"/>
    </w:lvl>
  </w:abstractNum>
  <w:abstractNum w:abstractNumId="22">
    <w:nsid w:val="6A1B45E5"/>
    <w:multiLevelType w:val="hybridMultilevel"/>
    <w:lvl w:ilvl="0">
      <w:lvlJc w:val="left"/>
      <w:lvlText w:val="•"/>
      <w:numFmt w:val="bullet"/>
      <w:start w:val="1"/>
    </w:lvl>
  </w:abstractNum>
  <w:abstractNum w:abstractNumId="23">
    <w:nsid w:val="567BD50A"/>
    <w:multiLevelType w:val="hybridMultilevel"/>
    <w:lvl w:ilvl="0">
      <w:lvlJc w:val="left"/>
      <w:lvlText w:val="•"/>
      <w:numFmt w:val="bullet"/>
      <w:start w:val="1"/>
    </w:lvl>
  </w:abstractNum>
  <w:abstractNum w:abstractNumId="24">
    <w:nsid w:val="73BBD7F8"/>
    <w:multiLevelType w:val="hybridMultilevel"/>
    <w:lvl w:ilvl="0">
      <w:lvlJc w:val="left"/>
      <w:lvlText w:val="•"/>
      <w:numFmt w:val="bullet"/>
      <w:start w:val="1"/>
    </w:lvl>
  </w:abstractNum>
  <w:abstractNum w:abstractNumId="25">
    <w:nsid w:val="1876589D"/>
    <w:multiLevelType w:val="hybridMultilevel"/>
    <w:lvl w:ilvl="0">
      <w:lvlJc w:val="left"/>
      <w:lvlText w:val="•"/>
      <w:numFmt w:val="bullet"/>
      <w:start w:val="1"/>
    </w:lvl>
  </w:abstractNum>
  <w:abstractNum w:abstractNumId="26">
    <w:nsid w:val="327FAC77"/>
    <w:multiLevelType w:val="hybridMultilevel"/>
    <w:lvl w:ilvl="0">
      <w:lvlJc w:val="left"/>
      <w:lvlText w:val="•"/>
      <w:numFmt w:val="bullet"/>
      <w:start w:val="1"/>
    </w:lvl>
  </w:abstractNum>
  <w:abstractNum w:abstractNumId="27">
    <w:nsid w:val="5A606509"/>
    <w:multiLevelType w:val="hybridMultilevel"/>
    <w:lvl w:ilvl="0">
      <w:lvlJc w:val="left"/>
      <w:lvlText w:val="•"/>
      <w:numFmt w:val="bullet"/>
      <w:start w:val="1"/>
    </w:lvl>
  </w:abstractNum>
  <w:abstractNum w:abstractNumId="28">
    <w:nsid w:val="6F38E6D1"/>
    <w:multiLevelType w:val="hybridMultilevel"/>
    <w:lvl w:ilvl="0">
      <w:lvlJc w:val="left"/>
      <w:lvlText w:val="(%1)"/>
      <w:numFmt w:val="decimal"/>
      <w:start w:val="1"/>
    </w:lvl>
  </w:abstractNum>
  <w:abstractNum w:abstractNumId="29">
    <w:nsid w:val="46111BA5"/>
    <w:multiLevelType w:val="hybridMultilevel"/>
    <w:lvl w:ilvl="0">
      <w:lvlJc w:val="left"/>
      <w:lvlText w:val="*"/>
      <w:numFmt w:val="bullet"/>
      <w:start w:val="1"/>
    </w:lvl>
  </w:abstractNum>
  <w:abstractNum w:abstractNumId="30">
    <w:nsid w:val="5E963896"/>
    <w:multiLevelType w:val="hybridMultilevel"/>
    <w:lvl w:ilvl="0">
      <w:lvlJc w:val="left"/>
      <w:lvlText w:val="(%1)"/>
      <w:numFmt w:val="decimal"/>
      <w:start w:val="1"/>
    </w:lvl>
  </w:abstractNum>
  <w:abstractNum w:abstractNumId="31">
    <w:nsid w:val="775BA7C1"/>
    <w:multiLevelType w:val="hybridMultilevel"/>
    <w:lvl w:ilvl="0">
      <w:lvlJc w:val="left"/>
      <w:lvlText w:val="(%1)"/>
      <w:numFmt w:val="decimal"/>
      <w:start w:val="1"/>
    </w:lvl>
  </w:abstractNum>
  <w:abstractNum w:abstractNumId="32">
    <w:nsid w:val="1DD6D6F4"/>
    <w:multiLevelType w:val="hybridMultilevel"/>
    <w:lvl w:ilvl="0">
      <w:lvlJc w:val="left"/>
      <w:lvlText w:val="•"/>
      <w:numFmt w:val="bullet"/>
      <w:start w:val="1"/>
    </w:lvl>
  </w:abstractNum>
  <w:abstractNum w:abstractNumId="33">
    <w:nsid w:val="769A091F"/>
    <w:multiLevelType w:val="hybridMultilevel"/>
    <w:lvl w:ilvl="0">
      <w:lvlJc w:val="left"/>
      <w:lvlText w:val="•"/>
      <w:numFmt w:val="bullet"/>
      <w:start w:val="1"/>
    </w:lvl>
  </w:abstractNum>
  <w:abstractNum w:abstractNumId="34">
    <w:nsid w:val="4695AE95"/>
    <w:multiLevelType w:val="hybridMultilevel"/>
    <w:lvl w:ilvl="0">
      <w:lvlJc w:val="left"/>
      <w:lvlText w:val="•"/>
      <w:numFmt w:val="bullet"/>
      <w:start w:val="1"/>
    </w:lvl>
  </w:abstractNum>
  <w:abstractNum w:abstractNumId="35">
    <w:nsid w:val="777A4EAA"/>
    <w:multiLevelType w:val="hybridMultilevel"/>
    <w:lvl w:ilvl="0">
      <w:lvlJc w:val="left"/>
      <w:lvlText w:val="•"/>
      <w:numFmt w:val="bullet"/>
      <w:start w:val="1"/>
    </w:lvl>
  </w:abstractNum>
  <w:abstractNum w:abstractNumId="36">
    <w:nsid w:val="3F48B982"/>
    <w:multiLevelType w:val="hybridMultilevel"/>
    <w:lvl w:ilvl="0">
      <w:lvlJc w:val="left"/>
      <w:lvlText w:val="(%1)"/>
      <w:numFmt w:val="decimal"/>
      <w:start w:val="1"/>
    </w:lvl>
  </w:abstractNum>
  <w:abstractNum w:abstractNumId="37">
    <w:nsid w:val="46BA8FCA"/>
    <w:multiLevelType w:val="hybridMultilevel"/>
    <w:lvl w:ilvl="0">
      <w:lvlJc w:val="left"/>
      <w:lvlText w:val="•"/>
      <w:numFmt w:val="bullet"/>
      <w:start w:val="1"/>
    </w:lvl>
  </w:abstractNum>
  <w:abstractNum w:abstractNumId="38">
    <w:nsid w:val="7835626C"/>
    <w:multiLevelType w:val="hybridMultilevel"/>
    <w:lvl w:ilvl="0">
      <w:lvlJc w:val="left"/>
      <w:lvlText w:val="•"/>
      <w:numFmt w:val="bullet"/>
      <w:start w:val="1"/>
    </w:lvl>
  </w:abstractNum>
  <w:abstractNum w:abstractNumId="39">
    <w:nsid w:val="665ACA49"/>
    <w:multiLevelType w:val="hybridMultilevel"/>
    <w:lvl w:ilvl="0">
      <w:lvlJc w:val="left"/>
      <w:lvlText w:val="•"/>
      <w:numFmt w:val="bullet"/>
      <w:start w:val="1"/>
    </w:lvl>
  </w:abstractNum>
  <w:abstractNum w:abstractNumId="40">
    <w:nsid w:val="6835B2AE"/>
    <w:multiLevelType w:val="hybridMultilevel"/>
    <w:lvl w:ilvl="0">
      <w:lvlJc w:val="left"/>
      <w:lvlText w:val="•"/>
      <w:numFmt w:val="bullet"/>
      <w:start w:val="1"/>
    </w:lvl>
  </w:abstractNum>
  <w:abstractNum w:abstractNumId="41">
    <w:nsid w:val="4C187C90"/>
    <w:multiLevelType w:val="hybridMultilevel"/>
    <w:lvl w:ilvl="0">
      <w:lvlJc w:val="left"/>
      <w:lvlText w:val="(%1)"/>
      <w:numFmt w:val="decimal"/>
      <w:start w:val="1"/>
    </w:lvl>
  </w:abstractNum>
  <w:abstractNum w:abstractNumId="42">
    <w:nsid w:val="541F28CD"/>
    <w:multiLevelType w:val="hybridMultilevel"/>
    <w:lvl w:ilvl="0">
      <w:lvlJc w:val="left"/>
      <w:lvlText w:val="•"/>
      <w:numFmt w:val="bullet"/>
      <w:start w:val="1"/>
    </w:lvl>
    <w:lvl w:ilvl="1">
      <w:lvlJc w:val="left"/>
      <w:lvlText w:val="•"/>
      <w:numFmt w:val="bullet"/>
      <w:start w:val="1"/>
    </w:lvl>
  </w:abstractNum>
  <w:abstractNum w:abstractNumId="43">
    <w:nsid w:val="7F65FD16"/>
    <w:multiLevelType w:val="hybridMultilevel"/>
    <w:lvl w:ilvl="0">
      <w:lvlJc w:val="left"/>
      <w:lvlText w:val="•"/>
      <w:numFmt w:val="bullet"/>
      <w:start w:val="1"/>
    </w:lvl>
  </w:abstractNum>
  <w:abstractNum w:abstractNumId="44">
    <w:nsid w:val="77C9FD68"/>
    <w:multiLevelType w:val="hybridMultilevel"/>
    <w:lvl w:ilvl="0">
      <w:lvlJc w:val="left"/>
      <w:lvlText w:val="•"/>
      <w:numFmt w:val="bullet"/>
      <w:start w:val="1"/>
    </w:lvl>
  </w:abstractNum>
  <w:abstractNum w:abstractNumId="45">
    <w:nsid w:val="298A92BA"/>
    <w:multiLevelType w:val="hybridMultilevel"/>
    <w:lvl w:ilvl="0">
      <w:lvlJc w:val="left"/>
      <w:lvlText w:val="•"/>
      <w:numFmt w:val="bullet"/>
      <w:start w:val="1"/>
    </w:lvl>
  </w:abstractNum>
  <w:abstractNum w:abstractNumId="46">
    <w:nsid w:val="6FE95EAC"/>
    <w:multiLevelType w:val="hybridMultilevel"/>
    <w:lvl w:ilvl="0">
      <w:lvlJc w:val="left"/>
      <w:lvlText w:val="(%1)"/>
      <w:numFmt w:val="decimal"/>
      <w:start w:val="1"/>
    </w:lvl>
  </w:abstractNum>
  <w:abstractNum w:abstractNumId="47">
    <w:nsid w:val="4B697C7A"/>
    <w:multiLevelType w:val="hybridMultilevel"/>
    <w:lvl w:ilvl="0">
      <w:lvlJc w:val="left"/>
      <w:lvlText w:val="(%1)"/>
      <w:numFmt w:val="decimal"/>
      <w:start w:val="1"/>
    </w:lvl>
  </w:abstractNum>
  <w:abstractNum w:abstractNumId="48">
    <w:nsid w:val="51A27AA6"/>
    <w:multiLevelType w:val="hybridMultilevel"/>
    <w:lvl w:ilvl="0">
      <w:lvlJc w:val="left"/>
      <w:lvlText w:val="•"/>
      <w:numFmt w:val="bullet"/>
      <w:start w:val="1"/>
    </w:lvl>
  </w:abstractNum>
  <w:abstractNum w:abstractNumId="49">
    <w:nsid w:val="613183F2"/>
    <w:multiLevelType w:val="hybridMultilevel"/>
    <w:lvl w:ilvl="0">
      <w:lvlJc w:val="left"/>
      <w:lvlText w:val="•"/>
      <w:numFmt w:val="bullet"/>
      <w:start w:val="1"/>
    </w:lvl>
  </w:abstractNum>
  <w:abstractNum w:abstractNumId="50">
    <w:nsid w:val="634102B4"/>
    <w:multiLevelType w:val="hybridMultilevel"/>
    <w:lvl w:ilvl="0">
      <w:lvlJc w:val="left"/>
      <w:lvlText w:val="•"/>
      <w:numFmt w:val="bullet"/>
      <w:start w:val="1"/>
    </w:lvl>
  </w:abstractNum>
  <w:abstractNum w:abstractNumId="51">
    <w:nsid w:val="65BF9DA8"/>
    <w:multiLevelType w:val="hybridMultilevel"/>
    <w:lvl w:ilvl="0">
      <w:lvlJc w:val="left"/>
      <w:lvlText w:val="•"/>
      <w:numFmt w:val="bullet"/>
      <w:start w:val="1"/>
    </w:lvl>
  </w:abstractNum>
  <w:abstractNum w:abstractNumId="52">
    <w:nsid w:val="21A2ECCA"/>
    <w:multiLevelType w:val="hybridMultilevel"/>
    <w:lvl w:ilvl="0">
      <w:lvlJc w:val="left"/>
      <w:lvlText w:val="•"/>
      <w:numFmt w:val="bullet"/>
      <w:start w:val="1"/>
    </w:lvl>
  </w:abstractNum>
  <w:abstractNum w:abstractNumId="53">
    <w:nsid w:val="4D5C4899"/>
    <w:multiLevelType w:val="hybridMultilevel"/>
    <w:lvl w:ilvl="0">
      <w:lvlJc w:val="left"/>
      <w:lvlText w:val="•"/>
      <w:numFmt w:val="bullet"/>
      <w:start w:val="1"/>
    </w:lvl>
  </w:abstractNum>
  <w:abstractNum w:abstractNumId="54">
    <w:nsid w:val="3C3B72B2"/>
    <w:multiLevelType w:val="hybridMultilevel"/>
    <w:lvl w:ilvl="0">
      <w:lvlJc w:val="left"/>
      <w:lvlText w:val="•"/>
      <w:numFmt w:val="bullet"/>
      <w:start w:val="1"/>
    </w:lvl>
  </w:abstractNum>
  <w:abstractNum w:abstractNumId="55">
    <w:nsid w:val="155EC4C2"/>
    <w:multiLevelType w:val="hybridMultilevel"/>
    <w:lvl w:ilvl="0">
      <w:lvlJc w:val="left"/>
      <w:lvlText w:val="(%1)"/>
      <w:numFmt w:val="decimal"/>
      <w:start w:val="1"/>
    </w:lvl>
  </w:abstractNum>
  <w:abstractNum w:abstractNumId="56">
    <w:nsid w:val="65D2A137"/>
    <w:multiLevelType w:val="hybridMultilevel"/>
    <w:lvl w:ilvl="0">
      <w:lvlJc w:val="left"/>
      <w:lvlText w:val="•"/>
      <w:numFmt w:val="bullet"/>
      <w:start w:val="1"/>
    </w:lvl>
    <w:lvl w:ilvl="1">
      <w:lvlJc w:val="left"/>
      <w:lvlText w:val="•"/>
      <w:numFmt w:val="bullet"/>
      <w:start w:val="1"/>
    </w:lvl>
  </w:abstractNum>
  <w:abstractNum w:abstractNumId="57">
    <w:nsid w:val="6EBB1F2A"/>
    <w:multiLevelType w:val="hybridMultilevel"/>
    <w:lvl w:ilvl="0">
      <w:lvlJc w:val="left"/>
      <w:lvlText w:val="•"/>
      <w:numFmt w:val="bullet"/>
      <w:start w:val="1"/>
    </w:lvl>
  </w:abstractNum>
  <w:abstractNum w:abstractNumId="58">
    <w:nsid w:val="6FBF29CB"/>
    <w:multiLevelType w:val="hybridMultilevel"/>
    <w:lvl w:ilvl="0">
      <w:lvlJc w:val="left"/>
      <w:lvlText w:val="•"/>
      <w:numFmt w:val="bullet"/>
      <w:start w:val="1"/>
    </w:lvl>
  </w:abstractNum>
  <w:abstractNum w:abstractNumId="59">
    <w:nsid w:val="550B8808"/>
    <w:multiLevelType w:val="hybridMultilevel"/>
    <w:lvl w:ilvl="0">
      <w:lvlJc w:val="left"/>
      <w:lvlText w:val="•"/>
      <w:numFmt w:val="bullet"/>
      <w:start w:val="1"/>
    </w:lvl>
  </w:abstractNum>
  <w:abstractNum w:abstractNumId="60">
    <w:nsid w:val="34CC3ACF"/>
    <w:multiLevelType w:val="hybridMultilevel"/>
    <w:lvl w:ilvl="0">
      <w:lvlJc w:val="left"/>
      <w:lvlText w:val="•"/>
      <w:numFmt w:val="bullet"/>
      <w:start w:val="1"/>
    </w:lvl>
  </w:abstractNum>
  <w:abstractNum w:abstractNumId="61">
    <w:nsid w:val="4E556261"/>
    <w:multiLevelType w:val="hybridMultilevel"/>
    <w:lvl w:ilvl="0">
      <w:lvlJc w:val="left"/>
      <w:lvlText w:val="•"/>
      <w:numFmt w:val="bullet"/>
      <w:start w:val="1"/>
    </w:lvl>
  </w:abstractNum>
  <w:abstractNum w:abstractNumId="62">
    <w:nsid w:val="4C672FC9"/>
    <w:multiLevelType w:val="hybridMultilevel"/>
    <w:lvl w:ilvl="0">
      <w:lvlJc w:val="left"/>
      <w:lvlText w:val="•"/>
      <w:numFmt w:val="bullet"/>
      <w:start w:val="1"/>
    </w:lvl>
  </w:abstractNum>
  <w:abstractNum w:abstractNumId="63">
    <w:nsid w:val="52A311C3"/>
    <w:multiLevelType w:val="hybridMultilevel"/>
    <w:lvl w:ilvl="0">
      <w:lvlJc w:val="left"/>
      <w:lvlText w:val="•"/>
      <w:numFmt w:val="bullet"/>
      <w:start w:val="1"/>
    </w:lvl>
  </w:abstractNum>
  <w:abstractNum w:abstractNumId="64">
    <w:nsid w:val="44EF6B80"/>
    <w:multiLevelType w:val="hybridMultilevel"/>
    <w:lvl w:ilvl="0">
      <w:lvlJc w:val="left"/>
      <w:lvlText w:val="•"/>
      <w:numFmt w:val="bullet"/>
      <w:start w:val="1"/>
    </w:lvl>
  </w:abstractNum>
  <w:abstractNum w:abstractNumId="65">
    <w:nsid w:val="12FCDE5E"/>
    <w:multiLevelType w:val="hybridMultilevel"/>
    <w:lvl w:ilvl="0">
      <w:lvlJc w:val="left"/>
      <w:lvlText w:val="•"/>
      <w:numFmt w:val="bullet"/>
      <w:start w:val="1"/>
    </w:lvl>
    <w:lvl w:ilvl="1">
      <w:lvlJc w:val="left"/>
      <w:lvlText w:val="¡"/>
      <w:numFmt w:val="bullet"/>
      <w:start w:val="1"/>
    </w:lvl>
  </w:abstractNum>
  <w:abstractNum w:abstractNumId="66">
    <w:nsid w:val="4A1D606E"/>
    <w:multiLevelType w:val="hybridMultilevel"/>
    <w:lvl w:ilvl="0">
      <w:lvlJc w:val="left"/>
      <w:lvlText w:val="•"/>
      <w:numFmt w:val="bullet"/>
      <w:start w:val="1"/>
    </w:lvl>
    <w:lvl w:ilvl="1">
      <w:lvlJc w:val="left"/>
      <w:lvlText w:val="¡"/>
      <w:numFmt w:val="bullet"/>
      <w:start w:val="1"/>
    </w:lvl>
  </w:abstractNum>
  <w:abstractNum w:abstractNumId="67">
    <w:nsid w:val="4382503"/>
    <w:multiLevelType w:val="hybridMultilevel"/>
    <w:lvl w:ilvl="0">
      <w:lvlJc w:val="left"/>
      <w:lvlText w:val="•"/>
      <w:numFmt w:val="bullet"/>
      <w:start w:val="1"/>
    </w:lvl>
  </w:abstractNum>
  <w:abstractNum w:abstractNumId="68">
    <w:nsid w:val="59B76E28"/>
    <w:multiLevelType w:val="hybridMultilevel"/>
    <w:lvl w:ilvl="0">
      <w:lvlJc w:val="left"/>
      <w:lvlText w:val="(%1)"/>
      <w:numFmt w:val="decimal"/>
      <w:start w:val="1"/>
    </w:lvl>
  </w:abstractNum>
  <w:abstractNum w:abstractNumId="69">
    <w:nsid w:val="4252C2DA"/>
    <w:multiLevelType w:val="hybridMultilevel"/>
    <w:lvl w:ilvl="0">
      <w:lvlJc w:val="left"/>
      <w:lvlText w:val="(%1)"/>
      <w:numFmt w:val="decimal"/>
      <w:start w:val="1"/>
    </w:lvl>
  </w:abstractNum>
  <w:abstractNum w:abstractNumId="70">
    <w:nsid w:val="6A92EF4C"/>
    <w:multiLevelType w:val="hybridMultilevel"/>
    <w:lvl w:ilvl="0">
      <w:lvlJc w:val="left"/>
      <w:lvlText w:val="(%1)"/>
      <w:numFmt w:val="decimal"/>
      <w:start w:val="1"/>
    </w:lvl>
  </w:abstractNum>
  <w:abstractNum w:abstractNumId="71">
    <w:nsid w:val="41ED20D7"/>
    <w:multiLevelType w:val="hybridMultilevel"/>
    <w:lvl w:ilvl="0">
      <w:lvlJc w:val="left"/>
      <w:lvlText w:val="(%1)"/>
      <w:numFmt w:val="decimal"/>
      <w:start w:val="2"/>
    </w:lvl>
  </w:abstractNum>
  <w:abstractNum w:abstractNumId="72">
    <w:nsid w:val="E6B3F6A"/>
    <w:multiLevelType w:val="hybridMultilevel"/>
    <w:lvl w:ilvl="0">
      <w:lvlJc w:val="left"/>
      <w:lvlText w:val="•"/>
      <w:numFmt w:val="bullet"/>
      <w:start w:val="1"/>
    </w:lvl>
  </w:abstractNum>
  <w:abstractNum w:abstractNumId="73">
    <w:nsid w:val="3EB21819"/>
    <w:multiLevelType w:val="hybridMultilevel"/>
    <w:lvl w:ilvl="0">
      <w:lvlJc w:val="left"/>
      <w:lvlText w:val="•"/>
      <w:numFmt w:val="bullet"/>
      <w:start w:val="1"/>
    </w:lvl>
  </w:abstractNum>
  <w:abstractNum w:abstractNumId="74">
    <w:nsid w:val="41531DED"/>
    <w:multiLevelType w:val="hybridMultilevel"/>
    <w:lvl w:ilvl="0">
      <w:lvlJc w:val="left"/>
      <w:lvlText w:val="•"/>
      <w:numFmt w:val="bullet"/>
      <w:start w:val="1"/>
    </w:lvl>
  </w:abstractNum>
  <w:abstractNum w:abstractNumId="75">
    <w:nsid w:val="6353CD2"/>
    <w:multiLevelType w:val="hybridMultilevel"/>
    <w:lvl w:ilvl="0">
      <w:lvlJc w:val="left"/>
      <w:lvlText w:val="•"/>
      <w:numFmt w:val="bullet"/>
      <w:start w:val="1"/>
    </w:lvl>
  </w:abstractNum>
  <w:abstractNum w:abstractNumId="76">
    <w:nsid w:val="683CAAD3"/>
    <w:multiLevelType w:val="hybridMultilevel"/>
    <w:lvl w:ilvl="0">
      <w:lvlJc w:val="left"/>
      <w:lvlText w:val="•"/>
      <w:numFmt w:val="bullet"/>
      <w:start w:val="1"/>
    </w:lvl>
  </w:abstractNum>
  <w:abstractNum w:abstractNumId="77">
    <w:nsid w:val="313C7C99"/>
    <w:multiLevelType w:val="hybridMultilevel"/>
    <w:lvl w:ilvl="0">
      <w:lvlJc w:val="left"/>
      <w:lvlText w:val="•"/>
      <w:numFmt w:val="bullet"/>
      <w:start w:val="1"/>
    </w:lvl>
  </w:abstractNum>
  <w:abstractNum w:abstractNumId="78">
    <w:nsid w:val="519EB94C"/>
    <w:multiLevelType w:val="hybridMultilevel"/>
    <w:lvl w:ilvl="0">
      <w:lvlJc w:val="left"/>
      <w:lvlText w:val="•"/>
      <w:numFmt w:val="bullet"/>
      <w:start w:val="1"/>
    </w:lvl>
  </w:abstractNum>
  <w:abstractNum w:abstractNumId="79">
    <w:nsid w:val="39DF2579"/>
    <w:multiLevelType w:val="hybridMultilevel"/>
    <w:lvl w:ilvl="0">
      <w:lvlJc w:val="left"/>
      <w:lvlText w:val="•"/>
      <w:numFmt w:val="bullet"/>
      <w:start w:val="1"/>
    </w:lvl>
  </w:abstractNum>
  <w:abstractNum w:abstractNumId="80">
    <w:nsid w:val="126E008B"/>
    <w:multiLevelType w:val="hybridMultilevel"/>
    <w:lvl w:ilvl="0">
      <w:lvlJc w:val="left"/>
      <w:lvlText w:val="•"/>
      <w:numFmt w:val="bullet"/>
      <w:start w:val="1"/>
    </w:lvl>
  </w:abstractNum>
  <w:abstractNum w:abstractNumId="81">
    <w:nsid w:val="34DFBC00"/>
    <w:multiLevelType w:val="hybridMultilevel"/>
    <w:lvl w:ilvl="0">
      <w:lvlJc w:val="left"/>
      <w:lvlText w:val="•"/>
      <w:numFmt w:val="bullet"/>
      <w:start w:val="1"/>
    </w:lvl>
  </w:abstractNum>
  <w:abstractNum w:abstractNumId="82">
    <w:nsid w:val="1F9EC322"/>
    <w:multiLevelType w:val="hybridMultilevel"/>
    <w:lvl w:ilvl="0">
      <w:lvlJc w:val="left"/>
      <w:lvlText w:val="•"/>
      <w:numFmt w:val="bullet"/>
      <w:start w:val="1"/>
    </w:lvl>
  </w:abstractNum>
  <w:abstractNum w:abstractNumId="83">
    <w:nsid w:val="3410ED56"/>
    <w:multiLevelType w:val="hybridMultilevel"/>
    <w:lvl w:ilvl="0">
      <w:lvlJc w:val="left"/>
      <w:lvlText w:val="(%1)"/>
      <w:numFmt w:val="lowerRoman"/>
      <w:start w:val="1"/>
    </w:lvl>
  </w:abstractNum>
  <w:abstractNum w:abstractNumId="84">
    <w:nsid w:val="23C049A"/>
    <w:multiLevelType w:val="hybridMultilevel"/>
    <w:lvl w:ilvl="0">
      <w:lvlJc w:val="left"/>
      <w:lvlText w:val="(%1)"/>
      <w:numFmt w:val="lowerRoman"/>
      <w:start w:val="2"/>
    </w:lvl>
  </w:abstractNum>
  <w:abstractNum w:abstractNumId="85">
    <w:nsid w:val="5BDA35D4"/>
    <w:multiLevelType w:val="hybridMultilevel"/>
    <w:lvl w:ilvl="0">
      <w:lvlJc w:val="left"/>
      <w:lvlText w:val="•"/>
      <w:numFmt w:val="bullet"/>
      <w:start w:val="1"/>
    </w:lvl>
  </w:abstractNum>
  <w:abstractNum w:abstractNumId="86">
    <w:nsid w:val="496FB218"/>
    <w:multiLevelType w:val="hybridMultilevel"/>
    <w:lvl w:ilvl="0">
      <w:lvlJc w:val="left"/>
      <w:lvlText w:val="•"/>
      <w:numFmt w:val="bullet"/>
      <w:start w:val="1"/>
    </w:lvl>
  </w:abstractNum>
  <w:abstractNum w:abstractNumId="87">
    <w:nsid w:val="680EA5D1"/>
    <w:multiLevelType w:val="hybridMultilevel"/>
    <w:lvl w:ilvl="0">
      <w:lvlJc w:val="left"/>
      <w:lvlText w:val="="/>
      <w:numFmt w:val="bullet"/>
      <w:start w:val="1"/>
    </w:lvl>
  </w:abstractNum>
  <w:abstractNum w:abstractNumId="88">
    <w:nsid w:val="4A9554FE"/>
    <w:multiLevelType w:val="hybridMultilevel"/>
    <w:lvl w:ilvl="0">
      <w:lvlJc w:val="left"/>
      <w:lvlText w:val="(%1)"/>
      <w:numFmt w:val="decimal"/>
    </w:lvl>
    <w:lvl w:ilvl="1">
      <w:lvlJc w:val="left"/>
      <w:lvlText w:val="="/>
      <w:numFmt w:val="bullet"/>
      <w:start w:val="1"/>
    </w:lvl>
  </w:abstractNum>
  <w:abstractNum w:abstractNumId="89">
    <w:nsid w:val="392EDBE4"/>
    <w:multiLevelType w:val="hybridMultilevel"/>
    <w:lvl w:ilvl="0">
      <w:lvlJc w:val="left"/>
      <w:lvlText w:val="(*)"/>
      <w:numFmt w:val="bullet"/>
      <w:start w:val="1"/>
    </w:lvl>
  </w:abstractNum>
  <w:abstractNum w:abstractNumId="90">
    <w:nsid w:val="3D1A2DD9"/>
    <w:multiLevelType w:val="hybridMultilevel"/>
    <w:lvl w:ilvl="0">
      <w:lvlJc w:val="left"/>
      <w:lvlText w:val="•"/>
      <w:numFmt w:val="bullet"/>
      <w:start w:val="1"/>
    </w:lvl>
  </w:abstractNum>
  <w:abstractNum w:abstractNumId="91">
    <w:nsid w:val="7F618FCD"/>
    <w:multiLevelType w:val="hybridMultilevel"/>
    <w:lvl w:ilvl="0">
      <w:lvlJc w:val="left"/>
      <w:lvlText w:val="•"/>
      <w:numFmt w:val="bullet"/>
      <w:start w:val="1"/>
    </w:lvl>
  </w:abstractNum>
  <w:abstractNum w:abstractNumId="92">
    <w:nsid w:val="7843E45"/>
    <w:multiLevelType w:val="hybridMultilevel"/>
    <w:lvl w:ilvl="0">
      <w:lvlJc w:val="left"/>
      <w:lvlText w:val="•"/>
      <w:numFmt w:val="bullet"/>
      <w:start w:val="1"/>
    </w:lvl>
  </w:abstractNum>
  <w:abstractNum w:abstractNumId="93">
    <w:nsid w:val="9815DA3"/>
    <w:multiLevelType w:val="hybridMultilevel"/>
    <w:lvl w:ilvl="0">
      <w:lvlJc w:val="left"/>
      <w:lvlText w:val="•"/>
      <w:numFmt w:val="bullet"/>
      <w:start w:val="1"/>
    </w:lvl>
  </w:abstractNum>
  <w:abstractNum w:abstractNumId="94">
    <w:nsid w:val="5204A191"/>
    <w:multiLevelType w:val="hybridMultilevel"/>
    <w:lvl w:ilvl="0">
      <w:lvlJc w:val="left"/>
      <w:lvlText w:val="•"/>
      <w:numFmt w:val="bullet"/>
      <w:start w:val="1"/>
    </w:lvl>
  </w:abstractNum>
  <w:abstractNum w:abstractNumId="95">
    <w:nsid w:val="4C73A9C6"/>
    <w:multiLevelType w:val="hybridMultilevel"/>
    <w:lvl w:ilvl="0">
      <w:lvlJc w:val="left"/>
      <w:lvlText w:val="•"/>
      <w:numFmt w:val="bullet"/>
      <w:start w:val="1"/>
    </w:lvl>
  </w:abstractNum>
  <w:abstractNum w:abstractNumId="96">
    <w:nsid w:val="1C7E3C01"/>
    <w:multiLevelType w:val="hybridMultilevel"/>
    <w:lvl w:ilvl="0">
      <w:lvlJc w:val="left"/>
      <w:lvlText w:val="•"/>
      <w:numFmt w:val="bullet"/>
      <w:start w:val="1"/>
    </w:lvl>
  </w:abstractNum>
  <w:abstractNum w:abstractNumId="97">
    <w:nsid w:val="1C2201FF"/>
    <w:multiLevelType w:val="hybridMultilevel"/>
    <w:lvl w:ilvl="0">
      <w:lvlJc w:val="left"/>
      <w:lvlText w:val="•"/>
      <w:numFmt w:val="bullet"/>
      <w:start w:val="1"/>
    </w:lvl>
  </w:abstractNum>
  <w:abstractNum w:abstractNumId="98">
    <w:nsid w:val="50ABCEC9"/>
    <w:multiLevelType w:val="hybridMultilevel"/>
    <w:lvl w:ilvl="0">
      <w:lvlJc w:val="left"/>
      <w:lvlText w:val="•"/>
      <w:numFmt w:val="bullet"/>
      <w:start w:val="1"/>
    </w:lvl>
  </w:abstractNum>
  <w:abstractNum w:abstractNumId="99">
    <w:nsid w:val="7635AA2A"/>
    <w:multiLevelType w:val="hybridMultilevel"/>
    <w:lvl w:ilvl="0">
      <w:lvlJc w:val="left"/>
      <w:lvlText w:val="•"/>
      <w:numFmt w:val="bullet"/>
      <w:start w:val="1"/>
    </w:lvl>
  </w:abstractNum>
  <w:abstractNum w:abstractNumId="100">
    <w:nsid w:val="5E74C4D9"/>
    <w:multiLevelType w:val="hybridMultilevel"/>
    <w:lvl w:ilvl="0">
      <w:lvlJc w:val="left"/>
      <w:lvlText w:val="•"/>
      <w:numFmt w:val="bullet"/>
      <w:start w:val="1"/>
    </w:lvl>
  </w:abstractNum>
  <w:abstractNum w:abstractNumId="101">
    <w:nsid w:val="3B3EBE15"/>
    <w:multiLevelType w:val="hybridMultilevel"/>
    <w:lvl w:ilvl="0">
      <w:lvlJc w:val="left"/>
      <w:lvlText w:val="*"/>
      <w:numFmt w:val="bullet"/>
      <w:start w:val="1"/>
    </w:lvl>
  </w:abstractNum>
  <w:abstractNum w:abstractNumId="102">
    <w:nsid w:val="3822CB01"/>
    <w:multiLevelType w:val="hybridMultilevel"/>
    <w:lvl w:ilvl="0">
      <w:lvlJc w:val="left"/>
      <w:lvlText w:val="(%1)"/>
      <w:numFmt w:val="decimal"/>
      <w:start w:val="1"/>
    </w:lvl>
  </w:abstractNum>
  <w:abstractNum w:abstractNumId="103">
    <w:nsid w:val="6CE00443"/>
    <w:multiLevelType w:val="hybridMultilevel"/>
    <w:lvl w:ilvl="0">
      <w:lvlJc w:val="left"/>
      <w:lvlText w:val="(%1)"/>
      <w:numFmt w:val="decimal"/>
      <w:start w:val="2"/>
    </w:lvl>
  </w:abstractNum>
  <w:abstractNum w:abstractNumId="104">
    <w:nsid w:val="79F0D62F"/>
    <w:multiLevelType w:val="hybridMultilevel"/>
    <w:lvl w:ilvl="0">
      <w:lvlJc w:val="left"/>
      <w:lvlText w:val="(%1)"/>
      <w:numFmt w:val="decimal"/>
      <w:start w:val="8"/>
    </w:lvl>
  </w:abstractNum>
  <w:abstractNum w:abstractNumId="105">
    <w:nsid w:val="7975E8EE"/>
    <w:multiLevelType w:val="hybridMultilevel"/>
    <w:lvl w:ilvl="0">
      <w:lvlJc w:val="left"/>
      <w:lvlText w:val="(%1)"/>
      <w:numFmt w:val="decimal"/>
      <w:start w:val="1"/>
    </w:lvl>
  </w:abstractNum>
  <w:abstractNum w:abstractNumId="106">
    <w:nsid w:val="73154115"/>
    <w:multiLevelType w:val="hybridMultilevel"/>
    <w:lvl w:ilvl="0">
      <w:lvlJc w:val="left"/>
      <w:lvlText w:val="•"/>
      <w:numFmt w:val="bullet"/>
      <w:start w:val="1"/>
    </w:lvl>
  </w:abstractNum>
  <w:abstractNum w:abstractNumId="107">
    <w:nsid w:val="622D8102"/>
    <w:multiLevelType w:val="hybridMultilevel"/>
    <w:lvl w:ilvl="0">
      <w:lvlJc w:val="left"/>
      <w:lvlText w:val="•"/>
      <w:numFmt w:val="bullet"/>
      <w:start w:val="1"/>
    </w:lvl>
  </w:abstractNum>
  <w:abstractNum w:abstractNumId="108">
    <w:nsid w:val="2AB26587"/>
    <w:multiLevelType w:val="hybridMultilevel"/>
    <w:lvl w:ilvl="0">
      <w:lvlJc w:val="left"/>
      <w:lvlText w:val="•"/>
      <w:numFmt w:val="bullet"/>
      <w:start w:val="1"/>
    </w:lvl>
  </w:abstractNum>
  <w:abstractNum w:abstractNumId="109">
    <w:nsid w:val="44B3FA61"/>
    <w:multiLevelType w:val="hybridMultilevel"/>
    <w:lvl w:ilvl="0">
      <w:lvlJc w:val="left"/>
      <w:lvlText w:val="•"/>
      <w:numFmt w:val="bullet"/>
      <w:start w:val="1"/>
    </w:lvl>
  </w:abstractNum>
  <w:abstractNum w:abstractNumId="110">
    <w:nsid w:val="1C0CA67C"/>
    <w:multiLevelType w:val="hybridMultilevel"/>
    <w:lvl w:ilvl="0">
      <w:lvlJc w:val="left"/>
      <w:lvlText w:val="•"/>
      <w:numFmt w:val="bullet"/>
      <w:start w:val="1"/>
    </w:lvl>
  </w:abstractNum>
  <w:abstractNum w:abstractNumId="111">
    <w:nsid w:val="3D206613"/>
    <w:multiLevelType w:val="hybridMultilevel"/>
    <w:lvl w:ilvl="0">
      <w:lvlJc w:val="left"/>
      <w:lvlText w:val="•"/>
      <w:numFmt w:val="bullet"/>
      <w:start w:val="1"/>
    </w:lvl>
  </w:abstractNum>
  <w:abstractNum w:abstractNumId="112">
    <w:nsid w:val="7993B662"/>
    <w:multiLevelType w:val="hybridMultilevel"/>
    <w:lvl w:ilvl="0">
      <w:lvlJc w:val="left"/>
      <w:lvlText w:val="•"/>
      <w:numFmt w:val="bullet"/>
      <w:start w:val="1"/>
    </w:lvl>
  </w:abstractNum>
  <w:abstractNum w:abstractNumId="113">
    <w:nsid w:val="3BAB699E"/>
    <w:multiLevelType w:val="hybridMultilevel"/>
    <w:lvl w:ilvl="0">
      <w:lvlJc w:val="left"/>
      <w:lvlText w:val="(%1)"/>
      <w:numFmt w:val="lowerRoman"/>
      <w:start w:val="1"/>
    </w:lvl>
  </w:abstractNum>
  <w:abstractNum w:abstractNumId="114">
    <w:nsid w:val="71315369"/>
    <w:multiLevelType w:val="hybridMultilevel"/>
    <w:lvl w:ilvl="0">
      <w:lvlJc w:val="left"/>
      <w:lvlText w:val="•"/>
      <w:numFmt w:val="bullet"/>
      <w:start w:val="1"/>
    </w:lvl>
  </w:abstractNum>
  <w:abstractNum w:abstractNumId="115">
    <w:nsid w:val="7BCFBAFC"/>
    <w:multiLevelType w:val="hybridMultilevel"/>
    <w:lvl w:ilvl="0">
      <w:lvlJc w:val="left"/>
      <w:lvlText w:val="•"/>
      <w:numFmt w:val="bullet"/>
      <w:start w:val="1"/>
    </w:lvl>
  </w:abstractNum>
  <w:abstractNum w:abstractNumId="116">
    <w:nsid w:val="17859F72"/>
    <w:multiLevelType w:val="hybridMultilevel"/>
    <w:lvl w:ilvl="0">
      <w:lvlJc w:val="left"/>
      <w:lvlText w:val="•"/>
      <w:numFmt w:val="bullet"/>
      <w:start w:val="1"/>
    </w:lvl>
  </w:abstractNum>
  <w:abstractNum w:abstractNumId="117">
    <w:nsid w:val="3AA10581"/>
    <w:multiLevelType w:val="hybridMultilevel"/>
    <w:lvl w:ilvl="0">
      <w:lvlJc w:val="left"/>
      <w:lvlText w:val="•"/>
      <w:numFmt w:val="bullet"/>
      <w:start w:val="1"/>
    </w:lvl>
  </w:abstractNum>
  <w:abstractNum w:abstractNumId="118">
    <w:nsid w:val="63DE60CD"/>
    <w:multiLevelType w:val="hybridMultilevel"/>
    <w:lvl w:ilvl="0">
      <w:lvlJc w:val="left"/>
      <w:lvlText w:val="•"/>
      <w:numFmt w:val="bullet"/>
      <w:start w:val="1"/>
    </w:lvl>
  </w:abstractNum>
  <w:abstractNum w:abstractNumId="119">
    <w:nsid w:val="621AF471"/>
    <w:multiLevelType w:val="hybridMultilevel"/>
    <w:lvl w:ilvl="0">
      <w:lvlJc w:val="left"/>
      <w:lvlText w:val="•"/>
      <w:numFmt w:val="bullet"/>
      <w:start w:val="1"/>
    </w:lvl>
  </w:abstractNum>
  <w:abstractNum w:abstractNumId="120">
    <w:nsid w:val="73CFE165"/>
    <w:multiLevelType w:val="hybridMultilevel"/>
    <w:lvl w:ilvl="0">
      <w:lvlJc w:val="left"/>
      <w:lvlText w:val="•"/>
      <w:numFmt w:val="bullet"/>
      <w:start w:val="1"/>
    </w:lvl>
  </w:abstractNum>
  <w:abstractNum w:abstractNumId="121">
    <w:nsid w:val="20F88EA6"/>
    <w:multiLevelType w:val="hybridMultilevel"/>
    <w:lvl w:ilvl="0">
      <w:lvlJc w:val="left"/>
      <w:lvlText w:val="•"/>
      <w:numFmt w:val="bullet"/>
      <w:start w:val="1"/>
    </w:lvl>
  </w:abstractNum>
  <w:abstractNum w:abstractNumId="122">
    <w:nsid w:val="617C843E"/>
    <w:multiLevelType w:val="hybridMultilevel"/>
    <w:lvl w:ilvl="0">
      <w:lvlJc w:val="left"/>
      <w:lvlText w:val="•"/>
      <w:numFmt w:val="bullet"/>
      <w:start w:val="1"/>
    </w:lvl>
  </w:abstractNum>
  <w:abstractNum w:abstractNumId="123">
    <w:nsid w:val="7B541FAB"/>
    <w:multiLevelType w:val="hybridMultilevel"/>
    <w:lvl w:ilvl="0">
      <w:lvlJc w:val="left"/>
      <w:lvlText w:val="•"/>
      <w:numFmt w:val="bullet"/>
      <w:start w:val="1"/>
    </w:lvl>
  </w:abstractNum>
  <w:abstractNum w:abstractNumId="124">
    <w:nsid w:val="2A79EC49"/>
    <w:multiLevelType w:val="hybridMultilevel"/>
    <w:lvl w:ilvl="0">
      <w:lvlJc w:val="left"/>
      <w:lvlText w:val="•"/>
      <w:numFmt w:val="bullet"/>
      <w:start w:val="1"/>
    </w:lvl>
  </w:abstractNum>
  <w:abstractNum w:abstractNumId="125">
    <w:nsid w:val="338125CF"/>
    <w:multiLevelType w:val="hybridMultilevel"/>
    <w:lvl w:ilvl="0">
      <w:lvlJc w:val="left"/>
      <w:lvlText w:val="•"/>
      <w:numFmt w:val="bullet"/>
      <w:start w:val="1"/>
    </w:lvl>
  </w:abstractNum>
  <w:abstractNum w:abstractNumId="126">
    <w:nsid w:val="47C7C971"/>
    <w:multiLevelType w:val="hybridMultilevel"/>
    <w:lvl w:ilvl="0">
      <w:lvlJc w:val="left"/>
      <w:lvlText w:val="•"/>
      <w:numFmt w:val="bullet"/>
      <w:start w:val="1"/>
    </w:lvl>
  </w:abstractNum>
  <w:abstractNum w:abstractNumId="127">
    <w:nsid w:val="46F8284B"/>
    <w:multiLevelType w:val="hybridMultilevel"/>
    <w:lvl w:ilvl="0">
      <w:lvlJc w:val="left"/>
      <w:lvlText w:val="•"/>
      <w:numFmt w:val="bullet"/>
      <w:start w:val="1"/>
    </w:lvl>
  </w:abstractNum>
  <w:abstractNum w:abstractNumId="128">
    <w:nsid w:val="4FA327CE"/>
    <w:multiLevelType w:val="hybridMultilevel"/>
    <w:lvl w:ilvl="0">
      <w:lvlJc w:val="left"/>
      <w:lvlText w:val="•"/>
      <w:numFmt w:val="bullet"/>
      <w:start w:val="1"/>
    </w:lvl>
  </w:abstractNum>
  <w:abstractNum w:abstractNumId="129">
    <w:nsid w:val="1873983A"/>
    <w:multiLevelType w:val="hybridMultilevel"/>
    <w:lvl w:ilvl="0">
      <w:lvlJc w:val="left"/>
      <w:lvlText w:val="•"/>
      <w:numFmt w:val="bullet"/>
      <w:start w:val="1"/>
    </w:lvl>
  </w:abstractNum>
  <w:abstractNum w:abstractNumId="130">
    <w:nsid w:val="3D2DD275"/>
    <w:multiLevelType w:val="hybridMultilevel"/>
    <w:lvl w:ilvl="0">
      <w:lvlJc w:val="left"/>
      <w:lvlText w:val="•"/>
      <w:numFmt w:val="bullet"/>
      <w:start w:val="1"/>
    </w:lvl>
  </w:abstractNum>
  <w:abstractNum w:abstractNumId="131">
    <w:nsid w:val="2E17ECA7"/>
    <w:multiLevelType w:val="hybridMultilevel"/>
    <w:lvl w:ilvl="0">
      <w:lvlJc w:val="left"/>
      <w:lvlText w:val="•"/>
      <w:numFmt w:val="bullet"/>
      <w:start w:val="1"/>
    </w:lvl>
  </w:abstractNum>
  <w:abstractNum w:abstractNumId="132">
    <w:nsid w:val="53B2564F"/>
    <w:multiLevelType w:val="hybridMultilevel"/>
    <w:lvl w:ilvl="0">
      <w:lvlJc w:val="left"/>
      <w:lvlText w:val="•"/>
      <w:numFmt w:val="bullet"/>
      <w:start w:val="1"/>
    </w:lvl>
  </w:abstractNum>
  <w:abstractNum w:abstractNumId="133">
    <w:nsid w:val="75509D76"/>
    <w:multiLevelType w:val="hybridMultilevel"/>
    <w:lvl w:ilvl="0">
      <w:lvlJc w:val="left"/>
      <w:lvlText w:val="•"/>
      <w:numFmt w:val="bullet"/>
      <w:start w:val="1"/>
    </w:lvl>
  </w:abstractNum>
  <w:abstractNum w:abstractNumId="134">
    <w:nsid w:val="1AF7F0EA"/>
    <w:multiLevelType w:val="hybridMultilevel"/>
    <w:lvl w:ilvl="0">
      <w:lvlJc w:val="left"/>
      <w:lvlText w:val="•"/>
      <w:numFmt w:val="bullet"/>
      <w:start w:val="1"/>
    </w:lvl>
  </w:abstractNum>
  <w:abstractNum w:abstractNumId="135">
    <w:nsid w:val="4DA32C7E"/>
    <w:multiLevelType w:val="hybridMultilevel"/>
    <w:lvl w:ilvl="0">
      <w:lvlJc w:val="left"/>
      <w:lvlText w:val="•"/>
      <w:numFmt w:val="bullet"/>
      <w:start w:val="1"/>
    </w:lvl>
  </w:abstractNum>
  <w:abstractNum w:abstractNumId="136">
    <w:nsid w:val="6EC68664"/>
    <w:multiLevelType w:val="hybridMultilevel"/>
    <w:lvl w:ilvl="0">
      <w:lvlJc w:val="left"/>
      <w:lvlText w:val="•"/>
      <w:numFmt w:val="bullet"/>
      <w:start w:val="1"/>
    </w:lvl>
  </w:abstractNum>
  <w:abstractNum w:abstractNumId="137">
    <w:nsid w:val="E0D31FF"/>
    <w:multiLevelType w:val="hybridMultilevel"/>
    <w:lvl w:ilvl="0">
      <w:lvlJc w:val="left"/>
      <w:lvlText w:val="•"/>
      <w:numFmt w:val="bullet"/>
      <w:start w:val="1"/>
    </w:lvl>
  </w:abstractNum>
  <w:abstractNum w:abstractNumId="138">
    <w:nsid w:val="2FD0AD81"/>
    <w:multiLevelType w:val="hybridMultilevel"/>
    <w:lvl w:ilvl="0">
      <w:lvlJc w:val="left"/>
      <w:lvlText w:val="•"/>
      <w:numFmt w:val="bullet"/>
      <w:start w:val="1"/>
    </w:lvl>
    <w:lvl w:ilvl="1">
      <w:lvlJc w:val="left"/>
      <w:lvlText w:val="¡"/>
      <w:numFmt w:val="bullet"/>
      <w:start w:val="1"/>
    </w:lvl>
  </w:abstractNum>
  <w:abstractNum w:abstractNumId="139">
    <w:nsid w:val="1978EBEB"/>
    <w:multiLevelType w:val="hybridMultilevel"/>
    <w:lvl w:ilvl="0">
      <w:lvlJc w:val="left"/>
      <w:lvlText w:val="•"/>
      <w:numFmt w:val="bullet"/>
      <w:start w:val="1"/>
    </w:lvl>
  </w:abstractNum>
  <w:abstractNum w:abstractNumId="140">
    <w:nsid w:val="52C12C61"/>
    <w:multiLevelType w:val="hybridMultilevel"/>
    <w:lvl w:ilvl="0">
      <w:lvlJc w:val="left"/>
      <w:lvlText w:val="•"/>
      <w:numFmt w:val="bullet"/>
      <w:start w:val="1"/>
    </w:lvl>
  </w:abstractNum>
  <w:abstractNum w:abstractNumId="141">
    <w:nsid w:val="4BDD53FD"/>
    <w:multiLevelType w:val="hybridMultilevel"/>
    <w:lvl w:ilvl="0">
      <w:lvlJc w:val="left"/>
      <w:lvlText w:val="•"/>
      <w:numFmt w:val="bullet"/>
      <w:start w:val="1"/>
    </w:lvl>
  </w:abstractNum>
  <w:abstractNum w:abstractNumId="142">
    <w:nsid w:val="569951FE"/>
    <w:multiLevelType w:val="hybridMultilevel"/>
    <w:lvl w:ilvl="0">
      <w:lvlJc w:val="left"/>
      <w:lvlText w:val="(%1)"/>
      <w:numFmt w:val="decimal"/>
      <w:start w:val="1"/>
    </w:lvl>
  </w:abstractNum>
  <w:abstractNum w:abstractNumId="143">
    <w:nsid w:val="4C54E2C3"/>
    <w:multiLevelType w:val="hybridMultilevel"/>
    <w:lvl w:ilvl="0">
      <w:lvlJc w:val="left"/>
      <w:lvlText w:val="(%1)"/>
      <w:numFmt w:val="decimal"/>
      <w:start w:val="1"/>
    </w:lvl>
  </w:abstractNum>
  <w:abstractNum w:abstractNumId="144">
    <w:nsid w:val="788BD9B"/>
    <w:multiLevelType w:val="hybridMultilevel"/>
    <w:lvl w:ilvl="0">
      <w:lvlJc w:val="left"/>
      <w:lvlText w:val="(%1)"/>
      <w:numFmt w:val="decimal"/>
      <w:start w:val="1"/>
    </w:lvl>
  </w:abstractNum>
  <w:abstractNum w:abstractNumId="145">
    <w:nsid w:val="47CAA567"/>
    <w:multiLevelType w:val="hybridMultilevel"/>
    <w:lvl w:ilvl="0">
      <w:lvlJc w:val="left"/>
      <w:lvlText w:val="(%1)"/>
      <w:numFmt w:val="decimal"/>
      <w:start w:val="3"/>
    </w:lvl>
  </w:abstractNum>
  <w:abstractNum w:abstractNumId="146">
    <w:nsid w:val="48249DBF"/>
    <w:multiLevelType w:val="hybridMultilevel"/>
    <w:lvl w:ilvl="0">
      <w:lvlJc w:val="left"/>
      <w:lvlText w:val="(%1)"/>
      <w:numFmt w:val="decimal"/>
      <w:start w:val="1"/>
    </w:lvl>
  </w:abstractNum>
  <w:abstractNum w:abstractNumId="147">
    <w:nsid w:val="1F0E5D0D"/>
    <w:multiLevelType w:val="hybridMultilevel"/>
    <w:lvl w:ilvl="0">
      <w:lvlJc w:val="left"/>
      <w:lvlText w:val="•"/>
      <w:numFmt w:val="bullet"/>
      <w:start w:val="1"/>
    </w:lvl>
  </w:abstractNum>
  <w:abstractNum w:abstractNumId="148">
    <w:nsid w:val="26BAAE9"/>
    <w:multiLevelType w:val="hybridMultilevel"/>
    <w:lvl w:ilvl="0">
      <w:lvlJc w:val="left"/>
      <w:lvlText w:val="•"/>
      <w:numFmt w:val="bullet"/>
      <w:start w:val="1"/>
    </w:lvl>
  </w:abstractNum>
  <w:abstractNum w:abstractNumId="149">
    <w:nsid w:val="2C02FE8C"/>
    <w:multiLevelType w:val="hybridMultilevel"/>
    <w:lvl w:ilvl="0">
      <w:lvlJc w:val="left"/>
      <w:lvlText w:val="•"/>
      <w:numFmt w:val="bullet"/>
      <w:start w:val="1"/>
    </w:lvl>
  </w:abstractNum>
  <w:abstractNum w:abstractNumId="150">
    <w:nsid w:val="129517E"/>
    <w:multiLevelType w:val="hybridMultilevel"/>
    <w:lvl w:ilvl="0">
      <w:lvlJc w:val="left"/>
      <w:lvlText w:val="(%1)"/>
      <w:numFmt w:val="lowerRoman"/>
      <w:start w:val="1"/>
    </w:lvl>
  </w:abstractNum>
  <w:abstractNum w:abstractNumId="151">
    <w:nsid w:val="763B8C4E"/>
    <w:multiLevelType w:val="hybridMultilevel"/>
    <w:lvl w:ilvl="0">
      <w:lvlJc w:val="left"/>
      <w:lvlText w:val="(%1)"/>
      <w:numFmt w:val="lowerRoman"/>
      <w:start w:val="2"/>
    </w:lvl>
  </w:abstractNum>
  <w:abstractNum w:abstractNumId="152">
    <w:nsid w:val="4CFB8D32"/>
    <w:multiLevelType w:val="hybridMultilevel"/>
    <w:lvl w:ilvl="0">
      <w:lvlJc w:val="left"/>
      <w:lvlText w:val="(%1)"/>
      <w:numFmt w:val="decimal"/>
      <w:start w:val="1"/>
    </w:lvl>
  </w:abstractNum>
  <w:abstractNum w:abstractNumId="153">
    <w:nsid w:val="62A5D5BD"/>
    <w:multiLevelType w:val="hybridMultilevel"/>
    <w:lvl w:ilvl="0">
      <w:lvlJc w:val="left"/>
      <w:lvlText w:val="(%1)"/>
      <w:numFmt w:val="decimal"/>
      <w:start w:val="1"/>
    </w:lvl>
  </w:abstractNum>
  <w:abstractNum w:abstractNumId="154">
    <w:nsid w:val="718FABF9"/>
    <w:multiLevelType w:val="hybridMultilevel"/>
    <w:lvl w:ilvl="0">
      <w:lvlJc w:val="left"/>
      <w:lvlText w:val="(%1)"/>
      <w:numFmt w:val="decimal"/>
      <w:start w:val="1"/>
    </w:lvl>
  </w:abstractNum>
  <w:abstractNum w:abstractNumId="155">
    <w:nsid w:val="7775797C"/>
    <w:multiLevelType w:val="hybridMultilevel"/>
    <w:lvl w:ilvl="0">
      <w:lvlJc w:val="left"/>
      <w:lvlText w:val="•"/>
      <w:numFmt w:val="bullet"/>
      <w:start w:val="1"/>
    </w:lvl>
    <w:lvl w:ilvl="1">
      <w:lvlJc w:val="left"/>
      <w:lvlText w:val="•"/>
      <w:numFmt w:val="bullet"/>
      <w:start w:val="1"/>
    </w:lvl>
  </w:abstractNum>
  <w:abstractNum w:abstractNumId="156">
    <w:nsid w:val="1626FB8C"/>
    <w:multiLevelType w:val="hybridMultilevel"/>
    <w:lvl w:ilvl="0">
      <w:lvlJc w:val="left"/>
      <w:lvlText w:val="•"/>
      <w:numFmt w:val="bullet"/>
      <w:start w:val="1"/>
    </w:lvl>
  </w:abstractNum>
  <w:abstractNum w:abstractNumId="157">
    <w:nsid w:val="3957756A"/>
    <w:multiLevelType w:val="hybridMultilevel"/>
    <w:lvl w:ilvl="0">
      <w:lvlJc w:val="left"/>
      <w:lvlText w:val="•"/>
      <w:numFmt w:val="bullet"/>
      <w:start w:val="1"/>
    </w:lvl>
  </w:abstractNum>
  <w:abstractNum w:abstractNumId="158">
    <w:nsid w:val="3E6DA1C7"/>
    <w:multiLevelType w:val="hybridMultilevel"/>
    <w:lvl w:ilvl="0">
      <w:lvlJc w:val="left"/>
      <w:lvlText w:val="(%1)"/>
      <w:numFmt w:val="decimal"/>
      <w:start w:val="1"/>
    </w:lvl>
  </w:abstractNum>
  <w:abstractNum w:abstractNumId="159">
    <w:nsid w:val="65CA235B"/>
    <w:multiLevelType w:val="hybridMultilevel"/>
    <w:lvl w:ilvl="0">
      <w:lvlJc w:val="left"/>
      <w:lvlText w:val="(%1)"/>
      <w:numFmt w:val="decimal"/>
      <w:start w:val="1"/>
    </w:lvl>
  </w:abstractNum>
  <w:abstractNum w:abstractNumId="160">
    <w:nsid w:val="51CB0DA4"/>
    <w:multiLevelType w:val="hybridMultilevel"/>
    <w:lvl w:ilvl="0">
      <w:lvlJc w:val="left"/>
      <w:lvlText w:val="(%1)"/>
      <w:numFmt w:val="decimal"/>
      <w:start w:val="1"/>
    </w:lvl>
  </w:abstractNum>
  <w:abstractNum w:abstractNumId="161">
    <w:nsid w:val="7B9B743C"/>
    <w:multiLevelType w:val="hybridMultilevel"/>
    <w:lvl w:ilvl="0">
      <w:lvlJc w:val="left"/>
      <w:lvlText w:val="(%1)"/>
      <w:numFmt w:val="decimal"/>
      <w:start w:val="1"/>
    </w:lvl>
  </w:abstractNum>
  <w:abstractNum w:abstractNumId="162">
    <w:nsid w:val="13E21002"/>
    <w:multiLevelType w:val="hybridMultilevel"/>
    <w:lvl w:ilvl="0">
      <w:lvlJc w:val="left"/>
      <w:lvlText w:val="(%1)"/>
      <w:numFmt w:val="decimal"/>
      <w:start w:val="1"/>
    </w:lvl>
  </w:abstractNum>
  <w:abstractNum w:abstractNumId="163">
    <w:nsid w:val="257D63F4"/>
    <w:multiLevelType w:val="hybridMultilevel"/>
    <w:lvl w:ilvl="0">
      <w:lvlJc w:val="left"/>
      <w:lvlText w:val="(%1)"/>
      <w:numFmt w:val="decimal"/>
      <w:start w:val="1"/>
    </w:lvl>
  </w:abstractNum>
  <w:abstractNum w:abstractNumId="164">
    <w:nsid w:val="70EC11B2"/>
    <w:multiLevelType w:val="hybridMultilevel"/>
    <w:lvl w:ilvl="0">
      <w:lvlJc w:val="left"/>
      <w:lvlText w:val="(%1)"/>
      <w:numFmt w:val="decimal"/>
      <w:start w:val="1"/>
    </w:lvl>
  </w:abstractNum>
  <w:abstractNum w:abstractNumId="165">
    <w:nsid w:val="2EDA00ED"/>
    <w:multiLevelType w:val="hybridMultilevel"/>
    <w:lvl w:ilvl="0">
      <w:lvlJc w:val="left"/>
      <w:lvlText w:val="(%1)"/>
      <w:numFmt w:val="decimal"/>
      <w:start w:val="1"/>
    </w:lvl>
  </w:abstractNum>
  <w:abstractNum w:abstractNumId="166">
    <w:nsid w:val="73209072"/>
    <w:multiLevelType w:val="hybridMultilevel"/>
    <w:lvl w:ilvl="0">
      <w:lvlJc w:val="left"/>
      <w:lvlText w:val="(%1)"/>
      <w:numFmt w:val="decimal"/>
      <w:start w:val="1"/>
    </w:lvl>
  </w:abstractNum>
  <w:abstractNum w:abstractNumId="167">
    <w:nsid w:val="5FB29816"/>
    <w:multiLevelType w:val="hybridMultilevel"/>
    <w:lvl w:ilvl="0">
      <w:lvlJc w:val="left"/>
      <w:lvlText w:val="(%1)"/>
      <w:numFmt w:val="decimal"/>
      <w:start w:val="1"/>
    </w:lvl>
  </w:abstractNum>
  <w:abstractNum w:abstractNumId="168">
    <w:nsid w:val="3CE732EC"/>
    <w:multiLevelType w:val="hybridMultilevel"/>
    <w:lvl w:ilvl="0">
      <w:lvlJc w:val="left"/>
      <w:lvlText w:val="(%1)"/>
      <w:numFmt w:val="decimal"/>
      <w:start w:val="3"/>
    </w:lvl>
  </w:abstractNum>
  <w:abstractNum w:abstractNumId="169">
    <w:nsid w:val="22F13DF3"/>
    <w:multiLevelType w:val="hybridMultilevel"/>
    <w:lvl w:ilvl="0">
      <w:lvlJc w:val="left"/>
      <w:lvlText w:val="(%1)"/>
      <w:numFmt w:val="decimal"/>
      <w:start w:val="1"/>
    </w:lvl>
  </w:abstractNum>
  <w:abstractNum w:abstractNumId="170">
    <w:nsid w:val="792B8401"/>
    <w:multiLevelType w:val="hybridMultilevel"/>
    <w:lvl w:ilvl="0">
      <w:lvlJc w:val="left"/>
      <w:lvlText w:val="•"/>
      <w:numFmt w:val="bullet"/>
      <w:start w:val="1"/>
    </w:lvl>
  </w:abstractNum>
  <w:abstractNum w:abstractNumId="171">
    <w:nsid w:val="FA85F4D"/>
    <w:multiLevelType w:val="hybridMultilevel"/>
    <w:lvl w:ilvl="0">
      <w:lvlJc w:val="left"/>
      <w:lvlText w:val="•"/>
      <w:numFmt w:val="bullet"/>
      <w:start w:val="1"/>
    </w:lvl>
  </w:abstractNum>
  <w:abstractNum w:abstractNumId="172">
    <w:nsid w:val="6ECE91F0"/>
    <w:multiLevelType w:val="hybridMultilevel"/>
    <w:lvl w:ilvl="0">
      <w:lvlJc w:val="left"/>
      <w:lvlText w:val="•"/>
      <w:numFmt w:val="bullet"/>
      <w:start w:val="1"/>
    </w:lvl>
  </w:abstractNum>
  <w:abstractNum w:abstractNumId="173">
    <w:nsid w:val="4FC4D600"/>
    <w:multiLevelType w:val="hybridMultilevel"/>
    <w:lvl w:ilvl="0">
      <w:lvlJc w:val="left"/>
      <w:lvlText w:val="•"/>
      <w:numFmt w:val="bullet"/>
      <w:start w:val="1"/>
    </w:lvl>
  </w:abstractNum>
  <w:abstractNum w:abstractNumId="174">
    <w:nsid w:val="5BFD4210"/>
    <w:multiLevelType w:val="hybridMultilevel"/>
    <w:lvl w:ilvl="0">
      <w:lvlJc w:val="left"/>
      <w:lvlText w:val="(%1)"/>
      <w:numFmt w:val="lowerRoman"/>
      <w:start w:val="1"/>
    </w:lvl>
  </w:abstractNum>
  <w:abstractNum w:abstractNumId="175">
    <w:nsid w:val="76574F8B"/>
    <w:multiLevelType w:val="hybridMultilevel"/>
    <w:lvl w:ilvl="0">
      <w:lvlJc w:val="left"/>
      <w:lvlText w:val="(%1)"/>
      <w:numFmt w:val="lowerRoman"/>
      <w:start w:val="2"/>
    </w:lvl>
  </w:abstractNum>
  <w:abstractNum w:abstractNumId="176">
    <w:nsid w:val="178F7B67"/>
    <w:multiLevelType w:val="hybridMultilevel"/>
    <w:lvl w:ilvl="0">
      <w:lvlJc w:val="left"/>
      <w:lvlText w:val="•"/>
      <w:numFmt w:val="bullet"/>
      <w:start w:val="1"/>
    </w:lvl>
  </w:abstractNum>
  <w:abstractNum w:abstractNumId="177">
    <w:nsid w:val="2421DFCF"/>
    <w:multiLevelType w:val="hybridMultilevel"/>
    <w:lvl w:ilvl="0">
      <w:lvlJc w:val="left"/>
      <w:lvlText w:val="(%1)"/>
      <w:numFmt w:val="decimal"/>
      <w:start w:val="1"/>
    </w:lvl>
  </w:abstractNum>
  <w:abstractNum w:abstractNumId="178">
    <w:nsid w:val="1565AC99"/>
    <w:multiLevelType w:val="hybridMultilevel"/>
    <w:lvl w:ilvl="0">
      <w:lvlJc w:val="left"/>
      <w:lvlText w:val="(%1)"/>
      <w:numFmt w:val="decimal"/>
      <w:start w:val="1"/>
    </w:lvl>
  </w:abstractNum>
  <w:abstractNum w:abstractNumId="179">
    <w:nsid w:val="19FB2650"/>
    <w:multiLevelType w:val="hybridMultilevel"/>
    <w:lvl w:ilvl="0">
      <w:lvlJc w:val="left"/>
      <w:lvlText w:val="(%1)"/>
      <w:numFmt w:val="decimal"/>
      <w:start w:val="1"/>
    </w:lvl>
  </w:abstractNum>
  <w:abstractNum w:abstractNumId="180">
    <w:nsid w:val="5024DE5B"/>
    <w:multiLevelType w:val="hybridMultilevel"/>
    <w:lvl w:ilvl="0">
      <w:lvlJc w:val="left"/>
      <w:lvlText w:val="•"/>
      <w:numFmt w:val="bullet"/>
      <w:start w:val="1"/>
    </w:lvl>
    <w:lvl w:ilvl="1">
      <w:lvlJc w:val="left"/>
      <w:lvlText w:val="•"/>
      <w:numFmt w:val="bullet"/>
      <w:start w:val="1"/>
    </w:lvl>
  </w:abstractNum>
  <w:abstractNum w:abstractNumId="181">
    <w:nsid w:val="168EFE17"/>
    <w:multiLevelType w:val="hybridMultilevel"/>
    <w:lvl w:ilvl="0">
      <w:lvlJc w:val="left"/>
      <w:lvlText w:val="•"/>
      <w:numFmt w:val="bullet"/>
      <w:start w:val="1"/>
    </w:lvl>
  </w:abstractNum>
  <w:abstractNum w:abstractNumId="182">
    <w:nsid w:val="1036B29F"/>
    <w:multiLevelType w:val="hybridMultilevel"/>
    <w:lvl w:ilvl="0">
      <w:lvlJc w:val="left"/>
      <w:lvlText w:val="•"/>
      <w:numFmt w:val="bullet"/>
      <w:start w:val="1"/>
    </w:lvl>
  </w:abstractNum>
  <w:abstractNum w:abstractNumId="183">
    <w:nsid w:val="1D206B8E"/>
    <w:multiLevelType w:val="hybridMultilevel"/>
    <w:lvl w:ilvl="0">
      <w:lvlJc w:val="left"/>
      <w:lvlText w:val="(%1)"/>
      <w:numFmt w:val="decimal"/>
      <w:start w:val="1"/>
    </w:lvl>
  </w:abstractNum>
  <w:abstractNum w:abstractNumId="184">
    <w:nsid w:val="7934D3D4"/>
    <w:multiLevelType w:val="hybridMultilevel"/>
    <w:lvl w:ilvl="0">
      <w:lvlJc w:val="left"/>
      <w:lvlText w:val="(%1)"/>
      <w:numFmt w:val="decimal"/>
      <w:start w:val="1"/>
    </w:lvl>
  </w:abstractNum>
  <w:abstractNum w:abstractNumId="185">
    <w:nsid w:val="1C65E98"/>
    <w:multiLevelType w:val="hybridMultilevel"/>
    <w:lvl w:ilvl="0">
      <w:lvlJc w:val="left"/>
      <w:lvlText w:val="(%1)"/>
      <w:numFmt w:val="decimal"/>
      <w:start w:val="1"/>
    </w:lvl>
  </w:abstractNum>
  <w:abstractNum w:abstractNumId="186">
    <w:nsid w:val="1495E50A"/>
    <w:multiLevelType w:val="hybridMultilevel"/>
    <w:lvl w:ilvl="0">
      <w:lvlJc w:val="left"/>
      <w:lvlText w:val="(%1)"/>
      <w:numFmt w:val="decimal"/>
      <w:start w:val="1"/>
    </w:lvl>
  </w:abstractNum>
  <w:abstractNum w:abstractNumId="187">
    <w:nsid w:val="F5BCF61"/>
    <w:multiLevelType w:val="hybridMultilevel"/>
    <w:lvl w:ilvl="0">
      <w:lvlJc w:val="left"/>
      <w:lvlText w:val="(%1)"/>
      <w:numFmt w:val="decimal"/>
      <w:start w:val="1"/>
    </w:lvl>
  </w:abstractNum>
  <w:abstractNum w:abstractNumId="188">
    <w:nsid w:val="3B1DD403"/>
    <w:multiLevelType w:val="hybridMultilevel"/>
    <w:lvl w:ilvl="0">
      <w:lvlJc w:val="left"/>
      <w:lvlText w:val="(%1)"/>
      <w:numFmt w:val="lowerLetter"/>
      <w:start w:val="2"/>
    </w:lvl>
  </w:abstractNum>
  <w:abstractNum w:abstractNumId="189">
    <w:nsid w:val="530386D1"/>
    <w:multiLevelType w:val="hybridMultilevel"/>
    <w:lvl w:ilvl="0">
      <w:lvlJc w:val="left"/>
      <w:lvlText w:val="(%1)"/>
      <w:numFmt w:val="lowerLetter"/>
      <w:start w:val="5"/>
    </w:lvl>
  </w:abstractNum>
  <w:abstractNum w:abstractNumId="190">
    <w:nsid w:val="7525F2BC"/>
    <w:multiLevelType w:val="hybridMultilevel"/>
    <w:lvl w:ilvl="0">
      <w:lvlJc w:val="left"/>
      <w:lvlText w:val="(%1)"/>
      <w:numFmt w:val="lowerLetter"/>
      <w:start w:val="9"/>
    </w:lvl>
  </w:abstractNum>
  <w:abstractNum w:abstractNumId="191">
    <w:nsid w:val="CE8E1A7"/>
    <w:multiLevelType w:val="hybridMultilevel"/>
    <w:lvl w:ilvl="0">
      <w:lvlJc w:val="left"/>
      <w:lvlText w:val="(%1)"/>
      <w:numFmt w:val="lowerLetter"/>
      <w:start w:val="12"/>
    </w:lvl>
  </w:abstractNum>
  <w:abstractNum w:abstractNumId="192">
    <w:nsid w:val="4E9EFB0D"/>
    <w:multiLevelType w:val="hybridMultilevel"/>
    <w:lvl w:ilvl="0">
      <w:lvlJc w:val="left"/>
      <w:lvlText w:val="(%1)"/>
      <w:numFmt w:val="lowerLetter"/>
      <w:start w:val="15"/>
    </w:lvl>
  </w:abstractNum>
  <w:abstractNum w:abstractNumId="193">
    <w:nsid w:val="90802BE"/>
    <w:multiLevelType w:val="hybridMultilevel"/>
    <w:lvl w:ilvl="0">
      <w:lvlJc w:val="left"/>
      <w:lvlText w:val="(%1)"/>
      <w:numFmt w:val="decimal"/>
      <w:start w:val="1"/>
    </w:lvl>
  </w:abstractNum>
  <w:abstractNum w:abstractNumId="194">
    <w:nsid w:val="3266459B"/>
    <w:multiLevelType w:val="hybridMultilevel"/>
    <w:lvl w:ilvl="0">
      <w:lvlJc w:val="left"/>
      <w:lvlText w:val="(%1)"/>
      <w:numFmt w:val="decimal"/>
      <w:start w:val="1"/>
    </w:lvl>
  </w:abstractNum>
  <w:abstractNum w:abstractNumId="195">
    <w:nsid w:val="3F8B0CBF"/>
    <w:multiLevelType w:val="hybridMultilevel"/>
    <w:lvl w:ilvl="0">
      <w:lvlJc w:val="left"/>
      <w:lvlText w:val="(%1)"/>
      <w:numFmt w:val="decimal"/>
      <w:start w:val="1"/>
    </w:lvl>
  </w:abstractNum>
  <w:abstractNum w:abstractNumId="196">
    <w:nsid w:val="37E203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7">
    <w:nsid w:val="2586D60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8">
    <w:nsid w:val="1F3DA4D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9">
    <w:nsid w:val="74C93698"/>
    <w:multiLevelType w:val="hybridMultilevel"/>
    <w:lvl w:ilvl="0">
      <w:lvlJc w:val="left"/>
      <w:lvlText w:val="(%1)"/>
      <w:numFmt w:val="lowerLetter"/>
      <w:start w:val="1"/>
    </w:lvl>
  </w:abstractNum>
  <w:abstractNum w:abstractNumId="200">
    <w:nsid w:val="48781401"/>
    <w:multiLevelType w:val="hybridMultilevel"/>
    <w:lvl w:ilvl="0">
      <w:lvlJc w:val="left"/>
      <w:lvlText w:val="(%1)"/>
      <w:numFmt w:val="lowerRoman"/>
      <w:start w:val="2"/>
    </w:lvl>
  </w:abstractNum>
  <w:abstractNum w:abstractNumId="201">
    <w:nsid w:val="186928D6"/>
    <w:multiLevelType w:val="hybridMultilevel"/>
    <w:lvl w:ilvl="0">
      <w:lvlJc w:val="left"/>
      <w:lvlText w:val="(%1)"/>
      <w:numFmt w:val="lowerRoman"/>
      <w:start w:val="2"/>
    </w:lvl>
  </w:abstractNum>
  <w:abstractNum w:abstractNumId="202">
    <w:nsid w:val="47195E5"/>
    <w:multiLevelType w:val="hybridMultilevel"/>
    <w:lvl w:ilvl="0">
      <w:lvlJc w:val="left"/>
      <w:lvlText w:val="(%1)"/>
      <w:numFmt w:val="lowerRoman"/>
      <w:start w:val="1"/>
    </w:lvl>
  </w:abstractNum>
  <w:abstractNum w:abstractNumId="203">
    <w:nsid w:val="3746A5F2"/>
    <w:multiLevelType w:val="hybridMultilevel"/>
    <w:lvl w:ilvl="0">
      <w:lvlJc w:val="left"/>
      <w:lvlText w:val="(%1)"/>
      <w:numFmt w:val="lowerLetter"/>
      <w:start w:val="1"/>
    </w:lvl>
  </w:abstractNum>
  <w:abstractNum w:abstractNumId="204">
    <w:nsid w:val="682DFED6"/>
    <w:multiLevelType w:val="hybridMultilevel"/>
    <w:lvl w:ilvl="0">
      <w:lvlJc w:val="left"/>
      <w:lvlText w:val="(%1)"/>
      <w:numFmt w:val="lowerLetter"/>
      <w:start w:val="1"/>
    </w:lvl>
  </w:abstractNum>
  <w:abstractNum w:abstractNumId="205">
    <w:nsid w:val="606ED7F6"/>
    <w:multiLevelType w:val="hybridMultilevel"/>
    <w:lvl w:ilvl="0">
      <w:lvlJc w:val="left"/>
      <w:lvlText w:val="(%1)"/>
      <w:numFmt w:val="lowerLetter"/>
      <w:start w:val="2"/>
    </w:lvl>
  </w:abstractNum>
  <w:abstractNum w:abstractNumId="206">
    <w:nsid w:val="2D9DF57D"/>
    <w:multiLevelType w:val="hybridMultilevel"/>
    <w:lvl w:ilvl="0">
      <w:lvlJc w:val="left"/>
      <w:lvlText w:val="(%1)"/>
      <w:numFmt w:val="lowerLetter"/>
      <w:start w:val="6"/>
    </w:lvl>
  </w:abstractNum>
  <w:abstractNum w:abstractNumId="207">
    <w:nsid w:val="7FBD7A3E"/>
    <w:multiLevelType w:val="hybridMultilevel"/>
    <w:lvl w:ilvl="0">
      <w:lvlJc w:val="left"/>
      <w:lvlText w:val="(%1)"/>
      <w:numFmt w:val="lowerRoman"/>
      <w:start w:val="1"/>
    </w:lvl>
  </w:abstractNum>
  <w:abstractNum w:abstractNumId="208">
    <w:nsid w:val="490B7C5"/>
    <w:multiLevelType w:val="hybridMultilevel"/>
    <w:lvl w:ilvl="0">
      <w:lvlJc w:val="left"/>
      <w:lvlText w:val="(%1)"/>
      <w:numFmt w:val="lowerRoman"/>
      <w:start w:val="2"/>
    </w:lvl>
  </w:abstractNum>
  <w:abstractNum w:abstractNumId="209">
    <w:nsid w:val="4303A216"/>
    <w:multiLevelType w:val="hybridMultilevel"/>
    <w:lvl w:ilvl="0">
      <w:lvlJc w:val="left"/>
      <w:lvlText w:val="(%1)"/>
      <w:numFmt w:val="lowerRoman"/>
      <w:start w:val="1"/>
    </w:lvl>
  </w:abstractNum>
  <w:abstractNum w:abstractNumId="210">
    <w:nsid w:val="19B8A08E"/>
    <w:multiLevelType w:val="hybridMultilevel"/>
    <w:lvl w:ilvl="0">
      <w:lvlJc w:val="left"/>
      <w:lvlText w:val="(%1)"/>
      <w:numFmt w:val="lowerRoman"/>
      <w:start w:val="5"/>
    </w:lvl>
  </w:abstractNum>
  <w:abstractNum w:abstractNumId="211">
    <w:nsid w:val="54B59621"/>
    <w:multiLevelType w:val="hybridMultilevel"/>
    <w:lvl w:ilvl="0">
      <w:lvlJc w:val="left"/>
      <w:lvlText w:val="(%1)"/>
      <w:numFmt w:val="lowerRoman"/>
      <w:start w:val="17"/>
    </w:lvl>
  </w:abstractNum>
  <w:abstractNum w:abstractNumId="212">
    <w:nsid w:val="5992A02E"/>
    <w:multiLevelType w:val="hybridMultilevel"/>
    <w:lvl w:ilvl="0">
      <w:lvlJc w:val="left"/>
      <w:lvlText w:val="(%1)"/>
      <w:numFmt w:val="lowerRoman"/>
      <w:start w:val="22"/>
    </w:lvl>
  </w:abstractNum>
  <w:abstractNum w:abstractNumId="213">
    <w:nsid w:val="29EF532D"/>
    <w:multiLevelType w:val="hybridMultilevel"/>
    <w:lvl w:ilvl="0">
      <w:lvlJc w:val="left"/>
      <w:lvlText w:val="(%1)"/>
      <w:numFmt w:val="lowerLetter"/>
      <w:start w:val="1"/>
    </w:lvl>
    <w:lvl w:ilvl="1">
      <w:lvlJc w:val="left"/>
      <w:lvlText w:val="(%2)"/>
      <w:numFmt w:val="lowerRoman"/>
      <w:start w:val="1"/>
    </w:lvl>
  </w:abstractNum>
  <w:abstractNum w:abstractNumId="214">
    <w:nsid w:val="71D601AF"/>
    <w:multiLevelType w:val="hybridMultilevel"/>
    <w:lvl w:ilvl="0">
      <w:lvlJc w:val="left"/>
      <w:lvlText w:val="(%1)"/>
      <w:numFmt w:val="lowerLetter"/>
      <w:start w:val="2"/>
    </w:lvl>
  </w:abstractNum>
  <w:abstractNum w:abstractNumId="215">
    <w:nsid w:val="52C77402"/>
    <w:multiLevelType w:val="hybridMultilevel"/>
    <w:lvl w:ilvl="0">
      <w:lvlJc w:val="left"/>
      <w:lvlText w:val="(%1)"/>
      <w:numFmt w:val="lowerRoman"/>
      <w:start w:val="2"/>
    </w:lvl>
  </w:abstractNum>
  <w:abstractNum w:abstractNumId="216">
    <w:nsid w:val="2BB5B1C6"/>
    <w:multiLevelType w:val="hybridMultilevel"/>
    <w:lvl w:ilvl="0">
      <w:lvlJc w:val="left"/>
      <w:lvlText w:val="(%1)"/>
      <w:numFmt w:val="lowerLetter"/>
      <w:start w:val="1"/>
    </w:lvl>
  </w:abstractNum>
  <w:abstractNum w:abstractNumId="217">
    <w:nsid w:val="66BE6B9"/>
    <w:multiLevelType w:val="hybridMultilevel"/>
    <w:lvl w:ilvl="0">
      <w:lvlJc w:val="left"/>
      <w:lvlText w:val="(%1)"/>
      <w:numFmt w:val="lowerRoman"/>
      <w:start w:val="1"/>
    </w:lvl>
  </w:abstractNum>
  <w:abstractNum w:abstractNumId="218">
    <w:nsid w:val="62234363"/>
    <w:multiLevelType w:val="hybridMultilevel"/>
    <w:lvl w:ilvl="0">
      <w:lvlJc w:val="left"/>
      <w:lvlText w:val="%1"/>
      <w:numFmt w:val="lowerLetter"/>
      <w:start w:val="1"/>
    </w:lvl>
    <w:lvl w:ilvl="1">
      <w:lvlJc w:val="left"/>
      <w:lvlText w:val="(%2)"/>
      <w:numFmt w:val="lowerLetter"/>
      <w:start w:val="35"/>
    </w:lvl>
  </w:abstractNum>
  <w:abstractNum w:abstractNumId="219">
    <w:nsid w:val="66D385C9"/>
    <w:multiLevelType w:val="hybridMultilevel"/>
    <w:lvl w:ilvl="0">
      <w:lvlJc w:val="left"/>
      <w:lvlText w:val="(%1)"/>
      <w:numFmt w:val="lowerLetter"/>
      <w:start w:val="2"/>
    </w:lvl>
    <w:lvl w:ilvl="1">
      <w:lvlJc w:val="left"/>
      <w:lvlText w:val="%2"/>
      <w:numFmt w:val="lowerLetter"/>
      <w:start w:val="1"/>
    </w:lvl>
  </w:abstractNum>
  <w:abstractNum w:abstractNumId="220">
    <w:nsid w:val="596F6D8A"/>
    <w:multiLevelType w:val="hybridMultilevel"/>
    <w:lvl w:ilvl="0">
      <w:lvlJc w:val="left"/>
      <w:lvlText w:val="(%1)"/>
      <w:numFmt w:val="lowerLetter"/>
      <w:start w:val="1"/>
    </w:lvl>
  </w:abstractNum>
  <w:abstractNum w:abstractNumId="221">
    <w:nsid w:val="5749361F"/>
    <w:multiLevelType w:val="hybridMultilevel"/>
    <w:lvl w:ilvl="0">
      <w:lvlJc w:val="left"/>
      <w:lvlText w:val="%1"/>
      <w:numFmt w:val="lowerLetter"/>
      <w:start w:val="1"/>
    </w:lvl>
    <w:lvl w:ilvl="1">
      <w:lvlJc w:val="left"/>
      <w:lvlText w:val="(%2)"/>
      <w:numFmt w:val="lowerLetter"/>
      <w:start w:val="4"/>
    </w:lvl>
  </w:abstractNum>
  <w:abstractNum w:abstractNumId="222">
    <w:nsid w:val="73BC6770"/>
    <w:multiLevelType w:val="hybridMultilevel"/>
    <w:lvl w:ilvl="0">
      <w:lvlJc w:val="left"/>
      <w:lvlText w:val="(%1)"/>
      <w:numFmt w:val="lowerLetter"/>
      <w:start w:val="4"/>
    </w:lvl>
    <w:lvl w:ilvl="1">
      <w:lvlJc w:val="left"/>
      <w:lvlText w:val="(%2)"/>
      <w:numFmt w:val="lowerLetter"/>
      <w:start w:val="6"/>
    </w:lvl>
  </w:abstractNum>
  <w:abstractNum w:abstractNumId="223">
    <w:nsid w:val="280E6897"/>
    <w:multiLevelType w:val="hybridMultilevel"/>
    <w:lvl w:ilvl="0">
      <w:lvlJc w:val="left"/>
      <w:lvlText w:val="(%1)"/>
      <w:numFmt w:val="lowerLetter"/>
      <w:start w:val="7"/>
    </w:lvl>
  </w:abstractNum>
  <w:abstractNum w:abstractNumId="224">
    <w:nsid w:val="605138DE"/>
    <w:multiLevelType w:val="hybridMultilevel"/>
    <w:lvl w:ilvl="0">
      <w:lvlJc w:val="left"/>
      <w:lvlText w:val="%1"/>
      <w:numFmt w:val="lowerLetter"/>
      <w:start w:val="1"/>
    </w:lvl>
    <w:lvl w:ilvl="1">
      <w:lvlJc w:val="left"/>
      <w:lvlText w:val="(%2)"/>
      <w:numFmt w:val="lowerLetter"/>
      <w:start w:val="1"/>
    </w:lvl>
  </w:abstractNum>
  <w:abstractNum w:abstractNumId="225">
    <w:nsid w:val="2622AD0C"/>
    <w:multiLevelType w:val="hybridMultilevel"/>
    <w:lvl w:ilvl="0">
      <w:lvlJc w:val="left"/>
      <w:lvlText w:val="(%1)"/>
      <w:numFmt w:val="lowerLetter"/>
      <w:start w:val="35"/>
    </w:lvl>
    <w:lvl w:ilvl="1">
      <w:lvlJc w:val="left"/>
      <w:lvlText w:val="(%2)"/>
      <w:numFmt w:val="lowerLetter"/>
      <w:start w:val="2"/>
    </w:lvl>
  </w:abstractNum>
  <w:abstractNum w:abstractNumId="226">
    <w:nsid w:val="6799755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27">
    <w:nsid w:val="18333C89"/>
    <w:multiLevelType w:val="hybridMultilevel"/>
    <w:lvl w:ilvl="0">
      <w:lvlJc w:val="left"/>
      <w:lvlText w:val="(%1)"/>
      <w:numFmt w:val="lowerRoman"/>
      <w:start w:val="1"/>
    </w:lvl>
    <w:lvl w:ilvl="1">
      <w:lvlJc w:val="left"/>
      <w:lvlText w:val="(%2)"/>
      <w:numFmt w:val="decimal"/>
      <w:start w:val="1"/>
    </w:lvl>
  </w:abstractNum>
  <w:abstractNum w:abstractNumId="228">
    <w:nsid w:val="4BA9831A"/>
    <w:multiLevelType w:val="hybridMultilevel"/>
    <w:lvl w:ilvl="0">
      <w:lvlJc w:val="left"/>
      <w:lvlText w:val="(%1)"/>
      <w:numFmt w:val="lowerRoman"/>
      <w:start w:val="6"/>
    </w:lvl>
  </w:abstractNum>
  <w:abstractNum w:abstractNumId="229">
    <w:nsid w:val="6D71A2B"/>
    <w:multiLevelType w:val="hybridMultilevel"/>
    <w:lvl w:ilvl="0">
      <w:lvlJc w:val="left"/>
      <w:lvlText w:val="%1"/>
      <w:numFmt w:val="lowerRoman"/>
      <w:start w:val="1"/>
    </w:lvl>
    <w:lvl w:ilvl="1">
      <w:lvlJc w:val="left"/>
      <w:lvlText w:val="(%2)"/>
      <w:numFmt w:val="decimal"/>
      <w:start w:val="1"/>
    </w:lvl>
  </w:abstractNum>
  <w:abstractNum w:abstractNumId="230">
    <w:nsid w:val="CFC7321"/>
    <w:multiLevelType w:val="hybridMultilevel"/>
    <w:lvl w:ilvl="0">
      <w:lvlJc w:val="left"/>
      <w:lvlText w:val="(%1)"/>
      <w:numFmt w:val="lowerRoman"/>
      <w:start w:val="7"/>
    </w:lvl>
    <w:lvl w:ilvl="1">
      <w:lvlJc w:val="left"/>
      <w:lvlText w:val="%2"/>
      <w:numFmt w:val="decimal"/>
      <w:start w:val="1"/>
    </w:lvl>
  </w:abstractNum>
  <w:abstractNum w:abstractNumId="231">
    <w:nsid w:val="1421971B"/>
    <w:multiLevelType w:val="hybridMultilevel"/>
    <w:lvl w:ilvl="0">
      <w:lvlJc w:val="left"/>
      <w:lvlText w:val="(%1)"/>
      <w:numFmt w:val="lowerRoman"/>
      <w:start w:val="1"/>
    </w:lvl>
    <w:lvl w:ilvl="1">
      <w:lvlJc w:val="left"/>
      <w:lvlText w:val="(%2)"/>
      <w:numFmt w:val="decimal"/>
      <w:start w:val="1"/>
    </w:lvl>
  </w:abstractNum>
  <w:abstractNum w:abstractNumId="232">
    <w:nsid w:val="1F404301"/>
    <w:multiLevelType w:val="hybridMultilevel"/>
    <w:lvl w:ilvl="0">
      <w:lvlJc w:val="left"/>
      <w:lvlText w:val="(%1)"/>
      <w:numFmt w:val="lowerRoman"/>
      <w:start w:val="1"/>
    </w:lvl>
  </w:abstractNum>
  <w:abstractNum w:abstractNumId="233">
    <w:nsid w:val="116E0907"/>
    <w:multiLevelType w:val="hybridMultilevel"/>
    <w:lvl w:ilvl="0">
      <w:lvlJc w:val="left"/>
      <w:lvlText w:val="(%1)"/>
      <w:numFmt w:val="lowerRoman"/>
      <w:start w:val="1"/>
    </w:lvl>
  </w:abstractNum>
  <w:abstractNum w:abstractNumId="234">
    <w:nsid w:val="4B683D0D"/>
    <w:multiLevelType w:val="hybridMultilevel"/>
    <w:lvl w:ilvl="0">
      <w:lvlJc w:val="left"/>
      <w:lvlText w:val="(%1)"/>
      <w:numFmt w:val="lowerRoman"/>
      <w:start w:val="1"/>
    </w:lvl>
  </w:abstractNum>
  <w:abstractNum w:abstractNumId="235">
    <w:nsid w:val="76E41D8"/>
    <w:multiLevelType w:val="hybridMultilevel"/>
    <w:lvl w:ilvl="0">
      <w:lvlJc w:val="left"/>
      <w:lvlText w:val="(%1)"/>
      <w:numFmt w:val="lowerRoman"/>
      <w:start w:val="1"/>
    </w:lvl>
  </w:abstractNum>
  <w:abstractNum w:abstractNumId="236">
    <w:nsid w:val="71DCE0FD"/>
    <w:multiLevelType w:val="hybridMultilevel"/>
    <w:lvl w:ilvl="0">
      <w:lvlJc w:val="left"/>
      <w:lvlText w:val="(%1)"/>
      <w:numFmt w:val="lowerRoman"/>
      <w:start w:val="1"/>
    </w:lvl>
  </w:abstractNum>
  <w:abstractNum w:abstractNumId="237">
    <w:nsid w:val="7906328B"/>
    <w:multiLevelType w:val="hybridMultilevel"/>
    <w:lvl w:ilvl="0">
      <w:lvlJc w:val="left"/>
      <w:lvlText w:val="(%1)"/>
      <w:numFmt w:val="lowerLetter"/>
      <w:start w:val="1"/>
    </w:lvl>
  </w:abstractNum>
  <w:abstractNum w:abstractNumId="238">
    <w:nsid w:val="72BBC16"/>
    <w:multiLevelType w:val="hybridMultilevel"/>
    <w:lvl w:ilvl="0">
      <w:lvlJc w:val="left"/>
      <w:lvlText w:val="(%1)"/>
      <w:numFmt w:val="lowerLetter"/>
      <w:start w:val="2"/>
    </w:lvl>
    <w:lvl w:ilvl="1">
      <w:lvlJc w:val="left"/>
      <w:lvlText w:val="(%2)"/>
      <w:numFmt w:val="lowerRoman"/>
      <w:start w:val="1"/>
    </w:lvl>
  </w:abstractNum>
  <w:abstractNum w:abstractNumId="239">
    <w:nsid w:val="766D98C2"/>
    <w:multiLevelType w:val="hybridMultilevel"/>
    <w:lvl w:ilvl="0">
      <w:lvlJc w:val="left"/>
      <w:lvlText w:val="(%1)"/>
      <w:numFmt w:val="lowerRoman"/>
      <w:start w:val="1"/>
    </w:lvl>
  </w:abstractNum>
  <w:abstractNum w:abstractNumId="240">
    <w:nsid w:val="3C09D4A1"/>
    <w:multiLevelType w:val="hybridMultilevel"/>
    <w:lvl w:ilvl="0">
      <w:lvlJc w:val="left"/>
      <w:lvlText w:val="(%1)"/>
      <w:numFmt w:val="lowerRoman"/>
      <w:start w:val="6"/>
    </w:lvl>
  </w:abstractNum>
  <w:abstractNum w:abstractNumId="241">
    <w:nsid w:val="20E45CA4"/>
    <w:multiLevelType w:val="hybridMultilevel"/>
    <w:lvl w:ilvl="0">
      <w:lvlJc w:val="left"/>
      <w:lvlText w:val="(%1)"/>
      <w:numFmt w:val="lowerRoman"/>
      <w:start w:val="1"/>
    </w:lvl>
  </w:abstractNum>
  <w:abstractNum w:abstractNumId="242">
    <w:nsid w:val="4B232EE3"/>
    <w:multiLevelType w:val="hybridMultilevel"/>
    <w:lvl w:ilvl="0">
      <w:lvlJc w:val="left"/>
      <w:lvlText w:val="(%1)"/>
      <w:numFmt w:val="lowerLetter"/>
      <w:start w:val="1"/>
    </w:lvl>
    <w:lvl w:ilvl="1">
      <w:lvlJc w:val="left"/>
      <w:lvlText w:val="(%2)"/>
      <w:numFmt w:val="lowerRoman"/>
      <w:start w:val="1"/>
    </w:lvl>
  </w:abstractNum>
  <w:abstractNum w:abstractNumId="243">
    <w:nsid w:val="159C74CF"/>
    <w:multiLevelType w:val="hybridMultilevel"/>
    <w:lvl w:ilvl="0">
      <w:lvlJc w:val="left"/>
      <w:lvlText w:val="(%1)"/>
      <w:numFmt w:val="lowerLetter"/>
      <w:start w:val="5"/>
    </w:lvl>
  </w:abstractNum>
  <w:abstractNum w:abstractNumId="244">
    <w:nsid w:val="4AD3AFD2"/>
    <w:multiLevelType w:val="hybridMultilevel"/>
    <w:lvl w:ilvl="0">
      <w:lvlJc w:val="left"/>
      <w:lvlText w:val="(%1)"/>
      <w:numFmt w:val="lowerLetter"/>
      <w:start w:val="1"/>
    </w:lvl>
  </w:abstractNum>
  <w:abstractNum w:abstractNumId="245">
    <w:nsid w:val="3CF93092"/>
    <w:multiLevelType w:val="hybridMultilevel"/>
    <w:lvl w:ilvl="0">
      <w:lvlJc w:val="left"/>
      <w:lvlText w:val="(%1)"/>
      <w:numFmt w:val="lowerLetter"/>
      <w:start w:val="3"/>
    </w:lvl>
  </w:abstractNum>
  <w:abstractNum w:abstractNumId="246">
    <w:nsid w:val="6863E8D2"/>
    <w:multiLevelType w:val="hybridMultilevel"/>
    <w:lvl w:ilvl="0">
      <w:lvlJc w:val="left"/>
      <w:lvlText w:val="(%1)"/>
      <w:numFmt w:val="lowerLetter"/>
      <w:start w:val="1"/>
    </w:lvl>
  </w:abstractNum>
  <w:abstractNum w:abstractNumId="247">
    <w:nsid w:val="76896198"/>
    <w:multiLevelType w:val="hybridMultilevel"/>
    <w:lvl w:ilvl="0">
      <w:lvlJc w:val="left"/>
      <w:lvlText w:val="(%1)"/>
      <w:numFmt w:val="lowerRoman"/>
      <w:start w:val="1"/>
    </w:lvl>
  </w:abstractNum>
  <w:abstractNum w:abstractNumId="248">
    <w:nsid w:val="4365174B"/>
    <w:multiLevelType w:val="hybridMultilevel"/>
    <w:lvl w:ilvl="0">
      <w:lvlJc w:val="left"/>
      <w:lvlText w:val="(%1)"/>
      <w:numFmt w:val="lowerRoman"/>
      <w:start w:val="1"/>
    </w:lvl>
  </w:abstractNum>
  <w:abstractNum w:abstractNumId="249">
    <w:nsid w:val="4A872C35"/>
    <w:multiLevelType w:val="hybridMultilevel"/>
    <w:lvl w:ilvl="0">
      <w:lvlJc w:val="left"/>
      <w:lvlText w:val="(%1)"/>
      <w:numFmt w:val="lowerRoman"/>
      <w:start w:val="2"/>
    </w:lvl>
  </w:abstractNum>
  <w:abstractNum w:abstractNumId="250">
    <w:nsid w:val="5D5CE761"/>
    <w:multiLevelType w:val="hybridMultilevel"/>
    <w:lvl w:ilvl="0">
      <w:lvlJc w:val="left"/>
      <w:lvlText w:val="(%1)"/>
      <w:numFmt w:val="lowerRoman"/>
      <w:start w:val="1"/>
    </w:lvl>
  </w:abstractNum>
  <w:abstractNum w:abstractNumId="251">
    <w:nsid w:val="1CD484D5"/>
    <w:multiLevelType w:val="hybridMultilevel"/>
    <w:lvl w:ilvl="0">
      <w:lvlJc w:val="left"/>
      <w:lvlText w:val="(%1)"/>
      <w:numFmt w:val="lowerRoman"/>
      <w:start w:val="1"/>
    </w:lvl>
  </w:abstractNum>
  <w:abstractNum w:abstractNumId="252">
    <w:nsid w:val="21D06255"/>
    <w:multiLevelType w:val="hybridMultilevel"/>
    <w:lvl w:ilvl="0">
      <w:lvlJc w:val="left"/>
      <w:lvlText w:val="(%1)"/>
      <w:numFmt w:val="lowerLetter"/>
      <w:start w:val="2"/>
    </w:lvl>
  </w:abstractNum>
  <w:abstractNum w:abstractNumId="253">
    <w:nsid w:val="51194ED1"/>
    <w:multiLevelType w:val="hybridMultilevel"/>
    <w:lvl w:ilvl="0">
      <w:lvlJc w:val="left"/>
      <w:lvlText w:val="%1"/>
      <w:numFmt w:val="upperLetter"/>
      <w:start w:val="1"/>
    </w:lvl>
    <w:lvl w:ilvl="1">
      <w:lvlJc w:val="left"/>
      <w:lvlText w:val="(%2)"/>
      <w:numFmt w:val="lowerRoman"/>
      <w:start w:val="1"/>
    </w:lvl>
  </w:abstractNum>
  <w:abstractNum w:abstractNumId="254">
    <w:nsid w:val="44E2ED6C"/>
    <w:multiLevelType w:val="hybridMultilevel"/>
    <w:lvl w:ilvl="0">
      <w:lvlJc w:val="left"/>
      <w:lvlText w:val="(%1)"/>
      <w:numFmt w:val="upperLetter"/>
      <w:start w:val="1"/>
    </w:lvl>
    <w:lvl w:ilvl="1">
      <w:lvlJc w:val="left"/>
      <w:lvlText w:val="(%2)"/>
      <w:numFmt w:val="lowerRoman"/>
      <w:start w:val="2"/>
    </w:lvl>
  </w:abstractNum>
  <w:abstractNum w:abstractNumId="255">
    <w:nsid w:val="2219B33"/>
    <w:multiLevelType w:val="hybridMultilevel"/>
    <w:lvl w:ilvl="0">
      <w:lvlJc w:val="left"/>
      <w:lvlText w:val="(%1)"/>
      <w:numFmt w:val="lowerRoman"/>
      <w:start w:val="6"/>
    </w:lvl>
  </w:abstractNum>
  <w:abstractNum w:abstractNumId="256">
    <w:nsid w:val="773BFBDD"/>
    <w:multiLevelType w:val="hybridMultilevel"/>
    <w:lvl w:ilvl="0">
      <w:lvlJc w:val="left"/>
      <w:lvlText w:val="(%1)"/>
      <w:numFmt w:val="lowerLetter"/>
      <w:start w:val="1"/>
    </w:lvl>
  </w:abstractNum>
  <w:abstractNum w:abstractNumId="257">
    <w:nsid w:val="2C7C62C2"/>
    <w:multiLevelType w:val="hybridMultilevel"/>
    <w:lvl w:ilvl="0">
      <w:lvlJc w:val="left"/>
      <w:lvlText w:val="(%1)"/>
      <w:numFmt w:val="lowerLetter"/>
      <w:start w:val="1"/>
    </w:lvl>
  </w:abstractNum>
  <w:abstractNum w:abstractNumId="258">
    <w:nsid w:val="1A54D7BC"/>
    <w:multiLevelType w:val="hybridMultilevel"/>
    <w:lvl w:ilvl="0">
      <w:lvlJc w:val="left"/>
      <w:lvlText w:val="(%1)"/>
      <w:numFmt w:val="lowerRoman"/>
      <w:start w:val="1"/>
    </w:lvl>
  </w:abstractNum>
  <w:abstractNum w:abstractNumId="259">
    <w:nsid w:val="42E57EF7"/>
    <w:multiLevelType w:val="hybridMultilevel"/>
    <w:lvl w:ilvl="0">
      <w:lvlJc w:val="left"/>
      <w:lvlText w:val="(%1)"/>
      <w:numFmt w:val="lowerLetter"/>
      <w:start w:val="1"/>
    </w:lvl>
  </w:abstractNum>
  <w:abstractNum w:abstractNumId="260">
    <w:nsid w:val="33537CED"/>
    <w:multiLevelType w:val="hybridMultilevel"/>
    <w:lvl w:ilvl="0">
      <w:lvlJc w:val="left"/>
      <w:lvlText w:val="(%1)"/>
      <w:numFmt w:val="lowerLetter"/>
      <w:start w:val="2"/>
    </w:lvl>
  </w:abstractNum>
  <w:abstractNum w:abstractNumId="261">
    <w:nsid w:val="27514ADE"/>
    <w:multiLevelType w:val="hybridMultilevel"/>
    <w:lvl w:ilvl="0">
      <w:lvlJc w:val="left"/>
      <w:lvlText w:val="(%1)"/>
      <w:numFmt w:val="lowerRoman"/>
      <w:start w:val="1"/>
    </w:lvl>
  </w:abstractNum>
  <w:abstractNum w:abstractNumId="262">
    <w:nsid w:val="57071613"/>
    <w:multiLevelType w:val="hybridMultilevel"/>
    <w:lvl w:ilvl="0">
      <w:lvlJc w:val="left"/>
      <w:lvlText w:val="☐"/>
      <w:numFmt w:val="bullet"/>
      <w:start w:val="1"/>
    </w:lvl>
  </w:abstractNum>
  <w:abstractNum w:abstractNumId="263">
    <w:nsid w:val="5293BFEF"/>
    <w:multiLevelType w:val="hybridMultilevel"/>
    <w:lvl w:ilvl="0">
      <w:lvlJc w:val="left"/>
      <w:lvlText w:val="(%1)"/>
      <w:numFmt w:val="lowerLetter"/>
      <w:start w:val="1"/>
    </w:lvl>
  </w:abstractNum>
  <w:abstractNum w:abstractNumId="264">
    <w:nsid w:val="38BF53E5"/>
    <w:multiLevelType w:val="hybridMultilevel"/>
    <w:lvl w:ilvl="0">
      <w:lvlJc w:val="left"/>
      <w:lvlText w:val="*"/>
      <w:numFmt w:val="bullet"/>
      <w:start w:val="1"/>
    </w:lvl>
  </w:abstractNum>
  <w:abstractNum w:abstractNumId="265">
    <w:nsid w:val="226F5320"/>
    <w:multiLevelType w:val="hybridMultilevel"/>
    <w:lvl w:ilvl="0">
      <w:lvlJc w:val="left"/>
      <w:lvlText w:val="**"/>
      <w:numFmt w:val="bullet"/>
      <w:start w:val="1"/>
    </w:lvl>
  </w:abstractNum>
  <w:abstractNum w:abstractNumId="266">
    <w:nsid w:val="5A0201C7"/>
    <w:multiLevelType w:val="hybridMultilevel"/>
    <w:lvl w:ilvl="0">
      <w:lvlJc w:val="left"/>
      <w:lvlText w:val="***"/>
      <w:numFmt w:val="bullet"/>
      <w:start w:val="1"/>
    </w:lvl>
  </w:abstractNum>
  <w:abstractNum w:abstractNumId="267">
    <w:nsid w:val="2A9C34E2"/>
    <w:multiLevelType w:val="hybridMultilevel"/>
    <w:lvl w:ilvl="0">
      <w:lvlJc w:val="left"/>
      <w:lvlText w:val="×"/>
      <w:numFmt w:val="bullet"/>
      <w:start w:val="1"/>
    </w:lvl>
  </w:abstractNum>
  <w:abstractNum w:abstractNumId="268">
    <w:nsid w:val="1B7585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9">
    <w:nsid w:val="612DBDDD"/>
    <w:multiLevelType w:val="hybridMultilevel"/>
    <w:lvl w:ilvl="0">
      <w:lvlJc w:val="left"/>
      <w:lvlText w:val="%1."/>
      <w:numFmt w:val="decimal"/>
      <w:start w:val="1"/>
    </w:lvl>
  </w:abstractNum>
  <w:abstractNum w:abstractNumId="270">
    <w:nsid w:val="2109CDA4"/>
    <w:multiLevelType w:val="hybridMultilevel"/>
    <w:lvl w:ilvl="0">
      <w:lvlJc w:val="left"/>
      <w:lvlText w:val="%1."/>
      <w:numFmt w:val="decimal"/>
      <w:start w:val="2"/>
    </w:lvl>
  </w:abstractNum>
  <w:abstractNum w:abstractNumId="271">
    <w:nsid w:val="577F5A4D"/>
    <w:multiLevelType w:val="hybridMultilevel"/>
    <w:lvl w:ilvl="0">
      <w:lvlJc w:val="left"/>
      <w:lvlText w:val="(%1)"/>
      <w:numFmt w:val="lowerLetter"/>
      <w:start w:val="1"/>
    </w:lvl>
  </w:abstractNum>
  <w:abstractNum w:abstractNumId="272">
    <w:nsid w:val="2121A81"/>
    <w:multiLevelType w:val="hybridMultilevel"/>
    <w:lvl w:ilvl="0">
      <w:lvlJc w:val="left"/>
      <w:lvlText w:val="(%1)"/>
      <w:numFmt w:val="lowerLetter"/>
      <w:start w:val="2"/>
    </w:lvl>
  </w:abstractNum>
  <w:abstractNum w:abstractNumId="273">
    <w:nsid w:val="6C2CFC88"/>
    <w:multiLevelType w:val="hybridMultilevel"/>
    <w:lvl w:ilvl="0">
      <w:lvlJc w:val="left"/>
      <w:lvlText w:val="(%1)"/>
      <w:numFmt w:val="lowerLetter"/>
      <w:start w:val="4"/>
    </w:lvl>
  </w:abstractNum>
  <w:abstractNum w:abstractNumId="274">
    <w:nsid w:val="6D1BCF1C"/>
    <w:multiLevelType w:val="hybridMultilevel"/>
    <w:lvl w:ilvl="0">
      <w:lvlJc w:val="left"/>
      <w:lvlText w:val="%1."/>
      <w:numFmt w:val="decimal"/>
      <w:start w:val="3"/>
    </w:lvl>
    <w:lvl w:ilvl="1">
      <w:lvlJc w:val="left"/>
      <w:lvlText w:val="(%2)"/>
      <w:numFmt w:val="lowerLetter"/>
      <w:start w:val="1"/>
    </w:lvl>
  </w:abstractNum>
  <w:abstractNum w:abstractNumId="275">
    <w:nsid w:val="4CE5CA53"/>
    <w:multiLevelType w:val="hybridMultilevel"/>
    <w:lvl w:ilvl="0">
      <w:lvlJc w:val="left"/>
      <w:lvlText w:val="%1"/>
      <w:numFmt w:val="lowerLetter"/>
      <w:start w:val="1"/>
    </w:lvl>
    <w:lvl w:ilvl="1">
      <w:lvlJc w:val="left"/>
      <w:lvlText w:val="(%2)"/>
      <w:numFmt w:val="lowerLetter"/>
      <w:start w:val="4"/>
    </w:lvl>
  </w:abstractNum>
  <w:abstractNum w:abstractNumId="276">
    <w:nsid w:val="29262D1A"/>
    <w:multiLevelType w:val="hybridMultilevel"/>
    <w:lvl w:ilvl="0">
      <w:lvlJc w:val="left"/>
      <w:lvlText w:val="(%1)"/>
      <w:numFmt w:val="lowerLetter"/>
      <w:start w:val="9"/>
    </w:lvl>
    <w:lvl w:ilvl="1">
      <w:lvlJc w:val="left"/>
      <w:lvlText w:val="%2"/>
      <w:numFmt w:val="lowerLetter"/>
      <w:start w:val="1"/>
    </w:lvl>
  </w:abstractNum>
  <w:abstractNum w:abstractNumId="277">
    <w:nsid w:val="557FB7EE"/>
    <w:multiLevelType w:val="hybridMultilevel"/>
    <w:lvl w:ilvl="0">
      <w:lvlJc w:val="left"/>
      <w:lvlText w:val="(%1)"/>
      <w:numFmt w:val="lowerLetter"/>
      <w:start w:val="7"/>
    </w:lvl>
  </w:abstractNum>
  <w:abstractNum w:abstractNumId="278">
    <w:nsid w:val="436F2BEB"/>
    <w:multiLevelType w:val="hybridMultilevel"/>
    <w:lvl w:ilvl="0">
      <w:lvlJc w:val="left"/>
      <w:lvlText w:val="(%1)"/>
      <w:numFmt w:val="lowerLetter"/>
      <w:start w:val="11"/>
    </w:lvl>
  </w:abstractNum>
  <w:abstractNum w:abstractNumId="279">
    <w:nsid w:val="6C8B4466"/>
    <w:multiLevelType w:val="hybridMultilevel"/>
    <w:lvl w:ilvl="0">
      <w:lvlJc w:val="left"/>
      <w:lvlText w:val="(%1)"/>
      <w:numFmt w:val="lowerLetter"/>
      <w:start w:val="16"/>
    </w:lvl>
  </w:abstractNum>
  <w:abstractNum w:abstractNumId="280">
    <w:nsid w:val="2006E424"/>
    <w:multiLevelType w:val="hybridMultilevel"/>
    <w:lvl w:ilvl="0">
      <w:lvlJc w:val="left"/>
      <w:lvlText w:val="(%1)"/>
      <w:numFmt w:val="lowerLetter"/>
      <w:start w:val="19"/>
    </w:lvl>
  </w:abstractNum>
  <w:abstractNum w:abstractNumId="281">
    <w:nsid w:val="20CC134C"/>
    <w:multiLevelType w:val="hybridMultilevel"/>
    <w:lvl w:ilvl="0">
      <w:lvlJc w:val="left"/>
      <w:lvlText w:val="(%1)"/>
      <w:numFmt w:val="lowerLetter"/>
      <w:start w:val="24"/>
    </w:lvl>
  </w:abstractNum>
  <w:abstractNum w:abstractNumId="282">
    <w:nsid w:val="95FC93B"/>
    <w:multiLevelType w:val="hybridMultilevel"/>
    <w:lvl w:ilvl="0">
      <w:lvlJc w:val="left"/>
      <w:lvlText w:val="(%1)"/>
      <w:numFmt w:val="lowerLetter"/>
      <w:start w:val="27"/>
    </w:lvl>
  </w:abstractNum>
  <w:abstractNum w:abstractNumId="283">
    <w:nsid w:val="41D74679"/>
    <w:multiLevelType w:val="hybridMultilevel"/>
    <w:lvl w:ilvl="0">
      <w:lvlJc w:val="left"/>
      <w:lvlText w:val="%1"/>
      <w:numFmt w:val="lowerLetter"/>
      <w:start w:val="1"/>
    </w:lvl>
    <w:lvl w:ilvl="1">
      <w:lvlJc w:val="left"/>
      <w:lvlText w:val="(%2)"/>
      <w:numFmt w:val="lowerLetter"/>
      <w:start w:val="29"/>
    </w:lvl>
  </w:abstractNum>
  <w:abstractNum w:abstractNumId="284">
    <w:nsid w:val="71E5621E"/>
    <w:multiLevelType w:val="hybridMultilevel"/>
    <w:lvl w:ilvl="0">
      <w:lvlJc w:val="left"/>
      <w:lvlText w:val="(%1)"/>
      <w:numFmt w:val="lowerLetter"/>
      <w:start w:val="61"/>
    </w:lvl>
    <w:lvl w:ilvl="1">
      <w:lvlJc w:val="left"/>
      <w:lvlText w:val="(%2)"/>
      <w:numFmt w:val="lowerLetter"/>
      <w:start w:val="30"/>
    </w:lvl>
  </w:abstractNum>
  <w:abstractNum w:abstractNumId="285">
    <w:nsid w:val="4E42B6A8"/>
    <w:multiLevelType w:val="hybridMultilevel"/>
    <w:lvl w:ilvl="0">
      <w:lvlJc w:val="left"/>
      <w:lvlText w:val="(%1)"/>
      <w:numFmt w:val="lowerLetter"/>
      <w:start w:val="9"/>
    </w:lvl>
    <w:lvl w:ilvl="1">
      <w:lvlJc w:val="left"/>
      <w:lvlText w:val="(%2)"/>
      <w:numFmt w:val="lowerLetter"/>
      <w:start w:val="31"/>
    </w:lvl>
  </w:abstractNum>
  <w:abstractNum w:abstractNumId="286">
    <w:nsid w:val="43F8E1AC"/>
    <w:multiLevelType w:val="hybridMultilevel"/>
    <w:lvl w:ilvl="0">
      <w:lvlJc w:val="left"/>
      <w:lvlText w:val="(%1)"/>
      <w:numFmt w:val="lowerLetter"/>
      <w:start w:val="32"/>
    </w:lvl>
  </w:abstractNum>
  <w:abstractNum w:abstractNumId="287">
    <w:nsid w:val="69215DFB"/>
    <w:multiLevelType w:val="hybridMultilevel"/>
    <w:lvl w:ilvl="0">
      <w:lvlJc w:val="left"/>
      <w:lvlText w:val="(%1)"/>
      <w:numFmt w:val="lowerLetter"/>
      <w:start w:val="34"/>
    </w:lvl>
  </w:abstractNum>
  <w:abstractNum w:abstractNumId="288">
    <w:nsid w:val="7ABF196A"/>
    <w:multiLevelType w:val="hybridMultilevel"/>
    <w:lvl w:ilvl="0">
      <w:lvlJc w:val="left"/>
      <w:lvlText w:val="%1"/>
      <w:numFmt w:val="decimal"/>
      <w:start w:val="1"/>
    </w:lvl>
    <w:lvl w:ilvl="1">
      <w:lvlJc w:val="left"/>
      <w:lvlText w:val="(%2)"/>
      <w:numFmt w:val="lowerLetter"/>
      <w:start w:val="42"/>
    </w:lvl>
  </w:abstractNum>
  <w:abstractNum w:abstractNumId="289">
    <w:nsid w:val="5E4DB968"/>
    <w:multiLevelType w:val="hybridMultilevel"/>
    <w:lvl w:ilvl="0">
      <w:lvlJc w:val="left"/>
      <w:lvlText w:val="%1."/>
      <w:numFmt w:val="decimal"/>
      <w:start w:val="4"/>
    </w:lvl>
    <w:lvl w:ilvl="1">
      <w:lvlJc w:val="left"/>
      <w:lvlText w:val="(%2)"/>
      <w:numFmt w:val="lowerLetter"/>
      <w:start w:val="1"/>
    </w:lvl>
  </w:abstractNum>
  <w:abstractNum w:abstractNumId="290">
    <w:nsid w:val="2C06DCF3"/>
    <w:multiLevelType w:val="hybridMultilevel"/>
    <w:lvl w:ilvl="0">
      <w:lvlJc w:val="left"/>
      <w:lvlText w:val="(%1)"/>
      <w:numFmt w:val="lowerLetter"/>
      <w:start w:val="6"/>
    </w:lvl>
  </w:abstractNum>
  <w:abstractNum w:abstractNumId="291">
    <w:nsid w:val="2E129658"/>
    <w:multiLevelType w:val="hybridMultilevel"/>
    <w:lvl w:ilvl="0">
      <w:lvlJc w:val="left"/>
      <w:lvlText w:val="%1"/>
      <w:numFmt w:val="lowerRoman"/>
      <w:start w:val="1"/>
    </w:lvl>
    <w:lvl w:ilvl="1">
      <w:lvlJc w:val="left"/>
      <w:lvlText w:val="(%2)"/>
      <w:numFmt w:val="lowerLetter"/>
      <w:start w:val="10"/>
    </w:lvl>
  </w:abstractNum>
  <w:abstractNum w:abstractNumId="292">
    <w:nsid w:val="59F0446"/>
    <w:multiLevelType w:val="hybridMultilevel"/>
    <w:lvl w:ilvl="0">
      <w:lvlJc w:val="left"/>
      <w:lvlText w:val="(%1)"/>
      <w:numFmt w:val="lowerRoman"/>
      <w:start w:val="1"/>
    </w:lvl>
    <w:lvl w:ilvl="1">
      <w:lvlJc w:val="left"/>
      <w:lvlText w:val="%2"/>
      <w:numFmt w:val="lowerLetter"/>
      <w:start w:val="1"/>
    </w:lvl>
  </w:abstractNum>
  <w:abstractNum w:abstractNumId="293">
    <w:nsid w:val="30DF306"/>
    <w:multiLevelType w:val="hybridMultilevel"/>
    <w:lvl w:ilvl="0">
      <w:lvlJc w:val="left"/>
      <w:lvlText w:val="(%1)"/>
      <w:numFmt w:val="lowerRoman"/>
      <w:start w:val="3"/>
    </w:lvl>
    <w:lvl w:ilvl="1">
      <w:lvlJc w:val="left"/>
      <w:lvlText w:val="(%2)"/>
      <w:numFmt w:val="lowerLetter"/>
      <w:start w:val="14"/>
    </w:lvl>
  </w:abstractNum>
  <w:abstractNum w:abstractNumId="294">
    <w:nsid w:val="A65647"/>
    <w:multiLevelType w:val="hybridMultilevel"/>
    <w:lvl w:ilvl="0">
      <w:lvlJc w:val="left"/>
      <w:lvlText w:val="(%1)"/>
      <w:numFmt w:val="lowerRoman"/>
      <w:start w:val="4"/>
    </w:lvl>
    <w:lvl w:ilvl="1">
      <w:lvlJc w:val="left"/>
      <w:lvlText w:val="(%2)"/>
      <w:numFmt w:val="lowerLetter"/>
      <w:start w:val="15"/>
    </w:lvl>
  </w:abstractNum>
  <w:abstractNum w:abstractNumId="295">
    <w:nsid w:val="3E5E582B"/>
    <w:multiLevelType w:val="hybridMultilevel"/>
    <w:lvl w:ilvl="0">
      <w:lvlJc w:val="left"/>
      <w:lvlText w:val="%1."/>
      <w:numFmt w:val="decimal"/>
      <w:start w:val="5"/>
    </w:lvl>
    <w:lvl w:ilvl="1">
      <w:lvlJc w:val="left"/>
      <w:lvlText w:val="(%2)"/>
      <w:numFmt w:val="lowerLetter"/>
      <w:start w:val="1"/>
    </w:lvl>
  </w:abstractNum>
  <w:abstractNum w:abstractNumId="296">
    <w:nsid w:val="257D4626"/>
    <w:multiLevelType w:val="hybridMultilevel"/>
    <w:lvl w:ilvl="0">
      <w:lvlJc w:val="left"/>
      <w:lvlText w:val="(%1)"/>
      <w:numFmt w:val="lowerLetter"/>
      <w:start w:val="5"/>
    </w:lvl>
  </w:abstractNum>
  <w:abstractNum w:abstractNumId="297">
    <w:nsid w:val="5AA8580E"/>
    <w:multiLevelType w:val="hybridMultilevel"/>
    <w:lvl w:ilvl="0">
      <w:lvlJc w:val="left"/>
      <w:lvlText w:val="(%1)"/>
      <w:numFmt w:val="lowerRoman"/>
      <w:start w:val="2"/>
    </w:lvl>
  </w:abstractNum>
  <w:abstractNum w:abstractNumId="298">
    <w:nsid w:val="68FA8D0D"/>
    <w:multiLevelType w:val="hybridMultilevel"/>
    <w:lvl w:ilvl="0">
      <w:lvlJc w:val="left"/>
      <w:lvlText w:val="(%1)"/>
      <w:numFmt w:val="lowerLetter"/>
      <w:start w:val="9"/>
    </w:lvl>
  </w:abstractNum>
  <w:abstractNum w:abstractNumId="299">
    <w:nsid w:val="40F2CBD2"/>
    <w:multiLevelType w:val="hybridMultilevel"/>
    <w:lvl w:ilvl="0">
      <w:lvlJc w:val="left"/>
      <w:lvlText w:val="(%1)"/>
      <w:numFmt w:val="lowerLetter"/>
      <w:start w:val="12"/>
    </w:lvl>
  </w:abstractNum>
  <w:abstractNum w:abstractNumId="300">
    <w:nsid w:val="3BD615EB"/>
    <w:multiLevelType w:val="hybridMultilevel"/>
    <w:lvl w:ilvl="0">
      <w:lvlJc w:val="left"/>
      <w:lvlText w:val="%1"/>
      <w:numFmt w:val="decimal"/>
      <w:start w:val="1"/>
    </w:lvl>
    <w:lvl w:ilvl="1">
      <w:lvlJc w:val="left"/>
      <w:lvlText w:val="(%2)"/>
      <w:numFmt w:val="lowerLetter"/>
      <w:start w:val="15"/>
    </w:lvl>
  </w:abstractNum>
  <w:abstractNum w:abstractNumId="301">
    <w:nsid w:val="A045AB2"/>
    <w:multiLevelType w:val="hybridMultilevel"/>
    <w:lvl w:ilvl="0">
      <w:lvlJc w:val="left"/>
      <w:lvlText w:val="%1."/>
      <w:numFmt w:val="decimal"/>
      <w:start w:val="6"/>
    </w:lvl>
    <w:lvl w:ilvl="1">
      <w:lvlJc w:val="left"/>
      <w:lvlText w:val="(%2)"/>
      <w:numFmt w:val="lowerLetter"/>
      <w:start w:val="1"/>
    </w:lvl>
  </w:abstractNum>
  <w:abstractNum w:abstractNumId="302">
    <w:nsid w:val="1872261F"/>
    <w:multiLevelType w:val="hybridMultilevel"/>
    <w:lvl w:ilvl="0">
      <w:lvlJc w:val="left"/>
      <w:lvlText w:val="(%1)"/>
      <w:numFmt w:val="lowerLetter"/>
      <w:start w:val="2"/>
    </w:lvl>
  </w:abstractNum>
  <w:abstractNum w:abstractNumId="303">
    <w:nsid w:val="3DE8306C"/>
    <w:multiLevelType w:val="hybridMultilevel"/>
    <w:lvl w:ilvl="0">
      <w:lvlJc w:val="left"/>
      <w:lvlText w:val="(%1)"/>
      <w:numFmt w:val="lowerLetter"/>
      <w:start w:val="7"/>
    </w:lvl>
  </w:abstractNum>
  <w:abstractNum w:abstractNumId="304">
    <w:nsid w:val="7631573A"/>
    <w:multiLevelType w:val="hybridMultilevel"/>
    <w:lvl w:ilvl="0">
      <w:lvlJc w:val="left"/>
      <w:lvlText w:val="(%1)"/>
      <w:numFmt w:val="lowerLetter"/>
      <w:start w:val="9"/>
    </w:lvl>
  </w:abstractNum>
  <w:abstractNum w:abstractNumId="305">
    <w:nsid w:val="58DF53B"/>
    <w:multiLevelType w:val="hybridMultilevel"/>
    <w:lvl w:ilvl="0">
      <w:lvlJc w:val="left"/>
      <w:lvlText w:val="(%1)"/>
      <w:numFmt w:val="lowerLetter"/>
      <w:start w:val="14"/>
    </w:lvl>
  </w:abstractNum>
  <w:abstractNum w:abstractNumId="306">
    <w:nsid w:val="ACDFAC0"/>
    <w:multiLevelType w:val="hybridMultilevel"/>
    <w:lvl w:ilvl="0">
      <w:lvlJc w:val="left"/>
      <w:lvlText w:val="%1."/>
      <w:numFmt w:val="decimal"/>
      <w:start w:val="8"/>
    </w:lvl>
  </w:abstractNum>
  <w:abstractNum w:abstractNumId="307">
    <w:nsid w:val="1F578454"/>
    <w:multiLevelType w:val="hybridMultilevel"/>
    <w:lvl w:ilvl="0">
      <w:lvlJc w:val="left"/>
      <w:lvlText w:val="(%1)"/>
      <w:numFmt w:val="lowerLetter"/>
      <w:start w:val="1"/>
    </w:lvl>
  </w:abstractNum>
  <w:abstractNum w:abstractNumId="308">
    <w:nsid w:val="5B0DAD2A"/>
    <w:multiLevelType w:val="hybridMultilevel"/>
    <w:lvl w:ilvl="0">
      <w:lvlJc w:val="left"/>
      <w:lvlText w:val="(%1)"/>
      <w:numFmt w:val="lowerLetter"/>
      <w:start w:val="2"/>
    </w:lvl>
  </w:abstractNum>
  <w:abstractNum w:abstractNumId="309">
    <w:nsid w:val="4E3D26AB"/>
    <w:multiLevelType w:val="hybridMultilevel"/>
    <w:lvl w:ilvl="0">
      <w:lvlJc w:val="left"/>
      <w:lvlText w:val="(%1)"/>
      <w:numFmt w:val="lowerLetter"/>
      <w:start w:val="4"/>
    </w:lvl>
  </w:abstractNum>
  <w:abstractNum w:abstractNumId="310">
    <w:nsid w:val="BE2C8BA"/>
    <w:multiLevelType w:val="hybridMultilevel"/>
    <w:lvl w:ilvl="0">
      <w:lvlJc w:val="left"/>
      <w:lvlText w:val="%1"/>
      <w:numFmt w:val="lowerLetter"/>
      <w:start w:val="1"/>
    </w:lvl>
    <w:lvl w:ilvl="1">
      <w:lvlJc w:val="left"/>
      <w:lvlText w:val="(%2)"/>
      <w:numFmt w:val="lowerLetter"/>
      <w:start w:val="5"/>
    </w:lvl>
  </w:abstractNum>
  <w:abstractNum w:abstractNumId="311">
    <w:nsid w:val="7B14914E"/>
    <w:multiLevelType w:val="hybridMultilevel"/>
    <w:lvl w:ilvl="0">
      <w:lvlJc w:val="left"/>
      <w:lvlText w:val="(%1)"/>
      <w:numFmt w:val="lowerLetter"/>
      <w:start w:val="4"/>
    </w:lvl>
    <w:lvl w:ilvl="1">
      <w:lvlJc w:val="left"/>
      <w:lvlText w:val="(%2)"/>
      <w:numFmt w:val="lowerLetter"/>
      <w:start w:val="6"/>
    </w:lvl>
  </w:abstractNum>
  <w:abstractNum w:abstractNumId="312">
    <w:nsid w:val="6F0939F8"/>
    <w:multiLevelType w:val="hybridMultilevel"/>
    <w:lvl w:ilvl="0">
      <w:lvlJc w:val="left"/>
      <w:lvlText w:val="%1."/>
      <w:numFmt w:val="decimal"/>
      <w:start w:val="9"/>
    </w:lvl>
  </w:abstractNum>
  <w:abstractNum w:abstractNumId="313">
    <w:nsid w:val="154291F6"/>
    <w:multiLevelType w:val="hybridMultilevel"/>
    <w:lvl w:ilvl="0">
      <w:lvlJc w:val="left"/>
      <w:lvlText w:val="%1."/>
      <w:numFmt w:val="decimal"/>
      <w:start w:val="11"/>
    </w:lvl>
  </w:abstractNum>
  <w:abstractNum w:abstractNumId="314">
    <w:nsid w:val="3CEBD7C7"/>
    <w:multiLevelType w:val="hybridMultilevel"/>
    <w:lvl w:ilvl="0">
      <w:lvlJc w:val="left"/>
      <w:lvlText w:val="(%1)"/>
      <w:numFmt w:val="lowerLetter"/>
      <w:start w:val="1"/>
    </w:lvl>
  </w:abstractNum>
  <w:abstractNum w:abstractNumId="315">
    <w:nsid w:val="60EE9C16"/>
    <w:multiLevelType w:val="hybridMultilevel"/>
    <w:lvl w:ilvl="0">
      <w:lvlJc w:val="left"/>
      <w:lvlText w:val="%1."/>
      <w:numFmt w:val="decimal"/>
      <w:start w:val="12"/>
    </w:lvl>
  </w:abstractNum>
  <w:abstractNum w:abstractNumId="316">
    <w:nsid w:val="6385489E"/>
    <w:multiLevelType w:val="hybridMultilevel"/>
    <w:lvl w:ilvl="0">
      <w:lvlJc w:val="left"/>
      <w:lvlText w:val="%1"/>
      <w:numFmt w:val="lowerRoman"/>
      <w:start w:val="1"/>
    </w:lvl>
    <w:lvl w:ilvl="1">
      <w:lvlJc w:val="left"/>
      <w:lvlText w:val="(%2)"/>
      <w:numFmt w:val="lowerLetter"/>
      <w:start w:val="1"/>
    </w:lvl>
  </w:abstractNum>
  <w:abstractNum w:abstractNumId="317">
    <w:nsid w:val="E4B973"/>
    <w:multiLevelType w:val="hybridMultilevel"/>
    <w:lvl w:ilvl="0">
      <w:lvlJc w:val="left"/>
      <w:lvlText w:val="(%1)"/>
      <w:numFmt w:val="lowerRoman"/>
      <w:start w:val="7"/>
    </w:lvl>
    <w:lvl w:ilvl="1">
      <w:lvlJc w:val="left"/>
      <w:lvlText w:val="%2"/>
      <w:numFmt w:val="lowerLetter"/>
      <w:start w:val="1"/>
    </w:lvl>
  </w:abstractNum>
  <w:abstractNum w:abstractNumId="318">
    <w:nsid w:val="4A0FFA11"/>
    <w:multiLevelType w:val="hybridMultilevel"/>
    <w:lvl w:ilvl="0">
      <w:lvlJc w:val="left"/>
      <w:lvlText w:val="%1"/>
      <w:numFmt w:val="lowerLetter"/>
      <w:start w:val="1"/>
    </w:lvl>
    <w:lvl w:ilvl="1">
      <w:lvlJc w:val="left"/>
      <w:lvlText w:val="(%2)"/>
      <w:numFmt w:val="lowerLetter"/>
      <w:start w:val="2"/>
    </w:lvl>
  </w:abstractNum>
  <w:abstractNum w:abstractNumId="319">
    <w:nsid w:val="5E446208"/>
    <w:multiLevelType w:val="hybridMultilevel"/>
    <w:lvl w:ilvl="0">
      <w:lvlJc w:val="left"/>
      <w:lvlText w:val="(%1)"/>
      <w:numFmt w:val="lowerLetter"/>
      <w:start w:val="35"/>
    </w:lvl>
    <w:lvl w:ilvl="1">
      <w:lvlJc w:val="left"/>
      <w:lvlText w:val="%2"/>
      <w:numFmt w:val="lowerLetter"/>
      <w:start w:val="1"/>
    </w:lvl>
  </w:abstractNum>
  <w:abstractNum w:abstractNumId="320">
    <w:nsid w:val="5F3272DB"/>
    <w:multiLevelType w:val="hybridMultilevel"/>
    <w:lvl w:ilvl="0">
      <w:lvlJc w:val="left"/>
      <w:lvlText w:val="%1."/>
      <w:numFmt w:val="decimal"/>
      <w:start w:val="13"/>
    </w:lvl>
  </w:abstractNum>
  <w:abstractNum w:abstractNumId="321">
    <w:nsid w:val="7616D704"/>
    <w:multiLevelType w:val="hybridMultilevel"/>
    <w:lvl w:ilvl="0">
      <w:lvlJc w:val="left"/>
      <w:lvlText w:val="%1."/>
      <w:numFmt w:val="decimal"/>
      <w:start w:val="15"/>
    </w:lvl>
  </w:abstractNum>
  <w:abstractNum w:abstractNumId="322">
    <w:nsid w:val="C56F860"/>
    <w:multiLevelType w:val="hybridMultilevel"/>
    <w:lvl w:ilvl="0">
      <w:lvlJc w:val="left"/>
      <w:lvlText w:val="(%1)"/>
      <w:numFmt w:val="lowerLetter"/>
      <w:start w:val="1"/>
    </w:lvl>
  </w:abstractNum>
  <w:abstractNum w:abstractNumId="323">
    <w:nsid w:val="64D17722"/>
    <w:multiLevelType w:val="hybridMultilevel"/>
    <w:lvl w:ilvl="0">
      <w:lvlJc w:val="left"/>
      <w:lvlText w:val="%1."/>
      <w:numFmt w:val="decimal"/>
      <w:start w:val="1"/>
    </w:lvl>
  </w:abstractNum>
  <w:abstractNum w:abstractNumId="324">
    <w:nsid w:val="7924CA0A"/>
    <w:multiLevelType w:val="hybridMultilevel"/>
    <w:lvl w:ilvl="0">
      <w:lvlJc w:val="left"/>
      <w:lvlText w:val="%1."/>
      <w:numFmt w:val="decimal"/>
      <w:start w:val="1"/>
    </w:lvl>
  </w:abstractNum>
  <w:abstractNum w:abstractNumId="325">
    <w:nsid w:val="CFD4EA7"/>
    <w:multiLevelType w:val="hybridMultilevel"/>
    <w:lvl w:ilvl="0">
      <w:lvlJc w:val="left"/>
      <w:lvlText w:val="$"/>
      <w:numFmt w:val="bullet"/>
      <w:start w:val="1"/>
    </w:lvl>
  </w:abstractNum>
  <w:abstractNum w:abstractNumId="326">
    <w:nsid w:val="232FCF4D"/>
    <w:multiLevelType w:val="hybridMultilevel"/>
    <w:lvl w:ilvl="0">
      <w:lvlJc w:val="left"/>
      <w:lvlText w:val="$"/>
      <w:numFmt w:val="bullet"/>
      <w:start w:val="1"/>
    </w:lvl>
  </w:abstractNum>
  <w:abstractNum w:abstractNumId="327">
    <w:nsid w:val="1EA21031"/>
    <w:multiLevelType w:val="hybridMultilevel"/>
    <w:lvl w:ilvl="0">
      <w:lvlJc w:val="left"/>
      <w:lvlText w:val="%1."/>
      <w:numFmt w:val="decimal"/>
      <w:start w:val="1"/>
    </w:lvl>
  </w:abstractNum>
  <w:abstractNum w:abstractNumId="328">
    <w:nsid w:val="67A5A6B5"/>
    <w:multiLevelType w:val="hybridMultilevel"/>
    <w:lvl w:ilvl="0">
      <w:lvlJc w:val="left"/>
      <w:lvlText w:val="%1."/>
      <w:numFmt w:val="decimal"/>
      <w:start w:val="2"/>
    </w:lvl>
  </w:abstractNum>
  <w:abstractNum w:abstractNumId="329">
    <w:nsid w:val="C2A5C5B"/>
    <w:multiLevelType w:val="hybridMultilevel"/>
    <w:lvl w:ilvl="0">
      <w:lvlJc w:val="left"/>
      <w:lvlText w:val="(%1)"/>
      <w:numFmt w:val="lowerLetter"/>
      <w:start w:val="1"/>
    </w:lvl>
  </w:abstractNum>
  <w:abstractNum w:abstractNumId="330">
    <w:nsid w:val="5F94DC03"/>
    <w:multiLevelType w:val="hybridMultilevel"/>
    <w:lvl w:ilvl="0">
      <w:lvlJc w:val="left"/>
      <w:lvlText w:val="(%1)"/>
      <w:numFmt w:val="lowerLetter"/>
      <w:start w:val="2"/>
    </w:lvl>
  </w:abstractNum>
  <w:abstractNum w:abstractNumId="331">
    <w:nsid w:val="237BBCA0"/>
    <w:multiLevelType w:val="hybridMultilevel"/>
    <w:lvl w:ilvl="0">
      <w:lvlJc w:val="left"/>
      <w:lvlText w:val="(%1)"/>
      <w:numFmt w:val="lowerLetter"/>
      <w:start w:val="4"/>
    </w:lvl>
  </w:abstractNum>
  <w:abstractNum w:abstractNumId="332">
    <w:nsid w:val="162EB70D"/>
    <w:multiLevelType w:val="hybridMultilevel"/>
    <w:lvl w:ilvl="0">
      <w:lvlJc w:val="left"/>
      <w:lvlText w:val="%1."/>
      <w:numFmt w:val="decimal"/>
      <w:start w:val="3"/>
    </w:lvl>
    <w:lvl w:ilvl="1">
      <w:lvlJc w:val="left"/>
      <w:lvlText w:val="(%2)"/>
      <w:numFmt w:val="lowerLetter"/>
      <w:start w:val="1"/>
    </w:lvl>
  </w:abstractNum>
  <w:abstractNum w:abstractNumId="333">
    <w:nsid w:val="78070222"/>
    <w:multiLevelType w:val="hybridMultilevel"/>
    <w:lvl w:ilvl="0">
      <w:lvlJc w:val="left"/>
      <w:lvlText w:val="%1"/>
      <w:numFmt w:val="lowerLetter"/>
      <w:start w:val="1"/>
    </w:lvl>
    <w:lvl w:ilvl="1">
      <w:lvlJc w:val="left"/>
      <w:lvlText w:val="(%2)"/>
      <w:numFmt w:val="lowerLetter"/>
      <w:start w:val="4"/>
    </w:lvl>
  </w:abstractNum>
  <w:abstractNum w:abstractNumId="334">
    <w:nsid w:val="6163ED0D"/>
    <w:multiLevelType w:val="hybridMultilevel"/>
    <w:lvl w:ilvl="0">
      <w:lvlJc w:val="left"/>
      <w:lvlText w:val="(%1)"/>
      <w:numFmt w:val="lowerLetter"/>
      <w:start w:val="9"/>
    </w:lvl>
    <w:lvl w:ilvl="1">
      <w:lvlJc w:val="left"/>
      <w:lvlText w:val="%2"/>
      <w:numFmt w:val="lowerLetter"/>
      <w:start w:val="1"/>
    </w:lvl>
  </w:abstractNum>
  <w:abstractNum w:abstractNumId="335">
    <w:nsid w:val="C600E47"/>
    <w:multiLevelType w:val="hybridMultilevel"/>
    <w:lvl w:ilvl="0">
      <w:lvlJc w:val="left"/>
      <w:lvlText w:val="(%1)"/>
      <w:numFmt w:val="lowerLetter"/>
      <w:start w:val="7"/>
    </w:lvl>
  </w:abstractNum>
  <w:abstractNum w:abstractNumId="336">
    <w:nsid w:val="7D94F75D"/>
    <w:multiLevelType w:val="hybridMultilevel"/>
    <w:lvl w:ilvl="0">
      <w:lvlJc w:val="left"/>
      <w:lvlText w:val="(%1)"/>
      <w:numFmt w:val="lowerLetter"/>
      <w:start w:val="10"/>
    </w:lvl>
    <w:lvl w:ilvl="1">
      <w:lvlJc w:val="left"/>
      <w:lvlText w:val="(%2)"/>
      <w:numFmt w:val="lowerLetter"/>
      <w:start w:val="35"/>
    </w:lvl>
  </w:abstractNum>
  <w:abstractNum w:abstractNumId="337">
    <w:nsid w:val="6C31E7CD"/>
    <w:multiLevelType w:val="hybridMultilevel"/>
    <w:lvl w:ilvl="0">
      <w:lvlJc w:val="left"/>
      <w:lvlText w:val="(%1)"/>
      <w:numFmt w:val="lowerLetter"/>
      <w:start w:val="14"/>
    </w:lvl>
  </w:abstractNum>
  <w:abstractNum w:abstractNumId="338">
    <w:nsid w:val="2BB7929B"/>
    <w:multiLevelType w:val="hybridMultilevel"/>
    <w:lvl w:ilvl="0">
      <w:lvlJc w:val="left"/>
      <w:lvlText w:val="(%1)"/>
      <w:numFmt w:val="lowerLetter"/>
      <w:start w:val="18"/>
    </w:lvl>
  </w:abstractNum>
  <w:abstractNum w:abstractNumId="339">
    <w:nsid w:val="58A2A487"/>
    <w:multiLevelType w:val="hybridMultilevel"/>
    <w:lvl w:ilvl="0">
      <w:lvlJc w:val="left"/>
      <w:lvlText w:val="(%1)"/>
      <w:numFmt w:val="lowerLetter"/>
      <w:start w:val="22"/>
    </w:lvl>
  </w:abstractNum>
  <w:abstractNum w:abstractNumId="340">
    <w:nsid w:val="3A6F0E78"/>
    <w:multiLevelType w:val="hybridMultilevel"/>
    <w:lvl w:ilvl="0">
      <w:lvlJc w:val="left"/>
      <w:lvlText w:val="%1"/>
      <w:numFmt w:val="lowerLetter"/>
      <w:start w:val="1"/>
    </w:lvl>
    <w:lvl w:ilvl="1">
      <w:lvlJc w:val="left"/>
      <w:lvlText w:val="(%2)"/>
      <w:numFmt w:val="lowerLetter"/>
      <w:start w:val="27"/>
    </w:lvl>
  </w:abstractNum>
  <w:abstractNum w:abstractNumId="341">
    <w:nsid w:val="379A5B56"/>
    <w:multiLevelType w:val="hybridMultilevel"/>
    <w:lvl w:ilvl="0">
      <w:lvlJc w:val="left"/>
      <w:lvlText w:val="(%1)"/>
      <w:numFmt w:val="lowerLetter"/>
      <w:start w:val="61"/>
    </w:lvl>
    <w:lvl w:ilvl="1">
      <w:lvlJc w:val="left"/>
      <w:lvlText w:val="%2"/>
      <w:numFmt w:val="lowerLetter"/>
      <w:start w:val="1"/>
    </w:lvl>
  </w:abstractNum>
  <w:abstractNum w:abstractNumId="342">
    <w:nsid w:val="53B735D5"/>
    <w:multiLevelType w:val="hybridMultilevel"/>
    <w:lvl w:ilvl="0">
      <w:lvlJc w:val="left"/>
      <w:lvlText w:val="%1"/>
      <w:numFmt w:val="lowerLetter"/>
      <w:start w:val="1"/>
    </w:lvl>
    <w:lvl w:ilvl="1">
      <w:lvlJc w:val="left"/>
      <w:lvlText w:val="(%2)"/>
      <w:numFmt w:val="lowerLetter"/>
      <w:start w:val="30"/>
    </w:lvl>
  </w:abstractNum>
  <w:abstractNum w:abstractNumId="343">
    <w:nsid w:val="29784870"/>
    <w:multiLevelType w:val="hybridMultilevel"/>
    <w:lvl w:ilvl="0">
      <w:lvlJc w:val="left"/>
      <w:lvlText w:val="(%1)"/>
      <w:numFmt w:val="lowerLetter"/>
      <w:start w:val="9"/>
    </w:lvl>
    <w:lvl w:ilvl="1">
      <w:lvlJc w:val="left"/>
      <w:lvlText w:val="(%2)"/>
      <w:numFmt w:val="lowerLetter"/>
      <w:start w:val="31"/>
    </w:lvl>
  </w:abstractNum>
  <w:abstractNum w:abstractNumId="344">
    <w:nsid w:val="4CDCED4C"/>
    <w:multiLevelType w:val="hybridMultilevel"/>
    <w:lvl w:ilvl="0">
      <w:lvlJc w:val="left"/>
      <w:lvlText w:val="(%1)"/>
      <w:numFmt w:val="lowerLetter"/>
      <w:start w:val="61"/>
    </w:lvl>
    <w:lvl w:ilvl="1">
      <w:lvlJc w:val="left"/>
      <w:lvlText w:val="(%2)"/>
      <w:numFmt w:val="lowerLetter"/>
      <w:start w:val="32"/>
    </w:lvl>
  </w:abstractNum>
  <w:abstractNum w:abstractNumId="345">
    <w:nsid w:val="10A30D9C"/>
    <w:multiLevelType w:val="hybridMultilevel"/>
    <w:lvl w:ilvl="0">
      <w:lvlJc w:val="left"/>
      <w:lvlText w:val="(%1)"/>
      <w:numFmt w:val="lowerLetter"/>
      <w:start w:val="33"/>
    </w:lvl>
  </w:abstractNum>
  <w:abstractNum w:abstractNumId="346">
    <w:nsid w:val="A66E486"/>
    <w:multiLevelType w:val="hybridMultilevel"/>
    <w:lvl w:ilvl="0">
      <w:lvlJc w:val="left"/>
      <w:lvlText w:val="%1"/>
      <w:numFmt w:val="decimal"/>
      <w:start w:val="1"/>
    </w:lvl>
    <w:lvl w:ilvl="1">
      <w:lvlJc w:val="left"/>
      <w:lvlText w:val="(%2)"/>
      <w:numFmt w:val="lowerLetter"/>
      <w:start w:val="39"/>
    </w:lvl>
  </w:abstractNum>
  <w:abstractNum w:abstractNumId="347">
    <w:nsid w:val="306235EA"/>
    <w:multiLevelType w:val="hybridMultilevel"/>
    <w:lvl w:ilvl="0">
      <w:lvlJc w:val="left"/>
      <w:lvlText w:val="%1."/>
      <w:numFmt w:val="decimal"/>
      <w:start w:val="4"/>
    </w:lvl>
    <w:lvl w:ilvl="1">
      <w:lvlJc w:val="left"/>
      <w:lvlText w:val="(%2)"/>
      <w:numFmt w:val="lowerLetter"/>
      <w:start w:val="1"/>
    </w:lvl>
  </w:abstractNum>
  <w:abstractNum w:abstractNumId="348">
    <w:nsid w:val="1187C70F"/>
    <w:multiLevelType w:val="hybridMultilevel"/>
    <w:lvl w:ilvl="0">
      <w:lvlJc w:val="left"/>
      <w:lvlText w:val="(%1)"/>
      <w:numFmt w:val="lowerLetter"/>
      <w:start w:val="3"/>
    </w:lvl>
  </w:abstractNum>
  <w:abstractNum w:abstractNumId="349">
    <w:nsid w:val="5476DE98"/>
    <w:multiLevelType w:val="hybridMultilevel"/>
    <w:lvl w:ilvl="0">
      <w:lvlJc w:val="left"/>
      <w:lvlText w:val="(%1)"/>
      <w:numFmt w:val="lowerLetter"/>
      <w:start w:val="8"/>
    </w:lvl>
  </w:abstractNum>
  <w:abstractNum w:abstractNumId="350">
    <w:nsid w:val="EA697F2"/>
    <w:multiLevelType w:val="hybridMultilevel"/>
    <w:lvl w:ilvl="0">
      <w:lvlJc w:val="left"/>
      <w:lvlText w:val="%1"/>
      <w:numFmt w:val="lowerRoman"/>
      <w:start w:val="1"/>
    </w:lvl>
    <w:lvl w:ilvl="1">
      <w:lvlJc w:val="left"/>
      <w:lvlText w:val="(%2)"/>
      <w:numFmt w:val="lowerLetter"/>
      <w:start w:val="12"/>
    </w:lvl>
  </w:abstractNum>
  <w:abstractNum w:abstractNumId="351">
    <w:nsid w:val="70BA39EB"/>
    <w:multiLevelType w:val="hybridMultilevel"/>
    <w:lvl w:ilvl="0">
      <w:lvlJc w:val="left"/>
      <w:lvlText w:val="(%1)"/>
      <w:numFmt w:val="lowerRoman"/>
      <w:start w:val="1"/>
    </w:lvl>
    <w:lvl w:ilvl="1">
      <w:lvlJc w:val="left"/>
      <w:lvlText w:val="%2"/>
      <w:numFmt w:val="lowerLetter"/>
      <w:start w:val="1"/>
    </w:lvl>
  </w:abstractNum>
  <w:abstractNum w:abstractNumId="352">
    <w:nsid w:val="4A8DB59C"/>
    <w:multiLevelType w:val="hybridMultilevel"/>
    <w:lvl w:ilvl="0">
      <w:lvlJc w:val="left"/>
      <w:lvlText w:val="(%1)"/>
      <w:numFmt w:val="lowerRoman"/>
      <w:start w:val="3"/>
    </w:lvl>
    <w:lvl w:ilvl="1">
      <w:lvlJc w:val="left"/>
      <w:lvlText w:val="(%2)"/>
      <w:numFmt w:val="lowerLetter"/>
      <w:start w:val="14"/>
    </w:lvl>
  </w:abstractNum>
  <w:abstractNum w:abstractNumId="353">
    <w:nsid w:val="1AFD9053"/>
    <w:multiLevelType w:val="hybridMultilevel"/>
    <w:lvl w:ilvl="0">
      <w:lvlJc w:val="left"/>
      <w:lvlText w:val="(%1)"/>
      <w:numFmt w:val="lowerRoman"/>
      <w:start w:val="3"/>
    </w:lvl>
    <w:lvl w:ilvl="1">
      <w:lvlJc w:val="left"/>
      <w:lvlText w:val="(%2)"/>
      <w:numFmt w:val="lowerLetter"/>
      <w:start w:val="15"/>
    </w:lvl>
  </w:abstractNum>
  <w:abstractNum w:abstractNumId="354">
    <w:nsid w:val="558BB10D"/>
    <w:multiLevelType w:val="hybridMultilevel"/>
    <w:lvl w:ilvl="0">
      <w:lvlJc w:val="left"/>
      <w:lvlText w:val="%1"/>
      <w:numFmt w:val="decimal"/>
      <w:start w:val="1"/>
    </w:lvl>
    <w:lvl w:ilvl="1">
      <w:lvlJc w:val="left"/>
      <w:lvlText w:val="(%2)"/>
      <w:numFmt w:val="lowerLetter"/>
      <w:start w:val="17"/>
    </w:lvl>
  </w:abstractNum>
  <w:abstractNum w:abstractNumId="355">
    <w:nsid w:val="43B27FA7"/>
    <w:multiLevelType w:val="hybridMultilevel"/>
    <w:lvl w:ilvl="0">
      <w:lvlJc w:val="left"/>
      <w:lvlText w:val="%1."/>
      <w:numFmt w:val="decimal"/>
      <w:start w:val="5"/>
    </w:lvl>
    <w:lvl w:ilvl="1">
      <w:lvlJc w:val="left"/>
      <w:lvlText w:val="(%2)"/>
      <w:numFmt w:val="lowerLetter"/>
      <w:start w:val="1"/>
    </w:lvl>
  </w:abstractNum>
  <w:abstractNum w:abstractNumId="356">
    <w:nsid w:val="27FADEFA"/>
    <w:multiLevelType w:val="hybridMultilevel"/>
    <w:lvl w:ilvl="0">
      <w:lvlJc w:val="left"/>
      <w:lvlText w:val="(%1)"/>
      <w:numFmt w:val="lowerLetter"/>
      <w:start w:val="4"/>
    </w:lvl>
  </w:abstractNum>
  <w:abstractNum w:abstractNumId="357">
    <w:nsid w:val="78BB805A"/>
    <w:multiLevelType w:val="hybridMultilevel"/>
    <w:lvl w:ilvl="0">
      <w:lvlJc w:val="left"/>
      <w:lvlText w:val="(%1)"/>
      <w:numFmt w:val="lowerLetter"/>
      <w:start w:val="6"/>
    </w:lvl>
  </w:abstractNum>
  <w:abstractNum w:abstractNumId="358">
    <w:nsid w:val="62548FD8"/>
    <w:multiLevelType w:val="hybridMultilevel"/>
    <w:lvl w:ilvl="0">
      <w:lvlJc w:val="left"/>
      <w:lvlText w:val="(%1)"/>
      <w:numFmt w:val="lowerRoman"/>
      <w:start w:val="1"/>
    </w:lvl>
  </w:abstractNum>
  <w:abstractNum w:abstractNumId="359">
    <w:nsid w:val="FA085B0"/>
    <w:multiLevelType w:val="hybridMultilevel"/>
    <w:lvl w:ilvl="0">
      <w:lvlJc w:val="left"/>
      <w:lvlText w:val="(%1)"/>
      <w:numFmt w:val="lowerLetter"/>
      <w:start w:val="10"/>
    </w:lvl>
  </w:abstractNum>
  <w:abstractNum w:abstractNumId="360">
    <w:nsid w:val="4E5DCB5"/>
    <w:multiLevelType w:val="hybridMultilevel"/>
    <w:lvl w:ilvl="0">
      <w:lvlJc w:val="left"/>
      <w:lvlText w:val="["/>
      <w:numFmt w:val="bullet"/>
      <w:start w:val="1"/>
    </w:lvl>
    <w:lvl w:ilvl="1">
      <w:lvlJc w:val="left"/>
      <w:lvlText w:val="(%2)"/>
      <w:numFmt w:val="lowerLetter"/>
      <w:start w:val="13"/>
    </w:lvl>
  </w:abstractNum>
  <w:abstractNum w:abstractNumId="361">
    <w:nsid w:val="41E96BDB"/>
    <w:multiLevelType w:val="hybridMultilevel"/>
    <w:lvl w:ilvl="0">
      <w:lvlJc w:val="left"/>
      <w:lvlText w:val="%1."/>
      <w:numFmt w:val="decimal"/>
      <w:start w:val="6"/>
    </w:lvl>
    <w:lvl w:ilvl="1">
      <w:lvlJc w:val="left"/>
      <w:lvlText w:val="(%2)"/>
      <w:numFmt w:val="lowerLetter"/>
      <w:start w:val="1"/>
    </w:lvl>
  </w:abstractNum>
  <w:abstractNum w:abstractNumId="362">
    <w:nsid w:val="331C4250"/>
    <w:multiLevelType w:val="hybridMultilevel"/>
    <w:lvl w:ilvl="0">
      <w:lvlJc w:val="left"/>
      <w:lvlText w:val="(%1)"/>
      <w:numFmt w:val="lowerLetter"/>
      <w:start w:val="5"/>
    </w:lvl>
  </w:abstractNum>
  <w:abstractNum w:abstractNumId="363">
    <w:nsid w:val="1B1493C2"/>
    <w:multiLevelType w:val="hybridMultilevel"/>
    <w:lvl w:ilvl="0">
      <w:lvlJc w:val="left"/>
      <w:lvlText w:val="(%1)"/>
      <w:numFmt w:val="lowerLetter"/>
      <w:start w:val="7"/>
    </w:lvl>
  </w:abstractNum>
  <w:abstractNum w:abstractNumId="364">
    <w:nsid w:val="39F06DFD"/>
    <w:multiLevelType w:val="hybridMultilevel"/>
    <w:lvl w:ilvl="0">
      <w:lvlJc w:val="left"/>
      <w:lvlText w:val="(%1)"/>
      <w:numFmt w:val="lowerRoman"/>
      <w:start w:val="1"/>
    </w:lvl>
  </w:abstractNum>
  <w:abstractNum w:abstractNumId="365">
    <w:nsid w:val="14802F5D"/>
    <w:multiLevelType w:val="hybridMultilevel"/>
    <w:lvl w:ilvl="0">
      <w:lvlJc w:val="left"/>
      <w:lvlText w:val="(%1)"/>
      <w:numFmt w:val="lowerLetter"/>
      <w:start w:val="10"/>
    </w:lvl>
  </w:abstractNum>
  <w:abstractNum w:abstractNumId="366">
    <w:nsid w:val="2774A209"/>
    <w:multiLevelType w:val="hybridMultilevel"/>
    <w:lvl w:ilvl="0">
      <w:lvlJc w:val="left"/>
      <w:lvlText w:val="(%1)"/>
      <w:numFmt w:val="lowerLetter"/>
      <w:start w:val="12"/>
    </w:lvl>
  </w:abstractNum>
  <w:abstractNum w:abstractNumId="367">
    <w:nsid w:val="3785655A"/>
    <w:multiLevelType w:val="hybridMultilevel"/>
    <w:lvl w:ilvl="0">
      <w:lvlJc w:val="left"/>
      <w:lvlText w:val="%1."/>
      <w:numFmt w:val="decimal"/>
      <w:start w:val="8"/>
    </w:lvl>
  </w:abstractNum>
  <w:abstractNum w:abstractNumId="368">
    <w:nsid w:val="B2172A"/>
    <w:multiLevelType w:val="hybridMultilevel"/>
    <w:lvl w:ilvl="0">
      <w:lvlJc w:val="left"/>
      <w:lvlText w:val="(%1)"/>
      <w:numFmt w:val="lowerLetter"/>
      <w:start w:val="1"/>
    </w:lvl>
  </w:abstractNum>
  <w:abstractNum w:abstractNumId="369">
    <w:nsid w:val="532C34A5"/>
    <w:multiLevelType w:val="hybridMultilevel"/>
    <w:lvl w:ilvl="0">
      <w:lvlJc w:val="left"/>
      <w:lvlText w:val="(%1)"/>
      <w:numFmt w:val="lowerLetter"/>
      <w:start w:val="2"/>
    </w:lvl>
  </w:abstractNum>
  <w:abstractNum w:abstractNumId="370">
    <w:nsid w:val="102809E2"/>
    <w:multiLevelType w:val="hybridMultilevel"/>
    <w:lvl w:ilvl="0">
      <w:lvlJc w:val="left"/>
      <w:lvlText w:val="(%1)"/>
      <w:numFmt w:val="lowerLetter"/>
      <w:start w:val="3"/>
    </w:lvl>
  </w:abstractNum>
  <w:abstractNum w:abstractNumId="371">
    <w:nsid w:val="3B2125A3"/>
    <w:multiLevelType w:val="hybridMultilevel"/>
    <w:lvl w:ilvl="0">
      <w:lvlJc w:val="left"/>
      <w:lvlText w:val="(%1)"/>
      <w:numFmt w:val="lowerLetter"/>
      <w:start w:val="9"/>
    </w:lvl>
    <w:lvl w:ilvl="1">
      <w:lvlJc w:val="left"/>
      <w:lvlText w:val="(%2)"/>
      <w:numFmt w:val="lowerLetter"/>
      <w:start w:val="4"/>
    </w:lvl>
  </w:abstractNum>
  <w:abstractNum w:abstractNumId="372">
    <w:nsid w:val="AC68FFB"/>
    <w:multiLevelType w:val="hybridMultilevel"/>
    <w:lvl w:ilvl="0">
      <w:lvlJc w:val="left"/>
      <w:lvlText w:val="(%1)"/>
      <w:numFmt w:val="lowerLetter"/>
      <w:start w:val="4"/>
    </w:lvl>
  </w:abstractNum>
  <w:abstractNum w:abstractNumId="373">
    <w:nsid w:val="63DF3FB7"/>
    <w:multiLevelType w:val="hybridMultilevel"/>
    <w:lvl w:ilvl="0">
      <w:lvlJc w:val="left"/>
      <w:lvlText w:val="(%1)"/>
      <w:numFmt w:val="lowerLetter"/>
      <w:start w:val="6"/>
    </w:lvl>
  </w:abstractNum>
  <w:abstractNum w:abstractNumId="374">
    <w:nsid w:val="64996E13"/>
    <w:multiLevelType w:val="hybridMultilevel"/>
    <w:lvl w:ilvl="0">
      <w:lvlJc w:val="left"/>
      <w:lvlText w:val="%1."/>
      <w:numFmt w:val="decimal"/>
      <w:start w:val="9"/>
    </w:lvl>
  </w:abstractNum>
  <w:abstractNum w:abstractNumId="375">
    <w:nsid w:val="57A37D47"/>
    <w:multiLevelType w:val="hybridMultilevel"/>
    <w:lvl w:ilvl="0">
      <w:lvlJc w:val="left"/>
      <w:lvlText w:val="(%1)"/>
      <w:numFmt w:val="lowerLetter"/>
      <w:start w:val="1"/>
    </w:lvl>
  </w:abstractNum>
  <w:abstractNum w:abstractNumId="376">
    <w:nsid w:val="74824D54"/>
    <w:multiLevelType w:val="hybridMultilevel"/>
    <w:lvl w:ilvl="0">
      <w:lvlJc w:val="left"/>
      <w:lvlText w:val="(%1)"/>
      <w:numFmt w:val="lowerLetter"/>
      <w:start w:val="2"/>
    </w:lvl>
  </w:abstractNum>
  <w:abstractNum w:abstractNumId="377">
    <w:nsid w:val="6F00529A"/>
    <w:multiLevelType w:val="hybridMultilevel"/>
    <w:lvl w:ilvl="0">
      <w:lvlJc w:val="left"/>
      <w:lvlText w:val="%1."/>
      <w:numFmt w:val="decimal"/>
      <w:start w:val="12"/>
    </w:lvl>
  </w:abstractNum>
  <w:abstractNum w:abstractNumId="378">
    <w:nsid w:val="805B331"/>
    <w:multiLevelType w:val="hybridMultilevel"/>
    <w:lvl w:ilvl="0">
      <w:lvlJc w:val="left"/>
      <w:lvlText w:val="%1"/>
      <w:numFmt w:val="lowerRoman"/>
      <w:start w:val="1"/>
    </w:lvl>
    <w:lvl w:ilvl="1">
      <w:lvlJc w:val="left"/>
      <w:lvlText w:val="(%2)"/>
      <w:numFmt w:val="lowerLetter"/>
      <w:start w:val="1"/>
    </w:lvl>
  </w:abstractNum>
  <w:abstractNum w:abstractNumId="379">
    <w:nsid w:val="60A1463"/>
    <w:multiLevelType w:val="hybridMultilevel"/>
    <w:lvl w:ilvl="0">
      <w:lvlJc w:val="left"/>
      <w:lvlText w:val="(%1)"/>
      <w:numFmt w:val="lowerRoman"/>
      <w:start w:val="6"/>
    </w:lvl>
    <w:lvl w:ilvl="1">
      <w:lvlJc w:val="left"/>
      <w:lvlText w:val="%2"/>
      <w:numFmt w:val="lowerLetter"/>
      <w:start w:val="1"/>
    </w:lvl>
  </w:abstractNum>
  <w:abstractNum w:abstractNumId="380">
    <w:nsid w:val="43773132"/>
    <w:multiLevelType w:val="hybridMultilevel"/>
    <w:lvl w:ilvl="0">
      <w:lvlJc w:val="left"/>
      <w:lvlText w:val="%1"/>
      <w:numFmt w:val="lowerLetter"/>
      <w:start w:val="1"/>
    </w:lvl>
    <w:lvl w:ilvl="1">
      <w:lvlJc w:val="left"/>
      <w:lvlText w:val="(%2)"/>
      <w:numFmt w:val="lowerLetter"/>
      <w:start w:val="2"/>
    </w:lvl>
  </w:abstractNum>
  <w:abstractNum w:abstractNumId="381">
    <w:nsid w:val="16AC4B23"/>
    <w:multiLevelType w:val="hybridMultilevel"/>
    <w:lvl w:ilvl="0">
      <w:lvlJc w:val="left"/>
      <w:lvlText w:val="(%1)"/>
      <w:numFmt w:val="lowerLetter"/>
      <w:start w:val="35"/>
    </w:lvl>
    <w:lvl w:ilvl="1">
      <w:lvlJc w:val="left"/>
      <w:lvlText w:val="%2"/>
      <w:numFmt w:val="lowerLetter"/>
      <w:start w:val="1"/>
    </w:lvl>
  </w:abstractNum>
  <w:abstractNum w:abstractNumId="382">
    <w:nsid w:val="76C44E4E"/>
    <w:multiLevelType w:val="hybridMultilevel"/>
    <w:lvl w:ilvl="0">
      <w:lvlJc w:val="left"/>
      <w:lvlText w:val="%1."/>
      <w:numFmt w:val="decimal"/>
      <w:start w:val="13"/>
    </w:lvl>
  </w:abstractNum>
  <w:abstractNum w:abstractNumId="383">
    <w:nsid w:val="E04E6CE"/>
    <w:multiLevelType w:val="hybridMultilevel"/>
    <w:lvl w:ilvl="0">
      <w:lvlJc w:val="left"/>
      <w:lvlText w:val="(%1)"/>
      <w:numFmt w:val="lowerLetter"/>
      <w:start w:val="1"/>
    </w:lvl>
  </w:abstractNum>
  <w:abstractNum w:abstractNumId="384">
    <w:nsid w:val="31A9DB76"/>
    <w:multiLevelType w:val="hybridMultilevel"/>
    <w:lvl w:ilvl="0">
      <w:lvlJc w:val="left"/>
      <w:lvlText w:val="(%1)"/>
      <w:numFmt w:val="lowerLetter"/>
      <w:start w:val="2"/>
    </w:lvl>
  </w:abstractNum>
  <w:abstractNum w:abstractNumId="385">
    <w:nsid w:val="4C4FFF5B"/>
    <w:multiLevelType w:val="hybridMultilevel"/>
    <w:lvl w:ilvl="0">
      <w:lvlJc w:val="left"/>
      <w:lvlText w:val="%1."/>
      <w:numFmt w:val="decimal"/>
      <w:start w:val="1"/>
    </w:lvl>
  </w:abstractNum>
  <w:abstractNum w:abstractNumId="386">
    <w:nsid w:val="51B76675"/>
    <w:multiLevelType w:val="hybridMultilevel"/>
    <w:lvl w:ilvl="0">
      <w:lvlJc w:val="left"/>
      <w:lvlText w:val="%1."/>
      <w:numFmt w:val="decimal"/>
      <w:start w:val="2"/>
    </w:lvl>
  </w:abstractNum>
  <w:abstractNum w:abstractNumId="387">
    <w:nsid w:val="59A4BA71"/>
    <w:multiLevelType w:val="hybridMultilevel"/>
    <w:lvl w:ilvl="0">
      <w:lvlJc w:val="left"/>
      <w:lvlText w:val="%1."/>
      <w:numFmt w:val="decimal"/>
      <w:start w:val="7"/>
    </w:lvl>
  </w:abstractNum>
  <w:abstractNum w:abstractNumId="388">
    <w:nsid w:val="450B7FB6"/>
    <w:multiLevelType w:val="hybridMultilevel"/>
    <w:lvl w:ilvl="0">
      <w:lvlJc w:val="left"/>
      <w:lvlText w:val="(%1)"/>
      <w:numFmt w:val="lowerLetter"/>
      <w:start w:val="26"/>
    </w:lvl>
  </w:abstractNum>
  <w:abstractNum w:abstractNumId="389">
    <w:nsid w:val="340BF64D"/>
    <w:multiLevelType w:val="hybridMultilevel"/>
    <w:lvl w:ilvl="0">
      <w:lvlJc w:val="left"/>
      <w:lvlText w:val="(%1)"/>
      <w:numFmt w:val="lowerLetter"/>
      <w:start w:val="25"/>
    </w:lvl>
  </w:abstractNum>
  <w:abstractNum w:abstractNumId="390">
    <w:nsid w:val="69454021"/>
    <w:multiLevelType w:val="hybridMultilevel"/>
    <w:lvl w:ilvl="0">
      <w:lvlJc w:val="left"/>
      <w:lvlText w:val="(%1)"/>
      <w:numFmt w:val="lowerLetter"/>
      <w:start w:val="1"/>
    </w:lvl>
  </w:abstractNum>
  <w:abstractNum w:abstractNumId="391">
    <w:nsid w:val="49F15C6B"/>
    <w:multiLevelType w:val="hybridMultilevel"/>
    <w:lvl w:ilvl="0">
      <w:lvlJc w:val="left"/>
      <w:lvlText w:val="%1."/>
      <w:numFmt w:val="decimal"/>
      <w:start w:val="1"/>
    </w:lvl>
  </w:abstractNum>
  <w:abstractNum w:abstractNumId="392">
    <w:nsid w:val="75F56228"/>
    <w:multiLevelType w:val="hybridMultilevel"/>
    <w:lvl w:ilvl="0">
      <w:lvlJc w:val="left"/>
      <w:lvlText w:val="%1."/>
      <w:numFmt w:val="decimal"/>
      <w:start w:val="6"/>
    </w:lvl>
  </w:abstractNum>
  <w:abstractNum w:abstractNumId="393">
    <w:nsid w:val="1C618271"/>
    <w:multiLevelType w:val="hybridMultilevel"/>
    <w:lvl w:ilvl="0">
      <w:lvlJc w:val="left"/>
      <w:lvlText w:val="(%1)"/>
      <w:numFmt w:val="lowerRoman"/>
      <w:start w:val="7"/>
    </w:lvl>
  </w:abstractNum>
  <w:abstractNum w:abstractNumId="394">
    <w:nsid w:val="6505F02E"/>
    <w:multiLevelType w:val="hybridMultilevel"/>
    <w:lvl w:ilvl="0">
      <w:lvlJc w:val="left"/>
      <w:lvlText w:val="$"/>
      <w:numFmt w:val="bullet"/>
      <w:start w:val="1"/>
    </w:lvl>
  </w:abstractNum>
  <w:abstractNum w:abstractNumId="395">
    <w:nsid w:val="2FE5D025"/>
    <w:multiLevelType w:val="hybridMultilevel"/>
    <w:lvl w:ilvl="0">
      <w:lvlJc w:val="left"/>
      <w:lvlText w:val="(%1)"/>
      <w:numFmt w:val="decimal"/>
      <w:start w:val="1"/>
    </w:lvl>
  </w:abstractNum>
  <w:abstractNum w:abstractNumId="396">
    <w:nsid w:val="30E1B1CF"/>
    <w:multiLevelType w:val="hybridMultilevel"/>
    <w:lvl w:ilvl="0">
      <w:lvlJc w:val="left"/>
      <w:lvlText w:val="•"/>
      <w:numFmt w:val="bullet"/>
      <w:start w:val="1"/>
    </w:lvl>
  </w:abstractNum>
  <w:abstractNum w:abstractNumId="397">
    <w:nsid w:val="C7A9237"/>
    <w:multiLevelType w:val="hybridMultilevel"/>
    <w:lvl w:ilvl="0">
      <w:lvlJc w:val="left"/>
      <w:lvlText w:val="•"/>
      <w:numFmt w:val="bullet"/>
      <w:start w:val="1"/>
    </w:lvl>
  </w:abstractNum>
  <w:abstractNum w:abstractNumId="398">
    <w:nsid w:val="676B3580"/>
    <w:multiLevelType w:val="hybridMultilevel"/>
    <w:lvl w:ilvl="0">
      <w:lvlJc w:val="left"/>
      <w:lvlText w:val="%"/>
      <w:numFmt w:val="bullet"/>
      <w:start w:val="1"/>
    </w:lvl>
  </w:abstractNum>
  <w:abstractNum w:abstractNumId="399">
    <w:nsid w:val="3193C8F9"/>
    <w:multiLevelType w:val="hybridMultilevel"/>
    <w:lvl w:ilvl="0">
      <w:lvlJc w:val="left"/>
      <w:lvlText w:val="(%1)"/>
      <w:numFmt w:val="decimal"/>
      <w:start w:val="1"/>
    </w:lvl>
  </w:abstractNum>
  <w:abstractNum w:abstractNumId="400">
    <w:nsid w:val="5FA6C6DC"/>
    <w:multiLevelType w:val="hybridMultilevel"/>
    <w:lvl w:ilvl="0">
      <w:lvlJc w:val="left"/>
      <w:lvlText w:val="(%1)"/>
      <w:numFmt w:val="decimal"/>
      <w:start w:val="3"/>
    </w:lvl>
  </w:abstractNum>
  <w:abstractNum w:abstractNumId="401">
    <w:nsid w:val="77933F62"/>
    <w:multiLevelType w:val="hybridMultilevel"/>
    <w:lvl w:ilvl="0">
      <w:lvlJc w:val="left"/>
      <w:lvlText w:val="(%1)"/>
      <w:numFmt w:val="decimal"/>
      <w:start w:val="6"/>
    </w:lvl>
  </w:abstractNum>
  <w:abstractNum w:abstractNumId="402">
    <w:nsid w:val="6CB4EE9C"/>
    <w:multiLevelType w:val="hybridMultilevel"/>
    <w:lvl w:ilvl="0">
      <w:lvlJc w:val="left"/>
      <w:lvlText w:val="(%1)"/>
      <w:numFmt w:val="decimal"/>
      <w:start w:val="7"/>
    </w:lvl>
    <w:lvl w:ilvl="1">
      <w:lvlJc w:val="left"/>
      <w:lvlText w:val=","/>
      <w:numFmt w:val="bullet"/>
      <w:start w:val="1"/>
    </w:lvl>
  </w:abstractNum>
  <w:abstractNum w:abstractNumId="403">
    <w:nsid w:val="6A6D56D7"/>
    <w:multiLevelType w:val="hybridMultilevel"/>
    <w:lvl w:ilvl="0">
      <w:lvlJc w:val="left"/>
      <w:lvlText w:val="(%1)"/>
      <w:numFmt w:val="decimal"/>
      <w:start w:val="9"/>
    </w:lvl>
  </w:abstractNum>
  <w:abstractNum w:abstractNumId="404">
    <w:nsid w:val="5B727F19"/>
    <w:multiLevelType w:val="hybridMultilevel"/>
    <w:lvl w:ilvl="0">
      <w:lvlJc w:val="left"/>
      <w:lvlText w:val="(%1)"/>
      <w:numFmt w:val="decimal"/>
      <w:start w:val="1"/>
    </w:lvl>
  </w:abstractNum>
  <w:abstractNum w:abstractNumId="405">
    <w:nsid w:val="514E5CB0"/>
    <w:multiLevelType w:val="hybridMultilevel"/>
    <w:lvl w:ilvl="0">
      <w:lvlJc w:val="left"/>
      <w:lvlText w:val="•"/>
      <w:numFmt w:val="bullet"/>
      <w:start w:val="1"/>
    </w:lvl>
  </w:abstractNum>
  <w:abstractNum w:abstractNumId="406">
    <w:nsid w:val="4210D41E"/>
    <w:multiLevelType w:val="hybridMultilevel"/>
    <w:lvl w:ilvl="0">
      <w:lvlJc w:val="left"/>
      <w:lvlText w:val="["/>
      <w:numFmt w:val="bullet"/>
      <w:start w:val="1"/>
    </w:lvl>
  </w:abstractNum>
  <w:abstractNum w:abstractNumId="407">
    <w:nsid w:val="4FF4CC6D"/>
    <w:multiLevelType w:val="hybridMultilevel"/>
    <w:lvl w:ilvl="0">
      <w:lvlJc w:val="left"/>
      <w:lvlText w:val="•"/>
      <w:numFmt w:val="bullet"/>
      <w:start w:val="1"/>
    </w:lvl>
  </w:abstractNum>
  <w:abstractNum w:abstractNumId="408">
    <w:nsid w:val="404EAF4A"/>
    <w:multiLevelType w:val="hybridMultilevel"/>
    <w:lvl w:ilvl="0">
      <w:lvlJc w:val="left"/>
      <w:lvlText w:val="["/>
      <w:numFmt w:val="bullet"/>
      <w:start w:val="1"/>
    </w:lvl>
  </w:abstractNum>
  <w:abstractNum w:abstractNumId="409">
    <w:nsid w:val="4A16874F"/>
    <w:multiLevelType w:val="hybridMultilevel"/>
    <w:lvl w:ilvl="0">
      <w:lvlJc w:val="left"/>
      <w:lvlText w:val="(%1)"/>
      <w:numFmt w:val="decimal"/>
      <w:start w:val="1"/>
    </w:lvl>
  </w:abstractNum>
  <w:abstractNum w:abstractNumId="410">
    <w:nsid w:val="55FEE0D1"/>
    <w:multiLevelType w:val="hybridMultilevel"/>
    <w:lvl w:ilvl="0">
      <w:lvlJc w:val="left"/>
      <w:lvlText w:val="•"/>
      <w:numFmt w:val="bullet"/>
      <w:start w:val="1"/>
    </w:lvl>
  </w:abstractNum>
  <w:abstractNum w:abstractNumId="411">
    <w:nsid w:val="3C5E07C"/>
    <w:multiLevelType w:val="hybridMultilevel"/>
    <w:lvl w:ilvl="0">
      <w:lvlJc w:val="left"/>
      <w:lvlText w:val="•"/>
      <w:numFmt w:val="bullet"/>
      <w:start w:val="1"/>
    </w:lvl>
  </w:abstractNum>
  <w:abstractNum w:abstractNumId="412">
    <w:nsid w:val="60C2D273"/>
    <w:multiLevelType w:val="hybridMultilevel"/>
    <w:lvl w:ilvl="0">
      <w:lvlJc w:val="left"/>
      <w:lvlText w:val="["/>
      <w:numFmt w:val="bullet"/>
      <w:start w:val="1"/>
    </w:lvl>
  </w:abstractNum>
  <w:abstractNum w:abstractNumId="413">
    <w:nsid w:val="4CC32F1F"/>
    <w:multiLevelType w:val="hybridMultilevel"/>
    <w:lvl w:ilvl="0">
      <w:lvlJc w:val="left"/>
      <w:lvlText w:val="["/>
      <w:numFmt w:val="bullet"/>
      <w:start w:val="1"/>
    </w:lvl>
  </w:abstractNum>
  <w:abstractNum w:abstractNumId="414">
    <w:nsid w:val="11CAC74A"/>
    <w:multiLevelType w:val="hybridMultilevel"/>
    <w:lvl w:ilvl="0">
      <w:lvlJc w:val="left"/>
      <w:lvlText w:val="(%1)"/>
      <w:numFmt w:val="decimal"/>
      <w:start w:val="1"/>
    </w:lvl>
  </w:abstractNum>
  <w:abstractNum w:abstractNumId="415">
    <w:nsid w:val="126CADE9"/>
    <w:multiLevelType w:val="hybridMultilevel"/>
    <w:lvl w:ilvl="0">
      <w:lvlJc w:val="left"/>
      <w:lvlText w:val="•"/>
      <w:numFmt w:val="bullet"/>
      <w:start w:val="1"/>
    </w:lvl>
  </w:abstractNum>
  <w:abstractNum w:abstractNumId="416">
    <w:nsid w:val="19132E7B"/>
    <w:multiLevelType w:val="hybridMultilevel"/>
    <w:lvl w:ilvl="0">
      <w:lvlJc w:val="left"/>
      <w:lvlText w:val="•"/>
      <w:numFmt w:val="bullet"/>
      <w:start w:val="1"/>
    </w:lvl>
  </w:abstractNum>
  <w:abstractNum w:abstractNumId="417">
    <w:nsid w:val="63822DC0"/>
    <w:multiLevelType w:val="hybridMultilevel"/>
    <w:lvl w:ilvl="0">
      <w:lvlJc w:val="left"/>
      <w:lvlText w:val="$"/>
      <w:numFmt w:val="bullet"/>
      <w:start w:val="1"/>
    </w:lvl>
  </w:abstractNum>
  <w:abstractNum w:abstractNumId="418">
    <w:nsid w:val="6C11685A"/>
    <w:multiLevelType w:val="hybridMultilevel"/>
    <w:lvl w:ilvl="0">
      <w:lvlJc w:val="left"/>
      <w:lvlText w:val="["/>
      <w:numFmt w:val="bullet"/>
      <w:start w:val="1"/>
    </w:lvl>
  </w:abstractNum>
  <w:abstractNum w:abstractNumId="419">
    <w:nsid w:val="5E1EAE31"/>
    <w:multiLevelType w:val="hybridMultilevel"/>
    <w:lvl w:ilvl="0">
      <w:lvlJc w:val="left"/>
      <w:lvlText w:val="["/>
      <w:numFmt w:val="bullet"/>
      <w:start w:val="1"/>
    </w:lvl>
  </w:abstractNum>
  <w:abstractNum w:abstractNumId="420">
    <w:nsid w:val="178E240D"/>
    <w:multiLevelType w:val="hybridMultilevel"/>
    <w:lvl w:ilvl="0">
      <w:lvlJc w:val="left"/>
      <w:lvlText w:val="(%1)"/>
      <w:numFmt w:val="decimal"/>
      <w:start w:val="1"/>
    </w:lvl>
  </w:abstractNum>
  <w:abstractNum w:abstractNumId="421">
    <w:nsid w:val="5556A87B"/>
    <w:multiLevelType w:val="hybridMultilevel"/>
    <w:lvl w:ilvl="0">
      <w:lvlJc w:val="left"/>
      <w:lvlText w:val="•"/>
      <w:numFmt w:val="bullet"/>
      <w:start w:val="1"/>
    </w:lvl>
  </w:abstractNum>
  <w:abstractNum w:abstractNumId="422">
    <w:nsid w:val="28100A9C"/>
    <w:multiLevelType w:val="hybridMultilevel"/>
    <w:lvl w:ilvl="0">
      <w:lvlJc w:val="left"/>
      <w:lvlText w:val="•"/>
      <w:numFmt w:val="bullet"/>
      <w:start w:val="1"/>
    </w:lvl>
  </w:abstractNum>
  <w:abstractNum w:abstractNumId="423">
    <w:nsid w:val="D838636"/>
    <w:multiLevelType w:val="hybridMultilevel"/>
    <w:lvl w:ilvl="0">
      <w:lvlJc w:val="left"/>
      <w:lvlText w:val="$"/>
      <w:numFmt w:val="bullet"/>
      <w:start w:val="1"/>
    </w:lvl>
  </w:abstractNum>
  <w:abstractNum w:abstractNumId="424">
    <w:nsid w:val="71B82AED"/>
    <w:multiLevelType w:val="hybridMultilevel"/>
    <w:lvl w:ilvl="0">
      <w:lvlJc w:val="left"/>
      <w:lvlText w:val="$"/>
      <w:numFmt w:val="bullet"/>
      <w:start w:val="1"/>
    </w:lvl>
  </w:abstractNum>
  <w:abstractNum w:abstractNumId="425">
    <w:nsid w:val="D15FACA"/>
    <w:multiLevelType w:val="hybridMultilevel"/>
    <w:lvl w:ilvl="0">
      <w:lvlJc w:val="left"/>
      <w:lvlText w:val="(%1)"/>
      <w:numFmt w:val="decimal"/>
      <w:start w:val="1"/>
    </w:lvl>
  </w:abstractNum>
  <w:abstractNum w:abstractNumId="426">
    <w:nsid w:val="3D69565B"/>
    <w:multiLevelType w:val="hybridMultilevel"/>
    <w:lvl w:ilvl="0">
      <w:lvlJc w:val="left"/>
      <w:lvlText w:val="(%1)"/>
      <w:numFmt w:val="decimal"/>
      <w:start w:val="3"/>
    </w:lvl>
  </w:abstractNum>
  <w:abstractNum w:abstractNumId="427">
    <w:nsid w:val="2299DCBC"/>
    <w:multiLevelType w:val="hybridMultilevel"/>
    <w:lvl w:ilvl="0">
      <w:lvlJc w:val="left"/>
      <w:lvlText w:val="(%1)"/>
      <w:numFmt w:val="decimal"/>
      <w:start w:val="6"/>
    </w:lvl>
  </w:abstractNum>
  <w:abstractNum w:abstractNumId="428">
    <w:nsid w:val="19908D02"/>
    <w:multiLevelType w:val="hybridMultilevel"/>
    <w:lvl w:ilvl="0">
      <w:lvlJc w:val="left"/>
      <w:lvlText w:val="(%1)"/>
      <w:numFmt w:val="decimal"/>
      <w:start w:val="7"/>
    </w:lvl>
    <w:lvl w:ilvl="1">
      <w:lvlJc w:val="left"/>
      <w:lvlText w:val=","/>
      <w:numFmt w:val="bullet"/>
      <w:start w:val="1"/>
    </w:lvl>
  </w:abstractNum>
  <w:abstractNum w:abstractNumId="429">
    <w:nsid w:val="24D48BDB"/>
    <w:multiLevelType w:val="hybridMultilevel"/>
    <w:lvl w:ilvl="0">
      <w:lvlJc w:val="left"/>
      <w:lvlText w:val="(%1)"/>
      <w:numFmt w:val="decimal"/>
      <w:start w:val="9"/>
    </w:lvl>
  </w:abstractNum>
  <w:abstractNum w:abstractNumId="430">
    <w:nsid w:val="542DA5B5"/>
    <w:multiLevelType w:val="hybridMultilevel"/>
    <w:lvl w:ilvl="0">
      <w:lvlJc w:val="left"/>
      <w:lvlText w:val="["/>
      <w:numFmt w:val="bullet"/>
      <w:start w:val="1"/>
    </w:lvl>
  </w:abstractNum>
  <w:abstractNum w:abstractNumId="431">
    <w:nsid w:val="793753DE"/>
    <w:multiLevelType w:val="hybridMultilevel"/>
    <w:lvl w:ilvl="0">
      <w:lvlJc w:val="left"/>
      <w:lvlText w:val="["/>
      <w:numFmt w:val="bullet"/>
      <w:start w:val="1"/>
    </w:lvl>
  </w:abstractNum>
  <w:abstractNum w:abstractNumId="432">
    <w:nsid w:val="1C67CB3D"/>
    <w:multiLevelType w:val="hybridMultilevel"/>
    <w:lvl w:ilvl="0">
      <w:lvlJc w:val="left"/>
      <w:lvlText w:val="(%1)"/>
      <w:numFmt w:val="decimal"/>
      <w:start w:val="1"/>
    </w:lvl>
  </w:abstractNum>
  <w:abstractNum w:abstractNumId="433">
    <w:nsid w:val="40E29452"/>
    <w:multiLevelType w:val="hybridMultilevel"/>
    <w:lvl w:ilvl="0">
      <w:lvlJc w:val="left"/>
      <w:lvlText w:val="(%1)"/>
      <w:numFmt w:val="lowerRoman"/>
      <w:start w:val="1"/>
    </w:lvl>
  </w:abstractNum>
  <w:abstractNum w:abstractNumId="434">
    <w:nsid w:val="63A4AAB6"/>
    <w:multiLevelType w:val="hybridMultilevel"/>
    <w:lvl w:ilvl="0">
      <w:lvlJc w:val="left"/>
      <w:lvlText w:val="["/>
      <w:numFmt w:val="bullet"/>
      <w:start w:val="1"/>
    </w:lvl>
  </w:abstractNum>
  <w:abstractNum w:abstractNumId="435">
    <w:nsid w:val="77DA4A57"/>
    <w:multiLevelType w:val="hybridMultilevel"/>
    <w:lvl w:ilvl="0">
      <w:lvlJc w:val="left"/>
      <w:lvlText w:val="["/>
      <w:numFmt w:val="bullet"/>
      <w:start w:val="1"/>
    </w:lvl>
  </w:abstractNum>
  <w:abstractNum w:abstractNumId="436">
    <w:nsid w:val="1230F102"/>
    <w:multiLevelType w:val="hybridMultilevel"/>
    <w:lvl w:ilvl="0">
      <w:lvlJc w:val="left"/>
      <w:lvlText w:val="(%1)"/>
      <w:numFmt w:val="decimal"/>
      <w:start w:val="1"/>
    </w:lvl>
  </w:abstractNum>
  <w:abstractNum w:abstractNumId="437">
    <w:nsid w:val="25B57ED4"/>
    <w:multiLevelType w:val="hybridMultilevel"/>
    <w:lvl w:ilvl="0">
      <w:lvlJc w:val="left"/>
      <w:lvlText w:val="•"/>
      <w:numFmt w:val="bullet"/>
      <w:start w:val="1"/>
    </w:lvl>
  </w:abstractNum>
  <w:abstractNum w:abstractNumId="438">
    <w:nsid w:val="47CF16C4"/>
    <w:multiLevelType w:val="hybridMultilevel"/>
    <w:lvl w:ilvl="0">
      <w:lvlJc w:val="left"/>
      <w:lvlText w:val="$"/>
      <w:numFmt w:val="bullet"/>
      <w:start w:val="1"/>
    </w:lvl>
  </w:abstractNum>
  <w:abstractNum w:abstractNumId="439">
    <w:nsid w:val="527FA04C"/>
    <w:multiLevelType w:val="hybridMultilevel"/>
    <w:lvl w:ilvl="0">
      <w:lvlJc w:val="left"/>
      <w:lvlText w:val="["/>
      <w:numFmt w:val="bullet"/>
      <w:start w:val="1"/>
    </w:lvl>
  </w:abstractNum>
  <w:abstractNum w:abstractNumId="440">
    <w:nsid w:val="6FCC0624"/>
    <w:multiLevelType w:val="hybridMultilevel"/>
    <w:lvl w:ilvl="0">
      <w:lvlJc w:val="left"/>
      <w:lvlText w:val="(%1)"/>
      <w:numFmt w:val="decimal"/>
      <w:start w:val="1"/>
    </w:lvl>
  </w:abstractNum>
  <w:abstractNum w:abstractNumId="441">
    <w:nsid w:val="1DCDF795"/>
    <w:multiLevelType w:val="hybridMultilevel"/>
    <w:lvl w:ilvl="0">
      <w:lvlJc w:val="left"/>
      <w:lvlText w:val="•"/>
      <w:numFmt w:val="bullet"/>
      <w:start w:val="1"/>
    </w:lvl>
  </w:abstractNum>
  <w:abstractNum w:abstractNumId="442">
    <w:nsid w:val="564580C8"/>
    <w:multiLevelType w:val="hybridMultilevel"/>
    <w:lvl w:ilvl="0">
      <w:lvlJc w:val="left"/>
      <w:lvlText w:val="•"/>
      <w:numFmt w:val="bullet"/>
      <w:start w:val="1"/>
    </w:lvl>
  </w:abstractNum>
  <w:abstractNum w:abstractNumId="443">
    <w:nsid w:val="508ED897"/>
    <w:multiLevelType w:val="hybridMultilevel"/>
    <w:lvl w:ilvl="0">
      <w:lvlJc w:val="left"/>
      <w:lvlText w:val="%"/>
      <w:numFmt w:val="bullet"/>
      <w:start w:val="1"/>
    </w:lvl>
  </w:abstractNum>
  <w:abstractNum w:abstractNumId="444">
    <w:nsid w:val="6A9126B5"/>
    <w:multiLevelType w:val="hybridMultilevel"/>
    <w:lvl w:ilvl="0">
      <w:lvlJc w:val="left"/>
      <w:lvlText w:val="(%1)"/>
      <w:numFmt w:val="decimal"/>
      <w:start w:val="1"/>
    </w:lvl>
  </w:abstractNum>
  <w:abstractNum w:abstractNumId="445">
    <w:nsid w:val="68104812"/>
    <w:multiLevelType w:val="hybridMultilevel"/>
    <w:lvl w:ilvl="0">
      <w:lvlJc w:val="left"/>
      <w:lvlText w:val="(%1)"/>
      <w:numFmt w:val="decimal"/>
      <w:start w:val="3"/>
    </w:lvl>
  </w:abstractNum>
  <w:abstractNum w:abstractNumId="446">
    <w:nsid w:val="62FB8680"/>
    <w:multiLevelType w:val="hybridMultilevel"/>
    <w:lvl w:ilvl="0">
      <w:lvlJc w:val="left"/>
      <w:lvlText w:val="(%1)"/>
      <w:numFmt w:val="decimal"/>
      <w:start w:val="6"/>
    </w:lvl>
  </w:abstractNum>
  <w:abstractNum w:abstractNumId="447">
    <w:nsid w:val="3A45530"/>
    <w:multiLevelType w:val="hybridMultilevel"/>
    <w:lvl w:ilvl="0">
      <w:lvlJc w:val="left"/>
      <w:lvlText w:val="(%1)"/>
      <w:numFmt w:val="decimal"/>
      <w:start w:val="7"/>
    </w:lvl>
    <w:lvl w:ilvl="1">
      <w:lvlJc w:val="left"/>
      <w:lvlText w:val=","/>
      <w:numFmt w:val="bullet"/>
      <w:start w:val="1"/>
    </w:lvl>
  </w:abstractNum>
  <w:abstractNum w:abstractNumId="448">
    <w:nsid w:val="4B9275D2"/>
    <w:multiLevelType w:val="hybridMultilevel"/>
    <w:lvl w:ilvl="0">
      <w:lvlJc w:val="left"/>
      <w:lvlText w:val="(%1)"/>
      <w:numFmt w:val="decimal"/>
      <w:start w:val="9"/>
    </w:lvl>
  </w:abstractNum>
  <w:abstractNum w:abstractNumId="449">
    <w:nsid w:val="4F0CEEDB"/>
    <w:multiLevelType w:val="hybridMultilevel"/>
    <w:lvl w:ilvl="0">
      <w:lvlJc w:val="left"/>
      <w:lvlText w:val="(%1)"/>
      <w:numFmt w:val="decimal"/>
      <w:start w:val="1"/>
    </w:lvl>
  </w:abstractNum>
  <w:abstractNum w:abstractNumId="450">
    <w:nsid w:val="61C30361"/>
    <w:multiLevelType w:val="hybridMultilevel"/>
    <w:lvl w:ilvl="0">
      <w:lvlJc w:val="left"/>
      <w:lvlText w:val="•"/>
      <w:numFmt w:val="bullet"/>
      <w:start w:val="1"/>
    </w:lvl>
  </w:abstractNum>
  <w:abstractNum w:abstractNumId="451">
    <w:nsid w:val="632099E0"/>
    <w:multiLevelType w:val="hybridMultilevel"/>
    <w:lvl w:ilvl="0">
      <w:lvlJc w:val="left"/>
      <w:lvlText w:val="["/>
      <w:numFmt w:val="bullet"/>
      <w:start w:val="1"/>
    </w:lvl>
  </w:abstractNum>
  <w:abstractNum w:abstractNumId="452">
    <w:nsid w:val="24639756"/>
    <w:multiLevelType w:val="hybridMultilevel"/>
    <w:lvl w:ilvl="0">
      <w:lvlJc w:val="left"/>
      <w:lvlText w:val="["/>
      <w:numFmt w:val="bullet"/>
      <w:start w:val="1"/>
    </w:lvl>
  </w:abstractNum>
  <w:abstractNum w:abstractNumId="453">
    <w:nsid w:val="9D30DFD"/>
    <w:multiLevelType w:val="hybridMultilevel"/>
    <w:lvl w:ilvl="0">
      <w:lvlJc w:val="left"/>
      <w:lvlText w:val="%1."/>
      <w:numFmt w:val="decimal"/>
      <w:start w:val="1"/>
    </w:lvl>
  </w:abstractNum>
  <w:abstractNum w:abstractNumId="454">
    <w:nsid w:val="70A42016"/>
    <w:multiLevelType w:val="hybridMultilevel"/>
    <w:lvl w:ilvl="0">
      <w:lvlJc w:val="left"/>
      <w:lvlText w:val="%1."/>
      <w:numFmt w:val="decimal"/>
      <w:start w:val="2"/>
    </w:lvl>
  </w:abstractNum>
  <w:abstractNum w:abstractNumId="455">
    <w:nsid w:val="161BC243"/>
    <w:multiLevelType w:val="hybridMultilevel"/>
    <w:lvl w:ilvl="0">
      <w:lvlJc w:val="left"/>
      <w:lvlText w:val="%1."/>
      <w:numFmt w:val="decimal"/>
      <w:start w:val="3"/>
    </w:lvl>
  </w:abstractNum>
  <w:abstractNum w:abstractNumId="456">
    <w:nsid w:val="16E908C8"/>
    <w:multiLevelType w:val="hybridMultilevel"/>
    <w:lvl w:ilvl="0">
      <w:lvlJc w:val="left"/>
      <w:lvlText w:val="%1."/>
      <w:numFmt w:val="decimal"/>
      <w:start w:val="4"/>
    </w:lvl>
    <w:lvl w:ilvl="1">
      <w:lvlJc w:val="left"/>
      <w:lvlText w:val="•"/>
      <w:numFmt w:val="bullet"/>
      <w:start w:val="1"/>
    </w:lvl>
  </w:abstractNum>
  <w:abstractNum w:abstractNumId="457">
    <w:nsid w:val="2E0D7671"/>
    <w:multiLevelType w:val="hybridMultilevel"/>
    <w:lvl w:ilvl="0">
      <w:lvlJc w:val="left"/>
      <w:lvlText w:val="%1."/>
      <w:numFmt w:val="decimal"/>
      <w:start w:val="5"/>
    </w:lvl>
  </w:abstractNum>
  <w:abstractNum w:abstractNumId="458">
    <w:nsid w:val="38B59EFF"/>
    <w:multiLevelType w:val="hybridMultilevel"/>
    <w:lvl w:ilvl="0">
      <w:lvlJc w:val="left"/>
      <w:lvlText w:val="%1."/>
      <w:numFmt w:val="decimal"/>
      <w:start w:val="6"/>
    </w:lvl>
  </w:abstractNum>
  <w:abstractNum w:abstractNumId="459">
    <w:nsid w:val="307995CA"/>
    <w:multiLevelType w:val="hybridMultilevel"/>
    <w:lvl w:ilvl="0">
      <w:lvlJc w:val="left"/>
      <w:lvlText w:val="%1."/>
      <w:numFmt w:val="decimal"/>
      <w:start w:val="7"/>
    </w:lvl>
  </w:abstractNum>
  <w:abstractNum w:abstractNumId="460">
    <w:nsid w:val="52E2024D"/>
    <w:multiLevelType w:val="hybridMultilevel"/>
    <w:lvl w:ilvl="0">
      <w:lvlJc w:val="left"/>
      <w:lvlText w:val="%1."/>
      <w:numFmt w:val="decimal"/>
      <w:start w:val="8"/>
    </w:lvl>
  </w:abstractNum>
  <w:abstractNum w:abstractNumId="461">
    <w:nsid w:val="CE344B5"/>
    <w:multiLevelType w:val="hybridMultilevel"/>
    <w:lvl w:ilvl="0">
      <w:lvlJc w:val="left"/>
      <w:lvlText w:val="%1."/>
      <w:numFmt w:val="decimal"/>
      <w:start w:val="9"/>
    </w:lvl>
  </w:abstractNum>
  <w:abstractNum w:abstractNumId="462">
    <w:nsid w:val="29B0E9A8"/>
    <w:multiLevelType w:val="hybridMultilevel"/>
    <w:lvl w:ilvl="0">
      <w:lvlJc w:val="left"/>
      <w:lvlText w:val="%1."/>
      <w:numFmt w:val="decimal"/>
      <w:start w:val="10"/>
    </w:lvl>
  </w:abstractNum>
  <w:abstractNum w:abstractNumId="463">
    <w:nsid w:val="6F49CD8A"/>
    <w:multiLevelType w:val="hybridMultilevel"/>
    <w:lvl w:ilvl="0">
      <w:lvlJc w:val="left"/>
      <w:lvlText w:val="%1."/>
      <w:numFmt w:val="decimal"/>
      <w:start w:val="11"/>
    </w:lvl>
  </w:abstractNum>
  <w:abstractNum w:abstractNumId="464">
    <w:nsid w:val="4DC5D907"/>
    <w:multiLevelType w:val="hybridMultilevel"/>
    <w:lvl w:ilvl="0">
      <w:lvlJc w:val="left"/>
      <w:lvlText w:val="•"/>
      <w:numFmt w:val="bullet"/>
      <w:start w:val="1"/>
    </w:lvl>
  </w:abstractNum>
  <w:abstractNum w:abstractNumId="465">
    <w:nsid w:val="D55945E"/>
    <w:multiLevelType w:val="hybridMultilevel"/>
    <w:lvl w:ilvl="0">
      <w:lvlJc w:val="left"/>
      <w:lvlText w:val="•"/>
      <w:numFmt w:val="bullet"/>
      <w:start w:val="1"/>
    </w:lvl>
  </w:abstractNum>
  <w:abstractNum w:abstractNumId="466">
    <w:nsid w:val="672417E1"/>
    <w:multiLevelType w:val="hybridMultilevel"/>
    <w:lvl w:ilvl="0">
      <w:lvlJc w:val="left"/>
      <w:lvlText w:val="•"/>
      <w:numFmt w:val="bullet"/>
      <w:start w:val="1"/>
    </w:lvl>
  </w:abstractNum>
  <w:abstractNum w:abstractNumId="467">
    <w:nsid w:val="5FF6CA09"/>
    <w:multiLevelType w:val="hybridMultilevel"/>
    <w:lvl w:ilvl="0">
      <w:lvlJc w:val="left"/>
      <w:lvlText w:val="%1."/>
      <w:numFmt w:val="decimal"/>
      <w:start w:val="12"/>
    </w:lvl>
  </w:abstractNum>
  <w:abstractNum w:abstractNumId="468">
    <w:nsid w:val="330B1333"/>
    <w:multiLevelType w:val="hybridMultilevel"/>
    <w:lvl w:ilvl="0">
      <w:lvlJc w:val="left"/>
      <w:lvlText w:val="%1."/>
      <w:numFmt w:val="decimal"/>
      <w:start w:val="13"/>
    </w:lvl>
  </w:abstractNum>
  <w:abstractNum w:abstractNumId="469">
    <w:nsid w:val="2EF32EA6"/>
    <w:multiLevelType w:val="hybridMultilevel"/>
    <w:lvl w:ilvl="0">
      <w:lvlJc w:val="left"/>
      <w:lvlText w:val="%1."/>
      <w:numFmt w:val="decimal"/>
      <w:start w:val="14"/>
    </w:lvl>
  </w:abstractNum>
  <w:abstractNum w:abstractNumId="470">
    <w:nsid w:val="32766A55"/>
    <w:multiLevelType w:val="hybridMultilevel"/>
    <w:lvl w:ilvl="0">
      <w:lvlJc w:val="left"/>
      <w:lvlText w:val="%1."/>
      <w:numFmt w:val="decimal"/>
      <w:start w:val="15"/>
    </w:lvl>
  </w:abstractNum>
  <w:abstractNum w:abstractNumId="471">
    <w:nsid w:val="22D71957"/>
    <w:multiLevelType w:val="hybridMultilevel"/>
    <w:lvl w:ilvl="0">
      <w:lvlJc w:val="left"/>
      <w:lvlText w:val="%1."/>
      <w:numFmt w:val="decimal"/>
      <w:start w:val="16"/>
    </w:lvl>
  </w:abstractNum>
  <w:abstractNum w:abstractNumId="472">
    <w:nsid w:val="4CC1263B"/>
    <w:multiLevelType w:val="hybridMultilevel"/>
    <w:lvl w:ilvl="0">
      <w:lvlJc w:val="left"/>
      <w:lvlText w:val="%1."/>
      <w:numFmt w:val="decimal"/>
      <w:start w:val="17"/>
    </w:lvl>
  </w:abstractNum>
  <w:abstractNum w:abstractNumId="473">
    <w:nsid w:val="8BBEB1D"/>
    <w:multiLevelType w:val="hybridMultilevel"/>
    <w:lvl w:ilvl="0">
      <w:lvlJc w:val="left"/>
      <w:lvlText w:val="%1."/>
      <w:numFmt w:val="decimal"/>
      <w:start w:val="18"/>
    </w:lvl>
  </w:abstractNum>
  <w:abstractNum w:abstractNumId="474">
    <w:nsid w:val="7365F1EE"/>
    <w:multiLevelType w:val="hybridMultilevel"/>
    <w:lvl w:ilvl="0">
      <w:lvlJc w:val="left"/>
      <w:lvlText w:val="%1."/>
      <w:numFmt w:val="decimal"/>
      <w:start w:val="19"/>
    </w:lvl>
  </w:abstractNum>
  <w:abstractNum w:abstractNumId="475">
    <w:nsid w:val="37524CF0"/>
    <w:multiLevelType w:val="hybridMultilevel"/>
    <w:lvl w:ilvl="0">
      <w:lvlJc w:val="left"/>
      <w:lvlText w:val="•"/>
      <w:numFmt w:val="bullet"/>
      <w:start w:val="1"/>
    </w:lvl>
  </w:abstractNum>
  <w:abstractNum w:abstractNumId="476">
    <w:nsid w:val="70CC332F"/>
    <w:multiLevelType w:val="hybridMultilevel"/>
    <w:lvl w:ilvl="0">
      <w:lvlJc w:val="left"/>
      <w:lvlText w:val="%1."/>
      <w:numFmt w:val="decimal"/>
      <w:start w:val="21"/>
    </w:lvl>
  </w:abstractNum>
  <w:abstractNum w:abstractNumId="477">
    <w:nsid w:val="5661786E"/>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2019-12-07T23:47:50Z</dcterms:created>
  <dcterms:modified xsi:type="dcterms:W3CDTF">2019-12-07T23:47:50Z</dcterms:modified>
</cp:coreProperties>
</file>