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3"/>
          </w:tcPr>
          <w:p>
            <w:pPr>
              <w:ind w:left="50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400" w:type="dxa"/>
            <w:vAlign w:val="bottom"/>
            <w:tcBorders>
              <w:bottom w:val="single" w:sz="8" w:color="2C2C2C"/>
            </w:tcBorders>
            <w:gridSpan w:val="9"/>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3"/>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3"/>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60" w:type="dxa"/>
            <w:vAlign w:val="bottom"/>
            <w:gridSpan w:val="3"/>
            <w:vMerge w:val="restart"/>
          </w:tcPr>
          <w:p>
            <w:pPr>
              <w:ind w:left="720"/>
              <w:spacing w:after="0"/>
              <w:rPr>
                <w:sz w:val="20"/>
                <w:szCs w:val="20"/>
                <w:color w:val="auto"/>
              </w:rPr>
            </w:pPr>
            <w:r>
              <w:rPr>
                <w:rFonts w:ascii="Arial" w:cs="Arial" w:eastAsia="Arial" w:hAnsi="Arial"/>
                <w:sz w:val="18"/>
                <w:szCs w:val="18"/>
                <w:color w:val="0000FF"/>
              </w:rPr>
              <w:t>03/26/2014</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vMerge w:val="restart"/>
          </w:tcPr>
          <w:p>
            <w:pPr>
              <w:jc w:val="center"/>
              <w:ind w:right="299"/>
              <w:spacing w:after="0"/>
              <w:rPr>
                <w:sz w:val="20"/>
                <w:szCs w:val="20"/>
                <w:color w:val="auto"/>
              </w:rPr>
            </w:pPr>
            <w:r>
              <w:rPr>
                <w:rFonts w:ascii="Arial" w:cs="Arial" w:eastAsia="Arial" w:hAnsi="Arial"/>
                <w:sz w:val="14"/>
                <w:szCs w:val="14"/>
                <w:color w:val="0000FF"/>
                <w:w w:val="85"/>
              </w:rPr>
              <w:t>P</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193.71</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600" w:type="dxa"/>
            <w:vAlign w:val="bottom"/>
            <w:vMerge w:val="restart"/>
          </w:tcPr>
          <w:p>
            <w:pPr>
              <w:ind w:left="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color w:val="0000FF"/>
              </w:rPr>
              <w:t>2,798.81</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2,799,517 shares of Common Stock of the Issuer, including 2,798.81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Ronald Cami is signing on behalf of Mr. Stiepleman pursuant to the authorization and designation letter dated March 10, 2014, which is filed as an exhibit hereto.</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03/27/2014</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0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[TPG Logo]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March 10, 2014</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This letter confirms that Ronald Cami and David Reintjes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July 1, 2016.</w:t>
      </w:r>
    </w:p>
    <w:p>
      <w:pPr>
        <w:spacing w:after="0" w:line="185"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David Stiepleman</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David Stiepleman</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2019-12-16T08:21:08Z</dcterms:created>
  <dcterms:modified xsi:type="dcterms:W3CDTF">2019-12-16T08:21:08Z</dcterms:modified>
</cp:coreProperties>
</file>