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Consent Solicitation Statement Pursuant to Section 14(a) of the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56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22" w:right="359" w:bottom="47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TSL</w:t>
      </w:r>
      <w:r>
        <w:rPr>
          <w:rFonts w:ascii="Arial" w:cs="Arial" w:eastAsia="Arial" w:hAnsi="Arial"/>
          <w:sz w:val="18"/>
          <w:szCs w:val="18"/>
          <w:color w:val="auto"/>
        </w:rPr>
        <w:t>”) is writing to solicit your consents on behalf of the Company to approve the following amendments to the Company’s Amended and Restated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which the Company’s Board of Directors approved and declared advisable at a meeting on February 13, 2014:</w:t>
      </w:r>
    </w:p>
    <w:p>
      <w:pPr>
        <w:spacing w:after="0" w:line="59" w:lineRule="exact"/>
        <w:rPr>
          <w:sz w:val="20"/>
          <w:szCs w:val="20"/>
          <w:color w:val="auto"/>
        </w:rPr>
      </w:pPr>
    </w:p>
    <w:p>
      <w:pPr>
        <w:ind w:left="900" w:right="42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in the number of authorized shares of the common stock of the Company,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four hundred million (400,000,000) shares, a corresponding increase in the total number of authorized shares of all classes of capital stock of the Company to five hundred million (500,000,000) shares and a clarification that the Company has the authority to issue one hundred million (100,000,000)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order to save the expense associated with holding a special meeting of the Company’s stockholders, the Board of Directors elected at its meeting on February 13, 2014 to obtain stockholder approval of the amendments described above by written consent pursuant to Section 228 of the Delaware General Corporation Law, rather than by calling a meeting of stockholders. This consent solicitation statement and enclosed written consent form are being sent to our stockholders on or about February 24, 2014.</w:t>
      </w:r>
    </w:p>
    <w:p>
      <w:pPr>
        <w:spacing w:after="0" w:line="1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Our Board of Directors recommends that you consent to the approval of the proposed amendments to the Certificate of Incorporation. Although our Board of Directors approved the proposed amendments to the Certificate of Incorporation at its meeting on February 13, 2014, the amendments must also be approved by a majority of our outstanding shares of Common Stock as of February 21, 2014, which a committee designated by our Board of Directors (the “Record Date Committee”) set as the record date for these consents. As a result, the amendments will be approved when we have received consents to the approval of the amendments from stockholders representing a majority of the shares of Common Stock outstanding on the record date. The Record Date Committee determined that the consents must be received on or before March 7, 2014; however, this date may be extended by the Record Date Committee in its sole discretion.</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Your response is important regardless of the number of shares of stock that you hold. You may consent to the approval of either, both or none of the proposed amendments. If you consent to the approval of either of the proposed amendments, please mark the “CONSENT” box on the enclosed written consent form to vote in favor of either of the proposed amendments to the Certificate of Incorporation. If you do not consent to the approval of either of the proposed amendments, please mark the “WITHHOLD CONSENT” box on the enclosed written consent form to vote against either of the proposed amendments to the Certificate of Incorporation. Please complete, date, sign, and return your written consent form to us by email at jmello@tpg.com, by facsimile at (415) 438-1473 or by mail at TPG Specialty Lending, Inc., Attn: Jennifer Mello, 345 California Street, Suite 3300, San Francisco, CA 94104 by March 7, 2014. Abstentions and broker non-votes will have the same effect as withheld consents and will be treated as votes against the amendments.</w:t>
      </w:r>
    </w:p>
    <w:p>
      <w:pPr>
        <w:spacing w:after="0" w:line="1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 of the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Stiepleman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w:t>
      </w:r>
    </w:p>
    <w:p>
      <w:pPr>
        <w:sectPr>
          <w:pgSz w:w="11900" w:h="16838" w:orient="portrait"/>
          <w:cols w:equalWidth="0" w:num="1">
            <w:col w:w="11400"/>
          </w:cols>
          <w:pgMar w:left="240" w:top="27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SOLICITATION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Consents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Consent Solicitation Statement is furnished in connection with the solicitation of stockholder consents by the Board of Directors of TPG Specialty Lending, Inc. References to the “Company,” “TSL,” “us,” “we” and “our” in this Consent Solicitation Statement mean TPG Specialty Lending, Inc. Our Board of Directors is soliciting these consents in lieu of a meeting of stockholders in order to obtain our stockholders’ approval of the proposal of the following amendments to the Company’s Amended and Restated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which the Company’s Board of Directors approved and declared advisable at a meeting on February 13, 2014:</w:t>
      </w:r>
    </w:p>
    <w:p>
      <w:pPr>
        <w:spacing w:after="0" w:line="62" w:lineRule="exact"/>
        <w:rPr>
          <w:sz w:val="20"/>
          <w:szCs w:val="20"/>
          <w:color w:val="auto"/>
        </w:rPr>
      </w:pPr>
    </w:p>
    <w:p>
      <w:pPr>
        <w:ind w:left="900" w:right="42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in the number of authorized shares of the common stock of the Company,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four hundred million (400,000,000) shares, a corresponding increase in the total number of authorized shares of all classes of capital stock of the Company to five hundred million (500,000,000) shares and a clarification that the Company has the authority to issue one hundred million (100,000,000)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our record date of February 21, 2014 will be entitled to submit written consents.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incorporated in the State of Delaware and are therefore subject to Title 8 of the Delaware Code. Section 228 of the Delaware General Corporation Law permits our stockholders to take action without a meeting if the votes represented by consents in writing, setting forth the action so taken, represent a majority of the voting power of the outstanding shares of capital stock of the Company entitled to vote thereon. At its meeting on February 13, 2014, our Board of Directors delegated authority to set the record date and certain other deadlines to a committee of the Board (the “</w:t>
      </w:r>
      <w:r>
        <w:rPr>
          <w:rFonts w:ascii="Arial" w:cs="Arial" w:eastAsia="Arial" w:hAnsi="Arial"/>
          <w:sz w:val="16"/>
          <w:szCs w:val="16"/>
          <w:u w:val="single" w:color="auto"/>
          <w:color w:val="auto"/>
        </w:rPr>
        <w:t>Record Date Committee</w:t>
      </w:r>
      <w:r>
        <w:rPr>
          <w:rFonts w:ascii="Arial" w:cs="Arial" w:eastAsia="Arial" w:hAnsi="Arial"/>
          <w:sz w:val="16"/>
          <w:szCs w:val="16"/>
          <w:color w:val="auto"/>
        </w:rPr>
        <w:t>”). The Record Date Committee determined on February 21, 2014 that the consents must be received on or before March 7, 2014; however, this date may be extended by the Record Date Committee in its sole discretion. Accordingly, if we receive executed consents approving the proposals from the holders of a majority of the outstanding shares of our Common Stock on or before March 7, 2014 (unless the Record Date Committee extends this date), the proposals set forth herein will be approved.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Revocability of Consents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written consents that we receive, regardless of when dated, will be treated as expired unless valid, written and unrevoked consents constituting the necessary vote for approval of the proposals are received by us by March 7, 2014 (unless this date is extended by the Record Date Committee). You may revoke your consent at any time, provided that we receive a written, signed and dated revocation before the earlier of (i) the date we receive valid, written and unrevoked consents constituting the necessary vote for approval of the proposals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28" w:right="259" w:bottom="1440" w:gutter="0" w:footer="0" w:header="0"/>
        </w:sectPr>
      </w:pPr>
    </w:p>
    <w:bookmarkStart w:id="3" w:name="page4"/>
    <w:bookmarkEnd w:id="3"/>
    <w:p>
      <w:pPr>
        <w:ind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7, 2014 (or, if this date is extended by the Record Date Committee, such later date). A revocation may be in any written form validly signed by you, as long as it clearly states that a consent previously given is no longer effective. The revocation should be sent to TPG Specialty Lending, Inc., Attn: Jennifer Mello, 345 California Street, Suite 3300, San Francisco, CA 94104. Under Delaware law, no consent shall be effective to approve the amendments unless, within 60 days of the earliest dated consent delivered to the Company, written consents signed by the holders of a majority of the outstanding shares of our Common Stock are delivered to the Company.</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pay the costs of soliciting these consents. In addition to solicitation by mail, our officers, directors and other regular employees, without additional compensation, may solicit consents personally, by facsimile, by email or by other appropriate means. Banks, brokers, fiduciaries and other custodians and nominees who forward consent soliciting material to their principals will be reimbursed their customary and reasonable out-of-pocket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Consent Solicitation Statement and the written consent form are available electronically at www.tpgspecialtylending.com.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Consent Rights</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Only our stockholders of record as of the close of business on the record date, February 21, 2014, will be entitled to submit consents on the accompanying form. On that date, there were outstanding 41,762,724 shares of our Common Stock. Each share of Common Stock is entitled to one vote in the consent solicitation. Consents evidencing a majority of the shares entitled to vote are required in order to approve the proposals. To be counted toward the votes required for approval of the proposals, your consents must be delivered to us on or before March 7, 2014 (unless this date is extended by the Record Date Committee). Under Delaware law and our charter documents, abstentions and broker non-votes will have the same effect as withheld consents and will be treated as votes against the amendments.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TSL Advisers, LLC (the “</w:t>
      </w:r>
      <w:r>
        <w:rPr>
          <w:rFonts w:ascii="Arial" w:cs="Arial" w:eastAsia="Arial" w:hAnsi="Arial"/>
          <w:sz w:val="16"/>
          <w:szCs w:val="16"/>
          <w:u w:val="single" w:color="auto"/>
          <w:color w:val="auto"/>
        </w:rPr>
        <w:t>Adviser</w:t>
      </w:r>
      <w:r>
        <w:rPr>
          <w:rFonts w:ascii="Arial" w:cs="Arial" w:eastAsia="Arial" w:hAnsi="Arial"/>
          <w:sz w:val="16"/>
          <w:szCs w:val="16"/>
          <w:color w:val="auto"/>
        </w:rPr>
        <w:t>”) serves as our investment adviser and administrator and is affiliated with TPG. “TPG” refers to TPG Global, LLC and its affiliates. TPG is a leading global private investment firm with over $55 billion of assets under management as of December 31, 2013.</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Adviser is a registered investment adviser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Investment Advisers Act of 1940, as amended. The Adviser sources and manages our portfolio through a dedicated team of investment professionals predominately focused on us (our “</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Team</w:t>
      </w:r>
      <w:r>
        <w:rPr>
          <w:rFonts w:ascii="Arial" w:cs="Arial" w:eastAsia="Arial" w:hAnsi="Arial"/>
          <w:sz w:val="16"/>
          <w:szCs w:val="16"/>
          <w:color w:val="auto"/>
        </w:rPr>
        <w:t>”).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1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December 31,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Texas 76102.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PROPOSALS TO BE ACTED UPON BY STOCKHOLDERS</w:t>
      </w:r>
    </w:p>
    <w:p>
      <w:pPr>
        <w:spacing w:after="0" w:line="17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 xml:space="preserve">Our Board of Directors proposed at its meeting on February 13, 2014 to amend our Certificate of Incorporation to (i) increase the number of authorized shares of our Common Stock to 400,000,000, increase the total number of authorized shares of all classes of capital stock to 500,000,000 and clarify that the Company has the authority to issue 100,000,000 shares of Preferred Stock and (ii) eliminate the ability of stockholders to act by written consent outside of an annual or special meeting of stockholders. The text of the proposed amendments to the Certificate of Incorporation is attached to this Consent Solicitation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B</w:t>
      </w:r>
      <w:r>
        <w:rPr>
          <w:rFonts w:ascii="Arial" w:cs="Arial" w:eastAsia="Arial" w:hAnsi="Arial"/>
          <w:sz w:val="18"/>
          <w:szCs w:val="18"/>
          <w:color w:val="auto"/>
        </w:rPr>
        <w:t>, respectively.</w:t>
      </w:r>
    </w:p>
    <w:p>
      <w:pPr>
        <w:spacing w:after="0" w:line="13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PROPOSAL 1 – Proposal to amend our Certificate of Incorporation to increase the number of authorized shares of our Common Stock to 400,000,000, increase the total number of authorized shares of capital stock to 500,000,000 and clarify that the Company has the authority to issue 100,000,000 shares of Preferred Stock</w:t>
      </w:r>
    </w:p>
    <w:p>
      <w:pPr>
        <w:spacing w:after="0" w:line="13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seeking to increase the number of authorized shares of our Common Stock from 100,000,000 to 400,000,000, increase the total number of authorized shares of all classes of capital stock to 500,000,000 and clarify that the Company has the authority to issue 100,000,000 shares of Preferred Stock in order to allow greater flexibility for future issuances of our Common Stock. Following the amendment, if approved, each additional share of our Common Stock authorized by the amendment to the Certificate of Incorporation will have the same rights and privileges as each share of Common Stock currently authorized and, when issued, outstanding. Prior to any initial public offering of the Company’s Common Stock, each share of Common Stock entitles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the Company proposes to issue. Authorized but unissued shares of our Common Stock may be issued at such times, for such purposes and for such consideration as our Board of Directors may determine to be appropriate without further authority from our stockholders, except as otherwise required by applicable law or stock exchange policies.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adoption of this proposed amendment to our Certificate of Incorporation will result in a greater number of shares of Common Stock available for issuance. If additional shares of Common Stock are issued in the future, stockholders therefore could experience a significant dilution in their stockholders’ interest with respect to earnings per share, voting, liquidation value and book and market value per share, if the additional authorized shares are issued other than through a proportional issuance such as a stock split or stock dividend or pursuant to the subscription agreements with our existing investors.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every share of stock issued by a business development company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59" w:lineRule="exact"/>
        <w:rPr>
          <w:sz w:val="20"/>
          <w:szCs w:val="20"/>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Another effect of such increase may be to enable our Board of Directors to render more difficult or to discourage any attempt to obtain control of us by means of a merger, tender offer, proxy contest, or otherwise, and thereby protect the continuity of present management. Our Board of Directors has no such plans at this time. The increase could also have the effect of depriving stockholders of an opportunity to sell their shares at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 w:name="page6"/>
    <w:bookmarkEnd w:id="5"/>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premium over net asset value or prevailing market prices. However, the increase in the number of authorized shares of our Common Stock will allow our Board of Directors to have additional shares of Common Stock available to effect, unless prohibited by applicable law or other arrangements or restrictions, a sale of shares (either in public or private transactions), merger, consolidation or similar transaction in which the number of our outstanding shares would be increased and would thereby dilute the interest of a party attempting to obtain control of us.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Rights of Appraisal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applicable Delaware corporation law, our non-consenting stockholders are not entitled to appraisal rights with respect to the amendment, and we will not independently provide our stockholders with any such right.</w:t>
      </w:r>
    </w:p>
    <w:p>
      <w:pPr>
        <w:spacing w:after="0" w:line="207" w:lineRule="exact"/>
        <w:rPr>
          <w:sz w:val="20"/>
          <w:szCs w:val="20"/>
          <w:color w:val="auto"/>
        </w:rPr>
      </w:pPr>
    </w:p>
    <w:p>
      <w:pPr>
        <w:jc w:val="center"/>
        <w:ind w:left="260" w:right="100"/>
        <w:spacing w:after="0" w:line="310" w:lineRule="auto"/>
        <w:rPr>
          <w:sz w:val="20"/>
          <w:szCs w:val="20"/>
          <w:color w:val="auto"/>
        </w:rPr>
      </w:pPr>
      <w:r>
        <w:rPr>
          <w:rFonts w:ascii="Arial" w:cs="Arial" w:eastAsia="Arial" w:hAnsi="Arial"/>
          <w:sz w:val="16"/>
          <w:szCs w:val="16"/>
          <w:b w:val="1"/>
          <w:bCs w:val="1"/>
          <w:color w:val="auto"/>
        </w:rPr>
        <w:t>Our Board of Directors recommended at its meeting on February 13, 2014 that you consent to the approval of the amendment to our Certificate of Incorporation to increase the number of authorized shares of our Common Stock to 400,000,000, increase the total number of authorized shares of all classes of capital stock to 500,000,000 and clarify that the company has the authority to issue 100,000,000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Proposal to amend our Certificate of Incorporation to eliminate the ability of stockholders to act by written consent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Section 228 of the Delaware General Corporation Law provides that, unless otherwise provided in a company’s certificate of incorporation, any action that may be taken at any annual or special meeting of stockholders may be taken without a meeting, without prior notice to all stockholders and without holding a vote, if a consent in writing is signed by stockholders representing the minimum number of votes necessary to approve the action at a meeting at which all shares entitled to vote thereon were present and voted. The Company’s existing Certificate of Incorporation does not contain a provision eliminating the right to act by written consent.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accordance with the Company’s commitment to further stockholder enfranchisement, we are seeking to eliminate the ability of stockholders to act by written consent. Accordingly, all stockholders would be entitled to receive notice of any action requiring a vote of stockholders and be afforded the opportunity to vote on that action at a duly convened meeting. In addition, the amendment would make it difficult for a person who acquires a majority of the outstanding Common Stock of the Company to approve a merger or sale of the Company or take other action normally requiring a vote of stockholders without providing notice to all stockholders and convening a meeting to vote on the proposed action.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light of the foregoing, the Board of Directors believes that amending the provisions of its Certificate of Incorporation to eliminate stockholder action by written consent is a prudent corporate governance measure to prevent a small number of stockholders from prematurely causing stockholder consideration of a proposal over the opposition of the Board of Directors by unilaterally soliciting the consent of stockholders for such a proposal before stockholders have the full benefit of the knowledge, advice and participation of the Company’s management and Board of Directors.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Elimination of stockholder power to act by written consent may deter certain acquisitions of the Company’s stock and may delay, deter or impede stockholder action not approved by the Board of Directors. Such actions may include stockholder attempts to obtain control of the Board of Directors, unsolicited tender offers or other efforts to acquire control of the Company. Elimination of stockholder power to act by written consent could also have the effect of depriving stockholders of an opportunity to sell their shares at a premium over net asset value or prevailing market prices.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6" w:name="page7"/>
    <w:bookmarkEnd w:id="6"/>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believes, however, that the benefits of discouraging hostile bidders and dissident stockholders seeking to further their own special interests from conducting potentially expensive and disruptive consent solicitations outweigh these disadvantages.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Rights of Appraisal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applicable Delaware corporation law, our non-consenting stockholders are not entitled to appraisal rights with respect to the amendment, and we will not independently provide our stockholders with any such right.</w:t>
      </w:r>
    </w:p>
    <w:p>
      <w:pPr>
        <w:spacing w:after="0" w:line="207" w:lineRule="exact"/>
        <w:rPr>
          <w:sz w:val="20"/>
          <w:szCs w:val="20"/>
          <w:color w:val="auto"/>
        </w:rPr>
      </w:pPr>
    </w:p>
    <w:p>
      <w:pPr>
        <w:jc w:val="center"/>
        <w:ind w:left="260" w:right="220"/>
        <w:spacing w:after="0" w:line="275" w:lineRule="auto"/>
        <w:rPr>
          <w:sz w:val="20"/>
          <w:szCs w:val="20"/>
          <w:color w:val="auto"/>
        </w:rPr>
      </w:pPr>
      <w:r>
        <w:rPr>
          <w:rFonts w:ascii="Arial" w:cs="Arial" w:eastAsia="Arial" w:hAnsi="Arial"/>
          <w:sz w:val="18"/>
          <w:szCs w:val="18"/>
          <w:b w:val="1"/>
          <w:bCs w:val="1"/>
          <w:color w:val="auto"/>
        </w:rPr>
        <w:t>Our Board of Directors recommended at its meeting on February 13, 2014 that you consent to the approval of the amendment to our Certificate of Incorporation to eliminate the ability of stockholders to act by written consent.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as of the record date is required to approve the amendments to our Certificate of Incorporation. Abstentions and broker non-votes will have the same effect as withheld consents and will be treated as votes against the amendments.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the Amendments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stockholder approval is obtained, we plan to file a Certificate of Amendment to our Certificate of Incorporation effecting the approved amendment or amendments on the later of March 7, 2014 or the earliest date permitted by law.</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as of February 14, 2014, the beneficial ownership as indicated in the Company’s books and records of each current director, the Company’s executive officers, the executive officers and directors as a group, and each person known to us to beneficially own 5% or more of the outstanding shares of our Common Stock.</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percentage ownership is based on 41,762,724 shares of Common Stock outstanding as of February 14, 2014. No shares of Preferred Stock are outstanding as of such date.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90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5"/>
              </w:rPr>
              <w:t>Number of Shares of</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 Common</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90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Common Stock Beneficially</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Stock Beneficially</w:t>
            </w:r>
          </w:p>
        </w:tc>
        <w:tc>
          <w:tcPr>
            <w:tcW w:w="0" w:type="dxa"/>
            <w:vAlign w:val="bottom"/>
          </w:tcPr>
          <w:p>
            <w:pPr>
              <w:spacing w:after="0"/>
              <w:rPr>
                <w:sz w:val="1"/>
                <w:szCs w:val="1"/>
                <w:color w:val="auto"/>
              </w:rPr>
            </w:pPr>
          </w:p>
        </w:tc>
      </w:tr>
      <w:tr>
        <w:trPr>
          <w:trHeight w:val="134"/>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w w:val="92"/>
              </w:rPr>
              <w:t>Name of Individual or Identity of Group</w:t>
            </w:r>
          </w:p>
        </w:tc>
        <w:tc>
          <w:tcPr>
            <w:tcW w:w="3980" w:type="dxa"/>
            <w:vAlign w:val="bottom"/>
            <w:vMerge w:val="restart"/>
          </w:tcPr>
          <w:p>
            <w:pPr>
              <w:spacing w:after="0"/>
              <w:rPr>
                <w:sz w:val="11"/>
                <w:szCs w:val="11"/>
                <w:color w:val="auto"/>
              </w:rPr>
            </w:pPr>
          </w:p>
        </w:tc>
        <w:tc>
          <w:tcPr>
            <w:tcW w:w="2900" w:type="dxa"/>
            <w:vAlign w:val="bottom"/>
            <w:gridSpan w:val="2"/>
          </w:tcPr>
          <w:p>
            <w:pPr>
              <w:jc w:val="center"/>
              <w:ind w:right="1280"/>
              <w:spacing w:after="0" w:line="135" w:lineRule="exact"/>
              <w:rPr>
                <w:sz w:val="20"/>
                <w:szCs w:val="20"/>
                <w:color w:val="auto"/>
              </w:rPr>
            </w:pPr>
            <w:r>
              <w:rPr>
                <w:rFonts w:ascii="Arial" w:cs="Arial" w:eastAsia="Arial" w:hAnsi="Arial"/>
                <w:sz w:val="14"/>
                <w:szCs w:val="14"/>
                <w:b w:val="1"/>
                <w:bCs w:val="1"/>
                <w:color w:val="auto"/>
                <w:w w:val="88"/>
              </w:rPr>
              <w:t>Owned as of</w:t>
            </w:r>
          </w:p>
        </w:tc>
        <w:tc>
          <w:tcPr>
            <w:tcW w:w="14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Owned as of</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2900" w:type="dxa"/>
            <w:vAlign w:val="bottom"/>
            <w:gridSpan w:val="2"/>
          </w:tcPr>
          <w:p>
            <w:pPr>
              <w:jc w:val="center"/>
              <w:ind w:right="1280"/>
              <w:spacing w:after="0" w:line="162" w:lineRule="exact"/>
              <w:rPr>
                <w:sz w:val="20"/>
                <w:szCs w:val="20"/>
                <w:color w:val="auto"/>
              </w:rPr>
            </w:pPr>
            <w:r>
              <w:rPr>
                <w:rFonts w:ascii="Arial" w:cs="Arial" w:eastAsia="Arial" w:hAnsi="Arial"/>
                <w:sz w:val="12"/>
                <w:szCs w:val="12"/>
                <w:b w:val="1"/>
                <w:bCs w:val="1"/>
                <w:color w:val="auto"/>
              </w:rPr>
              <w:t xml:space="preserve">February 14, 2014 </w:t>
            </w:r>
            <w:r>
              <w:rPr>
                <w:rFonts w:ascii="Arial" w:cs="Arial" w:eastAsia="Arial" w:hAnsi="Arial"/>
                <w:sz w:val="18"/>
                <w:szCs w:val="18"/>
                <w:b w:val="1"/>
                <w:bCs w:val="1"/>
                <w:color w:val="auto"/>
                <w:vertAlign w:val="superscript"/>
              </w:rPr>
              <w:t>(1)</w:t>
            </w:r>
          </w:p>
        </w:tc>
        <w:tc>
          <w:tcPr>
            <w:tcW w:w="144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 xml:space="preserve">February 14, 2014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7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1"/>
                <w:szCs w:val="11"/>
                <w:color w:val="auto"/>
              </w:rPr>
              <w:t>(2)</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6,511.1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1"/>
                <w:szCs w:val="11"/>
                <w:color w:val="auto"/>
              </w:rPr>
              <w:t>(3)</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33,834.3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Richard Higginbotham</w:t>
            </w:r>
          </w:p>
        </w:tc>
        <w:tc>
          <w:tcPr>
            <w:tcW w:w="29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Ross</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13,721.0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Ronald Tanemura</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25,491.0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 xml:space="preserve">Alan Kirshenbaum </w:t>
            </w:r>
            <w:r>
              <w:rPr>
                <w:rFonts w:ascii="Arial" w:cs="Arial" w:eastAsia="Arial" w:hAnsi="Arial"/>
                <w:sz w:val="11"/>
                <w:szCs w:val="11"/>
                <w:color w:val="auto"/>
              </w:rPr>
              <w:t>(4)</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3,890.0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All Directors and Executive Officers as a Group (12 persons) </w:t>
            </w:r>
            <w:r>
              <w:rPr>
                <w:rFonts w:ascii="Arial" w:cs="Arial" w:eastAsia="Arial" w:hAnsi="Arial"/>
                <w:sz w:val="11"/>
                <w:szCs w:val="11"/>
                <w:color w:val="auto"/>
              </w:rPr>
              <w:t>(5)(6)</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2,690,672.5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State of New Jersey Common Pension Fund B </w:t>
            </w:r>
            <w:r>
              <w:rPr>
                <w:rFonts w:ascii="Arial" w:cs="Arial" w:eastAsia="Arial" w:hAnsi="Arial"/>
                <w:sz w:val="11"/>
                <w:szCs w:val="11"/>
                <w:color w:val="auto"/>
              </w:rPr>
              <w:t>(7)</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6,028,765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 xml:space="preserve">MSSB TPG Specialty Lending Onshore Feeder Fund </w:t>
            </w:r>
            <w:r>
              <w:rPr>
                <w:rFonts w:ascii="Arial" w:cs="Arial" w:eastAsia="Arial" w:hAnsi="Arial"/>
                <w:sz w:val="11"/>
                <w:szCs w:val="11"/>
                <w:color w:val="auto"/>
              </w:rPr>
              <w:t>(8)</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5,994,646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1"/>
                <w:szCs w:val="11"/>
                <w:color w:val="auto"/>
              </w:rPr>
              <w:t>(9)</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3,911,472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 xml:space="preserve">TPG Funds </w:t>
            </w:r>
            <w:r>
              <w:rPr>
                <w:rFonts w:ascii="Arial" w:cs="Arial" w:eastAsia="Arial" w:hAnsi="Arial"/>
                <w:sz w:val="11"/>
                <w:szCs w:val="11"/>
                <w:color w:val="auto"/>
              </w:rPr>
              <w:t>(6)</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3,040,032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Oregon Public Employees Retirement Fund </w:t>
            </w:r>
            <w:r>
              <w:rPr>
                <w:rFonts w:ascii="Arial" w:cs="Arial" w:eastAsia="Arial" w:hAnsi="Arial"/>
                <w:sz w:val="11"/>
                <w:szCs w:val="11"/>
                <w:color w:val="auto"/>
              </w:rPr>
              <w:t>(10)</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3,013,977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System of Ohio </w:t>
            </w:r>
            <w:r>
              <w:rPr>
                <w:rFonts w:ascii="Arial" w:cs="Arial" w:eastAsia="Arial" w:hAnsi="Arial"/>
                <w:sz w:val="11"/>
                <w:szCs w:val="11"/>
                <w:color w:val="auto"/>
              </w:rPr>
              <w:t>(11)</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3,000,158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Silver Creek Group </w:t>
            </w:r>
            <w:r>
              <w:rPr>
                <w:rFonts w:ascii="Arial" w:cs="Arial" w:eastAsia="Arial" w:hAnsi="Arial"/>
                <w:sz w:val="11"/>
                <w:szCs w:val="11"/>
                <w:color w:val="auto"/>
              </w:rPr>
              <w:t>(12)</w:t>
            </w:r>
          </w:p>
        </w:tc>
        <w:tc>
          <w:tcPr>
            <w:tcW w:w="29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2,664,184</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 xml:space="preserve">Arizona State Retirement System </w:t>
            </w:r>
            <w:r>
              <w:rPr>
                <w:rFonts w:ascii="Arial" w:cs="Arial" w:eastAsia="Arial" w:hAnsi="Arial"/>
                <w:sz w:val="11"/>
                <w:szCs w:val="11"/>
                <w:color w:val="auto"/>
              </w:rPr>
              <w:t>(13)</w:t>
            </w:r>
          </w:p>
        </w:tc>
        <w:tc>
          <w:tcPr>
            <w:tcW w:w="2900" w:type="dxa"/>
            <w:vAlign w:val="bottom"/>
            <w:gridSpan w:val="2"/>
          </w:tcPr>
          <w:p>
            <w:pPr>
              <w:jc w:val="right"/>
              <w:ind w:right="1280"/>
              <w:spacing w:after="0"/>
              <w:rPr>
                <w:sz w:val="20"/>
                <w:szCs w:val="20"/>
                <w:color w:val="auto"/>
              </w:rPr>
            </w:pPr>
            <w:r>
              <w:rPr>
                <w:rFonts w:ascii="Arial" w:cs="Arial" w:eastAsia="Arial" w:hAnsi="Arial"/>
                <w:sz w:val="18"/>
                <w:szCs w:val="18"/>
                <w:color w:val="auto"/>
              </w:rPr>
              <w:t>2,218,555</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ind w:left="460" w:right="10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left="452" w:right="3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3" w:lineRule="exact"/>
        <w:rPr>
          <w:sz w:val="20"/>
          <w:szCs w:val="20"/>
          <w:color w:val="auto"/>
        </w:rPr>
      </w:pPr>
    </w:p>
    <w:p>
      <w:pPr>
        <w:ind w:left="452" w:right="18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Easterly is a TPG and TPG Special Situations Partners (“TSSP”) Partner. TPG and TSSP are affiliated with Tarrant and Group Advisors (both as defined below). Mr. Easterly disclaims beneficial ownership of the shares that are or may be beneficially owned by Tarrant, Group Advisors or any of its affiliates.</w:t>
      </w:r>
    </w:p>
    <w:p>
      <w:pPr>
        <w:spacing w:after="0" w:line="1" w:lineRule="exact"/>
        <w:rPr>
          <w:rFonts w:ascii="Arial" w:cs="Arial" w:eastAsia="Arial" w:hAnsi="Arial"/>
          <w:sz w:val="18"/>
          <w:szCs w:val="18"/>
          <w:color w:val="auto"/>
        </w:rPr>
      </w:pPr>
    </w:p>
    <w:p>
      <w:pPr>
        <w:ind w:left="452" w:right="18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52" w:right="36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52" w:right="2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w:t>
      </w:r>
    </w:p>
    <w:p>
      <w:pPr>
        <w:ind w:left="452" w:right="20" w:hanging="452"/>
        <w:spacing w:after="0" w:line="292"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 The business and affairs of TSL Advisers are managed by its board of managers, whose sole members are Messrs. Bonderman, Coulter and Waxman. Any decision or determination by the board of managers requires the approval of each of Messrs. Bonderman, Coulter and Waxman.</w:t>
      </w:r>
    </w:p>
    <w:p>
      <w:pPr>
        <w:spacing w:after="0" w:line="117" w:lineRule="exact"/>
        <w:rPr>
          <w:sz w:val="20"/>
          <w:szCs w:val="20"/>
          <w:color w:val="auto"/>
        </w:rPr>
      </w:pPr>
    </w:p>
    <w:p>
      <w:pPr>
        <w:ind w:left="452"/>
        <w:spacing w:after="0" w:line="314" w:lineRule="auto"/>
        <w:rPr>
          <w:sz w:val="20"/>
          <w:szCs w:val="20"/>
          <w:color w:val="auto"/>
        </w:rPr>
      </w:pPr>
      <w:r>
        <w:rPr>
          <w:rFonts w:ascii="Arial" w:cs="Arial" w:eastAsia="Arial" w:hAnsi="Arial"/>
          <w:sz w:val="15"/>
          <w:szCs w:val="15"/>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105" w:lineRule="exact"/>
        <w:rPr>
          <w:sz w:val="20"/>
          <w:szCs w:val="20"/>
          <w:color w:val="auto"/>
        </w:rPr>
      </w:pPr>
    </w:p>
    <w:p>
      <w:pPr>
        <w:ind w:left="452" w:right="14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2,209,629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118"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80" w:right="299" w:bottom="1440" w:gutter="0" w:footer="0" w:header="0"/>
        </w:sectPr>
      </w:pPr>
    </w:p>
    <w:bookmarkStart w:id="9" w:name="page10"/>
    <w:bookmarkEnd w:id="9"/>
    <w:p>
      <w:pPr>
        <w:ind w:left="452" w:right="2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Messrs. Bonderman and Coulter are the officers and sole stockholders of each of Tarrant Capital and Group Advisors. As the directors,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Mr. Waxman is a Vice President of TSL. Because Mr. Waxman is a member of the board of managers of TSL Advisers,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5"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w:t>
      </w:r>
      <w:r>
        <w:rPr>
          <w:rFonts w:ascii="Arial" w:cs="Arial" w:eastAsia="Arial" w:hAnsi="Arial"/>
          <w:sz w:val="10"/>
          <w:szCs w:val="10"/>
          <w:color w:val="auto"/>
        </w:rPr>
        <w:t>th</w:t>
      </w:r>
      <w:r>
        <w:rPr>
          <w:rFonts w:ascii="Arial" w:cs="Arial" w:eastAsia="Arial" w:hAnsi="Arial"/>
          <w:sz w:val="15"/>
          <w:szCs w:val="15"/>
          <w:color w:val="auto"/>
        </w:rPr>
        <w:t xml:space="preserve"> Floor Trenton, NJ 08608.</w:t>
      </w:r>
    </w:p>
    <w:p>
      <w:pPr>
        <w:spacing w:after="0" w:line="43" w:lineRule="exact"/>
        <w:rPr>
          <w:rFonts w:ascii="Arial" w:cs="Arial" w:eastAsia="Arial" w:hAnsi="Arial"/>
          <w:sz w:val="15"/>
          <w:szCs w:val="15"/>
          <w:color w:val="auto"/>
        </w:rPr>
      </w:pPr>
    </w:p>
    <w:p>
      <w:pPr>
        <w:ind w:left="452" w:hanging="452"/>
        <w:spacing w:after="0" w:line="281"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52" w:right="22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52" w:right="16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80" w:right="259" w:bottom="1440" w:gutter="0" w:footer="0" w:header="0"/>
        </w:sectPr>
      </w:pPr>
    </w:p>
    <w:bookmarkStart w:id="10" w:name="page11"/>
    <w:bookmarkEnd w:id="10"/>
    <w:p>
      <w:pPr>
        <w:ind w:right="1220" w:firstLine="1238"/>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PROPOSALS AND NOMINATIONS FOR THE 2014 ANNUAL MEETING OF STOCKHOLDERS Inclusion of Proposals in Our Proxy Statement and Proxy Card Under the SEC’s Rules</w:t>
      </w:r>
    </w:p>
    <w:p>
      <w:pPr>
        <w:spacing w:after="0" w:line="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time for the Company’s stockholders to submit proposals for inclusion in the Company’s proxy statement for its 2014 annual meeting of stockholders in accordance with the standards contained in SEC Rule 14a-8 has passed. Accordingly, no new stockholder proposals may be submitted to the Company for inclusion in the Company’s proxy statement for its 2014 annual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stockholder recommendation for nomination of a person for election to our Board of Directors or a proposal for consideration at our 2014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The time for the Company’s stockholders to submit proposals for consideration at our 2014 annual meeting in accordance with the Company’s Bylaws has passed. Accordingly, no new stockholder proposals may be submitted to the Company to be brought before its 2014 annual meeting of stockholders.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2015 ANNUAL MEETING OF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Any proposal of a stockholder intended to be included in our proxy statement and form of proxy/voting instruction card for the 2015 annual meeting of stockholders pursuant to Rule 14a-8 of the SEC’s rules must be received by us no later than December 17, 2014 (assuming our 2015 annual meeting date is May 21, 2015). Such proposals must also comply with the requirements as to form and substance established by the SEC if such proposals are to be included in the proxy statement and form of proxy. All proposals should be addressed to the Secretary of the Company, Jennifer Mello, TPG Specialty Lending, Inc., 301 Commerce Street, Suite 3300, Fort Worth, Texas 76102.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stockholder recommendation for nomination of a person for election to our board or a proposal for consideration at our 2015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Assuming the date of our 2014 annual meeting is May 22, 2014, our Bylaws require that the proposal or recommendation for nomination must be received by our Secretary at the above address no later than February 21, 2015, unless the date of our 2015 annual meeting is more than 30 days before or more than 60 days after May 22, 2015, the anniversary of our 2014 annual meeting, in which case notice by the stockholder to be timely must be so received not later than the later of the close of business ninety (90) days prior to such annual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OF CONSENT SOLICITATION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will pay the costs of soliciting stockholder consents pursuant to this Consent Solicitation Statement. In addition to solicitation by mail, the directors, officers and other regular employees of the Company may solicit consents from stockholders personally, by facsimile, by email or by other appropriate means. Upon request, the Company will also reimburse brokerage houses and other custodians, nominees and fiduciaries for their reasonable expenses in sending this Consent Solicitation Statement to beneficial owners.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provide a copy of our Annual Report on Form 10-K for the fiscal year ended December 31, 2012 to any person, without charge, upon request.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Requests for a copy of the Annual Report may be made by contacting the Secretary of the Company at the address or telephone number set forth below:</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Jennifer Mello, Secretary of the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Telephone: (817) 871-4000</w:t>
      </w:r>
    </w:p>
    <w:p>
      <w:pPr>
        <w:spacing w:after="0" w:line="159"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 xml:space="preserve">Copies of these documents may also be accessed electronically by means of the SEC’s home page on the internet at http://www.sec.gov. </w:t>
      </w:r>
      <w:r>
        <w:rPr>
          <w:rFonts w:ascii="Arial" w:cs="Arial" w:eastAsia="Arial" w:hAnsi="Arial"/>
          <w:sz w:val="18"/>
          <w:szCs w:val="18"/>
          <w:b w:val="1"/>
          <w:bCs w:val="1"/>
          <w:color w:val="auto"/>
        </w:rPr>
        <w:t>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Report on Form 10-K is not part of the proxy solicitation materials.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SHARING AN ADDRESS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will deliver only one Consent Solicitation Statement to multiple stockholders sharing an address unless the Company has received contrary instructions from one or more of the stockholders. The Company undertakes to deliver promptly, upon written or oral request, a separate copy of the Consent Solicitation Statement to a stockholder at a shared address to which a single copy of the Consent Solicitation Statement is delivered. A stockholder can notify the Company that the stockholder wishes to receive a separate copy of the Consent Solicitation Statement by contacting the Company at the address or telephone number set forth below:</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Jennifer Mello, Secretary of the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Telephone: (817) 871-4000</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 stockholder may utilize the same address and telephone number to request either separate copies or a single copy for a single address for all future Consent Solicitation Statements, information statements, proxy statements and annual reports.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REGARDING INCREASE IN NUMBER OF AUTHORIZED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 (PROPOSAL 1)</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Proposal 1 is approved, the first paragraph of Article IV of the Amended and Restated Certificate of Incorporation of the Corporation will be amended in its entirety to read as follows:</w:t>
      </w:r>
    </w:p>
    <w:p>
      <w:pPr>
        <w:spacing w:after="0" w:line="51"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total number of shares of all classes of capital stock that the Corporation shall have authority to issue is 500,000,000 shares, consisting of 400,000,000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100,000,000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REGARDING STOCKHOLDER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WRITTEN CONSENT (PROPOSAL 2)</w:t>
      </w:r>
    </w:p>
    <w:p>
      <w:pPr>
        <w:spacing w:after="0" w:line="16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If Proposal 2 is approved, Article IV of the Amended and Restated Certificate of Incorporation of the Corporation will be amended to add the following paragraph (C) at the end of Article IV:</w:t>
      </w:r>
    </w:p>
    <w:p>
      <w:pPr>
        <w:spacing w:after="0" w:line="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Subject to the rights of the holders of any series of Preferred Stock, any action required or permitted to be taken by stockholders of the Corporation must be effected at a duly called annual or special meeting of stockholders of the Corporation and may not be effected by any consent in writing by such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8"/>
          <w:szCs w:val="18"/>
          <w:b w:val="1"/>
          <w:bCs w:val="1"/>
          <w:u w:val="single" w:color="auto"/>
          <w:color w:val="auto"/>
        </w:rPr>
        <w:t>CONSENT OF STOCKHOLDERS IN LIEU OF A SPECIAL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consent must be returned by March 7, 2014 (unless extended by the Record Date Committee of the Board of Directors in its sole discretion)</w:t>
      </w:r>
      <w:r>
        <w:rPr>
          <w:rFonts w:ascii="Arial" w:cs="Arial" w:eastAsia="Arial" w:hAnsi="Arial"/>
          <w:sz w:val="16"/>
          <w:szCs w:val="16"/>
          <w:color w:val="auto"/>
        </w:rPr>
        <w:t>.</w:t>
      </w:r>
    </w:p>
    <w:p>
      <w:pPr>
        <w:spacing w:after="0" w:line="168" w:lineRule="exact"/>
        <w:rPr>
          <w:sz w:val="20"/>
          <w:szCs w:val="20"/>
          <w:color w:val="auto"/>
        </w:rPr>
      </w:pPr>
    </w:p>
    <w:p>
      <w:pPr>
        <w:spacing w:after="0" w:line="184" w:lineRule="exact"/>
        <w:tabs>
          <w:tab w:leader="none" w:pos="8720" w:val="left"/>
        </w:tabs>
        <w:rPr>
          <w:sz w:val="20"/>
          <w:szCs w:val="20"/>
          <w:color w:val="auto"/>
        </w:rPr>
      </w:pPr>
      <w:r>
        <w:rPr>
          <w:rFonts w:ascii="Arial" w:cs="Arial" w:eastAsia="Arial" w:hAnsi="Arial"/>
          <w:sz w:val="16"/>
          <w:szCs w:val="16"/>
          <w:b w:val="1"/>
          <w:bCs w:val="1"/>
          <w:color w:val="auto"/>
        </w:rPr>
        <w:t xml:space="preserve">This consent is solicited on behalf of the Board of Directors. </w:t>
      </w:r>
      <w:r>
        <w:rPr>
          <w:rFonts w:ascii="Arial" w:cs="Arial" w:eastAsia="Arial" w:hAnsi="Arial"/>
          <w:sz w:val="16"/>
          <w:szCs w:val="16"/>
          <w:color w:val="auto"/>
        </w:rPr>
        <w:t>Please mark your vote in blue or black ink as shown here.</w:t>
      </w:r>
      <w:r>
        <w:rPr>
          <w:sz w:val="20"/>
          <w:szCs w:val="20"/>
          <w:color w:val="auto"/>
        </w:rPr>
        <w:tab/>
      </w:r>
      <w:r>
        <w:rPr>
          <w:rFonts w:ascii="MS PGothic" w:cs="MS PGothic" w:eastAsia="MS PGothic" w:hAnsi="MS PGothic"/>
          <w:sz w:val="16"/>
          <w:szCs w:val="16"/>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Please mark, sign, date and return the consent promptly by electronic mail (in PDF), by facsimile or by mail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Jennifer Mello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jmello@tpg.com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(415) 438-1473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345 California Street, Suite 3300, San Francisco, CA 94104</w:t>
      </w:r>
    </w:p>
    <w:p>
      <w:pPr>
        <w:spacing w:after="0" w:line="16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undersigned stockholder of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acting pursuant to Section 228 of the Delaware General Corporation Law, as amended, and in lieu of a special meeting of the Company’s stockholders, hereby acts as follows on the proposals set forth below:</w:t>
      </w:r>
    </w:p>
    <w:p>
      <w:pPr>
        <w:spacing w:after="0" w:line="4" w:lineRule="exact"/>
        <w:rPr>
          <w:sz w:val="20"/>
          <w:szCs w:val="20"/>
          <w:color w:val="auto"/>
        </w:rPr>
      </w:pPr>
    </w:p>
    <w:p>
      <w:pPr>
        <w:ind w:left="900" w:right="4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proposal to amend the Company’s certificate of incorporation to increase the number of authorized shares of the Company’s common stock, par value $0.01 per share, to 400,000,000, increase the total number of authorized shares of all classes of capital stock to 500,000,000 and clarify that the Company has the authority to issue 100,000,000 shares of preferred stock, par value $0.01 per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CONSENT</w:t>
            </w:r>
          </w:p>
        </w:tc>
        <w:tc>
          <w:tcPr>
            <w:tcW w:w="3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WITHHOLD CONSENT</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9"/>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20" w:type="dxa"/>
            <w:vAlign w:val="bottom"/>
          </w:tcPr>
          <w:p>
            <w:pPr>
              <w:spacing w:after="0"/>
              <w:rPr>
                <w:sz w:val="23"/>
                <w:szCs w:val="23"/>
                <w:color w:val="auto"/>
              </w:rPr>
            </w:pPr>
          </w:p>
        </w:tc>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spacing w:after="0"/>
              <w:rPr>
                <w:sz w:val="23"/>
                <w:szCs w:val="23"/>
                <w:color w:val="auto"/>
              </w:rPr>
            </w:pPr>
          </w:p>
        </w:tc>
        <w:tc>
          <w:tcPr>
            <w:tcW w:w="35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34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900" w:right="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proposal to amend the Company’s certificate of incorporation to eliminate the ability of stockholders to act by written consent outside of an annual or special meeting of stockholders.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CONSENT</w:t>
            </w:r>
          </w:p>
        </w:tc>
        <w:tc>
          <w:tcPr>
            <w:tcW w:w="3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WITHHOLD CONSENT</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9"/>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20" w:type="dxa"/>
            <w:vAlign w:val="bottom"/>
          </w:tcPr>
          <w:p>
            <w:pPr>
              <w:spacing w:after="0"/>
              <w:rPr>
                <w:sz w:val="23"/>
                <w:szCs w:val="23"/>
                <w:color w:val="auto"/>
              </w:rPr>
            </w:pPr>
          </w:p>
        </w:tc>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spacing w:after="0"/>
              <w:rPr>
                <w:sz w:val="23"/>
                <w:szCs w:val="23"/>
                <w:color w:val="auto"/>
              </w:rPr>
            </w:pPr>
          </w:p>
        </w:tc>
        <w:tc>
          <w:tcPr>
            <w:tcW w:w="35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34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9" w:lineRule="exact"/>
        <w:rPr>
          <w:sz w:val="20"/>
          <w:szCs w:val="20"/>
          <w:color w:val="auto"/>
        </w:rPr>
      </w:pPr>
    </w:p>
    <w:p>
      <w:pPr>
        <w:ind w:right="440"/>
        <w:spacing w:after="0" w:line="378" w:lineRule="auto"/>
        <w:rPr>
          <w:sz w:val="20"/>
          <w:szCs w:val="20"/>
          <w:color w:val="auto"/>
        </w:rPr>
      </w:pPr>
      <w:r>
        <w:rPr>
          <w:rFonts w:ascii="Arial" w:cs="Arial" w:eastAsia="Arial" w:hAnsi="Arial"/>
          <w:sz w:val="15"/>
          <w:szCs w:val="15"/>
          <w:b w:val="1"/>
          <w:bCs w:val="1"/>
          <w:color w:val="auto"/>
        </w:rPr>
        <w:t>The stockholders’ approval of the amendment(s) pursuant to this consent will be effective when sufficient consents are received by the Company to approve the proposed amendment(s) to the Company’s certificate of incorporation. This consent may not be revoked after such effectiveness.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tcPr>
          <w:p>
            <w:pPr>
              <w:spacing w:after="0"/>
              <w:rPr>
                <w:sz w:val="20"/>
                <w:szCs w:val="20"/>
                <w:color w:val="auto"/>
              </w:rPr>
            </w:pPr>
            <w:r>
              <w:rPr>
                <w:rFonts w:ascii="Arial" w:cs="Arial" w:eastAsia="Arial" w:hAnsi="Arial"/>
                <w:sz w:val="18"/>
                <w:szCs w:val="18"/>
                <w:color w:val="auto"/>
                <w:w w:val="91"/>
              </w:rPr>
              <w:t>Print Name of Stockholder:</w:t>
            </w:r>
          </w:p>
        </w:tc>
        <w:tc>
          <w:tcPr>
            <w:tcW w:w="378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r>
      <w:tr>
        <w:trPr>
          <w:trHeight w:val="358"/>
        </w:trPr>
        <w:tc>
          <w:tcPr>
            <w:tcW w:w="1820" w:type="dxa"/>
            <w:vAlign w:val="bottom"/>
          </w:tcPr>
          <w:p>
            <w:pPr>
              <w:spacing w:after="0"/>
              <w:rPr>
                <w:sz w:val="20"/>
                <w:szCs w:val="20"/>
                <w:color w:val="auto"/>
              </w:rPr>
            </w:pPr>
            <w:r>
              <w:rPr>
                <w:rFonts w:ascii="Arial" w:cs="Arial" w:eastAsia="Arial" w:hAnsi="Arial"/>
                <w:sz w:val="18"/>
                <w:szCs w:val="18"/>
                <w:color w:val="auto"/>
                <w:w w:val="89"/>
              </w:rPr>
              <w:t>Signature of Stockholder:</w:t>
            </w: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w w:val="83"/>
              </w:rPr>
              <w:t>Date:</w:t>
            </w:r>
          </w:p>
        </w:tc>
      </w:tr>
      <w:tr>
        <w:trPr>
          <w:trHeight w:val="358"/>
        </w:trPr>
        <w:tc>
          <w:tcPr>
            <w:tcW w:w="1980" w:type="dxa"/>
            <w:vAlign w:val="bottom"/>
            <w:gridSpan w:val="2"/>
          </w:tcPr>
          <w:p>
            <w:pPr>
              <w:spacing w:after="0"/>
              <w:rPr>
                <w:sz w:val="20"/>
                <w:szCs w:val="20"/>
                <w:color w:val="auto"/>
              </w:rPr>
            </w:pPr>
            <w:r>
              <w:rPr>
                <w:rFonts w:ascii="Arial" w:cs="Arial" w:eastAsia="Arial" w:hAnsi="Arial"/>
                <w:sz w:val="18"/>
                <w:szCs w:val="18"/>
                <w:color w:val="auto"/>
                <w:w w:val="91"/>
              </w:rPr>
              <w:t>Print Name of Stockholder:</w:t>
            </w:r>
          </w:p>
        </w:tc>
        <w:tc>
          <w:tcPr>
            <w:tcW w:w="37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r>
        <w:trPr>
          <w:trHeight w:val="358"/>
        </w:trPr>
        <w:tc>
          <w:tcPr>
            <w:tcW w:w="1820" w:type="dxa"/>
            <w:vAlign w:val="bottom"/>
          </w:tcPr>
          <w:p>
            <w:pPr>
              <w:spacing w:after="0"/>
              <w:rPr>
                <w:sz w:val="20"/>
                <w:szCs w:val="20"/>
                <w:color w:val="auto"/>
              </w:rPr>
            </w:pPr>
            <w:r>
              <w:rPr>
                <w:rFonts w:ascii="Arial" w:cs="Arial" w:eastAsia="Arial" w:hAnsi="Arial"/>
                <w:sz w:val="18"/>
                <w:szCs w:val="18"/>
                <w:color w:val="auto"/>
                <w:w w:val="89"/>
              </w:rPr>
              <w:t>Signature of Stockholder:</w:t>
            </w: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w w:val="83"/>
              </w:rPr>
              <w:t>Date:</w:t>
            </w:r>
          </w:p>
        </w:tc>
      </w:tr>
    </w:tbl>
    <w:p>
      <w:pPr>
        <w:spacing w:after="0" w:line="215" w:lineRule="exact"/>
        <w:rPr>
          <w:sz w:val="20"/>
          <w:szCs w:val="20"/>
          <w:color w:val="auto"/>
        </w:rPr>
      </w:pPr>
    </w:p>
    <w:p>
      <w:pPr>
        <w:jc w:val="both"/>
        <w:ind w:left="820" w:right="660" w:hanging="819"/>
        <w:spacing w:after="0" w:line="306" w:lineRule="auto"/>
        <w:tabs>
          <w:tab w:leader="none" w:pos="80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name(s) appears on this consent.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an authorized person.</w:t>
      </w:r>
    </w:p>
    <w:p>
      <w:pPr>
        <w:sectPr>
          <w:pgSz w:w="11900" w:h="16838" w:orient="portrait"/>
          <w:cols w:equalWidth="0" w:num="1">
            <w:col w:w="11420"/>
          </w:cols>
          <w:pgMar w:left="240" w:top="274"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089015" cy="2118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February 24,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Larry L. Greene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19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8"/>
          <w:szCs w:val="18"/>
          <w:b w:val="1"/>
          <w:bCs w:val="1"/>
          <w:color w:val="auto"/>
        </w:rPr>
        <w:t>Re:</w:t>
        <w:tab/>
        <w:t>TPG Specialty Lending, Inc.</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Filed February 7, 2014</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CIK No. 0001508655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Dear Mr. Greene:</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behalf of TPG Specialty Lending, Inc.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are the Company’s responses to the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that we received in a telephone conversation with the Staff on February 20, 2014 with respect to the above referenced Preliminary Proxy Statement on Schedule 14A filed on February 7, 2014 (the “</w:t>
      </w:r>
      <w:r>
        <w:rPr>
          <w:rFonts w:ascii="Arial" w:cs="Arial" w:eastAsia="Arial" w:hAnsi="Arial"/>
          <w:sz w:val="16"/>
          <w:szCs w:val="16"/>
          <w:u w:val="single" w:color="auto"/>
          <w:color w:val="auto"/>
        </w:rPr>
        <w:t>Preliminary Proxy Statement</w:t>
      </w:r>
      <w:r>
        <w:rPr>
          <w:rFonts w:ascii="Arial" w:cs="Arial" w:eastAsia="Arial" w:hAnsi="Arial"/>
          <w:sz w:val="16"/>
          <w:szCs w:val="16"/>
          <w:color w:val="auto"/>
        </w:rPr>
        <w:t>”).</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filed today a Definitive Proxy Statement on Schedule 14A (the “</w:t>
      </w:r>
      <w:r>
        <w:rPr>
          <w:rFonts w:ascii="Arial" w:cs="Arial" w:eastAsia="Arial" w:hAnsi="Arial"/>
          <w:sz w:val="18"/>
          <w:szCs w:val="18"/>
          <w:u w:val="single" w:color="auto"/>
          <w:color w:val="auto"/>
        </w:rPr>
        <w:t>Definitive Proxy Statement</w:t>
      </w:r>
      <w:r>
        <w:rPr>
          <w:rFonts w:ascii="Arial" w:cs="Arial" w:eastAsia="Arial" w:hAnsi="Arial"/>
          <w:sz w:val="18"/>
          <w:szCs w:val="18"/>
          <w:color w:val="auto"/>
        </w:rPr>
        <w:t>”) via EDGAR. Defined terms used but not defined herein have the respective meanings ascribed to them in the Definitive Proxy Statement on Schedule 14A.</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Staff’s comments are set forth in bold below and are followed in each case by the Company’s response. Unless otherwise indicated, all page references in the responses set forth below are to the pages of the Definitive Proxy Statement.</w:t>
      </w:r>
    </w:p>
    <w:p>
      <w:pPr>
        <w:spacing w:after="0" w:line="248" w:lineRule="exact"/>
        <w:rPr>
          <w:sz w:val="20"/>
          <w:szCs w:val="20"/>
          <w:color w:val="auto"/>
        </w:rPr>
      </w:pPr>
    </w:p>
    <w:p>
      <w:pPr>
        <w:ind w:left="460" w:right="320" w:hanging="452"/>
        <w:spacing w:after="0" w:line="275"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 the last paragraph of the letter to stockholders, indicate what stockholders should do if they do not consent to the proposed amendments or wish to abstain from voting.</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in the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43687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36870" cy="16319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right="5800" w:hanging="452"/>
        <w:spacing w:after="0" w:line="347" w:lineRule="auto"/>
        <w:tabs>
          <w:tab w:leader="none" w:pos="44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 page 2, define who will be paying the costs of soliciting consents. </w:t>
      </w:r>
      <w:r>
        <w:rPr>
          <w:rFonts w:ascii="Arial" w:cs="Arial" w:eastAsia="Arial" w:hAnsi="Arial"/>
          <w:sz w:val="18"/>
          <w:szCs w:val="18"/>
          <w:u w:val="single" w:color="auto"/>
          <w:color w:val="auto"/>
        </w:rPr>
        <w:t>Response:</w:t>
      </w:r>
    </w:p>
    <w:p>
      <w:pPr>
        <w:spacing w:after="0" w:line="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respectfully notes that references to “us,” “we” and “our” in the Consent Solicitation Statement mean the Company, and has revised the disclosure on page 1 in response to the Staff’s comment.</w:t>
      </w:r>
    </w:p>
    <w:p>
      <w:pPr>
        <w:spacing w:after="0" w:line="248" w:lineRule="exact"/>
        <w:rPr>
          <w:sz w:val="20"/>
          <w:szCs w:val="20"/>
          <w:color w:val="auto"/>
        </w:rPr>
      </w:pPr>
    </w:p>
    <w:p>
      <w:pPr>
        <w:ind w:left="460" w:right="4140" w:hanging="452"/>
        <w:spacing w:after="0" w:line="347" w:lineRule="auto"/>
        <w:tabs>
          <w:tab w:leader="none" w:pos="44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 that any script used in connection with the solicitation will be filed with the SEC. </w:t>
      </w:r>
      <w:r>
        <w:rPr>
          <w:rFonts w:ascii="Arial" w:cs="Arial" w:eastAsia="Arial" w:hAnsi="Arial"/>
          <w:sz w:val="18"/>
          <w:szCs w:val="18"/>
          <w:u w:val="single" w:color="auto"/>
          <w:color w:val="auto"/>
        </w:rPr>
        <w:t>Response:</w:t>
      </w:r>
    </w:p>
    <w:p>
      <w:pPr>
        <w:spacing w:after="0" w:line="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respectfully acknowledges the Staff’s comment and confirms that it will file with the SEC any scripts or written consent materials used in the solicitation that are required to be filed pursuant to Rule 14a-6.</w:t>
      </w:r>
    </w:p>
    <w:p>
      <w:pPr>
        <w:spacing w:after="0" w:line="248" w:lineRule="exact"/>
        <w:rPr>
          <w:sz w:val="20"/>
          <w:szCs w:val="20"/>
          <w:color w:val="auto"/>
        </w:rPr>
      </w:pPr>
    </w:p>
    <w:p>
      <w:pPr>
        <w:ind w:left="460" w:right="680" w:hanging="452"/>
        <w:spacing w:after="0" w:line="347" w:lineRule="auto"/>
        <w:tabs>
          <w:tab w:leader="none" w:pos="44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Revise the second paragraph on page 3 so that it complies with the SEC’s plain English requirements regarding the use of capital letters. </w:t>
      </w:r>
      <w:r>
        <w:rPr>
          <w:rFonts w:ascii="Arial" w:cs="Arial" w:eastAsia="Arial" w:hAnsi="Arial"/>
          <w:sz w:val="18"/>
          <w:szCs w:val="18"/>
          <w:u w:val="single" w:color="auto"/>
          <w:color w:val="auto"/>
        </w:rPr>
        <w:t>Response: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3.</w:t>
      </w:r>
    </w:p>
    <w:p>
      <w:pPr>
        <w:spacing w:after="0" w:line="286" w:lineRule="exact"/>
        <w:rPr>
          <w:rFonts w:ascii="Arial" w:cs="Arial" w:eastAsia="Arial" w:hAnsi="Arial"/>
          <w:sz w:val="18"/>
          <w:szCs w:val="18"/>
          <w:b w:val="1"/>
          <w:bCs w:val="1"/>
          <w:color w:val="auto"/>
        </w:rPr>
      </w:pPr>
    </w:p>
    <w:p>
      <w:pPr>
        <w:ind w:left="460" w:right="1320" w:hanging="452"/>
        <w:spacing w:after="0" w:line="347" w:lineRule="auto"/>
        <w:tabs>
          <w:tab w:leader="none" w:pos="44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the third paragraph on page 3, revise the first sentence to disclose the current number of authorized shares of common stock. </w:t>
      </w:r>
      <w:r>
        <w:rPr>
          <w:rFonts w:ascii="Arial" w:cs="Arial" w:eastAsia="Arial" w:hAnsi="Arial"/>
          <w:sz w:val="18"/>
          <w:szCs w:val="18"/>
          <w:u w:val="single" w:color="auto"/>
          <w:color w:val="auto"/>
        </w:rPr>
        <w:t>Response: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3.</w:t>
      </w:r>
    </w:p>
    <w:p>
      <w:pPr>
        <w:spacing w:after="0" w:line="286" w:lineRule="exact"/>
        <w:rPr>
          <w:rFonts w:ascii="Arial" w:cs="Arial" w:eastAsia="Arial" w:hAnsi="Arial"/>
          <w:sz w:val="18"/>
          <w:szCs w:val="18"/>
          <w:b w:val="1"/>
          <w:bCs w:val="1"/>
          <w:color w:val="auto"/>
        </w:rPr>
      </w:pPr>
    </w:p>
    <w:p>
      <w:pPr>
        <w:ind w:left="460" w:hanging="452"/>
        <w:spacing w:after="0" w:line="310"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 the fourth paragraph on page 3, revise the disclosure so that the reductions referenced in the second sentence are characterized as dilutions of stockholders’ interests. Also, add disclosure regarding restrictions on a business development company’s ability to classify shares and issue senior securities pursuant to Sections 18 and 61 of the Investment Company Act of 1940.</w:t>
      </w:r>
    </w:p>
    <w:p>
      <w:pPr>
        <w:spacing w:after="0" w:line="2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p>
    <w:p>
      <w:pPr>
        <w:spacing w:after="0" w:line="9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 3.</w:t>
      </w:r>
    </w:p>
    <w:p>
      <w:pPr>
        <w:sectPr>
          <w:pgSz w:w="11900" w:h="16838" w:orient="portrait"/>
          <w:cols w:equalWidth="0" w:num="1">
            <w:col w:w="11320"/>
          </w:cols>
          <w:pgMar w:left="240" w:top="28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ind w:left="460" w:hanging="452"/>
        <w:spacing w:after="0" w:line="275"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 the fifth paragraph on page 3, add disclosure that the proposal could have the effect of depriving shareholders of their ability to sell their shares at a premium to net asset value.</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3.</w:t>
      </w:r>
    </w:p>
    <w:p>
      <w:pPr>
        <w:spacing w:after="0" w:line="286" w:lineRule="exact"/>
        <w:rPr>
          <w:rFonts w:ascii="Arial" w:cs="Arial" w:eastAsia="Arial" w:hAnsi="Arial"/>
          <w:sz w:val="18"/>
          <w:szCs w:val="18"/>
          <w:b w:val="1"/>
          <w:bCs w:val="1"/>
          <w:color w:val="auto"/>
        </w:rPr>
      </w:pPr>
    </w:p>
    <w:p>
      <w:pPr>
        <w:ind w:left="460" w:right="60" w:hanging="452"/>
        <w:spacing w:after="0" w:line="347" w:lineRule="auto"/>
        <w:tabs>
          <w:tab w:leader="none" w:pos="449"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the paragraphs under the heading “No Rights of Appraisal” on pages 3 and 4, confirm why this disclosure is presented in this proxy statement. </w:t>
      </w:r>
      <w:r>
        <w:rPr>
          <w:rFonts w:ascii="Arial" w:cs="Arial" w:eastAsia="Arial" w:hAnsi="Arial"/>
          <w:sz w:val="18"/>
          <w:szCs w:val="18"/>
          <w:u w:val="single" w:color="auto"/>
          <w:color w:val="auto"/>
        </w:rPr>
        <w:t>Response: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respectfully notes that this disclosure was included in response to Item 3. Dissenters’ Rights of Appraisal of Schedule 14A.</w:t>
      </w:r>
    </w:p>
    <w:p>
      <w:pPr>
        <w:spacing w:after="0" w:line="286" w:lineRule="exact"/>
        <w:rPr>
          <w:rFonts w:ascii="Arial" w:cs="Arial" w:eastAsia="Arial" w:hAnsi="Arial"/>
          <w:sz w:val="18"/>
          <w:szCs w:val="18"/>
          <w:b w:val="1"/>
          <w:bCs w:val="1"/>
          <w:color w:val="auto"/>
        </w:rPr>
      </w:pPr>
    </w:p>
    <w:p>
      <w:pPr>
        <w:ind w:left="460" w:right="100" w:hanging="452"/>
        <w:spacing w:after="0" w:line="275"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first, second and last paragraphs on page 4 so that they comply with the SEC’s plain English requirements regarding the use of capital letters.</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4 and 5.</w:t>
      </w:r>
    </w:p>
    <w:p>
      <w:pPr>
        <w:spacing w:after="0" w:line="286" w:lineRule="exact"/>
        <w:rPr>
          <w:rFonts w:ascii="Arial" w:cs="Arial" w:eastAsia="Arial" w:hAnsi="Arial"/>
          <w:sz w:val="18"/>
          <w:szCs w:val="18"/>
          <w:b w:val="1"/>
          <w:bCs w:val="1"/>
          <w:color w:val="auto"/>
        </w:rPr>
      </w:pPr>
    </w:p>
    <w:p>
      <w:pPr>
        <w:ind w:left="460" w:right="480" w:hanging="452"/>
        <w:spacing w:after="0" w:line="275"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 the sixth paragraph on page 4, add disclosure that the proposal could have the effect of depriving shareholders of their ability to sell their shares at a premium to net asset value.</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4.</w:t>
      </w:r>
    </w:p>
    <w:p>
      <w:pPr>
        <w:spacing w:after="0" w:line="286" w:lineRule="exact"/>
        <w:rPr>
          <w:rFonts w:ascii="Arial" w:cs="Arial" w:eastAsia="Arial" w:hAnsi="Arial"/>
          <w:sz w:val="18"/>
          <w:szCs w:val="18"/>
          <w:b w:val="1"/>
          <w:bCs w:val="1"/>
          <w:color w:val="auto"/>
        </w:rPr>
      </w:pPr>
    </w:p>
    <w:p>
      <w:pPr>
        <w:ind w:left="460" w:right="20" w:hanging="452"/>
        <w:spacing w:after="0" w:line="275"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 the section entitled “Stockholder Proposals and Nominations for the 2014 Annual Meeting of Stockholders,” add disclosure related to Rule 14a-5(e)(1) and 14a-5(e)(2) with respect to the 2015 annual meeting of stockholders.</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9.</w:t>
      </w:r>
    </w:p>
    <w:p>
      <w:pPr>
        <w:spacing w:after="0" w:line="286" w:lineRule="exact"/>
        <w:rPr>
          <w:rFonts w:ascii="Arial" w:cs="Arial" w:eastAsia="Arial" w:hAnsi="Arial"/>
          <w:sz w:val="18"/>
          <w:szCs w:val="18"/>
          <w:b w:val="1"/>
          <w:bCs w:val="1"/>
          <w:color w:val="auto"/>
        </w:rPr>
      </w:pPr>
    </w:p>
    <w:p>
      <w:pPr>
        <w:ind w:left="460" w:right="1680" w:hanging="452"/>
        <w:spacing w:after="0" w:line="347" w:lineRule="auto"/>
        <w:tabs>
          <w:tab w:leader="none" w:pos="449"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 the consent card, use bold font for the following sentence: “This consent is solicited on behalf of the Board of Directors.” </w:t>
      </w:r>
      <w:r>
        <w:rPr>
          <w:rFonts w:ascii="Arial" w:cs="Arial" w:eastAsia="Arial" w:hAnsi="Arial"/>
          <w:sz w:val="18"/>
          <w:szCs w:val="18"/>
          <w:u w:val="single" w:color="auto"/>
          <w:color w:val="auto"/>
        </w:rPr>
        <w:t>Response: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the consent card.</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ind w:left="460" w:right="1200" w:hanging="452"/>
        <w:spacing w:after="0" w:line="347" w:lineRule="auto"/>
        <w:tabs>
          <w:tab w:leader="none" w:pos="44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 the consent card, revise proposal 2 to add “outside of an annual or special meeting of stockholders” at the end of the sentence. </w:t>
      </w:r>
      <w:r>
        <w:rPr>
          <w:rFonts w:ascii="Arial" w:cs="Arial" w:eastAsia="Arial" w:hAnsi="Arial"/>
          <w:sz w:val="18"/>
          <w:szCs w:val="18"/>
          <w:u w:val="single" w:color="auto"/>
          <w:color w:val="auto"/>
        </w:rPr>
        <w:t>Response: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the consent card.</w:t>
      </w:r>
    </w:p>
    <w:p>
      <w:pPr>
        <w:spacing w:after="0" w:line="286" w:lineRule="exact"/>
        <w:rPr>
          <w:rFonts w:ascii="Arial" w:cs="Arial" w:eastAsia="Arial" w:hAnsi="Arial"/>
          <w:sz w:val="18"/>
          <w:szCs w:val="18"/>
          <w:b w:val="1"/>
          <w:bCs w:val="1"/>
          <w:color w:val="auto"/>
        </w:rPr>
      </w:pPr>
    </w:p>
    <w:p>
      <w:pPr>
        <w:ind w:left="460" w:right="80" w:hanging="452"/>
        <w:spacing w:after="0" w:line="347" w:lineRule="auto"/>
        <w:tabs>
          <w:tab w:leader="none" w:pos="44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Revise the sixth paragraph on the consent card so that it complies with the SEC’s plain English requirements regarding the use of capital letters. </w:t>
      </w:r>
      <w:r>
        <w:rPr>
          <w:rFonts w:ascii="Arial" w:cs="Arial" w:eastAsia="Arial" w:hAnsi="Arial"/>
          <w:sz w:val="18"/>
          <w:szCs w:val="18"/>
          <w:u w:val="single" w:color="auto"/>
          <w:color w:val="auto"/>
        </w:rPr>
        <w:t>Response: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the consent card.</w:t>
      </w:r>
    </w:p>
    <w:p>
      <w:pPr>
        <w:spacing w:after="0" w:line="171" w:lineRule="exact"/>
        <w:rPr>
          <w:rFonts w:ascii="Arial" w:cs="Arial" w:eastAsia="Arial" w:hAnsi="Arial"/>
          <w:sz w:val="18"/>
          <w:szCs w:val="18"/>
          <w:b w:val="1"/>
          <w:bCs w:val="1"/>
          <w:color w:val="auto"/>
        </w:rPr>
      </w:pPr>
    </w:p>
    <w:p>
      <w:pPr>
        <w:ind w:left="5120"/>
        <w:spacing w:after="0"/>
        <w:rPr>
          <w:rFonts w:ascii="Arial" w:cs="Arial" w:eastAsia="Arial" w:hAnsi="Arial"/>
          <w:sz w:val="18"/>
          <w:szCs w:val="18"/>
          <w:b w:val="1"/>
          <w:bCs w:val="1"/>
          <w:color w:val="auto"/>
        </w:rPr>
      </w:pPr>
      <w:r>
        <w:rPr>
          <w:rFonts w:ascii="Arial" w:cs="Arial" w:eastAsia="Arial" w:hAnsi="Arial"/>
          <w:sz w:val="18"/>
          <w:szCs w:val="18"/>
          <w:color w:val="auto"/>
        </w:rPr>
        <w:t>*   *  *  *  *</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12" w:lineRule="exact"/>
        <w:rPr>
          <w:sz w:val="20"/>
          <w:szCs w:val="20"/>
          <w:color w:val="auto"/>
        </w:rPr>
      </w:pPr>
    </w:p>
    <w:p>
      <w:pPr>
        <w:ind w:left="700" w:right="9360" w:hanging="692"/>
        <w:spacing w:after="0" w:line="286"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David Stiepleman Jennifer Mello</w:t>
      </w:r>
    </w:p>
    <w:p>
      <w:pPr>
        <w:ind w:left="86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218" w:lineRule="exact"/>
        <w:rPr>
          <w:rFonts w:ascii="Arial" w:cs="Arial" w:eastAsia="Arial" w:hAnsi="Arial"/>
          <w:sz w:val="16"/>
          <w:szCs w:val="16"/>
          <w:color w:val="auto"/>
        </w:rPr>
      </w:pPr>
    </w:p>
    <w:p>
      <w:pPr>
        <w:ind w:left="700" w:right="8920"/>
        <w:spacing w:after="0" w:line="305" w:lineRule="auto"/>
        <w:rPr>
          <w:rFonts w:ascii="Arial" w:cs="Arial" w:eastAsia="Arial" w:hAnsi="Arial"/>
          <w:sz w:val="16"/>
          <w:szCs w:val="16"/>
          <w:color w:val="auto"/>
        </w:rPr>
      </w:pPr>
      <w:r>
        <w:rPr>
          <w:rFonts w:ascii="Arial" w:cs="Arial" w:eastAsia="Arial" w:hAnsi="Arial"/>
          <w:sz w:val="15"/>
          <w:szCs w:val="15"/>
          <w:color w:val="auto"/>
        </w:rPr>
        <w:t>Michael A. Gerstenzang Helena K. Grannis</w:t>
      </w:r>
    </w:p>
    <w:p>
      <w:pPr>
        <w:ind w:left="88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1)"/>
      <w:numFmt w:val="decimal"/>
      <w:start w:val="7"/>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4"/>
    </w:lvl>
  </w:abstractNum>
  <w:abstractNum w:abstractNumId="19">
    <w:nsid w:val="628C895D"/>
    <w:multiLevelType w:val="hybridMultilevel"/>
    <w:lvl w:ilvl="0">
      <w:lvlJc w:val="left"/>
      <w:lvlText w:val="%1."/>
      <w:numFmt w:val="decimal"/>
      <w:start w:val="7"/>
    </w:lvl>
  </w:abstractNum>
  <w:abstractNum w:abstractNumId="20">
    <w:nsid w:val="333AB105"/>
    <w:multiLevelType w:val="hybridMultilevel"/>
    <w:lvl w:ilvl="0">
      <w:lvlJc w:val="left"/>
      <w:lvlText w:val="%1."/>
      <w:numFmt w:val="decimal"/>
      <w:start w:val="13"/>
    </w:lvl>
    <w:lvl w:ilvl="1">
      <w:lvlJc w:val="left"/>
      <w:lvlText w:val="*"/>
      <w:numFmt w:val="bullet"/>
      <w:start w:val="1"/>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2019-12-08T00:22:05Z</dcterms:created>
  <dcterms:modified xsi:type="dcterms:W3CDTF">2019-12-08T00:22:05Z</dcterms:modified>
</cp:coreProperties>
</file>