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-2642870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-1167765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10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-593090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pleased to invite you to attend the 2015 Annual Meeting of Stockholders of TPG Specialty Lending, Inc. to be held on May 21, 2015, at 10:00 a.m., local time, at the offices of Cleary Gottlieb Steen &amp; Hamilton LLP, One Liberty Plaza (on Broadway between Liberty and Cortlandt Streets), 38</w:t>
      </w:r>
      <w:r>
        <w:rPr>
          <w:rFonts w:ascii="Arial" w:cs="Arial" w:eastAsia="Arial" w:hAnsi="Arial"/>
          <w:sz w:val="15"/>
          <w:szCs w:val="15"/>
          <w:color w:val="auto"/>
        </w:rPr>
        <w:t>th</w:t>
      </w:r>
      <w:r>
        <w:rPr>
          <w:rFonts w:ascii="Arial" w:cs="Arial" w:eastAsia="Arial" w:hAnsi="Arial"/>
          <w:sz w:val="18"/>
          <w:szCs w:val="18"/>
          <w:color w:val="auto"/>
        </w:rPr>
        <w:t xml:space="preserve"> Floor, New York, NY 10006.</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21, 2015.</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Our proxy statement and annual report on Form 10-K for the year ended December 31, 2014, are available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980"/>
          </w:cols>
          <w:pgMar w:left="24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the 2015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IS HEREBY GIVEN that the 2015 Annual Meeting of Stockholders of TPG Specialty Lending, Inc. will be held at the offices of Cleary</w:t>
      </w:r>
    </w:p>
    <w:p>
      <w:pPr>
        <w:spacing w:after="0" w:line="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Gottlieb Steen &amp; Hamilton LLP, One Liberty Plaza (on Broadway between Liberty and Cortlandt Streets), 38</w:t>
      </w:r>
      <w:r>
        <w:rPr>
          <w:rFonts w:ascii="Arial" w:cs="Arial" w:eastAsia="Arial" w:hAnsi="Arial"/>
          <w:sz w:val="15"/>
          <w:szCs w:val="15"/>
          <w:color w:val="auto"/>
        </w:rPr>
        <w:t>th</w:t>
      </w:r>
      <w:r>
        <w:rPr>
          <w:rFonts w:ascii="Arial" w:cs="Arial" w:eastAsia="Arial" w:hAnsi="Arial"/>
          <w:sz w:val="18"/>
          <w:szCs w:val="18"/>
          <w:color w:val="auto"/>
        </w:rPr>
        <w:t xml:space="preserve"> Floor, New York, NY 10006 on May 21, 2015, at 10:00 a.m., local time. The 2015 Annual Meeting of Stockholders is being held for the following purposes:</w:t>
      </w:r>
    </w:p>
    <w:p>
      <w:pPr>
        <w:spacing w:after="0" w:line="75" w:lineRule="exact"/>
        <w:rPr>
          <w:sz w:val="20"/>
          <w:szCs w:val="20"/>
          <w:color w:val="auto"/>
        </w:rPr>
      </w:pPr>
    </w:p>
    <w:p>
      <w:pPr>
        <w:ind w:left="460" w:right="720" w:firstLine="443"/>
        <w:spacing w:after="0" w:line="277" w:lineRule="auto"/>
        <w:tabs>
          <w:tab w:leader="none" w:pos="1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Class I directors, each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102" w:lineRule="exact"/>
        <w:rPr>
          <w:rFonts w:ascii="Arial" w:cs="Arial" w:eastAsia="Arial" w:hAnsi="Arial"/>
          <w:sz w:val="16"/>
          <w:szCs w:val="16"/>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2015 Annual Meeting of Stockholders or any postponement or adjournment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Only stockholders of record at the close of business on March 27, 2015, are entitled to notice of and to vote at the 2015 Annual Meeting of Stockholders or any postponement or adjournment thereof.</w:t>
      </w:r>
    </w:p>
    <w:p>
      <w:pPr>
        <w:spacing w:after="0" w:line="17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Your vote is extremely important to us. If you are unable to attend the 2015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from time to time we may repurchase shares of our common stock and are notifying you of this ability as required by applicable securities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“Stock Repurchase Plan” in the proxy statement.</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0" w:type="dxa"/>
            <w:vAlign w:val="bottom"/>
            <w:tcBorders>
              <w:top w:val="single" w:sz="8" w:color="CCEEFF"/>
            </w:tcBorders>
            <w:gridSpan w:val="13"/>
            <w:shd w:val="clear" w:color="auto" w:fill="CCEEFF"/>
          </w:tcPr>
          <w:p>
            <w:pPr>
              <w:spacing w:after="0" w:line="136" w:lineRule="exact"/>
              <w:rPr>
                <w:rFonts w:ascii="Arial" w:cs="Arial" w:eastAsia="Arial" w:hAnsi="Arial"/>
                <w:sz w:val="15"/>
                <w:szCs w:val="15"/>
                <w:color w:val="0000EE"/>
              </w:rPr>
            </w:pPr>
            <w:hyperlink w:anchor="page7">
              <w:r>
                <w:rPr>
                  <w:rFonts w:ascii="Arial" w:cs="Arial" w:eastAsia="Arial" w:hAnsi="Arial"/>
                  <w:sz w:val="15"/>
                  <w:szCs w:val="15"/>
                  <w:color w:val="0000EE"/>
                </w:rPr>
                <w:t>Proxy Statement for the 2015 Annual Meeting of Stockholders</w:t>
              </w:r>
            </w:hyperlink>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7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4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Proposal No. 1—Election of Directors</w:t>
              </w:r>
            </w:hyperlink>
          </w:p>
        </w:tc>
        <w:tc>
          <w:tcPr>
            <w:tcW w:w="8240" w:type="dxa"/>
            <w:vAlign w:val="bottom"/>
            <w:tcBorders>
              <w:bottom w:val="single" w:sz="8" w:color="CCEEFF"/>
            </w:tcBorders>
            <w:gridSpan w:val="5"/>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4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Proposal No. 2—Ratification of Selection of Independent Registered Public Accounting Firm</w:t>
              </w:r>
            </w:hyperlink>
          </w:p>
        </w:tc>
        <w:tc>
          <w:tcPr>
            <w:tcW w:w="4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Report</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Business</w:t>
              </w:r>
            </w:hyperlink>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Stock Repurchase Plan</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Stockholder Proposals and Nominations for the 2016 Annual Meeting of Stockholders</w:t>
              </w:r>
            </w:hyperlink>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Annual Report</w:t>
              </w:r>
            </w:hyperlink>
          </w:p>
        </w:tc>
        <w:tc>
          <w:tcPr>
            <w:tcW w:w="4800" w:type="dxa"/>
            <w:vAlign w:val="bottom"/>
            <w:tcBorders>
              <w:top w:val="single" w:sz="8" w:color="CCEEFF"/>
            </w:tcBorders>
            <w:gridSpan w:val="2"/>
          </w:tcPr>
          <w:p>
            <w:pPr>
              <w:spacing w:after="0"/>
              <w:rPr>
                <w:sz w:val="15"/>
                <w:szCs w:val="15"/>
                <w:color w:val="auto"/>
              </w:rPr>
            </w:pPr>
          </w:p>
        </w:tc>
        <w:tc>
          <w:tcPr>
            <w:tcW w:w="3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Householding of Proxy Materials</w:t>
              </w:r>
            </w:hyperlink>
          </w:p>
        </w:tc>
        <w:tc>
          <w:tcPr>
            <w:tcW w:w="8600" w:type="dxa"/>
            <w:vAlign w:val="bottom"/>
            <w:tcBorders>
              <w:bottom w:val="single" w:sz="8" w:color="CCEEFF"/>
            </w:tcBorders>
            <w:gridSpan w:val="6"/>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Privacy Principles</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accompanying proxy is solicited on behalf of the Board of Directors (the “Board”) of TPG Specialty Lending, Inc., which is sometimes referred to in this proxy statement as “TSL,” “we,” “us,” “our,” or the “Company,” for use at the 2015 Annual Meeting of Stockholders (the “Meeting”) to be held at the offices of Cleary Gottlieb Steen &amp; Hamilton LLP, One Liberty Plaza (on Broadway between Liberty and Cortlandt Streets), 38</w:t>
      </w:r>
      <w:r>
        <w:rPr>
          <w:rFonts w:ascii="Arial" w:cs="Arial" w:eastAsia="Arial" w:hAnsi="Arial"/>
          <w:sz w:val="15"/>
          <w:szCs w:val="15"/>
          <w:color w:val="auto"/>
        </w:rPr>
        <w:t>th</w:t>
      </w:r>
      <w:r>
        <w:rPr>
          <w:rFonts w:ascii="Arial" w:cs="Arial" w:eastAsia="Arial" w:hAnsi="Arial"/>
          <w:sz w:val="18"/>
          <w:szCs w:val="18"/>
          <w:color w:val="auto"/>
        </w:rPr>
        <w:t xml:space="preserve"> Floor, New York, NY 10006 on May 21, 2015, at 10:00 a.m., local time. Only holders of record of our common stock at the close of business on March 27, 2015, which is the record date, will be entitled to vote at the Meeting. At the close of business on the record date, we had 53,959,848 shares of common stock outstanding and entitled to vote.</w:t>
      </w:r>
    </w:p>
    <w:p>
      <w:pPr>
        <w:spacing w:after="0" w:line="19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It is anticipated that the Notice of Internet Availability of Proxy Materials will first be sent to Stockholders on or about April 10, 2015. This proxy statement, including the accompanying form of proxy (collectively, the “Proxy Statement”), and the Company’s Annual Report for the fiscal year ended December 31, 2014 will first be made available to stockholders on or about April 10, 2015. The Annual Report and Proxy Statement can both be accessed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Class I director candidates nominated by the Board and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KPMG LLP as the Company’s independent registered public accounting firm for the fiscal year ending December 31, 2015. Should any matter not described above be properly presented at the Meeting, the named proxies will vote in accordance with their judgment as permitted.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2015 Annual Meeting of Stockholders is being held for the following purposes:</w:t>
      </w:r>
    </w:p>
    <w:p>
      <w:pPr>
        <w:spacing w:after="0" w:line="225" w:lineRule="exact"/>
        <w:rPr>
          <w:sz w:val="20"/>
          <w:szCs w:val="20"/>
          <w:color w:val="auto"/>
        </w:rPr>
      </w:pPr>
    </w:p>
    <w:p>
      <w:pPr>
        <w:ind w:right="42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two Class I directors, each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 2015.</w:t>
      </w:r>
    </w:p>
    <w:p>
      <w:pPr>
        <w:spacing w:after="0" w:line="248"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2015 Annual Meeting of Stockholders or any postponement or adjournment thereof.</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7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inspector of elections appointed for the Meeting will separately tabulate affirmative votes, “withhold” votes, “abstain” votes and broker non-votes.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named proxies for the Meeting are Jennifer Gordon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Company will pay the expenses of soliciting proxies to be voted at the Meeting. The Company has retained Broadridge Investor Communications Solutions, Inc. to assist with the distribution and collection of proxies for a fee of approximately $12,000, plus reimbursement of expenses.</w:t>
      </w:r>
    </w:p>
    <w:p>
      <w:pPr>
        <w:spacing w:after="0" w:line="124"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stockholder may revoke any proxy that is not irrevocable by attending the Meeting and voting in person or by delivering a new proxy in accordance with applicable law bearing a later date to the Secretary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You can contact us by mail sent to the attention of the Secretary of the Company, Jennifer Mello, at our principal executive offices located at 301 Commerce Street, Suite 3300, Fort Worth, TX 76102. You can call us by dialing (817) 871-4000. You can access our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27, 2015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our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percentage ownership is based on 53,959,848 shares of common stock outstanding as of March 27, 2015.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Shares of</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8920" w:type="dxa"/>
            <w:vAlign w:val="bottom"/>
            <w:gridSpan w:val="2"/>
            <w:vMerge w:val="continue"/>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Owned(1)</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Owned(1)</w:t>
            </w:r>
          </w:p>
        </w:tc>
        <w:tc>
          <w:tcPr>
            <w:tcW w:w="0" w:type="dxa"/>
            <w:vAlign w:val="bottom"/>
          </w:tcPr>
          <w:p>
            <w:pPr>
              <w:spacing w:after="0"/>
              <w:rPr>
                <w:sz w:val="1"/>
                <w:szCs w:val="1"/>
                <w:color w:val="auto"/>
              </w:rPr>
            </w:pPr>
          </w:p>
        </w:tc>
      </w:tr>
      <w:tr>
        <w:trPr>
          <w:trHeight w:val="183"/>
        </w:trPr>
        <w:tc>
          <w:tcPr>
            <w:tcW w:w="25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w w:val="92"/>
              </w:rPr>
              <w:t>Directors and Executive Officers:</w:t>
            </w:r>
          </w:p>
        </w:tc>
        <w:tc>
          <w:tcPr>
            <w:tcW w:w="64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Arial" w:cs="Arial" w:eastAsia="Arial" w:hAnsi="Arial"/>
                <w:sz w:val="17"/>
                <w:szCs w:val="17"/>
                <w:i w:val="1"/>
                <w:iCs w:val="1"/>
                <w:color w:val="auto"/>
              </w:rPr>
              <w:t>Interested Directors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Joshua Easterly (2)</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17,926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gridSpan w:val="2"/>
          </w:tcPr>
          <w:p>
            <w:pPr>
              <w:ind w:left="180"/>
              <w:spacing w:after="0"/>
              <w:rPr>
                <w:sz w:val="20"/>
                <w:szCs w:val="20"/>
                <w:color w:val="auto"/>
              </w:rPr>
            </w:pPr>
            <w:r>
              <w:rPr>
                <w:rFonts w:ascii="Arial" w:cs="Arial" w:eastAsia="Arial" w:hAnsi="Arial"/>
                <w:sz w:val="17"/>
                <w:szCs w:val="17"/>
                <w:color w:val="auto"/>
              </w:rPr>
              <w:t>Michael Fishman (3)</w:t>
            </w:r>
          </w:p>
        </w:tc>
        <w:tc>
          <w:tcPr>
            <w:tcW w:w="1580" w:type="dxa"/>
            <w:vAlign w:val="bottom"/>
            <w:gridSpan w:val="2"/>
          </w:tcPr>
          <w:p>
            <w:pPr>
              <w:jc w:val="right"/>
              <w:ind w:right="620"/>
              <w:spacing w:after="0"/>
              <w:rPr>
                <w:sz w:val="20"/>
                <w:szCs w:val="20"/>
                <w:color w:val="auto"/>
              </w:rPr>
            </w:pPr>
            <w:r>
              <w:rPr>
                <w:rFonts w:ascii="Arial" w:cs="Arial" w:eastAsia="Arial" w:hAnsi="Arial"/>
                <w:sz w:val="17"/>
                <w:szCs w:val="17"/>
                <w:color w:val="auto"/>
              </w:rPr>
              <w:t>36,366</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Independent Directors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ind w:left="180"/>
              <w:spacing w:after="0"/>
              <w:rPr>
                <w:sz w:val="20"/>
                <w:szCs w:val="20"/>
                <w:color w:val="auto"/>
              </w:rPr>
            </w:pPr>
            <w:r>
              <w:rPr>
                <w:rFonts w:ascii="Arial" w:cs="Arial" w:eastAsia="Arial" w:hAnsi="Arial"/>
                <w:sz w:val="17"/>
                <w:szCs w:val="17"/>
                <w:color w:val="auto"/>
              </w:rPr>
              <w:t>Richard Higginbotham (Director Nominee)</w:t>
            </w:r>
          </w:p>
        </w:tc>
        <w:tc>
          <w:tcPr>
            <w:tcW w:w="158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John Ross</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16,575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gridSpan w:val="2"/>
          </w:tcPr>
          <w:p>
            <w:pPr>
              <w:ind w:left="180"/>
              <w:spacing w:after="0"/>
              <w:rPr>
                <w:sz w:val="20"/>
                <w:szCs w:val="20"/>
                <w:color w:val="auto"/>
              </w:rPr>
            </w:pPr>
            <w:r>
              <w:rPr>
                <w:rFonts w:ascii="Arial" w:cs="Arial" w:eastAsia="Arial" w:hAnsi="Arial"/>
                <w:sz w:val="17"/>
                <w:szCs w:val="17"/>
                <w:color w:val="auto"/>
              </w:rPr>
              <w:t>Ronald Tanemura (Director Nominee)</w:t>
            </w:r>
          </w:p>
        </w:tc>
        <w:tc>
          <w:tcPr>
            <w:tcW w:w="1580" w:type="dxa"/>
            <w:vAlign w:val="bottom"/>
            <w:gridSpan w:val="2"/>
          </w:tcPr>
          <w:p>
            <w:pPr>
              <w:jc w:val="right"/>
              <w:ind w:right="620"/>
              <w:spacing w:after="0"/>
              <w:rPr>
                <w:sz w:val="20"/>
                <w:szCs w:val="20"/>
                <w:color w:val="auto"/>
              </w:rPr>
            </w:pPr>
            <w:r>
              <w:rPr>
                <w:rFonts w:ascii="Arial" w:cs="Arial" w:eastAsia="Arial" w:hAnsi="Arial"/>
                <w:sz w:val="17"/>
                <w:szCs w:val="17"/>
                <w:color w:val="auto"/>
              </w:rPr>
              <w:t>31,091</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Named Executive Officers Who Are Not Directors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ind w:left="180"/>
              <w:spacing w:after="0"/>
              <w:rPr>
                <w:sz w:val="20"/>
                <w:szCs w:val="20"/>
                <w:color w:val="auto"/>
              </w:rPr>
            </w:pPr>
            <w:r>
              <w:rPr>
                <w:rFonts w:ascii="Arial" w:cs="Arial" w:eastAsia="Arial" w:hAnsi="Arial"/>
                <w:sz w:val="17"/>
                <w:szCs w:val="17"/>
                <w:color w:val="auto"/>
              </w:rPr>
              <w:t>Alan Kirshenbaum (4)</w:t>
            </w:r>
          </w:p>
        </w:tc>
        <w:tc>
          <w:tcPr>
            <w:tcW w:w="1580" w:type="dxa"/>
            <w:vAlign w:val="bottom"/>
            <w:gridSpan w:val="2"/>
          </w:tcPr>
          <w:p>
            <w:pPr>
              <w:jc w:val="right"/>
              <w:ind w:right="620"/>
              <w:spacing w:after="0"/>
              <w:rPr>
                <w:sz w:val="20"/>
                <w:szCs w:val="20"/>
                <w:color w:val="auto"/>
              </w:rPr>
            </w:pPr>
            <w:r>
              <w:rPr>
                <w:rFonts w:ascii="Arial" w:cs="Arial" w:eastAsia="Arial" w:hAnsi="Arial"/>
                <w:sz w:val="17"/>
                <w:szCs w:val="17"/>
                <w:color w:val="auto"/>
              </w:rPr>
              <w:t>4,181</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Directors and Executive Officers as a Group (12 persons) (5)(6)</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2,916,755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Arial" w:cs="Arial" w:eastAsia="Arial" w:hAnsi="Arial"/>
                <w:sz w:val="17"/>
                <w:szCs w:val="17"/>
                <w:b w:val="1"/>
                <w:bCs w:val="1"/>
                <w:color w:val="auto"/>
              </w:rPr>
              <w:t>Five-Percent Stockholders: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9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Division of Investment, Department of Treasury, State of</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New Jersey (7)</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7,258,761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Arial" w:cs="Arial" w:eastAsia="Arial" w:hAnsi="Arial"/>
                <w:sz w:val="17"/>
                <w:szCs w:val="17"/>
                <w:color w:val="auto"/>
              </w:rPr>
              <w:t>FMR LLC (8)</w:t>
            </w:r>
          </w:p>
        </w:tc>
        <w:tc>
          <w:tcPr>
            <w:tcW w:w="1580" w:type="dxa"/>
            <w:vAlign w:val="bottom"/>
            <w:gridSpan w:val="2"/>
          </w:tcPr>
          <w:p>
            <w:pPr>
              <w:jc w:val="right"/>
              <w:ind w:right="620"/>
              <w:spacing w:after="0"/>
              <w:rPr>
                <w:sz w:val="20"/>
                <w:szCs w:val="20"/>
                <w:color w:val="auto"/>
              </w:rPr>
            </w:pPr>
            <w:r>
              <w:rPr>
                <w:rFonts w:ascii="Arial" w:cs="Arial" w:eastAsia="Arial" w:hAnsi="Arial"/>
                <w:sz w:val="17"/>
                <w:szCs w:val="17"/>
                <w:color w:val="auto"/>
              </w:rPr>
              <w:t>4,836,382</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 Teachers Retirement Board of Ohio (9)</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3,806,977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Arial" w:cs="Arial" w:eastAsia="Arial" w:hAnsi="Arial"/>
                <w:sz w:val="17"/>
                <w:szCs w:val="17"/>
                <w:color w:val="auto"/>
              </w:rPr>
              <w:t>Universities Superannuation Scheme Ltd. (10)</w:t>
            </w:r>
          </w:p>
        </w:tc>
        <w:tc>
          <w:tcPr>
            <w:tcW w:w="1580" w:type="dxa"/>
            <w:vAlign w:val="bottom"/>
            <w:gridSpan w:val="2"/>
          </w:tcPr>
          <w:p>
            <w:pPr>
              <w:jc w:val="right"/>
              <w:ind w:right="620"/>
              <w:spacing w:after="0"/>
              <w:rPr>
                <w:sz w:val="20"/>
                <w:szCs w:val="20"/>
                <w:color w:val="auto"/>
              </w:rPr>
            </w:pPr>
            <w:r>
              <w:rPr>
                <w:rFonts w:ascii="Arial" w:cs="Arial" w:eastAsia="Arial" w:hAnsi="Arial"/>
                <w:sz w:val="17"/>
                <w:szCs w:val="17"/>
                <w:color w:val="auto"/>
              </w:rPr>
              <w:t>3,488,476</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3"/>
        </w:trPr>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TPG Funds (6)</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3,235,229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7"/>
                <w:szCs w:val="17"/>
                <w:color w:val="auto"/>
              </w:rPr>
              <w:t>Silver Creek Group (11)</w:t>
            </w:r>
          </w:p>
        </w:tc>
        <w:tc>
          <w:tcPr>
            <w:tcW w:w="1580" w:type="dxa"/>
            <w:vAlign w:val="bottom"/>
            <w:gridSpan w:val="2"/>
          </w:tcPr>
          <w:p>
            <w:pPr>
              <w:jc w:val="right"/>
              <w:ind w:right="620"/>
              <w:spacing w:after="0"/>
              <w:rPr>
                <w:sz w:val="20"/>
                <w:szCs w:val="20"/>
                <w:color w:val="auto"/>
              </w:rPr>
            </w:pPr>
            <w:r>
              <w:rPr>
                <w:rFonts w:ascii="Arial" w:cs="Arial" w:eastAsia="Arial" w:hAnsi="Arial"/>
                <w:sz w:val="17"/>
                <w:szCs w:val="17"/>
                <w:color w:val="auto"/>
              </w:rPr>
              <w:t>3,178,051</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40" w:hanging="452"/>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Easterly is a director and Co-Chief Executive Officer of the Company and a TPG and TPG Special Situations Partners (“TSSP”) Partner. TPG and TSSP are affiliated with Tarrant and Group Advisors (both as defined below). The common stock held by Mr. Easterly includes 6,996 shares indirectly beneficially owned by Mr. Easterly (through his limited partnership interest in TSL Equity Partners, L.P., which is a member of TSL Advisers, LLC (“TSL Advisers”)). Mr. Easterly disclaims beneficial ownership of the shares that are or may be beneficially owned by Tarrant, Group Advisors or any of its affiliates.</w:t>
      </w:r>
    </w:p>
    <w:p>
      <w:pPr>
        <w:spacing w:after="0" w:line="3"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Fishman a director and Co-Chief Executive Officer of the Company and is employed by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the Company. Mr. Kirshenbaum disclaims beneficial ownership of the shares that are or may be beneficially owned by Tarrant, Group Advisors or any of its affiliates.</w:t>
      </w:r>
    </w:p>
    <w:p>
      <w:pPr>
        <w:ind w:left="460" w:right="5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w:t>
      </w:r>
    </w:p>
    <w:p>
      <w:pPr>
        <w:ind w:left="460" w:righ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2,799,817 shares of common stock, or the TSL Shares, held by TSL Advisers; (ii) 435,346 shares of common stock, or the TSL FOF Shares, held by TSL FOF, L.P., a Delaware limited partnership, or TSL FOF; and</w:t>
      </w:r>
    </w:p>
    <w:p>
      <w:pPr>
        <w:spacing w:after="0" w:line="1"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(iii) 66 shares of common stock held by Tarrant Advisors, Inc., a Texas corporation, or Tarrant, and, together with TSL Advisers and TSL FOF, the TPG Funds.</w:t>
      </w:r>
    </w:p>
    <w:p>
      <w:pPr>
        <w:spacing w:after="0" w:line="184" w:lineRule="exact"/>
        <w:rPr>
          <w:sz w:val="20"/>
          <w:szCs w:val="20"/>
          <w:color w:val="auto"/>
        </w:rPr>
      </w:pPr>
    </w:p>
    <w:p>
      <w:pPr>
        <w:ind w:left="460" w:right="460"/>
        <w:spacing w:after="0" w:line="259" w:lineRule="auto"/>
        <w:rPr>
          <w:sz w:val="20"/>
          <w:szCs w:val="20"/>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Messrs. Bonderman, Coulter and Waxman. Any decision or determination by the board of directors requires unanimous approval of the directors in attendance once a quorum is established.</w:t>
      </w:r>
    </w:p>
    <w:p>
      <w:pPr>
        <w:spacing w:after="0" w:line="18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189"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2,375,225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167"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40"/>
        <w:spacing w:after="0" w:line="277" w:lineRule="auto"/>
        <w:rPr>
          <w:sz w:val="20"/>
          <w:szCs w:val="20"/>
          <w:color w:val="auto"/>
        </w:rPr>
      </w:pPr>
      <w:r>
        <w:rPr>
          <w:rFonts w:ascii="Arial" w:cs="Arial" w:eastAsia="Arial" w:hAnsi="Arial"/>
          <w:sz w:val="18"/>
          <w:szCs w:val="18"/>
          <w:color w:val="auto"/>
        </w:rPr>
        <w:t>their indirect interests in the TSL Shares. Equity Partners is required to instruct TSL Advisers to vote proxies in respect of its TSL Shares proportionately in accordance with such instructions.</w:t>
      </w:r>
    </w:p>
    <w:p>
      <w:pPr>
        <w:spacing w:after="0" w:line="170" w:lineRule="exact"/>
        <w:rPr>
          <w:sz w:val="20"/>
          <w:szCs w:val="20"/>
          <w:color w:val="auto"/>
        </w:rPr>
      </w:pPr>
    </w:p>
    <w:p>
      <w:pPr>
        <w:ind w:left="460" w:right="80"/>
        <w:spacing w:after="0" w:line="266" w:lineRule="auto"/>
        <w:rPr>
          <w:sz w:val="20"/>
          <w:szCs w:val="20"/>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Also, because Messrs. Bonderman and Coulter are members of the board of directors of TSSP HoldCo Management, each of Messrs. Bonderman and Coulter may be deemed to beneficially own the TSL Shares. Messrs. Bonderman and Coulter disclaim beneficial ownership of the TSL Shares and the Tarrant Shares except to the extent of their pecuniary interest therein. Because Mr. Waxman is a member of the board of directors of TSSP HoldCo Management,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7" w:lineRule="exact"/>
        <w:rPr>
          <w:sz w:val="20"/>
          <w:szCs w:val="20"/>
          <w:color w:val="auto"/>
        </w:rPr>
      </w:pPr>
    </w:p>
    <w:p>
      <w:pPr>
        <w:ind w:left="460" w:right="280" w:hanging="452"/>
        <w:spacing w:after="0" w:line="25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w:t>
      </w:r>
      <w:r>
        <w:rPr>
          <w:rFonts w:ascii="Arial" w:cs="Arial" w:eastAsia="Arial" w:hAnsi="Arial"/>
          <w:sz w:val="15"/>
          <w:szCs w:val="15"/>
          <w:color w:val="auto"/>
        </w:rPr>
        <w:t>th</w:t>
      </w:r>
      <w:r>
        <w:rPr>
          <w:rFonts w:ascii="Arial" w:cs="Arial" w:eastAsia="Arial" w:hAnsi="Arial"/>
          <w:sz w:val="18"/>
          <w:szCs w:val="18"/>
          <w:color w:val="auto"/>
        </w:rPr>
        <w:t xml:space="preserve"> Floor, PO Box 290, Trenton, NJ 08625.</w:t>
      </w: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13, 2015 by FMR LLC, Edward C. Johnson 3d and Abigail P. Johnson. FMR LLC has</w:t>
      </w:r>
    </w:p>
    <w:p>
      <w:pPr>
        <w:spacing w:after="0" w:line="32"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(i) sole power to vote 173,641 shares and (ii) sole power to dispose of 4,836,382 shares. Edward C. Johnson 3d has sole power to dispose of 4,836,382 shares. Abigail P. Johnson has sole power to dispose of 4,836,382 shares.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(the “1940 Act”), to form a controlling group with respect to FMR LLC. Neither FMR LLC nor Edward C. Johnson 3d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Edward C. Johnson 3d and Abigail P. Johnson is 245 Summer Street, Boston, MA 02210.</w:t>
      </w:r>
    </w:p>
    <w:p>
      <w:pPr>
        <w:spacing w:after="0" w:line="8"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3,488,476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 w:lineRule="exact"/>
        <w:rPr>
          <w:rFonts w:ascii="Arial" w:cs="Arial" w:eastAsia="Arial" w:hAnsi="Arial"/>
          <w:sz w:val="17"/>
          <w:szCs w:val="17"/>
          <w:color w:val="auto"/>
        </w:rPr>
      </w:pPr>
    </w:p>
    <w:p>
      <w:pPr>
        <w:ind w:left="460" w:right="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13, 2015 by Silver Creek Capital Management LLC, Silver Creek Advisory Partners LLC, Silver Creek Special Opportunities Fund III, L.P., Silver Creek Special Opportunities Fund Cayman III, L.P, Silver Creek Credit Opportunities II Master Fund A, L.P. and Silver Creek Credit Opportunities III Master Fund B, L.P. (collectively, the Silver Creek Group). The address of each of the Silver Creek Group entities is 1301 Fifth Avenue, 40</w:t>
      </w:r>
      <w:r>
        <w:rPr>
          <w:rFonts w:ascii="Arial" w:cs="Arial" w:eastAsia="Arial" w:hAnsi="Arial"/>
          <w:sz w:val="15"/>
          <w:szCs w:val="15"/>
          <w:color w:val="auto"/>
        </w:rPr>
        <w:t>th</w:t>
      </w:r>
      <w:r>
        <w:rPr>
          <w:rFonts w:ascii="Arial" w:cs="Arial" w:eastAsia="Arial" w:hAnsi="Arial"/>
          <w:sz w:val="18"/>
          <w:szCs w:val="18"/>
          <w:color w:val="auto"/>
        </w:rPr>
        <w:t xml:space="preserve"> Floor, Seattle, WA 98101.</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our certificate of incorporation, our Board consists of five members. The Board is divided into three classes, with the members of each class each serving staggered, three-year terms. The terms of our Class I directors expire at the Meeting; the term of our Class II director will expire at the 2016 annual meeting of stockholders; and the terms of our Class III directors will expire at the 2017 annual meeting of stockholders.</w:t>
      </w:r>
    </w:p>
    <w:p>
      <w:pPr>
        <w:spacing w:after="0" w:line="166"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The Board has nominated Richard Higginbotham and Ronald Tanemura as Class I directors, each to serve until his successor is duly elected and qualified at the annual meeting of stockholders held in 2018 or until his earlier death, resignation or removal. Messrs. Higginbotham and Tanemura are currently directors of TSL.</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Messrs. Higginbotham and Tanemura have consented to being named in this proxy statement and to serving as directors if elected at the Meeting. If for any reason, either or both of them become unable or unwilling to serve at the time of the Meeting, the persons named as proxies in the proxy will have the authority to vote for a substitute nominee or nominees. We do not anticipate that either Mr. Higginbotham or Mr. Tanemura will be unable or unwilling to serve.</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Board has determined that Messrs. Higginbotham and Tanemura are not “interested persons” of the Company, of the Adviser, or of any of their respective affiliates as defined in Section 2(a)(19) of the 1940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 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Set forth below are brief biographies of Messrs. Higginbotham and Tanemura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Nominees for Election as Class I Directors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vMerge w:val="restart"/>
          </w:tcPr>
          <w:p>
            <w:pPr>
              <w:spacing w:after="0"/>
              <w:rPr>
                <w:sz w:val="20"/>
                <w:szCs w:val="20"/>
                <w:color w:val="auto"/>
              </w:rPr>
            </w:pPr>
            <w:r>
              <w:rPr>
                <w:rFonts w:ascii="Arial" w:cs="Arial" w:eastAsia="Arial" w:hAnsi="Arial"/>
                <w:sz w:val="18"/>
                <w:szCs w:val="18"/>
                <w:color w:val="auto"/>
              </w:rPr>
              <w:t>Richard Higginbotham</w:t>
            </w:r>
          </w:p>
        </w:tc>
        <w:tc>
          <w:tcPr>
            <w:tcW w:w="9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Age</w:t>
            </w:r>
          </w:p>
        </w:tc>
        <w:tc>
          <w:tcPr>
            <w:tcW w:w="3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Position</w:t>
            </w: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Expiration of Term</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195"/>
        </w:trPr>
        <w:tc>
          <w:tcPr>
            <w:tcW w:w="3960" w:type="dxa"/>
            <w:vAlign w:val="bottom"/>
            <w:vMerge w:val="continue"/>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w:t>
            </w:r>
          </w:p>
        </w:tc>
        <w:tc>
          <w:tcPr>
            <w:tcW w:w="660" w:type="dxa"/>
            <w:vAlign w:val="bottom"/>
          </w:tcPr>
          <w:p>
            <w:pPr>
              <w:spacing w:after="0"/>
              <w:rPr>
                <w:sz w:val="16"/>
                <w:szCs w:val="16"/>
                <w:color w:val="auto"/>
              </w:rPr>
            </w:pPr>
          </w:p>
        </w:tc>
        <w:tc>
          <w:tcPr>
            <w:tcW w:w="3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Director (Independent)</w:t>
            </w:r>
          </w:p>
        </w:tc>
        <w:tc>
          <w:tcPr>
            <w:tcW w:w="560" w:type="dxa"/>
            <w:vAlign w:val="bottom"/>
          </w:tcPr>
          <w:p>
            <w:pPr>
              <w:spacing w:after="0"/>
              <w:rPr>
                <w:sz w:val="16"/>
                <w:szCs w:val="16"/>
                <w:color w:val="auto"/>
              </w:rPr>
            </w:pP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2018</w:t>
            </w:r>
          </w:p>
        </w:tc>
        <w:tc>
          <w:tcPr>
            <w:tcW w:w="66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Ronald Tanemura</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0"/>
                <w:szCs w:val="20"/>
                <w:color w:val="auto"/>
              </w:rPr>
            </w:pPr>
          </w:p>
        </w:tc>
        <w:tc>
          <w:tcPr>
            <w:tcW w:w="37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Director (Independent)</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Ronald Tanemura </w:t>
      </w:r>
      <w:r>
        <w:rPr>
          <w:rFonts w:ascii="Arial" w:cs="Arial" w:eastAsia="Arial" w:hAnsi="Arial"/>
          <w:sz w:val="18"/>
          <w:szCs w:val="18"/>
          <w:color w:val="auto"/>
        </w:rPr>
        <w:t>was elected a director of TSL in March 2011. Since 2012, Mr. Tanemura has served as a director of Lehman Brothers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or 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 Director: Term Expiring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3"/>
              </w:rPr>
              <w:t>Age</w:t>
            </w:r>
          </w:p>
        </w:tc>
        <w:tc>
          <w:tcPr>
            <w:tcW w:w="40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Position</w:t>
            </w:r>
          </w:p>
        </w:tc>
        <w:tc>
          <w:tcPr>
            <w:tcW w:w="18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3"/>
              </w:rPr>
              <w:t>Expiration of Term</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4120" w:type="dxa"/>
            <w:vAlign w:val="bottom"/>
            <w:vMerge w:val="restart"/>
          </w:tcPr>
          <w:p>
            <w:pPr>
              <w:spacing w:after="0"/>
              <w:rPr>
                <w:sz w:val="20"/>
                <w:szCs w:val="20"/>
                <w:color w:val="auto"/>
              </w:rPr>
            </w:pPr>
            <w:r>
              <w:rPr>
                <w:rFonts w:ascii="Arial" w:cs="Arial" w:eastAsia="Arial" w:hAnsi="Arial"/>
                <w:sz w:val="18"/>
                <w:szCs w:val="18"/>
                <w:color w:val="auto"/>
              </w:rPr>
              <w:t>John Ross</w:t>
            </w:r>
          </w:p>
        </w:tc>
        <w:tc>
          <w:tcPr>
            <w:tcW w:w="860" w:type="dxa"/>
            <w:vAlign w:val="bottom"/>
            <w:gridSpan w:val="2"/>
            <w:vMerge w:val="continue"/>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Director (Independent)</w:t>
            </w:r>
          </w:p>
        </w:tc>
        <w:tc>
          <w:tcPr>
            <w:tcW w:w="5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III Directors: Term Expiring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vMerge w:val="restart"/>
          </w:tcPr>
          <w:p>
            <w:pPr>
              <w:spacing w:after="0"/>
              <w:rPr>
                <w:sz w:val="20"/>
                <w:szCs w:val="20"/>
                <w:color w:val="auto"/>
              </w:rPr>
            </w:pPr>
            <w:r>
              <w:rPr>
                <w:rFonts w:ascii="Arial" w:cs="Arial" w:eastAsia="Arial" w:hAnsi="Arial"/>
                <w:sz w:val="18"/>
                <w:szCs w:val="18"/>
                <w:color w:val="auto"/>
              </w:rPr>
              <w:t>Joshua Easterly</w:t>
            </w:r>
          </w:p>
        </w:tc>
        <w:tc>
          <w:tcPr>
            <w:tcW w:w="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Age</w:t>
            </w:r>
          </w:p>
        </w:tc>
        <w:tc>
          <w:tcPr>
            <w:tcW w:w="4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Position</w:t>
            </w:r>
          </w:p>
        </w:tc>
        <w:tc>
          <w:tcPr>
            <w:tcW w:w="18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Expiration of Term</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195"/>
        </w:trPr>
        <w:tc>
          <w:tcPr>
            <w:tcW w:w="2860" w:type="dxa"/>
            <w:vAlign w:val="bottom"/>
            <w:vMerge w:val="continue"/>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w:t>
            </w:r>
          </w:p>
        </w:tc>
        <w:tc>
          <w:tcPr>
            <w:tcW w:w="640" w:type="dxa"/>
            <w:vAlign w:val="bottom"/>
          </w:tcPr>
          <w:p>
            <w:pPr>
              <w:spacing w:after="0"/>
              <w:rPr>
                <w:sz w:val="16"/>
                <w:szCs w:val="16"/>
                <w:color w:val="auto"/>
              </w:rPr>
            </w:pPr>
          </w:p>
        </w:tc>
        <w:tc>
          <w:tcPr>
            <w:tcW w:w="4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Chairman, Director (Interested) and Co-Chief Executive</w:t>
            </w:r>
          </w:p>
        </w:tc>
        <w:tc>
          <w:tcPr>
            <w:tcW w:w="540" w:type="dxa"/>
            <w:vAlign w:val="bottom"/>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2017</w:t>
            </w:r>
          </w:p>
        </w:tc>
        <w:tc>
          <w:tcPr>
            <w:tcW w:w="64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Officer</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Michael Fishman</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52</w:t>
            </w:r>
          </w:p>
        </w:tc>
        <w:tc>
          <w:tcPr>
            <w:tcW w:w="48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Director (Interested) and Co-Chief Executive Officer</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2017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and Chief Executive Officer of TSL in April 2011 and became Co-Chief Executive Officer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2013. Mr. Fishman has been an executive in corporate lending for more than 20 years with senior management experience in credit, portfolio management and primary loan originations.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27, 2015. The Company is not part of a “family of investment companies,” as that term is defined in the 1940 Act.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our Common Stock</w:t>
            </w:r>
          </w:p>
        </w:tc>
      </w:tr>
      <w:tr>
        <w:trPr>
          <w:trHeight w:val="171"/>
        </w:trPr>
        <w:tc>
          <w:tcPr>
            <w:tcW w:w="7360" w:type="dxa"/>
            <w:vAlign w:val="bottom"/>
            <w:tcBorders>
              <w:bottom w:val="single" w:sz="8" w:color="CCEEFF"/>
            </w:tcBorders>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 (1) (2)</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220" w:type="dxa"/>
            <w:vAlign w:val="bottom"/>
            <w:shd w:val="clear" w:color="auto" w:fill="CCEEFF"/>
          </w:tcPr>
          <w:p>
            <w:pPr>
              <w:spacing w:after="0"/>
              <w:rPr>
                <w:sz w:val="17"/>
                <w:szCs w:val="17"/>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Joshua Easterly</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220" w:type="dxa"/>
            <w:vAlign w:val="bottom"/>
          </w:tcPr>
          <w:p>
            <w:pPr>
              <w:spacing w:after="0"/>
              <w:rPr>
                <w:sz w:val="18"/>
                <w:szCs w:val="18"/>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Higginbotham (Director Nominee)</w:t>
            </w:r>
          </w:p>
        </w:tc>
        <w:tc>
          <w:tcPr>
            <w:tcW w:w="2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John Ross</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 (Director Nominee)</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2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27, 2015, multiplied by the closing sale price of the Company’s common stock as reported on the New York Stock Exchange (“NYSE”) as of March 27,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60" w:type="dxa"/>
            <w:vAlign w:val="bottom"/>
            <w:gridSpan w:val="2"/>
          </w:tcPr>
          <w:p>
            <w:pPr>
              <w:ind w:left="218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4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Position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0"/>
              </w:rPr>
              <w:t>Officer Since</w:t>
            </w:r>
          </w:p>
        </w:tc>
      </w:tr>
      <w:tr>
        <w:trPr>
          <w:trHeight w:val="195"/>
        </w:trPr>
        <w:tc>
          <w:tcPr>
            <w:tcW w:w="2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Gordon</w:t>
            </w:r>
          </w:p>
        </w:tc>
        <w:tc>
          <w:tcPr>
            <w:tcW w:w="320" w:type="dxa"/>
            <w:vAlign w:val="bottom"/>
          </w:tcPr>
          <w:p>
            <w:pPr>
              <w:spacing w:after="0"/>
              <w:rPr>
                <w:sz w:val="16"/>
                <w:szCs w:val="16"/>
                <w:color w:val="auto"/>
              </w:rPr>
            </w:pPr>
          </w:p>
        </w:tc>
        <w:tc>
          <w:tcPr>
            <w:tcW w:w="2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79"/>
              </w:rPr>
              <w:t>39</w:t>
            </w:r>
          </w:p>
        </w:tc>
        <w:tc>
          <w:tcPr>
            <w:tcW w:w="420" w:type="dxa"/>
            <w:vAlign w:val="bottom"/>
          </w:tcPr>
          <w:p>
            <w:pPr>
              <w:spacing w:after="0"/>
              <w:rPr>
                <w:sz w:val="16"/>
                <w:szCs w:val="16"/>
                <w:color w:val="auto"/>
              </w:rPr>
            </w:pPr>
          </w:p>
        </w:tc>
        <w:tc>
          <w:tcPr>
            <w:tcW w:w="4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Vice President and Chief Compliance Officer</w:t>
            </w:r>
          </w:p>
        </w:tc>
        <w:tc>
          <w:tcPr>
            <w:tcW w:w="3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2015</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Alan Kirshenbaum</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43</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w:t>
            </w:r>
          </w:p>
        </w:tc>
        <w:tc>
          <w:tcPr>
            <w:tcW w:w="8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Jennifer Mello</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40</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Vice President and Secretary</w:t>
            </w:r>
          </w:p>
        </w:tc>
        <w:tc>
          <w:tcPr>
            <w:tcW w:w="8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Robert Ollwerther</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58</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Operating Officer</w:t>
            </w: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Steven Pluss</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52</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Vice President</w:t>
            </w: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David Stiepleman</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43</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Vice President</w:t>
            </w:r>
          </w:p>
        </w:tc>
        <w:tc>
          <w:tcPr>
            <w:tcW w:w="8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Alan Waxman</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40</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Vice President</w:t>
            </w:r>
          </w:p>
        </w:tc>
        <w:tc>
          <w:tcPr>
            <w:tcW w:w="800" w:type="dxa"/>
            <w:vAlign w:val="bottom"/>
          </w:tcPr>
          <w:p>
            <w:pPr>
              <w:jc w:val="right"/>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a Vice President and Chief Compliance Officer of TSL. Since 2014, Ms. Gordon has been a Managing Director and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and an M.B.A. from New York University’s Stern School of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Jennifer Mello </w:t>
      </w:r>
      <w:r>
        <w:rPr>
          <w:rFonts w:ascii="Arial" w:cs="Arial" w:eastAsia="Arial" w:hAnsi="Arial"/>
          <w:sz w:val="17"/>
          <w:szCs w:val="17"/>
          <w:color w:val="auto"/>
        </w:rPr>
        <w:t>is a Vice President and Secretary of TSL. Previously, Ms. Mello also served as Chief Compliance Officer of TSL. Since 2012,</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Mello has been the General Counsel and a 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6"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Chief Operating Officer of TSL.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 He is also a TPG and TSSP Partner and has been the Chief Financial Officer and Chief Risk Officer of TSSP</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8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expire at the Meeting; the term of our Class II director will expire at the 2016 annual meeting of stockholders; and the terms of our Class III directors will expire at the 2017 annual meeting of stockholders.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 Biographical Information.”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Board met four times in 2014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 – Board Committees – 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900" w:right="8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nine meetings in 2014 and acted on various occasions by written consent.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was formed in connection with our initial public offering (“IPO”) in March 2014 and did not hold a meeting in 2014. The Nominating and Corporate Governance Committee will meet one time each year and at additional times as necessary to carry out its responsibilities.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446"/>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(the “Administration Agreement”);</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 – Compensation and Insider Participation – Compensation of Executive Officers.”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the NYSE corporate governance rules. Mr. Ross serves as Chairman. The Compensation Committee was formed in connection with our IPO in March 2014 and did not hold a meeting in 2014. The Compensation Committee will meet one time each year and at additional times as necessary to carry out its responsibilities.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2014. Messrs. Easterly, Fishman and Tanemura were members of the IPO Committee. Mr. Easterly served as Chairman.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The corporate governance section contains the following documents, which are available in print to any stockholder who requests a copy in writing at 345 California Street, Suite 3300, San Francisco, CA 94104, Attention: TSL Investor Relations, or by emailing us at IRTSL@tpg.com:</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 and “Bylaw Requirements for Stockholder Submission of Nominations and Proposals” in this proxy statement for additional information.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our stockholders.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have adopted a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Co-Chief Executive Officers or Chief Financial Officer. Our Code of Business Conduct and Ethics can be accessed on our website at http://www.tpgspecialtylending.com.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Board elects our officers and our officers serve until their resignation or termination or until their successors are duly elected and qualified.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5620" w:right="4900" w:hanging="5045"/>
        <w:spacing w:after="0" w:line="536" w:lineRule="auto"/>
        <w:tabs>
          <w:tab w:leader="none" w:pos="8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additional fee of $5,000 per year for the chairman of the Audit Committee. 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year ended December 31, 2014,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18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in Cash</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112,750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John Ross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119,625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119,625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110,250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110,250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(the “Advisers Act”).</w:t>
      </w:r>
    </w:p>
    <w:p>
      <w:pPr>
        <w:spacing w:after="0" w:line="1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an investment review committee (the “Investment Review Committee”), which includes senior personnel of our Adviser and TSSP. The members of the Investment Review Committee are Joshua Easterly, Michael Fishman, Alan Waxman and David Stiepleman.</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TSSP is the special situations and credit platform of TPG Global, LLC, or “TPG,” and encompasses TPG Specialty Lending, Inc. TPG Opportunities Partners and TSSP Adjacent Opportunities Partners, which invest in special situations and distressed investments across the credit cycle, Austin Credit Macro, which is focused on macro credit opportunities, and TPG Institutional Credit Partners, which is a “public-side” credit investment platform focused on investment opportunities in the broadly syndicated leveraged loan markets. TSSP had over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$11 billion of assets under management as of December 31, 2014. TSSP has extensive experience with highly complex, global public and private investments executed through primary originations, secondary market purchases and restructurings, and has a team of over 100 investment and operating professionals as of March 31, 2015. Twenty six (26) of these personnel are dedicated to our business, including 19 investment professionals.</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TPG is a leading global private investment firm founded in 1992 with $67 billion of assets under management as of December 31, 2014,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Relationship with TPG</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2,799,817 shares, or 5.1%, of our common stock as of March 27, 2015.</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entered into a purchase agreement (the “Adviser 10b5-1 Plan”), in accordance with Rules 10b5-1 and 10b-18 under the Exchange Act, under which Goldman, Sachs &amp; Co., as agent for the Adviser, would buy up to $25 million in the aggregate of our common stock during the period beginning April 23, 2014 and ending on the earlier of the date on which all the capital committed to the Adviser 10b5-1 Plan had been exhausted or December 31, 2014, subject to certain conditions. The Adviser 10b5-1 Plan expired in accordance with its terms on December 31, 2014. During the year ended December 31, 2014, 300 shares were purchased under the Adviser 10b5-1 Plan.</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Exemptive Relief</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For the year ended December 31, 2014, Management Fees were $18.3 million, of which $2.5 million were waived. Until our initial public offering, or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has not waived its right to receive the full Management Fee and accordingly, we will be required to continue to pay the full amount of the Management Fee.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60" w:hanging="446"/>
        <w:spacing w:after="0" w:line="271"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71"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1"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72" w:lineRule="auto"/>
        <w:rPr>
          <w:sz w:val="20"/>
          <w:szCs w:val="20"/>
          <w:color w:val="auto"/>
        </w:rPr>
      </w:pPr>
      <w:r>
        <w:rPr>
          <w:rFonts w:ascii="Arial" w:cs="Arial" w:eastAsia="Arial" w:hAnsi="Arial"/>
          <w:sz w:val="17"/>
          <w:szCs w:val="17"/>
          <w:color w:val="auto"/>
        </w:rPr>
        <w:t>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7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2014, Incentive Fees were $17.8 million, comprised of fees related to pre-incentive fee net investment income of $20.8 million offset by ($2.9) million of incentive fees related to capital gains and losses attributable to unrealized losses on investments and realized losses on foreign exchange transactions.</w:t>
      </w:r>
    </w:p>
    <w:p>
      <w:pPr>
        <w:spacing w:after="0" w:line="18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 –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2014, we incurred expenses of $2.7 million for administrative services payable under the terms of the Administration Agreement.</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earlier terminated as described below, both the Investment Advisory Agreement and the Administration Agreement will remain in effect until November 3, 2015, and each may be extended subject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2014.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2014, except for a late Form 3 required to be filed pursuant to Section 16(a) of the Exchange Act by Steven Pluss, in his capacity as an executive officer of the Company.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Audit Committee has selected KPMG LLP to serve as our independent registered public accounting firm to audit our consolidated financial statements for the year ending December 31, 2015.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year ended December 31, 2014, the aggregate fees billed by KPMG LLP for the audit of our consolidated financial statements, review of our interim financial statements and other professional services related to SEC registration statements were $963,500. In addition, we reimbursed KPMG LLP $13,000 for out-of-pocket expenses incurred in the performance of audit services.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year ended December 31, 2013, the aggregate fees billed by KPMG LLP for the audit of our consolidated financial statements, review of our interim financial statements and other professional services related to SEC registration statements were $885,000. In addition, we reimbursed KPMG LLP $13,401 for out-of-pocket expenses incurred in the performance of audit services.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year ended December 31, 2014, the aggregate fees billed by KPMG LLP for audit-related services, which consist of assurance and related services that are reasonably related to the performance of the audit or review of our consolidated financial statements, but which are not reportable as Audit Fees, were $28,000.</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year ended December 31, 2013, the aggregate fees billed by KPMG LLP for audit-related services, which consist of assurance and related services that are reasonably related to the performance of the audit or review of our consolidated financial statements, but which are not reportable as Audit Fees, were $45,000.</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year ended December 31, 2014, the aggregate fees billed by KPMG LLP for tax compliance, tax advice and tax planning services were $229,000.</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year ended December 31, 2013, the aggregate fees billed by KPMG LLP for tax compliance, tax advice and tax planning services were $132,000.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2014, the fees billed for services rendered by KPMG LLP not reportable as Audit Fees, Audit-Related Fees or Tax Fees were $135,000.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2013, the fees billed for services rendered by KPMG LLP not reportable as Audit Fees, Audit-Related Fees or Tax Fees were $165,000.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Audit Committee of our Board operates under a written charter adopted by the Board. The Audit Committee is currently composed of Messrs.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Ross, Higginbotham and Tanemura.</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also reviewed the Company’s procedures and internal control processes designed to ensure full, fair and adequate financial reporting and disclosures, including procedures for certifications by the Company’s Co-Chief Executive Officers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In addition, the Audit Committee has discussed with KPMG their independence from management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2014 for filing with the Securities and Exchange Commission. The Audit Committee also recommended the selection of KPMG LLP to serve as the independent registered public accounting firm for the year ending December 31, 2015.</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2015.</w:t>
      </w:r>
    </w:p>
    <w:p>
      <w:pPr>
        <w:spacing w:after="0" w:line="116"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3, 2014, the Board approved a stock repurchase plan to acquire up to $50 million in the aggregate of the Company’s common stock at prices just below the Company’s net asset value per share over a specified period, in accordance with the guidelines specified in Rule 10b-18 and Rule 10b5-1 of the Exchange Act (the “stock repurchase plan”). On February 20, 2015, the Board extended the termination date of the stock repurchase plan to June 30, 2015.</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stock repurchase plan is designed to allow the Company to repurchase its common stock at times when it otherwise might be prevented from doing so under insider trading laws. The stock repurchase plan requires an agent selected by the Company to repurchase shares of common stock on the Company’s behalf when the market price per share is below the most recently reported net asset value per share. Under the plan, the agent will increase the volume of purchases made as the price of the Company’s common stock declines, subject to volume restrictions. The timing and amount of any stock repurchases will depend on the terms and conditions of the plan, the market price of the common stock and trading volumes, and no assurance can be given that any particular amount of common stock will be repurchased.</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extended or terminated by the Board, the Company expects that the stock repurchase plan will be in effect through the earlier of June 30, 2015 or such time as the approved $50 million repurchase amount has been fully utilized, subject to certain conditions.</w:t>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2016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proposal of a stockholder intended to be included in our proxy statement and form of proxy/voting instruction card for the 2016 annual meeting of stockholders pursuant to Rule 14a-8 of the SEC’s rules must be received by us no later than December 11, 2015. Such proposals must also comply with the requirements as to form and substance established by the SEC if such proposals are to be included in the proxy statement and form of proxy. All proposals should be addressed to the Secretary of the Company, Jennifer Mello, TPG Specialty Lending, Inc., 301 Commerce Street, Suite 3300, Fort Worth, TX 76102.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2016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Bylaws require that the proposal or recommendation for nomination must be received by our Secretary at the above address no later than February 21, 2016, unless the date of our 2016 annual meeting is more than 30 days before or more than 60 days after May 21, 2016, the anniversary of our 2015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2014, which includes financial statements, is being furnished with this proxy statement.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345 California Street, Suite 3300, San Francisco, CA 94104, Attention: TSL Investor Relations, by email at IRTSL@tpg.com or by phone at 415-486-5939.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63"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and Secretary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are available at www.proxyvote.com.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21, 2015 10:00 AM EDT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stockholders hereby appoint Jennifer Gordon and David Stiepleman,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the Annual Meeting of Stockholders to be held at 10:00 AM EDT on May 21, 2015 at the offices of Cleary Gottlieb Steen &amp; Hamilton LLP, One Liberty Plaza (on Broadway between Liberty and Cortlandt Streets), 38th Floor, New York, NY 10006, and any adjournment or postponement thereof.</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Keep This Portion For Your Records</w:t>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The Board of Directors recommends you vote FOR the following:</w:t>
            </w:r>
          </w:p>
        </w:tc>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1.    Election of Directors</w:t>
            </w:r>
          </w:p>
        </w:tc>
        <w:tc>
          <w:tcPr>
            <w:tcW w:w="1700" w:type="dxa"/>
            <w:vAlign w:val="bottom"/>
          </w:tcPr>
          <w:p>
            <w:pPr>
              <w:ind w:left="780"/>
              <w:spacing w:after="0"/>
              <w:rPr>
                <w:sz w:val="20"/>
                <w:szCs w:val="20"/>
                <w:color w:val="auto"/>
              </w:rPr>
            </w:pPr>
            <w:r>
              <w:rPr>
                <w:rFonts w:ascii="Arial" w:cs="Arial" w:eastAsia="Arial" w:hAnsi="Arial"/>
                <w:sz w:val="18"/>
                <w:szCs w:val="18"/>
                <w:color w:val="auto"/>
              </w:rPr>
              <w:t>FOR ALL</w:t>
            </w:r>
          </w:p>
        </w:tc>
        <w:tc>
          <w:tcPr>
            <w:tcW w:w="1720" w:type="dxa"/>
            <w:vAlign w:val="bottom"/>
          </w:tcPr>
          <w:p>
            <w:pPr>
              <w:ind w:left="180"/>
              <w:spacing w:after="0"/>
              <w:rPr>
                <w:sz w:val="20"/>
                <w:szCs w:val="20"/>
                <w:color w:val="auto"/>
              </w:rPr>
            </w:pPr>
            <w:r>
              <w:rPr>
                <w:rFonts w:ascii="Arial" w:cs="Arial" w:eastAsia="Arial" w:hAnsi="Arial"/>
                <w:sz w:val="18"/>
                <w:szCs w:val="18"/>
                <w:color w:val="auto"/>
              </w:rPr>
              <w:t>WITHHOLD ALL</w:t>
            </w:r>
          </w:p>
        </w:tc>
        <w:tc>
          <w:tcPr>
            <w:tcW w:w="1620" w:type="dxa"/>
            <w:vAlign w:val="bottom"/>
          </w:tcPr>
          <w:p>
            <w:pPr>
              <w:ind w:left="160"/>
              <w:spacing w:after="0"/>
              <w:rPr>
                <w:sz w:val="20"/>
                <w:szCs w:val="20"/>
                <w:color w:val="auto"/>
              </w:rPr>
            </w:pPr>
            <w:r>
              <w:rPr>
                <w:rFonts w:ascii="Arial" w:cs="Arial" w:eastAsia="Arial" w:hAnsi="Arial"/>
                <w:sz w:val="18"/>
                <w:szCs w:val="18"/>
                <w:color w:val="auto"/>
                <w:w w:val="94"/>
              </w:rPr>
              <w:t>FOR ALL EXCEPT</w:t>
            </w:r>
          </w:p>
        </w:tc>
      </w:tr>
      <w:tr>
        <w:trPr>
          <w:trHeight w:val="338"/>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NOMINEES:</w:t>
            </w:r>
          </w:p>
        </w:tc>
        <w:tc>
          <w:tcPr>
            <w:tcW w:w="170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338"/>
        </w:trPr>
        <w:tc>
          <w:tcPr>
            <w:tcW w:w="720" w:type="dxa"/>
            <w:vAlign w:val="bottom"/>
          </w:tcPr>
          <w:p>
            <w:pPr>
              <w:ind w:left="460"/>
              <w:spacing w:after="0"/>
              <w:rPr>
                <w:sz w:val="20"/>
                <w:szCs w:val="20"/>
                <w:color w:val="auto"/>
              </w:rPr>
            </w:pPr>
            <w:r>
              <w:rPr>
                <w:rFonts w:ascii="Arial" w:cs="Arial" w:eastAsia="Arial" w:hAnsi="Arial"/>
                <w:sz w:val="18"/>
                <w:szCs w:val="18"/>
                <w:color w:val="auto"/>
                <w:w w:val="92"/>
              </w:rPr>
              <w:t>01)</w:t>
            </w:r>
          </w:p>
        </w:tc>
        <w:tc>
          <w:tcPr>
            <w:tcW w:w="4860" w:type="dxa"/>
            <w:vAlign w:val="bottom"/>
          </w:tcPr>
          <w:p>
            <w:pPr>
              <w:ind w:left="20"/>
              <w:spacing w:after="0"/>
              <w:rPr>
                <w:sz w:val="20"/>
                <w:szCs w:val="20"/>
                <w:color w:val="auto"/>
              </w:rPr>
            </w:pPr>
            <w:r>
              <w:rPr>
                <w:rFonts w:ascii="Arial" w:cs="Arial" w:eastAsia="Arial" w:hAnsi="Arial"/>
                <w:sz w:val="18"/>
                <w:szCs w:val="18"/>
                <w:color w:val="auto"/>
              </w:rPr>
              <w:t>Richard Higginbotham</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8"/>
        </w:trPr>
        <w:tc>
          <w:tcPr>
            <w:tcW w:w="720" w:type="dxa"/>
            <w:vAlign w:val="bottom"/>
          </w:tcPr>
          <w:p>
            <w:pPr>
              <w:ind w:left="460"/>
              <w:spacing w:after="0"/>
              <w:rPr>
                <w:sz w:val="20"/>
                <w:szCs w:val="20"/>
                <w:color w:val="auto"/>
              </w:rPr>
            </w:pPr>
            <w:r>
              <w:rPr>
                <w:rFonts w:ascii="Arial" w:cs="Arial" w:eastAsia="Arial" w:hAnsi="Arial"/>
                <w:sz w:val="18"/>
                <w:szCs w:val="18"/>
                <w:color w:val="auto"/>
                <w:w w:val="92"/>
              </w:rPr>
              <w:t>02)</w:t>
            </w:r>
          </w:p>
        </w:tc>
        <w:tc>
          <w:tcPr>
            <w:tcW w:w="4860" w:type="dxa"/>
            <w:vAlign w:val="bottom"/>
          </w:tcPr>
          <w:p>
            <w:pPr>
              <w:ind w:left="20"/>
              <w:spacing w:after="0"/>
              <w:rPr>
                <w:sz w:val="20"/>
                <w:szCs w:val="20"/>
                <w:color w:val="auto"/>
              </w:rPr>
            </w:pPr>
            <w:r>
              <w:rPr>
                <w:rFonts w:ascii="Arial" w:cs="Arial" w:eastAsia="Arial" w:hAnsi="Arial"/>
                <w:sz w:val="18"/>
                <w:szCs w:val="18"/>
                <w:color w:val="auto"/>
              </w:rPr>
              <w:t>Ronald Tanemura</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The Board of Directors recommends you vote FOR the following proposal:</w:t>
            </w:r>
          </w:p>
        </w:tc>
        <w:tc>
          <w:tcPr>
            <w:tcW w:w="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0"/>
        </w:trPr>
        <w:tc>
          <w:tcPr>
            <w:tcW w:w="6260" w:type="dxa"/>
            <w:vAlign w:val="bottom"/>
          </w:tcPr>
          <w:p>
            <w:pPr>
              <w:spacing w:after="0"/>
              <w:rPr>
                <w:sz w:val="20"/>
                <w:szCs w:val="20"/>
                <w:color w:val="auto"/>
              </w:rPr>
            </w:pPr>
            <w:r>
              <w:rPr>
                <w:rFonts w:ascii="Arial" w:cs="Arial" w:eastAsia="Arial" w:hAnsi="Arial"/>
                <w:sz w:val="18"/>
                <w:szCs w:val="18"/>
                <w:color w:val="auto"/>
                <w:w w:val="94"/>
              </w:rPr>
              <w:t>2.    To ratify the selection of KPMG LLP as the Company’s independent registered</w:t>
            </w:r>
          </w:p>
        </w:tc>
        <w:tc>
          <w:tcPr>
            <w:tcW w:w="840" w:type="dxa"/>
            <w:vAlign w:val="bottom"/>
          </w:tcPr>
          <w:p>
            <w:pPr>
              <w:ind w:left="100"/>
              <w:spacing w:after="0"/>
              <w:rPr>
                <w:sz w:val="20"/>
                <w:szCs w:val="20"/>
                <w:color w:val="auto"/>
              </w:rPr>
            </w:pPr>
            <w:r>
              <w:rPr>
                <w:rFonts w:ascii="Arial" w:cs="Arial" w:eastAsia="Arial" w:hAnsi="Arial"/>
                <w:sz w:val="18"/>
                <w:szCs w:val="18"/>
                <w:color w:val="auto"/>
              </w:rPr>
              <w:t>FOR</w:t>
            </w:r>
          </w:p>
        </w:tc>
        <w:tc>
          <w:tcPr>
            <w:tcW w:w="1600" w:type="dxa"/>
            <w:vAlign w:val="bottom"/>
          </w:tcPr>
          <w:p>
            <w:pPr>
              <w:ind w:left="360"/>
              <w:spacing w:after="0"/>
              <w:rPr>
                <w:sz w:val="20"/>
                <w:szCs w:val="20"/>
                <w:color w:val="auto"/>
              </w:rPr>
            </w:pPr>
            <w:r>
              <w:rPr>
                <w:rFonts w:ascii="Arial" w:cs="Arial" w:eastAsia="Arial" w:hAnsi="Arial"/>
                <w:sz w:val="18"/>
                <w:szCs w:val="18"/>
                <w:color w:val="auto"/>
              </w:rPr>
              <w:t>AGAINST</w:t>
            </w:r>
          </w:p>
        </w:tc>
        <w:tc>
          <w:tcPr>
            <w:tcW w:w="1240" w:type="dxa"/>
            <w:vAlign w:val="bottom"/>
          </w:tcPr>
          <w:p>
            <w:pPr>
              <w:ind w:left="460"/>
              <w:spacing w:after="0"/>
              <w:rPr>
                <w:sz w:val="20"/>
                <w:szCs w:val="20"/>
                <w:color w:val="auto"/>
              </w:rPr>
            </w:pPr>
            <w:r>
              <w:rPr>
                <w:rFonts w:ascii="Arial" w:cs="Arial" w:eastAsia="Arial" w:hAnsi="Arial"/>
                <w:sz w:val="18"/>
                <w:szCs w:val="18"/>
                <w:color w:val="auto"/>
                <w:w w:val="98"/>
              </w:rPr>
              <w:t>ABSTAIN</w:t>
            </w:r>
          </w:p>
        </w:tc>
      </w:tr>
      <w:tr>
        <w:trPr>
          <w:trHeight w:val="331"/>
        </w:trPr>
        <w:tc>
          <w:tcPr>
            <w:tcW w:w="6260" w:type="dxa"/>
            <w:vAlign w:val="bottom"/>
          </w:tcPr>
          <w:p>
            <w:pPr>
              <w:ind w:left="460"/>
              <w:spacing w:after="0"/>
              <w:rPr>
                <w:sz w:val="20"/>
                <w:szCs w:val="20"/>
                <w:color w:val="auto"/>
              </w:rPr>
            </w:pPr>
            <w:r>
              <w:rPr>
                <w:rFonts w:ascii="Arial" w:cs="Arial" w:eastAsia="Arial" w:hAnsi="Arial"/>
                <w:sz w:val="18"/>
                <w:szCs w:val="18"/>
                <w:color w:val="auto"/>
              </w:rPr>
              <w:t>public accounting firm for the fiscal year ending December 31, 2015.</w:t>
            </w:r>
          </w:p>
        </w:tc>
        <w:tc>
          <w:tcPr>
            <w:tcW w:w="8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9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2015 Annual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3"/>
              </w:rPr>
              <w:t>SIGNATURE (Please Sign Within Box)</w:t>
            </w:r>
          </w:p>
        </w:tc>
        <w:tc>
          <w:tcPr>
            <w:tcW w:w="200" w:type="dxa"/>
            <w:vAlign w:val="bottom"/>
          </w:tcPr>
          <w:p>
            <w:pPr>
              <w:spacing w:after="0"/>
              <w:rPr>
                <w:sz w:val="17"/>
                <w:szCs w:val="17"/>
                <w:color w:val="auto"/>
              </w:rPr>
            </w:pPr>
          </w:p>
        </w:tc>
        <w:tc>
          <w:tcPr>
            <w:tcW w:w="26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DATE</w:t>
            </w:r>
          </w:p>
        </w:tc>
        <w:tc>
          <w:tcPr>
            <w:tcW w:w="220" w:type="dxa"/>
            <w:vAlign w:val="bottom"/>
          </w:tcPr>
          <w:p>
            <w:pPr>
              <w:spacing w:after="0"/>
              <w:rPr>
                <w:sz w:val="17"/>
                <w:szCs w:val="17"/>
                <w:color w:val="auto"/>
              </w:rPr>
            </w:pPr>
          </w:p>
        </w:tc>
        <w:tc>
          <w:tcPr>
            <w:tcW w:w="26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17"/>
                <w:szCs w:val="17"/>
                <w:color w:val="auto"/>
              </w:rPr>
            </w:pPr>
          </w:p>
        </w:tc>
        <w:tc>
          <w:tcPr>
            <w:tcW w:w="25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DATE</w:t>
            </w:r>
          </w:p>
        </w:tc>
      </w:tr>
      <w:tr>
        <w:trPr>
          <w:trHeight w:val="234"/>
        </w:trPr>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(Joint Owners)</w:t>
            </w: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7"/>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Roman"/>
      <w:start w:val="2"/>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2019-12-09T00:25:45Z</dcterms:created>
  <dcterms:modified xsi:type="dcterms:W3CDTF">2019-12-09T00:25:45Z</dcterms:modified>
</cp:coreProperties>
</file>