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87"/>
              </w:rPr>
              <w:t>Richard Essex</w:t>
            </w:r>
          </w:p>
        </w:tc>
        <w:tc>
          <w:tcPr>
            <w:tcW w:w="4260" w:type="dxa"/>
            <w:vAlign w:val="bottom"/>
          </w:tcPr>
          <w:p>
            <w:pPr>
              <w:spacing w:after="0"/>
              <w:rPr>
                <w:sz w:val="18"/>
                <w:szCs w:val="18"/>
                <w:color w:val="auto"/>
              </w:rPr>
            </w:pPr>
          </w:p>
        </w:tc>
      </w:t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90"/>
              </w:rPr>
              <w:t>USS Ltd.</w:t>
            </w:r>
          </w:p>
        </w:tc>
        <w:tc>
          <w:tcPr>
            <w:tcW w:w="4260" w:type="dxa"/>
            <w:vAlign w:val="bottom"/>
          </w:tcPr>
          <w:p>
            <w:pPr>
              <w:jc w:val="center"/>
              <w:ind w:left="1552"/>
              <w:spacing w:after="0"/>
              <w:rPr>
                <w:sz w:val="20"/>
                <w:szCs w:val="20"/>
                <w:color w:val="auto"/>
              </w:rPr>
            </w:pPr>
            <w:r>
              <w:rPr>
                <w:rFonts w:ascii="Arial" w:cs="Arial" w:eastAsia="Arial" w:hAnsi="Arial"/>
                <w:sz w:val="18"/>
                <w:szCs w:val="18"/>
                <w:b w:val="1"/>
                <w:bCs w:val="1"/>
                <w:color w:val="auto"/>
                <w:w w:val="86"/>
              </w:rPr>
              <w:t>Alyssa Scaparotti</w:t>
            </w:r>
          </w:p>
        </w:tc>
      </w:t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88"/>
              </w:rPr>
              <w:t>60 Threadneedle Street, Floor 6</w:t>
            </w:r>
          </w:p>
        </w:tc>
        <w:tc>
          <w:tcPr>
            <w:tcW w:w="4260" w:type="dxa"/>
            <w:vAlign w:val="bottom"/>
          </w:tcPr>
          <w:p>
            <w:pPr>
              <w:jc w:val="center"/>
              <w:ind w:left="1552"/>
              <w:spacing w:after="0"/>
              <w:rPr>
                <w:sz w:val="20"/>
                <w:szCs w:val="20"/>
                <w:color w:val="auto"/>
              </w:rPr>
            </w:pPr>
            <w:r>
              <w:rPr>
                <w:rFonts w:ascii="Arial" w:cs="Arial" w:eastAsia="Arial" w:hAnsi="Arial"/>
                <w:sz w:val="18"/>
                <w:szCs w:val="18"/>
                <w:b w:val="1"/>
                <w:bCs w:val="1"/>
                <w:color w:val="auto"/>
                <w:w w:val="87"/>
              </w:rPr>
              <w:t>c/o Proskauer Rose LLP</w:t>
            </w:r>
          </w:p>
        </w:tc>
      </w:tr>
      <w:tr>
        <w:trPr>
          <w:trHeight w:val="216"/>
        </w:trPr>
        <w:tc>
          <w:tcPr>
            <w:tcW w:w="4000" w:type="dxa"/>
            <w:vAlign w:val="bottom"/>
          </w:tcPr>
          <w:p>
            <w:pPr>
              <w:jc w:val="center"/>
              <w:ind w:right="1532"/>
              <w:spacing w:after="0"/>
              <w:rPr>
                <w:sz w:val="20"/>
                <w:szCs w:val="20"/>
                <w:color w:val="auto"/>
              </w:rPr>
            </w:pPr>
            <w:r>
              <w:rPr>
                <w:rFonts w:ascii="Arial" w:cs="Arial" w:eastAsia="Arial" w:hAnsi="Arial"/>
                <w:sz w:val="18"/>
                <w:szCs w:val="18"/>
                <w:b w:val="1"/>
                <w:bCs w:val="1"/>
                <w:color w:val="auto"/>
                <w:w w:val="91"/>
              </w:rPr>
              <w:t>London EC2R 8HP</w:t>
            </w:r>
          </w:p>
        </w:tc>
        <w:tc>
          <w:tcPr>
            <w:tcW w:w="4260" w:type="dxa"/>
            <w:vAlign w:val="bottom"/>
          </w:tcPr>
          <w:p>
            <w:pPr>
              <w:jc w:val="center"/>
              <w:ind w:left="1532"/>
              <w:spacing w:after="0"/>
              <w:rPr>
                <w:sz w:val="20"/>
                <w:szCs w:val="20"/>
                <w:color w:val="auto"/>
              </w:rPr>
            </w:pPr>
            <w:r>
              <w:rPr>
                <w:rFonts w:ascii="Arial" w:cs="Arial" w:eastAsia="Arial" w:hAnsi="Arial"/>
                <w:sz w:val="18"/>
                <w:szCs w:val="18"/>
                <w:b w:val="1"/>
                <w:bCs w:val="1"/>
                <w:color w:val="auto"/>
                <w:w w:val="89"/>
              </w:rPr>
              <w:t>One International Place, 22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90"/>
              </w:rPr>
              <w:t>England</w:t>
            </w:r>
          </w:p>
        </w:tc>
        <w:tc>
          <w:tcPr>
            <w:tcW w:w="426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Boston, MA 02110</w:t>
            </w:r>
          </w:p>
        </w:tc>
      </w:tr>
      <w:tr>
        <w:trPr>
          <w:trHeight w:val="228"/>
        </w:trPr>
        <w:tc>
          <w:tcPr>
            <w:tcW w:w="4000" w:type="dxa"/>
            <w:vAlign w:val="bottom"/>
          </w:tcPr>
          <w:p>
            <w:pPr>
              <w:jc w:val="center"/>
              <w:ind w:right="1532"/>
              <w:spacing w:after="0"/>
              <w:rPr>
                <w:sz w:val="20"/>
                <w:szCs w:val="20"/>
                <w:color w:val="auto"/>
              </w:rPr>
            </w:pPr>
            <w:r>
              <w:rPr>
                <w:rFonts w:ascii="Arial" w:cs="Arial" w:eastAsia="Arial" w:hAnsi="Arial"/>
                <w:sz w:val="18"/>
                <w:szCs w:val="18"/>
                <w:b w:val="1"/>
                <w:bCs w:val="1"/>
                <w:color w:val="auto"/>
                <w:w w:val="89"/>
              </w:rPr>
              <w:t>+44 (0) 20 7972 6470</w:t>
            </w:r>
          </w:p>
        </w:tc>
        <w:tc>
          <w:tcPr>
            <w:tcW w:w="4260" w:type="dxa"/>
            <w:vAlign w:val="bottom"/>
          </w:tcPr>
          <w:p>
            <w:pPr>
              <w:jc w:val="center"/>
              <w:ind w:left="1552"/>
              <w:spacing w:after="0"/>
              <w:rPr>
                <w:sz w:val="20"/>
                <w:szCs w:val="20"/>
                <w:color w:val="auto"/>
              </w:rPr>
            </w:pPr>
            <w:r>
              <w:rPr>
                <w:rFonts w:ascii="Arial" w:cs="Arial" w:eastAsia="Arial" w:hAnsi="Arial"/>
                <w:sz w:val="18"/>
                <w:szCs w:val="18"/>
                <w:b w:val="1"/>
                <w:bCs w:val="1"/>
                <w:color w:val="auto"/>
                <w:w w:val="89"/>
              </w:rPr>
              <w:t>(617) 526-9697</w:t>
            </w: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15,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03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003290"/>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740" w:right="2360"/>
        <w:spacing w:after="0" w:line="249" w:lineRule="auto"/>
        <w:rPr>
          <w:sz w:val="20"/>
          <w:szCs w:val="20"/>
          <w:color w:val="auto"/>
        </w:rPr>
      </w:pPr>
      <w:r>
        <w:rPr>
          <w:rFonts w:ascii="Arial" w:cs="Arial" w:eastAsia="Arial" w:hAnsi="Arial"/>
          <w:sz w:val="22"/>
          <w:szCs w:val="22"/>
          <w:color w:val="auto"/>
        </w:rPr>
        <w:t>Universities Superannuation Scheme Limited as trustee for Universities Superannuation Scheme 98-0076631</w:t>
      </w:r>
    </w:p>
    <w:p>
      <w:pPr>
        <w:spacing w:after="0" w:line="1"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8420" w:type="dxa"/>
            <w:vAlign w:val="bottom"/>
          </w:tcPr>
          <w:p>
            <w:pPr>
              <w:ind w:left="440"/>
              <w:spacing w:after="0"/>
              <w:rPr>
                <w:sz w:val="20"/>
                <w:szCs w:val="20"/>
                <w:color w:val="auto"/>
              </w:rPr>
            </w:pPr>
            <w:r>
              <w:rPr>
                <w:rFonts w:ascii="Arial" w:cs="Arial" w:eastAsia="Arial" w:hAnsi="Arial"/>
                <w:sz w:val="22"/>
                <w:szCs w:val="22"/>
                <w:color w:val="auto"/>
              </w:rPr>
              <w:t>OO</w:t>
            </w:r>
          </w:p>
        </w:tc>
      </w:tr>
      <w:tr>
        <w:trPr>
          <w:trHeight w:val="275"/>
        </w:trPr>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5</w:t>
            </w:r>
          </w:p>
        </w:tc>
        <w:tc>
          <w:tcPr>
            <w:tcW w:w="8420" w:type="dxa"/>
            <w:vAlign w:val="bottom"/>
          </w:tcPr>
          <w:p>
            <w:pPr>
              <w:ind w:left="220"/>
              <w:spacing w:after="0" w:line="207" w:lineRule="exact"/>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MS PGothic" w:cs="MS PGothic" w:eastAsia="MS PGothic" w:hAnsi="MS PGothic"/>
                <w:sz w:val="18"/>
                <w:szCs w:val="18"/>
                <w:color w:val="auto"/>
                <w:w w:val="93"/>
              </w:rPr>
              <w:t>☐</w:t>
            </w:r>
          </w:p>
        </w:tc>
      </w:tr>
    </w:tbl>
    <w:p>
      <w:pPr>
        <w:spacing w:after="0" w:line="203" w:lineRule="exact"/>
        <w:rPr>
          <w:sz w:val="20"/>
          <w:szCs w:val="20"/>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520"/>
        <w:spacing w:after="0"/>
        <w:tabs>
          <w:tab w:leader="none" w:pos="1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21,952 shares</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19"/>
                <w:szCs w:val="19"/>
                <w:color w:val="auto"/>
              </w:rPr>
            </w:pPr>
          </w:p>
        </w:tc>
        <w:tc>
          <w:tcPr>
            <w:tcW w:w="9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21,952 shares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600"/>
              <w:spacing w:after="0"/>
              <w:rPr>
                <w:sz w:val="20"/>
                <w:szCs w:val="20"/>
                <w:color w:val="auto"/>
              </w:rPr>
            </w:pPr>
            <w:r>
              <w:rPr>
                <w:rFonts w:ascii="Arial" w:cs="Arial" w:eastAsia="Arial" w:hAnsi="Arial"/>
                <w:sz w:val="22"/>
                <w:szCs w:val="22"/>
                <w:color w:val="auto"/>
              </w:rPr>
              <w:t>21,952 shares</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108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12.44%</w:t>
      </w:r>
    </w:p>
    <w:p>
      <w:pPr>
        <w:spacing w:after="0" w:line="30"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93" w:right="219" w:bottom="1440" w:gutter="0" w:footer="0" w:header="0"/>
        </w:sectPr>
      </w:pPr>
    </w:p>
    <w:bookmarkStart w:id="2" w:name="page3"/>
    <w:bookmarkEnd w:id="2"/>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 (this “Amendment”) amends and restates Items 3 and 5(a) of the Schedule 13D filed on June 27, 2011 (the “Original Schedule 13D”), as amended by Amendment No. 1 to the Original Schedule 13D filed on August 5, 2011 (“Amendment No. 1” and, together with the Original Schedule 13D and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or Amendment No. 1. Capitalized terms used in this Amendment and not otherwise defined herein shall have the same meanings ascribed to them in the Original Schedule 13D.</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amends and restates Item 3 of the Original Schedule 13D, as amended by Amendment No. 1, in its entirety as set forth below:</w:t>
      </w:r>
    </w:p>
    <w:p>
      <w:pPr>
        <w:spacing w:after="0" w:line="19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(the “Shares”) of Common Stock at a price of $1,000 per share on June 30, 2011.</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Issuer delivered a drawdown notice on August 1, 2011, and upon receiving the drawdown notice, the Reporting Person became obligated to make a capital contribution of $11,986,675 (the “August 1, 2011 Purchase Price”) to purchase 12,480 shares (the “Shares”) of Common Stock at a price of $960.47 per share.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ectPr>
          <w:pgSz w:w="11900" w:h="16838" w:orient="portrait"/>
          <w:cols w:equalWidth="0" w:num="1">
            <w:col w:w="11380"/>
          </w:cols>
          <w:pgMar w:left="240" w:top="280" w:right="279" w:bottom="1440" w:gutter="0" w:footer="0" w:header="0"/>
        </w:sectPr>
      </w:pPr>
    </w:p>
    <w:bookmarkStart w:id="3" w:name="page4"/>
    <w:bookmarkEnd w:id="3"/>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delivered drawdown notices to new investors on December 15, 2011 and such new investors were obligated to purchase shares of Common Stock. The Reporting Person was not required to make any contributions on December 15, 2011 and did not purchase any additional shares, however, the Reporting Person’s percentage ownership in the Issuer was diluted.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Issuer delivered a drawdown notice on December 16, 2011, and upon receiving the drawdown notice, the Reporting Person became obligated to make a capital contribution of $1,547,989 (the “December 16, 2011 Purchase Price”) to purchase 1,578 shares (the “Shares”) of Common Stock at a price of $980.98 per share.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December 16, 2011 Purchase Price. No part of the December 16, 2011 Purchase Price paid or amount subscribed by the Reporting Person was represented by funds or other consideration borrowed or otherwise obtained for the purpose of acquiring, holding, trading or voting the Shares.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Interest in Securities of the Issuer</w:t>
      </w:r>
      <w:r>
        <w:rPr>
          <w:rFonts w:ascii="Arial" w:cs="Arial" w:eastAsia="Arial" w:hAnsi="Arial"/>
          <w:sz w:val="15"/>
          <w:szCs w:val="15"/>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amends and restates Item 5(a) of the Original Schedule 13D, as amended by Amendment No. 1, in its entirety as set forth below:</w:t>
      </w:r>
    </w:p>
    <w:p>
      <w:pPr>
        <w:spacing w:after="0" w:line="113" w:lineRule="exact"/>
        <w:rPr>
          <w:sz w:val="20"/>
          <w:szCs w:val="20"/>
          <w:color w:val="auto"/>
        </w:rPr>
      </w:pPr>
    </w:p>
    <w:p>
      <w:pPr>
        <w:ind w:left="900" w:right="1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16, 2011, the aggregate number of shares of Common Stock beneficially owned by the Reporting Person was 21,952, representing 12.44% of the issued and outstanding shares of Common Stock, which is calculated based on information provided to the Reporting Person by the Issuer.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ectPr>
          <w:pgSz w:w="11900" w:h="16838" w:orient="portrait"/>
          <w:cols w:equalWidth="0" w:num="1">
            <w:col w:w="11320"/>
          </w:cols>
          <w:pgMar w:left="240" w:top="280" w:right="33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Mike Powell</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2019-12-11T08:50:14Z</dcterms:created>
  <dcterms:modified xsi:type="dcterms:W3CDTF">2019-12-11T08:50:14Z</dcterms:modified>
</cp:coreProperties>
</file>