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1/31/2022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3,345,63 4.000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3,345,63 4.000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3,345,63 4.000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4.577%</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w:t>
      </w:r>
    </w:p>
    <w:p>
      <w:pPr>
        <w:spacing w:after="0" w:line="219" w:lineRule="auto"/>
        <w:rPr>
          <w:sz w:val="20"/>
          <w:szCs w:val="20"/>
          <w:color w:val="auto"/>
        </w:rPr>
      </w:pPr>
      <w:r>
        <w:rPr>
          <w:rFonts w:ascii="Arial" w:cs="Arial" w:eastAsia="Arial" w:hAnsi="Arial"/>
          <w:sz w:val="22"/>
          <w:szCs w:val="22"/>
          <w:color w:val="auto"/>
        </w:rPr>
        <w:t>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McKinney Avenue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2960" w:firstLine="540"/>
        <w:spacing w:after="0" w:line="339" w:lineRule="auto"/>
        <w:rPr>
          <w:sz w:val="20"/>
          <w:szCs w:val="20"/>
          <w:color w:val="auto"/>
        </w:rPr>
      </w:pPr>
      <w:r>
        <w:rPr>
          <w:rFonts w:ascii="Arial" w:cs="Arial" w:eastAsia="Arial" w:hAnsi="Arial"/>
          <w:sz w:val="22"/>
          <w:szCs w:val="22"/>
          <w:color w:val="auto"/>
        </w:rPr>
        <w:t>STRS owns 3,345,63 4.000 shares of SIXTH STREET SPECIALTY LENDING (b) Percent of Class:</w:t>
      </w:r>
    </w:p>
    <w:p>
      <w:pPr>
        <w:spacing w:after="0" w:line="1" w:lineRule="exact"/>
        <w:rPr>
          <w:sz w:val="20"/>
          <w:szCs w:val="20"/>
          <w:color w:val="auto"/>
        </w:rPr>
      </w:pPr>
    </w:p>
    <w:p>
      <w:pPr>
        <w:ind w:left="1080" w:right="1300"/>
        <w:spacing w:after="0" w:line="234" w:lineRule="auto"/>
        <w:rPr>
          <w:sz w:val="20"/>
          <w:szCs w:val="20"/>
          <w:color w:val="auto"/>
        </w:rPr>
      </w:pPr>
      <w:r>
        <w:rPr>
          <w:rFonts w:ascii="Arial" w:cs="Arial" w:eastAsia="Arial" w:hAnsi="Arial"/>
          <w:sz w:val="22"/>
          <w:szCs w:val="22"/>
          <w:color w:val="auto"/>
        </w:rPr>
        <w:t>STRS believes that there are presently 73,103,66 8.000 outstanding shares of SIXTH STREET SPECIALTY LENDING; therefore, STRS' ownership of 3,345,63 4.000 shares of SIXTH STREET SPECIALTY LENDING stock is 4.577%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3,345,63 4.000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3,345,63 4.000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3,345,63 4.000 shares of SIXTH STREET</w:t>
      </w:r>
    </w:p>
    <w:p>
      <w:pPr>
        <w:ind w:left="1080"/>
        <w:spacing w:after="0" w:line="186" w:lineRule="auto"/>
        <w:rPr>
          <w:sz w:val="20"/>
          <w:szCs w:val="20"/>
          <w:color w:val="auto"/>
        </w:rPr>
      </w:pPr>
      <w:r>
        <w:rPr>
          <w:rFonts w:ascii="Arial" w:cs="Arial" w:eastAsia="Arial" w:hAnsi="Arial"/>
          <w:sz w:val="22"/>
          <w:szCs w:val="22"/>
          <w:color w:val="auto"/>
        </w:rPr>
        <w:t>SPECIALTY 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If this statements is being filed to report the fact that as of the date hereof the reporting person has ceased to be the</w:t>
      </w:r>
    </w:p>
    <w:p>
      <w:pPr>
        <w:ind w:left="540"/>
        <w:spacing w:after="0" w:line="219" w:lineRule="auto"/>
        <w:rPr>
          <w:sz w:val="20"/>
          <w:szCs w:val="20"/>
          <w:color w:val="auto"/>
        </w:rPr>
      </w:pPr>
      <w:r>
        <w:rPr>
          <w:rFonts w:ascii="Arial" w:cs="Arial" w:eastAsia="Arial" w:hAnsi="Arial"/>
          <w:sz w:val="22"/>
          <w:szCs w:val="22"/>
          <w:color w:val="auto"/>
        </w:rPr>
        <w:t>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2/8/2022</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Matthew Worley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/s/Matthew Worley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Matthew Worley</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614-227-4006</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2022-02-08T07:44:37Z</dcterms:created>
  <dcterms:modified xsi:type="dcterms:W3CDTF">2022-02-08T07:44:37Z</dcterms:modified>
</cp:coreProperties>
</file>