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333-203450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160020</wp:posOffset>
            </wp:positionV>
            <wp:extent cx="1543685"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68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Dated: March 3, 2016</w:t>
      </w:r>
    </w:p>
    <w:p>
      <w:pPr>
        <w:spacing w:after="0" w:line="225"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i w:val="1"/>
          <w:iCs w:val="1"/>
          <w:color w:val="auto"/>
        </w:rPr>
        <w:t>The following pricing notification is provided for your convenience and information. The information herein is qualified in its entirety by reference to the prospectus relating to the security. Capitalized terms used but not defined herein have the meaning ascribed to them in the prospectus.</w:t>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Notification – TPG Specialty Lending, Inc.</w:t>
      </w:r>
    </w:p>
    <w:p>
      <w:pPr>
        <w:sectPr>
          <w:pgSz w:w="11900" w:h="16838" w:orient="portrait"/>
          <w:cols w:equalWidth="0" w:num="1">
            <w:col w:w="11420"/>
          </w:cols>
          <w:pgMar w:left="240" w:top="229" w:right="239" w:bottom="1440" w:gutter="0" w:footer="0" w:header="0"/>
        </w:sectPr>
      </w:pPr>
    </w:p>
    <w:p>
      <w:pPr>
        <w:spacing w:after="0" w:line="256"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TPG Specialty Lending, Inc. (the “Company”)</w:t>
      </w:r>
    </w:p>
    <w:p>
      <w:pPr>
        <w:spacing w:after="0" w:line="140" w:lineRule="exact"/>
        <w:rPr>
          <w:sz w:val="24"/>
          <w:szCs w:val="24"/>
          <w:color w:val="auto"/>
        </w:rPr>
      </w:pPr>
    </w:p>
    <w:p>
      <w:pPr>
        <w:sectPr>
          <w:pgSz w:w="11900" w:h="16838" w:orient="portrait"/>
          <w:cols w:equalWidth="0" w:num="2">
            <w:col w:w="1800" w:space="720"/>
            <w:col w:w="890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Ticker Symbol (Exchange):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TSLX (NYSE)</w:t>
      </w:r>
    </w:p>
    <w:p>
      <w:pPr>
        <w:spacing w:after="0" w:line="129" w:lineRule="exact"/>
        <w:rPr>
          <w:sz w:val="24"/>
          <w:szCs w:val="24"/>
          <w:color w:val="auto"/>
        </w:rPr>
      </w:pPr>
    </w:p>
    <w:p>
      <w:pPr>
        <w:sectPr>
          <w:pgSz w:w="11900" w:h="16838" w:orient="portrait"/>
          <w:cols w:equalWidth="0" w:num="2">
            <w:col w:w="2000" w:space="520"/>
            <w:col w:w="890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Type of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Primary Offering of Common Stock</w:t>
      </w:r>
    </w:p>
    <w:p>
      <w:pPr>
        <w:spacing w:after="0" w:line="140" w:lineRule="exact"/>
        <w:rPr>
          <w:sz w:val="24"/>
          <w:szCs w:val="24"/>
          <w:color w:val="auto"/>
        </w:rPr>
      </w:pPr>
    </w:p>
    <w:p>
      <w:pPr>
        <w:sectPr>
          <w:pgSz w:w="11900" w:h="16838" w:orient="portrait"/>
          <w:cols w:equalWidth="0" w:num="2">
            <w:col w:w="1800" w:space="720"/>
            <w:col w:w="890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Offering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$16.42</w:t>
      </w:r>
    </w:p>
    <w:p>
      <w:pPr>
        <w:spacing w:after="0" w:line="140" w:lineRule="exact"/>
        <w:rPr>
          <w:sz w:val="24"/>
          <w:szCs w:val="24"/>
          <w:color w:val="auto"/>
        </w:rPr>
      </w:pPr>
    </w:p>
    <w:p>
      <w:pPr>
        <w:sectPr>
          <w:pgSz w:w="11900" w:h="16838" w:orient="portrait"/>
          <w:cols w:equalWidth="0" w:num="2">
            <w:col w:w="1800" w:space="720"/>
            <w:col w:w="890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March 3, 2016</w:t>
      </w:r>
    </w:p>
    <w:p>
      <w:pPr>
        <w:spacing w:after="0" w:line="154" w:lineRule="exact"/>
        <w:rPr>
          <w:sz w:val="24"/>
          <w:szCs w:val="24"/>
          <w:color w:val="auto"/>
        </w:rPr>
      </w:pPr>
    </w:p>
    <w:p>
      <w:pPr>
        <w:sectPr>
          <w:pgSz w:w="11900" w:h="16838" w:orient="portrait"/>
          <w:cols w:equalWidth="0" w:num="2">
            <w:col w:w="1800" w:space="720"/>
            <w:col w:w="890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March 8, 2016</w:t>
      </w:r>
    </w:p>
    <w:p>
      <w:pPr>
        <w:spacing w:after="0" w:line="154" w:lineRule="exact"/>
        <w:rPr>
          <w:sz w:val="24"/>
          <w:szCs w:val="24"/>
          <w:color w:val="auto"/>
        </w:rPr>
      </w:pPr>
    </w:p>
    <w:p>
      <w:pPr>
        <w:sectPr>
          <w:pgSz w:w="11900" w:h="16838" w:orient="portrait"/>
          <w:cols w:equalWidth="0" w:num="2">
            <w:col w:w="1800" w:space="720"/>
            <w:col w:w="890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CUSIP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87265K 102</w:t>
      </w:r>
    </w:p>
    <w:p>
      <w:pPr>
        <w:spacing w:after="0" w:line="140" w:lineRule="exact"/>
        <w:rPr>
          <w:sz w:val="24"/>
          <w:szCs w:val="24"/>
          <w:color w:val="auto"/>
        </w:rPr>
      </w:pPr>
    </w:p>
    <w:p>
      <w:pPr>
        <w:sectPr>
          <w:pgSz w:w="11900" w:h="16838" w:orient="portrait"/>
          <w:cols w:equalWidth="0" w:num="2">
            <w:col w:w="1800" w:space="720"/>
            <w:col w:w="890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Size of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5,000,000 shares (not including underwriters’ option to purchase up to an additional 750,000 shares of common stock)</w:t>
      </w:r>
    </w:p>
    <w:p>
      <w:pPr>
        <w:spacing w:after="0" w:line="140" w:lineRule="exact"/>
        <w:rPr>
          <w:sz w:val="24"/>
          <w:szCs w:val="24"/>
          <w:color w:val="auto"/>
        </w:rPr>
      </w:pPr>
    </w:p>
    <w:p>
      <w:pPr>
        <w:sectPr>
          <w:pgSz w:w="11900" w:h="16838" w:orient="portrait"/>
          <w:cols w:equalWidth="0" w:num="2">
            <w:col w:w="1800" w:space="720"/>
            <w:col w:w="890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To pay down debt under a revolving credit facility</w:t>
      </w:r>
    </w:p>
    <w:p>
      <w:pPr>
        <w:spacing w:after="0" w:line="140" w:lineRule="exact"/>
        <w:rPr>
          <w:sz w:val="24"/>
          <w:szCs w:val="24"/>
          <w:color w:val="auto"/>
        </w:rPr>
      </w:pPr>
    </w:p>
    <w:p>
      <w:pPr>
        <w:sectPr>
          <w:pgSz w:w="11900" w:h="16838" w:orient="portrait"/>
          <w:cols w:equalWidth="0" w:num="2">
            <w:col w:w="1800" w:space="720"/>
            <w:col w:w="8900"/>
          </w:cols>
          <w:pgMar w:left="240" w:top="229" w:right="239" w:bottom="1440" w:gutter="0" w:footer="0" w:header="0"/>
          <w:type w:val="continuous"/>
        </w:sectPr>
      </w:pPr>
    </w:p>
    <w:p>
      <w:pPr>
        <w:spacing w:after="0"/>
        <w:rPr>
          <w:sz w:val="20"/>
          <w:szCs w:val="20"/>
          <w:color w:val="auto"/>
        </w:rPr>
      </w:pPr>
      <w:r>
        <w:rPr>
          <w:rFonts w:ascii="Arial" w:cs="Arial" w:eastAsia="Arial" w:hAnsi="Arial"/>
          <w:sz w:val="18"/>
          <w:szCs w:val="18"/>
          <w:color w:val="auto"/>
        </w:rPr>
        <w:t>Underwriters’ Option to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Purchase Additional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15%</w:t>
      </w:r>
    </w:p>
    <w:p>
      <w:pPr>
        <w:sectPr>
          <w:pgSz w:w="11900" w:h="16838" w:orient="portrait"/>
          <w:cols w:equalWidth="0" w:num="2">
            <w:col w:w="2040" w:space="480"/>
            <w:col w:w="890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Joint Book-Running Managers: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BofA Merrill Lynch; Wells Fargo Securities; Goldman, Sachs &amp; Co.; Barclays and 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-208915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TPG Capital BD, LLC; Ladenburg Thalmann; Comerica Securities; Houlihan Lokey and Santander</w:t>
      </w:r>
    </w:p>
    <w:p>
      <w:pPr>
        <w:spacing w:after="0" w:line="222" w:lineRule="exact"/>
        <w:rPr>
          <w:sz w:val="20"/>
          <w:szCs w:val="20"/>
          <w:color w:val="auto"/>
        </w:rPr>
      </w:pPr>
    </w:p>
    <w:p>
      <w:pPr>
        <w:sectPr>
          <w:pgSz w:w="11900" w:h="16838" w:orient="portrait"/>
          <w:cols w:equalWidth="0" w:num="2">
            <w:col w:w="2280" w:space="240"/>
            <w:col w:w="8900"/>
          </w:cols>
          <w:pgMar w:left="240" w:top="274" w:right="239" w:bottom="1440" w:gutter="0" w:footer="0" w:header="0"/>
        </w:sectPr>
      </w:pPr>
    </w:p>
    <w:p>
      <w:pPr>
        <w:spacing w:after="0" w:line="21" w:lineRule="exact"/>
        <w:rPr>
          <w:sz w:val="20"/>
          <w:szCs w:val="20"/>
          <w:color w:val="auto"/>
        </w:rPr>
      </w:pPr>
    </w:p>
    <w:p>
      <w:pPr>
        <w:ind w:right="120"/>
        <w:spacing w:after="0" w:line="343" w:lineRule="auto"/>
        <w:rPr>
          <w:sz w:val="20"/>
          <w:szCs w:val="20"/>
          <w:color w:val="auto"/>
        </w:rPr>
      </w:pPr>
      <w:r>
        <w:rPr>
          <w:rFonts w:ascii="Arial" w:cs="Arial" w:eastAsia="Arial" w:hAnsi="Arial"/>
          <w:sz w:val="15"/>
          <w:szCs w:val="15"/>
          <w:b w:val="1"/>
          <w:bCs w:val="1"/>
          <w:color w:val="auto"/>
        </w:rPr>
        <w:t>Investors are advised to carefully consider the investment objectives, risks, charges and expenses of the Company before investing. The preliminary prospectus supplement dated March 2, 2016 and the accompanying prospectus dated July 9, 2015, which have been filed with the Securities and Exchange Commission (the “SEC”), contain this and other information about the Company and should be read carefully before investing.</w:t>
      </w:r>
    </w:p>
    <w:p>
      <w:pPr>
        <w:spacing w:after="0" w:line="1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information in the preliminary prospectus supplement, the accompanying prospectus and this announcement is not complete and may be changed. The preliminary prospectus supplement, the accompanying prospectus and this announcement are not offers to sell any securities of the Company and are not soliciting an offer to buy such securities in any state or jurisdiction where such offer and sale is not permitted.</w:t>
      </w:r>
    </w:p>
    <w:p>
      <w:pPr>
        <w:spacing w:after="0" w:line="162"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A shelf registration statement relating to these securities is on file with and has been declared effective by the SEC. The offering may be made only by means of a preliminary prospectus supplement and an accompanying prospectus, copies of which may be obtained from: BofA Merrill Lynch, 222 Broadway, New York, NY 10038, Attn: Prospectus Department, or by e-mailing dg.prospectus_requests@baml.com; Wells Fargo Securities, 375 Park Avenue, New York, NY 10152, Attn: Equity Syndicate Department, by calling (800) 326-5897 or by e-mailing cmclientsupport@wellsfargo.com; or Goldman, Sachs &amp; Co., 200 West Street, New York, NY 10282, Attn: Prospectus Department, by calling (866) 471-2526, facsimile: (212) 902-9316 or by e-mailing prospectus-ny@ny.email.gs.com.</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2019-12-08T21:10:18Z</dcterms:created>
  <dcterms:modified xsi:type="dcterms:W3CDTF">2019-12-08T21:10:18Z</dcterms:modified>
</cp:coreProperties>
</file>