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022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022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line="237" w:lineRule="auto"/>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MSSB TPG Specialty Lending Onshore</w:t>
        </w:r>
      </w:hyperlink>
      <w:r>
        <w:rPr>
          <w:rFonts w:ascii="Arial" w:cs="Arial" w:eastAsia="Arial" w:hAnsi="Arial"/>
          <w:sz w:val="22"/>
          <w:szCs w:val="22"/>
          <w:u w:val="single" w:color="auto"/>
          <w:color w:val="0000EE"/>
        </w:rPr>
        <w:t xml:space="preserve"> </w:t>
      </w:r>
      <w:hyperlink r:id="rId12">
        <w:r>
          <w:rPr>
            <w:rFonts w:ascii="Arial" w:cs="Arial" w:eastAsia="Arial" w:hAnsi="Arial"/>
            <w:sz w:val="22"/>
            <w:szCs w:val="22"/>
            <w:u w:val="single" w:color="auto"/>
            <w:color w:val="0000EE"/>
          </w:rPr>
          <w:t>Feeder Fund</w:t>
        </w:r>
      </w:hyperlink>
    </w:p>
    <w:p>
      <w:pPr>
        <w:spacing w:after="0" w:line="313"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20" w:right="300"/>
        <w:spacing w:after="0" w:line="268" w:lineRule="auto"/>
        <w:rPr>
          <w:sz w:val="20"/>
          <w:szCs w:val="20"/>
          <w:color w:val="auto"/>
        </w:rPr>
      </w:pPr>
      <w:r>
        <w:rPr>
          <w:rFonts w:ascii="Arial" w:cs="Arial" w:eastAsia="Arial" w:hAnsi="Arial"/>
          <w:sz w:val="18"/>
          <w:szCs w:val="18"/>
          <w:color w:val="0000FF"/>
        </w:rPr>
        <w:t>C/O MORGAN STANLEY GWM FEEDER STRATEGIES</w:t>
      </w:r>
    </w:p>
    <w:p>
      <w:pPr>
        <w:spacing w:after="0" w:line="24"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LLC, 522 FIFTH AVENUE, 13TH FLOOR</w:t>
      </w:r>
    </w:p>
    <w:p>
      <w:pPr>
        <w:spacing w:after="0" w:line="300" w:lineRule="exact"/>
        <w:rPr>
          <w:sz w:val="20"/>
          <w:szCs w:val="20"/>
          <w:color w:val="auto"/>
        </w:rPr>
      </w:pPr>
    </w:p>
    <w:tbl>
      <w:tblPr>
        <w:tblLayout w:type="fixed"/>
        <w:tblInd w:w="80" w:type="dxa"/>
        <w:tblCellMar>
          <w:top w:w="0" w:type="dxa"/>
          <w:left w:w="0" w:type="dxa"/>
          <w:bottom w:w="0" w:type="dxa"/>
          <w:right w:w="0" w:type="dxa"/>
        </w:tblCellMar>
      </w:tblPr>
      <w:tr>
        <w:trPr>
          <w:trHeight w:val="162"/>
        </w:trPr>
        <w:tc>
          <w:tcPr>
            <w:tcW w:w="2080" w:type="dxa"/>
            <w:vAlign w:val="bottom"/>
          </w:tcPr>
          <w:p>
            <w:pPr>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14"/>
                <w:szCs w:val="14"/>
                <w:color w:val="auto"/>
              </w:rPr>
            </w:pPr>
          </w:p>
        </w:tc>
      </w:tr>
      <w:tr>
        <w:trPr>
          <w:trHeight w:val="242"/>
        </w:trPr>
        <w:tc>
          <w:tcPr>
            <w:tcW w:w="2080" w:type="dxa"/>
            <w:vAlign w:val="bottom"/>
          </w:tcPr>
          <w:p>
            <w:pPr>
              <w:ind w:left="40"/>
              <w:spacing w:after="0"/>
              <w:rPr>
                <w:sz w:val="20"/>
                <w:szCs w:val="20"/>
                <w:color w:val="auto"/>
              </w:rPr>
            </w:pPr>
            <w:r>
              <w:rPr>
                <w:rFonts w:ascii="Arial" w:cs="Arial" w:eastAsia="Arial" w:hAnsi="Arial"/>
                <w:sz w:val="18"/>
                <w:szCs w:val="18"/>
                <w:color w:val="0000FF"/>
              </w:rPr>
              <w:t>NEW YORKNY</w:t>
            </w:r>
          </w:p>
        </w:tc>
        <w:tc>
          <w:tcPr>
            <w:tcW w:w="940" w:type="dxa"/>
            <w:vAlign w:val="bottom"/>
          </w:tcPr>
          <w:p>
            <w:pPr>
              <w:jc w:val="right"/>
              <w:spacing w:after="0"/>
              <w:rPr>
                <w:sz w:val="20"/>
                <w:szCs w:val="20"/>
                <w:color w:val="auto"/>
              </w:rPr>
            </w:pPr>
            <w:r>
              <w:rPr>
                <w:rFonts w:ascii="Arial" w:cs="Arial" w:eastAsia="Arial" w:hAnsi="Arial"/>
                <w:sz w:val="18"/>
                <w:szCs w:val="18"/>
                <w:color w:val="0000FF"/>
              </w:rPr>
              <w:t>10036</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 xml:space="preserve">TPG Specialty Lending,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N/A</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16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16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360" w:type="dxa"/>
            <w:vAlign w:val="bottom"/>
            <w:tcBorders>
              <w:bottom w:val="single" w:sz="8" w:color="0000EE"/>
            </w:tcBorders>
          </w:tcPr>
          <w:p>
            <w:pPr>
              <w:spacing w:after="0"/>
              <w:rPr>
                <w:sz w:val="3"/>
                <w:szCs w:val="3"/>
                <w:color w:val="auto"/>
              </w:rPr>
            </w:pPr>
          </w:p>
        </w:tc>
        <w:tc>
          <w:tcPr>
            <w:tcW w:w="14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Director</w:t>
            </w:r>
          </w:p>
        </w:tc>
        <w:tc>
          <w:tcPr>
            <w:tcW w:w="1660" w:type="dxa"/>
            <w:vAlign w:val="bottom"/>
            <w:vMerge w:val="restart"/>
          </w:tcPr>
          <w:p>
            <w:pPr>
              <w:ind w:left="1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81"/>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60" w:type="dxa"/>
            <w:vAlign w:val="bottom"/>
            <w:vMerge w:val="continue"/>
          </w:tcPr>
          <w:p>
            <w:pPr>
              <w:spacing w:after="0"/>
              <w:rPr>
                <w:sz w:val="15"/>
                <w:szCs w:val="15"/>
                <w:color w:val="auto"/>
              </w:rPr>
            </w:pPr>
          </w:p>
        </w:tc>
        <w:tc>
          <w:tcPr>
            <w:tcW w:w="1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tcPr>
          <w:p>
            <w:pPr>
              <w:ind w:left="420"/>
              <w:spacing w:after="0"/>
              <w:rPr>
                <w:sz w:val="20"/>
                <w:szCs w:val="20"/>
                <w:color w:val="auto"/>
              </w:rPr>
            </w:pPr>
            <w:r>
              <w:rPr>
                <w:rFonts w:ascii="Arial" w:cs="Arial" w:eastAsia="Arial" w:hAnsi="Arial"/>
                <w:sz w:val="14"/>
                <w:szCs w:val="14"/>
                <w:color w:val="auto"/>
              </w:rPr>
              <w:t>Officer (give title</w:t>
            </w:r>
          </w:p>
        </w:tc>
        <w:tc>
          <w:tcPr>
            <w:tcW w:w="1660" w:type="dxa"/>
            <w:vAlign w:val="bottom"/>
          </w:tcPr>
          <w:p>
            <w:pPr>
              <w:ind w:left="50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1560" w:type="dxa"/>
            <w:vAlign w:val="bottom"/>
            <w:vMerge w:val="restart"/>
          </w:tcPr>
          <w:p>
            <w:pPr>
              <w:ind w:left="420"/>
              <w:spacing w:after="0"/>
              <w:rPr>
                <w:sz w:val="20"/>
                <w:szCs w:val="20"/>
                <w:color w:val="auto"/>
              </w:rPr>
            </w:pPr>
            <w:r>
              <w:rPr>
                <w:rFonts w:ascii="Arial" w:cs="Arial" w:eastAsia="Arial" w:hAnsi="Arial"/>
                <w:sz w:val="14"/>
                <w:szCs w:val="14"/>
                <w:color w:val="auto"/>
              </w:rPr>
              <w:t>below)</w:t>
            </w:r>
          </w:p>
        </w:tc>
        <w:tc>
          <w:tcPr>
            <w:tcW w:w="1660" w:type="dxa"/>
            <w:vAlign w:val="bottom"/>
            <w:vMerge w:val="restart"/>
          </w:tcPr>
          <w:p>
            <w:pPr>
              <w:ind w:left="50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vMerge w:val="restart"/>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9"/>
                <w:szCs w:val="9"/>
                <w:color w:val="auto"/>
              </w:rPr>
            </w:pPr>
          </w:p>
        </w:tc>
        <w:tc>
          <w:tcPr>
            <w:tcW w:w="1560" w:type="dxa"/>
            <w:vAlign w:val="bottom"/>
            <w:vMerge w:val="continue"/>
          </w:tcPr>
          <w:p>
            <w:pPr>
              <w:spacing w:after="0"/>
              <w:rPr>
                <w:sz w:val="9"/>
                <w:szCs w:val="9"/>
                <w:color w:val="auto"/>
              </w:rPr>
            </w:pPr>
          </w:p>
        </w:tc>
        <w:tc>
          <w:tcPr>
            <w:tcW w:w="16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7"/>
        </w:trPr>
        <w:tc>
          <w:tcPr>
            <w:tcW w:w="200" w:type="dxa"/>
            <w:vAlign w:val="bottom"/>
            <w:gridSpan w:val="2"/>
            <w:vMerge w:val="continue"/>
          </w:tcPr>
          <w:p>
            <w:pPr>
              <w:spacing w:after="0"/>
              <w:rPr>
                <w:sz w:val="7"/>
                <w:szCs w:val="7"/>
                <w:color w:val="auto"/>
              </w:rPr>
            </w:pPr>
          </w:p>
        </w:tc>
        <w:tc>
          <w:tcPr>
            <w:tcW w:w="378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2"/>
        </w:trPr>
        <w:tc>
          <w:tcPr>
            <w:tcW w:w="2560" w:type="dxa"/>
            <w:vAlign w:val="bottom"/>
            <w:gridSpan w:val="3"/>
          </w:tcPr>
          <w:p>
            <w:pPr>
              <w:ind w:left="80"/>
              <w:spacing w:after="0"/>
              <w:rPr>
                <w:sz w:val="20"/>
                <w:szCs w:val="20"/>
                <w:color w:val="auto"/>
              </w:rPr>
            </w:pPr>
            <w:r>
              <w:rPr>
                <w:rFonts w:ascii="Arial" w:cs="Arial" w:eastAsia="Arial" w:hAnsi="Arial"/>
                <w:sz w:val="18"/>
                <w:szCs w:val="18"/>
                <w:color w:val="0000FF"/>
              </w:rPr>
              <w:t>12/31/2013</w:t>
            </w:r>
          </w:p>
        </w:tc>
        <w:tc>
          <w:tcPr>
            <w:tcW w:w="1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7"/>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36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580" w:space="420"/>
            <w:col w:w="7420"/>
          </w:cols>
          <w:pgMar w:left="240" w:top="226" w:right="239" w:bottom="1440" w:gutter="0" w:footer="0" w:header="0"/>
          <w:type w:val="continuous"/>
        </w:sectPr>
      </w:pPr>
    </w:p>
    <w:p>
      <w:pPr>
        <w:spacing w:after="0" w:line="125" w:lineRule="exact"/>
        <w:rPr>
          <w:sz w:val="20"/>
          <w:szCs w:val="20"/>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0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0" w:type="dxa"/>
            <w:vAlign w:val="bottom"/>
            <w:gridSpan w:val="2"/>
          </w:tcPr>
          <w:p>
            <w:pPr>
              <w:ind w:left="5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w w:val="99"/>
              </w:rPr>
              <w:t>(A) or</w:t>
            </w:r>
          </w:p>
        </w:tc>
        <w:tc>
          <w:tcPr>
            <w:tcW w:w="58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58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2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40"/>
              <w:spacing w:after="0"/>
              <w:rPr>
                <w:sz w:val="20"/>
                <w:szCs w:val="20"/>
                <w:color w:val="auto"/>
              </w:rPr>
            </w:pPr>
            <w:r>
              <w:rPr>
                <w:rFonts w:ascii="Arial" w:cs="Arial" w:eastAsia="Arial" w:hAnsi="Arial"/>
                <w:sz w:val="18"/>
                <w:szCs w:val="18"/>
                <w:color w:val="0000FF"/>
              </w:rPr>
              <w:t>12/31/2013</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P</w:t>
            </w:r>
          </w:p>
        </w:tc>
        <w:tc>
          <w:tcPr>
            <w:tcW w:w="82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w w:val="86"/>
              </w:rPr>
              <w:t>650,832</w:t>
            </w:r>
            <w:r>
              <w:rPr>
                <w:rFonts w:ascii="Arial" w:cs="Arial" w:eastAsia="Arial" w:hAnsi="Arial"/>
                <w:sz w:val="22"/>
                <w:szCs w:val="22"/>
                <w:color w:val="008000"/>
                <w:w w:val="86"/>
                <w:vertAlign w:val="superscript"/>
              </w:rPr>
              <w:t>(1)</w:t>
            </w:r>
          </w:p>
        </w:tc>
        <w:tc>
          <w:tcPr>
            <w:tcW w:w="480" w:type="dxa"/>
            <w:vAlign w:val="bottom"/>
            <w:tcBorders>
              <w:bottom w:val="single" w:sz="8" w:color="2C2C2C"/>
            </w:tcBorders>
          </w:tcPr>
          <w:p>
            <w:pPr>
              <w:ind w:left="260"/>
              <w:spacing w:after="0"/>
              <w:rPr>
                <w:sz w:val="20"/>
                <w:szCs w:val="20"/>
                <w:color w:val="auto"/>
              </w:rPr>
            </w:pPr>
            <w:r>
              <w:rPr>
                <w:rFonts w:ascii="Arial" w:cs="Arial" w:eastAsia="Arial" w:hAnsi="Arial"/>
                <w:sz w:val="18"/>
                <w:szCs w:val="18"/>
                <w:color w:val="0000FF"/>
              </w:rPr>
              <w:t>A</w:t>
            </w:r>
          </w:p>
        </w:tc>
        <w:tc>
          <w:tcPr>
            <w:tcW w:w="86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auto"/>
                <w:w w:val="93"/>
              </w:rPr>
              <w:t>$</w:t>
            </w:r>
            <w:r>
              <w:rPr>
                <w:rFonts w:ascii="Arial" w:cs="Arial" w:eastAsia="Arial" w:hAnsi="Arial"/>
                <w:sz w:val="18"/>
                <w:szCs w:val="18"/>
                <w:color w:val="0000FF"/>
                <w:w w:val="93"/>
              </w:rPr>
              <w:t>15.35</w:t>
            </w:r>
            <w:r>
              <w:rPr>
                <w:rFonts w:ascii="Arial" w:cs="Arial" w:eastAsia="Arial" w:hAnsi="Arial"/>
                <w:sz w:val="22"/>
                <w:szCs w:val="22"/>
                <w:color w:val="008000"/>
                <w:w w:val="93"/>
                <w:vertAlign w:val="superscript"/>
              </w:rPr>
              <w:t>(2)</w:t>
            </w:r>
          </w:p>
        </w:tc>
        <w:tc>
          <w:tcPr>
            <w:tcW w:w="1260" w:type="dxa"/>
            <w:vAlign w:val="bottom"/>
            <w:tcBorders>
              <w:bottom w:val="single" w:sz="8" w:color="2C2C2C"/>
            </w:tcBorders>
            <w:gridSpan w:val="2"/>
          </w:tcPr>
          <w:p>
            <w:pPr>
              <w:ind w:left="120"/>
              <w:spacing w:after="0"/>
              <w:rPr>
                <w:sz w:val="20"/>
                <w:szCs w:val="20"/>
                <w:color w:val="auto"/>
              </w:rPr>
            </w:pPr>
            <w:r>
              <w:rPr>
                <w:rFonts w:ascii="Arial" w:cs="Arial" w:eastAsia="Arial" w:hAnsi="Arial"/>
                <w:sz w:val="18"/>
                <w:szCs w:val="18"/>
                <w:color w:val="0000FF"/>
                <w:w w:val="96"/>
              </w:rPr>
              <w:t>5,994,646</w:t>
            </w:r>
            <w:r>
              <w:rPr>
                <w:rFonts w:ascii="Arial" w:cs="Arial" w:eastAsia="Arial" w:hAnsi="Arial"/>
                <w:sz w:val="22"/>
                <w:szCs w:val="22"/>
                <w:color w:val="008000"/>
                <w:w w:val="96"/>
                <w:vertAlign w:val="superscript"/>
              </w:rPr>
              <w:t>(3)(4)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1"/>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40" w:type="dxa"/>
            <w:vAlign w:val="bottom"/>
            <w:gridSpan w:val="8"/>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6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6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and 4)</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8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4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Morgan Stanley GWM Feeder Strategies LLC is the managing owner of the reporting person, and is a wholly-owned subsidiary of Morgan Stanley Smith Barney Holdings LLC. Morgan Stanley Smith Barney Holdings LLC is indirectly majority-owned by Morgan Stanley.</w:t>
      </w:r>
    </w:p>
    <w:p>
      <w:pPr>
        <w:spacing w:after="0" w:line="30" w:lineRule="exact"/>
        <w:rPr>
          <w:rFonts w:ascii="Arial" w:cs="Arial" w:eastAsia="Arial" w:hAnsi="Arial"/>
          <w:sz w:val="14"/>
          <w:szCs w:val="14"/>
          <w:color w:val="008000"/>
        </w:rPr>
      </w:pPr>
    </w:p>
    <w:p>
      <w:pPr>
        <w:ind w:left="40" w:right="32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Issuer delivered a drawdown notice on December 31, 2013, and upon receiving the drawdown notice, the reporting person became obligated to make a capital contribution of $9,990,281 to purchase 650,832 shares of Common Stock at a price of $15.35 per share.</w:t>
      </w:r>
    </w:p>
    <w:p>
      <w:pPr>
        <w:spacing w:after="0" w:line="30" w:lineRule="exact"/>
        <w:rPr>
          <w:rFonts w:ascii="Arial" w:cs="Arial" w:eastAsia="Arial" w:hAnsi="Arial"/>
          <w:sz w:val="14"/>
          <w:szCs w:val="14"/>
          <w:color w:val="008000"/>
        </w:rPr>
      </w:pPr>
    </w:p>
    <w:p>
      <w:pPr>
        <w:ind w:left="40" w:right="240" w:firstLine="9"/>
        <w:spacing w:after="0" w:line="228"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Although MSSB TPG Specialty Lending Onshore Feeder Fund (the "Trust") beneficially owns 5,994,646 shares of the common stock of the Issuer and would otherwise be entitled to vote such shares, the Trust has contractually agreed to pass such voting rights through to the Trust's underlying investors (each a "Unitholder" and collectively, the "Unitholders") pro rata in accordance with each Unitholder's relative ownership of units of the Trust. Each Unitholder will make its own determination as to how to vote with respect to its portion of the Trust's shares of the Issuer, as well as whether or not to vote with respect to such shares. If Unitholders representing a certain percentage vote their interests, the Trust will vote all shares in accordance with the votes received. If, however, less than the agreed upon representative vote is received, the Trust will not vote any of the shares.</w:t>
      </w:r>
    </w:p>
    <w:p>
      <w:pPr>
        <w:spacing w:after="0" w:line="32" w:lineRule="exact"/>
        <w:rPr>
          <w:rFonts w:ascii="Arial" w:cs="Arial" w:eastAsia="Arial" w:hAnsi="Arial"/>
          <w:sz w:val="14"/>
          <w:szCs w:val="14"/>
          <w:color w:val="008000"/>
        </w:rPr>
      </w:pPr>
    </w:p>
    <w:p>
      <w:pPr>
        <w:ind w:left="40" w:right="360" w:firstLine="9"/>
        <w:spacing w:after="0" w:line="31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On December 3, 2013, the Issuer declared a forward stock split of its issued and outstanding shares by way of a stock dividend. Stockholders of record as of December 4, 2013 received 65.676 shares of Common Stock for each share of Common Stock held. As a result, the reporting person received 5,263,668 shares of Common Stock as of December 4, 2013.</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0000FF"/>
        </w:rPr>
        <w:t>/s/ James V. Bruno, on behalf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3074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0746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of Morgan Stanley GWM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14681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14681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Feeder Strategies LLC, the</w:t>
      </w:r>
      <w:r>
        <w:rPr>
          <w:sz w:val="20"/>
          <w:szCs w:val="20"/>
          <w:color w:val="auto"/>
        </w:rPr>
        <w:tab/>
      </w:r>
      <w:r>
        <w:rPr>
          <w:rFonts w:ascii="Arial" w:cs="Arial" w:eastAsia="Arial" w:hAnsi="Arial"/>
          <w:sz w:val="15"/>
          <w:szCs w:val="15"/>
          <w:color w:val="0000FF"/>
        </w:rPr>
        <w:t>01/03/2014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managing owner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03060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03060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reporting person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342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33425" cy="8890"/>
                    </a:xfrm>
                    <a:prstGeom prst="rect">
                      <a:avLst/>
                    </a:prstGeom>
                    <a:noFill/>
                  </pic:spPr>
                </pic:pic>
              </a:graphicData>
            </a:graphic>
          </wp:anchor>
        </w:drawing>
      </w:r>
    </w:p>
    <w:p>
      <w:pPr>
        <w:spacing w:after="0" w:line="44" w:lineRule="exact"/>
        <w:rPr>
          <w:sz w:val="20"/>
          <w:szCs w:val="20"/>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2" Type="http://schemas.openxmlformats.org/officeDocument/2006/relationships/hyperlink" Target="http://www.sec.gov/cgi-bin/browse-edgar?action=getcompany&amp;CIK=0001527270"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2019-12-17T17:09:06Z</dcterms:created>
  <dcterms:modified xsi:type="dcterms:W3CDTF">2019-12-17T17:09:06Z</dcterms:modified>
</cp:coreProperties>
</file>