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251" w:lineRule="exact"/>
        <w:rPr>
          <w:sz w:val="24"/>
          <w:szCs w:val="24"/>
          <w:color w:val="auto"/>
        </w:rPr>
      </w:pPr>
    </w:p>
    <w:p>
      <w:pPr>
        <w:spacing w:after="0" w:line="280"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0" w:lineRule="exact"/>
        <w:rPr>
          <w:sz w:val="24"/>
          <w:szCs w:val="24"/>
          <w:color w:val="auto"/>
        </w:rPr>
      </w:pPr>
    </w:p>
    <w:p>
      <w:pPr>
        <w:ind w:right="640" w:firstLine="323"/>
        <w:spacing w:after="0" w:line="276"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197" w:lineRule="exact"/>
        <w:rPr>
          <w:sz w:val="24"/>
          <w:szCs w:val="24"/>
          <w:color w:val="auto"/>
        </w:rPr>
      </w:pPr>
    </w:p>
    <w:p>
      <w:pPr>
        <w:ind w:left="340" w:right="660" w:firstLine="323"/>
        <w:spacing w:after="0" w:line="276"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39"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660" w:firstLine="331"/>
        <w:spacing w:after="0" w:line="273"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3"/>
        <w:spacing w:after="0" w:line="254"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59955" cy="4905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4905375"/>
                    </a:xfrm>
                    <a:prstGeom prst="rect">
                      <a:avLst/>
                    </a:prstGeom>
                    <a:noFill/>
                  </pic:spPr>
                </pic:pic>
              </a:graphicData>
            </a:graphic>
          </wp:anchor>
        </w:drawing>
      </w:r>
    </w:p>
    <w:p>
      <w:pPr>
        <w:spacing w:after="0" w:line="232" w:lineRule="exact"/>
        <w:rPr>
          <w:sz w:val="20"/>
          <w:szCs w:val="20"/>
          <w:color w:val="auto"/>
        </w:rPr>
      </w:pPr>
    </w:p>
    <w:p>
      <w:pPr>
        <w:ind w:left="1520" w:right="6820" w:hanging="902"/>
        <w:spacing w:after="0" w:line="340"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4" w:lineRule="exact"/>
        <w:rPr>
          <w:sz w:val="20"/>
          <w:szCs w:val="20"/>
          <w:color w:val="auto"/>
        </w:rPr>
      </w:pPr>
    </w:p>
    <w:p>
      <w:pPr>
        <w:ind w:left="1520" w:right="4940" w:hanging="902"/>
        <w:spacing w:after="0" w:line="258"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70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(b) o</w:t>
      </w:r>
    </w:p>
    <w:p>
      <w:pPr>
        <w:spacing w:after="0" w:line="162" w:lineRule="exact"/>
        <w:rPr>
          <w:sz w:val="20"/>
          <w:szCs w:val="20"/>
          <w:color w:val="auto"/>
        </w:rPr>
      </w:pPr>
    </w:p>
    <w:p>
      <w:pPr>
        <w:ind w:left="1520" w:hanging="902"/>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20" w:right="1980" w:hanging="1202"/>
        <w:spacing w:after="0" w:line="276" w:lineRule="auto"/>
        <w:tabs>
          <w:tab w:leader="none" w:pos="1506"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40" w:hanging="902"/>
        <w:spacing w:after="0" w:line="276"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13,987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13,987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13,987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6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3" w:lineRule="exact"/>
        <w:rPr>
          <w:sz w:val="20"/>
          <w:szCs w:val="20"/>
          <w:color w:val="auto"/>
        </w:rPr>
      </w:pPr>
    </w:p>
    <w:p>
      <w:pPr>
        <w:ind w:left="1520" w:right="40" w:hanging="904"/>
        <w:spacing w:after="0" w:line="276"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assumes that there are 218,579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February 8,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59955" cy="522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5226050"/>
                    </a:xfrm>
                    <a:prstGeom prst="rect">
                      <a:avLst/>
                    </a:prstGeom>
                    <a:noFill/>
                  </pic:spPr>
                </pic:pic>
              </a:graphicData>
            </a:graphic>
          </wp:anchor>
        </w:drawing>
      </w:r>
    </w:p>
    <w:p>
      <w:pPr>
        <w:spacing w:after="0" w:line="232" w:lineRule="exact"/>
        <w:rPr>
          <w:sz w:val="20"/>
          <w:szCs w:val="20"/>
          <w:color w:val="auto"/>
        </w:rPr>
      </w:pPr>
    </w:p>
    <w:p>
      <w:pPr>
        <w:ind w:left="1520" w:right="7120" w:hanging="902"/>
        <w:spacing w:after="0" w:line="340"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4" w:lineRule="exact"/>
        <w:rPr>
          <w:sz w:val="20"/>
          <w:szCs w:val="20"/>
          <w:color w:val="auto"/>
        </w:rPr>
      </w:pPr>
    </w:p>
    <w:p>
      <w:pPr>
        <w:ind w:left="1520" w:right="4940" w:hanging="902"/>
        <w:spacing w:after="0" w:line="258"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70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(b) o</w:t>
      </w:r>
    </w:p>
    <w:p>
      <w:pPr>
        <w:spacing w:after="0" w:line="162" w:lineRule="exact"/>
        <w:rPr>
          <w:sz w:val="20"/>
          <w:szCs w:val="20"/>
          <w:color w:val="auto"/>
        </w:rPr>
      </w:pPr>
    </w:p>
    <w:p>
      <w:pPr>
        <w:ind w:left="1520" w:hanging="902"/>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240" w:hanging="902"/>
        <w:spacing w:after="0" w:line="276"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14,108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14,108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14,108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6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6.5%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3" w:lineRule="exact"/>
        <w:rPr>
          <w:sz w:val="20"/>
          <w:szCs w:val="20"/>
          <w:color w:val="auto"/>
        </w:rPr>
      </w:pPr>
    </w:p>
    <w:p>
      <w:pPr>
        <w:ind w:left="5040" w:right="220" w:hanging="4429"/>
        <w:spacing w:after="0" w:line="791" w:lineRule="auto"/>
        <w:tabs>
          <w:tab w:leader="none" w:pos="15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calculation assumes that there are 218,579 shares of Common Stock of the Issuer outstanding as of February 8, 2012. See Item 5. Page 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49160" cy="488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4881880"/>
                    </a:xfrm>
                    <a:prstGeom prst="rect">
                      <a:avLst/>
                    </a:prstGeom>
                    <a:noFill/>
                  </pic:spPr>
                </pic:pic>
              </a:graphicData>
            </a:graphic>
          </wp:anchor>
        </w:drawing>
      </w:r>
    </w:p>
    <w:p>
      <w:pPr>
        <w:spacing w:after="0" w:line="232" w:lineRule="exact"/>
        <w:rPr>
          <w:sz w:val="20"/>
          <w:szCs w:val="20"/>
          <w:color w:val="auto"/>
        </w:rPr>
      </w:pPr>
    </w:p>
    <w:p>
      <w:pPr>
        <w:ind w:left="1520" w:right="7120" w:hanging="902"/>
        <w:spacing w:after="0" w:line="276"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right="4940" w:hanging="902"/>
        <w:spacing w:after="0" w:line="258"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70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(b) o</w:t>
      </w:r>
    </w:p>
    <w:p>
      <w:pPr>
        <w:spacing w:after="0" w:line="162" w:lineRule="exact"/>
        <w:rPr>
          <w:sz w:val="20"/>
          <w:szCs w:val="20"/>
          <w:color w:val="auto"/>
        </w:rPr>
      </w:pPr>
    </w:p>
    <w:p>
      <w:pPr>
        <w:ind w:left="1520" w:hanging="902"/>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240" w:hanging="902"/>
        <w:spacing w:after="0" w:line="276"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16,727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16,727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16,727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220" w:hanging="4424"/>
        <w:spacing w:after="0" w:line="791" w:lineRule="auto"/>
        <w:tabs>
          <w:tab w:leader="none" w:pos="15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calculation assumes that there are 218,579 shares of Common Stock of the Issuer outstanding as of February 8, 2012. See Item 5. Page 4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312660" cy="4950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660" cy="4950460"/>
                    </a:xfrm>
                    <a:prstGeom prst="rect">
                      <a:avLst/>
                    </a:prstGeom>
                    <a:noFill/>
                  </pic:spPr>
                </pic:pic>
              </a:graphicData>
            </a:graphic>
          </wp:anchor>
        </w:drawing>
      </w:r>
    </w:p>
    <w:p>
      <w:pPr>
        <w:spacing w:after="0" w:line="232" w:lineRule="exact"/>
        <w:rPr>
          <w:sz w:val="20"/>
          <w:szCs w:val="20"/>
          <w:color w:val="auto"/>
        </w:rPr>
      </w:pPr>
    </w:p>
    <w:p>
      <w:pPr>
        <w:ind w:left="1520" w:right="7220" w:hanging="902"/>
        <w:spacing w:after="0" w:line="276"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hanging="902"/>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520"/>
          </w:cols>
          <w:pgMar w:left="240" w:top="507" w:right="139" w:bottom="1440" w:gutter="0" w:footer="0" w:header="0"/>
        </w:sectPr>
      </w:pP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GROUP</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instructions)</w:t>
      </w:r>
    </w:p>
    <w:p>
      <w:pPr>
        <w:spacing w:after="0" w:line="3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317" w:lineRule="exact"/>
        <w:rPr>
          <w:sz w:val="20"/>
          <w:szCs w:val="20"/>
          <w:color w:val="auto"/>
        </w:rPr>
      </w:pPr>
    </w:p>
    <w:p>
      <w:pPr>
        <w:sectPr>
          <w:pgSz w:w="11900" w:h="16838" w:orient="portrait"/>
          <w:cols w:equalWidth="0" w:num="3">
            <w:col w:w="7020" w:space="720"/>
            <w:col w:w="2820" w:space="720"/>
            <w:col w:w="240"/>
          </w:cols>
          <w:pgMar w:left="240" w:top="507" w:right="139" w:bottom="1440" w:gutter="0" w:footer="0" w:header="0"/>
          <w:type w:val="continuous"/>
        </w:sectPr>
      </w:pPr>
    </w:p>
    <w:p>
      <w:pPr>
        <w:ind w:left="1520" w:hanging="902"/>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120" w:hanging="902"/>
        <w:spacing w:after="0" w:line="276"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340" w:hanging="902"/>
        <w:spacing w:after="0" w:line="276"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8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1"/>
                <w:szCs w:val="21"/>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2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rPr>
              <w:t>BENEFICIALLY</w:t>
            </w:r>
          </w:p>
        </w:tc>
        <w:tc>
          <w:tcPr>
            <w:tcW w:w="720" w:type="dxa"/>
            <w:vAlign w:val="bottom"/>
            <w:vMerge w:val="continue"/>
          </w:tcPr>
          <w:p>
            <w:pPr>
              <w:spacing w:after="0"/>
              <w:rPr>
                <w:sz w:val="5"/>
                <w:szCs w:val="5"/>
                <w:color w:val="auto"/>
              </w:rPr>
            </w:pPr>
          </w:p>
        </w:tc>
        <w:tc>
          <w:tcPr>
            <w:tcW w:w="8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16,727 (See Items 3, 4 and 5)</w:t>
            </w:r>
          </w:p>
        </w:tc>
        <w:tc>
          <w:tcPr>
            <w:tcW w:w="0" w:type="dxa"/>
            <w:vAlign w:val="bottom"/>
          </w:tcPr>
          <w:p>
            <w:pPr>
              <w:spacing w:after="0"/>
              <w:rPr>
                <w:sz w:val="1"/>
                <w:szCs w:val="1"/>
                <w:color w:val="auto"/>
              </w:rPr>
            </w:pPr>
          </w:p>
        </w:tc>
      </w:tr>
      <w:tr>
        <w:trPr>
          <w:trHeight w:val="82"/>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2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2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2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22"/>
                <w:szCs w:val="22"/>
                <w:color w:val="auto"/>
              </w:rPr>
            </w:pPr>
          </w:p>
        </w:tc>
        <w:tc>
          <w:tcPr>
            <w:tcW w:w="8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4"/>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16,727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480" w:hanging="944"/>
        <w:spacing w:after="0" w:line="276"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16,727 (See Items 3, 4 and 5)</w:t>
      </w:r>
    </w:p>
    <w:p>
      <w:pPr>
        <w:spacing w:after="0" w:line="48" w:lineRule="exact"/>
        <w:rPr>
          <w:rFonts w:ascii="Arial" w:cs="Arial" w:eastAsia="Arial" w:hAnsi="Arial"/>
          <w:sz w:val="18"/>
          <w:szCs w:val="18"/>
          <w:color w:val="auto"/>
        </w:rPr>
      </w:pPr>
    </w:p>
    <w:p>
      <w:pPr>
        <w:ind w:left="1520" w:right="1940" w:hanging="947"/>
        <w:spacing w:after="0" w:line="276"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48" w:lineRule="exact"/>
        <w:rPr>
          <w:rFonts w:ascii="Arial" w:cs="Arial" w:eastAsia="Arial" w:hAnsi="Arial"/>
          <w:sz w:val="18"/>
          <w:szCs w:val="18"/>
          <w:color w:val="auto"/>
        </w:rPr>
      </w:pPr>
    </w:p>
    <w:p>
      <w:pPr>
        <w:ind w:left="1520" w:right="5000" w:hanging="947"/>
        <w:spacing w:after="0" w:line="276"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320" w:hanging="4424"/>
        <w:spacing w:after="0" w:line="791" w:lineRule="auto"/>
        <w:tabs>
          <w:tab w:leader="none" w:pos="1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calculation assumes that there are 218,579 shares of Common Stock of the Issuer outstanding as of February 8, 2012. See Item 5. Page 5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310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1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520"/>
          </w:cols>
          <w:pgMar w:left="240" w:top="507" w:right="1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49160" cy="501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5018405"/>
                    </a:xfrm>
                    <a:prstGeom prst="rect">
                      <a:avLst/>
                    </a:prstGeom>
                    <a:noFill/>
                  </pic:spPr>
                </pic:pic>
              </a:graphicData>
            </a:graphic>
          </wp:anchor>
        </w:drawing>
      </w:r>
    </w:p>
    <w:p>
      <w:pPr>
        <w:spacing w:after="0" w:line="232" w:lineRule="exact"/>
        <w:rPr>
          <w:sz w:val="20"/>
          <w:szCs w:val="20"/>
          <w:color w:val="auto"/>
        </w:rPr>
      </w:pPr>
    </w:p>
    <w:p>
      <w:pPr>
        <w:ind w:left="1520" w:right="7120" w:hanging="902"/>
        <w:spacing w:after="0" w:line="276"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right="4940" w:hanging="902"/>
        <w:spacing w:after="0" w:line="258"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70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(b)</w:t>
      </w:r>
    </w:p>
    <w:p>
      <w:pPr>
        <w:spacing w:after="0" w:line="2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w:t>
      </w:r>
    </w:p>
    <w:p>
      <w:pPr>
        <w:spacing w:after="0" w:line="155" w:lineRule="exact"/>
        <w:rPr>
          <w:sz w:val="20"/>
          <w:szCs w:val="20"/>
          <w:color w:val="auto"/>
        </w:rPr>
      </w:pPr>
    </w:p>
    <w:p>
      <w:pPr>
        <w:ind w:left="1520" w:hanging="902"/>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240" w:hanging="902"/>
        <w:spacing w:after="0" w:line="276" w:lineRule="auto"/>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13,987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13,987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13,987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0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220" w:hanging="4424"/>
        <w:spacing w:after="0" w:line="791" w:lineRule="auto"/>
        <w:tabs>
          <w:tab w:leader="none" w:pos="15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calculation assumes that there are 218,579 shares of Common Stock of the Issuer outstanding as of February 8, 2012. See Item 5. Page 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 w:name="page7"/>
    <w:bookmarkEnd w:id="6"/>
    <w:p>
      <w:pPr>
        <w:jc w:val="both"/>
        <w:spacing w:after="0" w:line="274" w:lineRule="auto"/>
        <w:rPr>
          <w:sz w:val="20"/>
          <w:szCs w:val="20"/>
          <w:color w:val="auto"/>
        </w:rPr>
      </w:pPr>
      <w:r>
        <w:rPr>
          <w:rFonts w:ascii="Arial" w:cs="Arial" w:eastAsia="Arial" w:hAnsi="Arial"/>
          <w:sz w:val="17"/>
          <w:szCs w:val="17"/>
          <w:color w:val="auto"/>
        </w:rPr>
        <w:t>This Amendment No. 5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w:t>
      </w:r>
      <w:r>
        <w:rPr>
          <w:rFonts w:ascii="Arial" w:cs="Arial" w:eastAsia="Arial" w:hAnsi="Arial"/>
          <w:sz w:val="17"/>
          <w:szCs w:val="17"/>
          <w:u w:val="single" w:color="auto"/>
          <w:color w:val="auto"/>
        </w:rPr>
        <w:t>Amendment No. 1</w:t>
      </w:r>
      <w:r>
        <w:rPr>
          <w:rFonts w:ascii="Arial" w:cs="Arial" w:eastAsia="Arial" w:hAnsi="Arial"/>
          <w:sz w:val="17"/>
          <w:szCs w:val="17"/>
          <w:color w:val="auto"/>
        </w:rPr>
        <w:t>”),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filed on December 20, 2011 (“</w:t>
      </w:r>
      <w:r>
        <w:rPr>
          <w:rFonts w:ascii="Arial" w:cs="Arial" w:eastAsia="Arial" w:hAnsi="Arial"/>
          <w:sz w:val="17"/>
          <w:szCs w:val="17"/>
          <w:u w:val="single" w:color="auto"/>
          <w:color w:val="auto"/>
        </w:rPr>
        <w:t>Amendment No. 3</w:t>
      </w:r>
      <w:r>
        <w:rPr>
          <w:rFonts w:ascii="Arial" w:cs="Arial" w:eastAsia="Arial" w:hAnsi="Arial"/>
          <w:sz w:val="17"/>
          <w:szCs w:val="17"/>
          <w:color w:val="auto"/>
        </w:rPr>
        <w:t>”) and Amendment No. 4 filed on February 3, 2012 (“</w:t>
      </w:r>
      <w:r>
        <w:rPr>
          <w:rFonts w:ascii="Arial" w:cs="Arial" w:eastAsia="Arial" w:hAnsi="Arial"/>
          <w:sz w:val="17"/>
          <w:szCs w:val="17"/>
          <w:u w:val="single" w:color="auto"/>
          <w:color w:val="auto"/>
        </w:rPr>
        <w:t>Amendment No. 4</w:t>
      </w:r>
      <w:r>
        <w:rPr>
          <w:rFonts w:ascii="Arial" w:cs="Arial" w:eastAsia="Arial" w:hAnsi="Arial"/>
          <w:sz w:val="17"/>
          <w:szCs w:val="17"/>
          <w:color w:val="auto"/>
        </w:rPr>
        <w:t>” and,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5" w:lineRule="exact"/>
        <w:rPr>
          <w:sz w:val="20"/>
          <w:szCs w:val="20"/>
          <w:color w:val="auto"/>
        </w:rPr>
      </w:pPr>
    </w:p>
    <w:p>
      <w:pPr>
        <w:ind w:right="200" w:firstLine="646"/>
        <w:spacing w:after="0" w:line="276"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5" w:lineRule="exact"/>
        <w:rPr>
          <w:sz w:val="20"/>
          <w:szCs w:val="20"/>
          <w:color w:val="auto"/>
        </w:rPr>
      </w:pPr>
    </w:p>
    <w:p>
      <w:pPr>
        <w:ind w:firstLine="646"/>
        <w:spacing w:after="0" w:line="258"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214" w:lineRule="exact"/>
        <w:rPr>
          <w:sz w:val="20"/>
          <w:szCs w:val="20"/>
          <w:color w:val="auto"/>
        </w:rPr>
      </w:pPr>
    </w:p>
    <w:p>
      <w:pPr>
        <w:ind w:right="100" w:firstLine="646"/>
        <w:spacing w:after="0" w:line="262"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13,987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10" w:lineRule="exact"/>
        <w:rPr>
          <w:sz w:val="20"/>
          <w:szCs w:val="20"/>
          <w:color w:val="auto"/>
        </w:rPr>
      </w:pPr>
    </w:p>
    <w:p>
      <w:pPr>
        <w:ind w:right="180" w:firstLine="646"/>
        <w:spacing w:after="0" w:line="300"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4" w:lineRule="exact"/>
        <w:rPr>
          <w:sz w:val="20"/>
          <w:szCs w:val="20"/>
          <w:color w:val="auto"/>
        </w:rPr>
      </w:pPr>
    </w:p>
    <w:p>
      <w:pPr>
        <w:jc w:val="both"/>
        <w:ind w:right="20" w:firstLine="646"/>
        <w:spacing w:after="0" w:line="285"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11,368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2" w:lineRule="exact"/>
        <w:rPr>
          <w:sz w:val="20"/>
          <w:szCs w:val="20"/>
          <w:color w:val="auto"/>
        </w:rPr>
      </w:pPr>
    </w:p>
    <w:p>
      <w:pPr>
        <w:ind w:right="40" w:firstLine="646"/>
        <w:spacing w:after="0" w:line="258"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2,739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80" w:firstLine="646"/>
        <w:spacing w:after="0" w:line="254"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20" w:lineRule="exact"/>
        <w:rPr>
          <w:sz w:val="20"/>
          <w:szCs w:val="20"/>
          <w:color w:val="auto"/>
        </w:rPr>
      </w:pPr>
    </w:p>
    <w:p>
      <w:pPr>
        <w:ind w:right="20" w:firstLine="646"/>
        <w:spacing w:after="0" w:line="258"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9" w:right="239" w:bottom="1440" w:gutter="0" w:footer="0" w:header="0"/>
        </w:sectPr>
      </w:pPr>
    </w:p>
    <w:bookmarkStart w:id="7" w:name="page8"/>
    <w:bookmarkEnd w:id="7"/>
    <w:p>
      <w:pPr>
        <w:ind w:right="120"/>
        <w:spacing w:after="0" w:line="276"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60" w:firstLine="646"/>
        <w:spacing w:after="0" w:line="276"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60" w:firstLine="646"/>
        <w:spacing w:after="0" w:line="276"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1" w:lineRule="exact"/>
        <w:rPr>
          <w:sz w:val="20"/>
          <w:szCs w:val="20"/>
          <w:color w:val="auto"/>
        </w:rPr>
      </w:pPr>
    </w:p>
    <w:p>
      <w:pPr>
        <w:ind w:right="20" w:firstLine="646"/>
        <w:spacing w:after="0" w:line="256"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5" w:lineRule="exact"/>
        <w:rPr>
          <w:sz w:val="20"/>
          <w:szCs w:val="20"/>
          <w:color w:val="auto"/>
        </w:rPr>
      </w:pPr>
    </w:p>
    <w:p>
      <w:pPr>
        <w:ind w:firstLine="646"/>
        <w:spacing w:after="0" w:line="290"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the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3" w:lineRule="exact"/>
        <w:rPr>
          <w:sz w:val="20"/>
          <w:szCs w:val="20"/>
          <w:color w:val="auto"/>
        </w:rPr>
      </w:pPr>
    </w:p>
    <w:p>
      <w:pPr>
        <w:ind w:right="120" w:firstLine="646"/>
        <w:spacing w:after="0" w:line="274"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the TSL Shares for a cash purchase price of $960.56 per share in a private placement, for an aggregate purchase price of $4,355,172 (the “</w:t>
      </w:r>
      <w:r>
        <w:rPr>
          <w:rFonts w:ascii="Arial" w:cs="Arial" w:eastAsia="Arial" w:hAnsi="Arial"/>
          <w:sz w:val="17"/>
          <w:szCs w:val="17"/>
          <w:u w:val="single" w:color="auto"/>
          <w:color w:val="auto"/>
        </w:rPr>
        <w:t>August 1, 2011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203" w:lineRule="exact"/>
        <w:rPr>
          <w:sz w:val="20"/>
          <w:szCs w:val="20"/>
          <w:color w:val="auto"/>
        </w:rPr>
      </w:pPr>
    </w:p>
    <w:p>
      <w:pPr>
        <w:ind w:firstLine="646"/>
        <w:spacing w:after="0" w:line="254"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the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8" w:name="page9"/>
    <w:bookmarkEnd w:id="8"/>
    <w:p>
      <w:pPr>
        <w:ind w:right="40" w:firstLine="646"/>
        <w:spacing w:after="0" w:line="295" w:lineRule="auto"/>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 issuance of the TSL Shares for a cash purchase price of $981.57 per share in a private placement, for an aggregate purchase price of $562,438 (the “</w:t>
      </w:r>
      <w:r>
        <w:rPr>
          <w:rFonts w:ascii="Arial" w:cs="Arial" w:eastAsia="Arial" w:hAnsi="Arial"/>
          <w:sz w:val="16"/>
          <w:szCs w:val="16"/>
          <w:u w:val="single" w:color="auto"/>
          <w:color w:val="auto"/>
        </w:rPr>
        <w:t>December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16, 2011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16, 2011 TSL Advisers Purchase Price was funded by equity contributions from Equity Partners and Holdings II.</w:t>
      </w:r>
    </w:p>
    <w:p>
      <w:pPr>
        <w:spacing w:after="0" w:line="188" w:lineRule="exact"/>
        <w:rPr>
          <w:sz w:val="20"/>
          <w:szCs w:val="20"/>
          <w:color w:val="auto"/>
        </w:rPr>
      </w:pPr>
    </w:p>
    <w:p>
      <w:pPr>
        <w:ind w:right="60" w:firstLine="646"/>
        <w:spacing w:after="0" w:line="295"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the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88" w:lineRule="exact"/>
        <w:rPr>
          <w:sz w:val="20"/>
          <w:szCs w:val="20"/>
          <w:color w:val="auto"/>
        </w:rPr>
      </w:pPr>
    </w:p>
    <w:p>
      <w:pPr>
        <w:ind w:firstLine="646"/>
        <w:spacing w:after="0" w:line="274" w:lineRule="auto"/>
        <w:rPr>
          <w:sz w:val="20"/>
          <w:szCs w:val="20"/>
          <w:color w:val="auto"/>
        </w:rPr>
      </w:pPr>
      <w:r>
        <w:rPr>
          <w:rFonts w:ascii="Arial" w:cs="Arial" w:eastAsia="Arial" w:hAnsi="Arial"/>
          <w:sz w:val="17"/>
          <w:szCs w:val="17"/>
          <w:color w:val="auto"/>
        </w:rPr>
        <w:t>Pursuant to the Subscription Agreement, on February 1, 2012, the Issuer delivered a capital drawdown notice to TSL Advisers relating to the issuance of the TSL Shares for a cash purchase price of $985.21 per share in a private placement, for an aggregate purchase price of $3,685,680 (the “</w:t>
      </w:r>
      <w:r>
        <w:rPr>
          <w:rFonts w:ascii="Arial" w:cs="Arial" w:eastAsia="Arial" w:hAnsi="Arial"/>
          <w:sz w:val="17"/>
          <w:szCs w:val="17"/>
          <w:u w:val="single" w:color="auto"/>
          <w:color w:val="auto"/>
        </w:rPr>
        <w:t>February 1, 2012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TSL Advisers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203" w:lineRule="exact"/>
        <w:rPr>
          <w:sz w:val="20"/>
          <w:szCs w:val="20"/>
          <w:color w:val="auto"/>
        </w:rPr>
      </w:pPr>
    </w:p>
    <w:p>
      <w:pPr>
        <w:ind w:firstLine="646"/>
        <w:spacing w:after="0" w:line="295"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the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will be funded by equity contributions from Equity Partners and Holdings II Sub.</w:t>
      </w:r>
    </w:p>
    <w:p>
      <w:pPr>
        <w:spacing w:after="0" w:line="188" w:lineRule="exact"/>
        <w:rPr>
          <w:sz w:val="20"/>
          <w:szCs w:val="20"/>
          <w:color w:val="auto"/>
        </w:rPr>
      </w:pPr>
    </w:p>
    <w:p>
      <w:pPr>
        <w:ind w:right="220" w:firstLine="646"/>
        <w:spacing w:after="0" w:line="295"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the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will be funded by equity contributions from TSL FOF.</w:t>
      </w:r>
    </w:p>
    <w:p>
      <w:pPr>
        <w:spacing w:after="0" w:line="188" w:lineRule="exact"/>
        <w:rPr>
          <w:sz w:val="20"/>
          <w:szCs w:val="20"/>
          <w:color w:val="auto"/>
        </w:rPr>
      </w:pPr>
    </w:p>
    <w:p>
      <w:pPr>
        <w:ind w:firstLine="646"/>
        <w:spacing w:after="0" w:line="258"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9" w:name="page10"/>
    <w:bookmarkEnd w:id="9"/>
    <w:p>
      <w:pPr>
        <w:ind w:right="340" w:firstLine="646"/>
        <w:spacing w:after="0" w:line="262"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10" w:lineRule="exact"/>
        <w:rPr>
          <w:sz w:val="20"/>
          <w:szCs w:val="20"/>
          <w:color w:val="auto"/>
        </w:rPr>
      </w:pPr>
    </w:p>
    <w:p>
      <w:pPr>
        <w:ind w:right="40" w:firstLine="646"/>
        <w:spacing w:after="0" w:line="274"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3" w:lineRule="exact"/>
        <w:rPr>
          <w:sz w:val="20"/>
          <w:szCs w:val="20"/>
          <w:color w:val="auto"/>
        </w:rPr>
      </w:pPr>
    </w:p>
    <w:p>
      <w:pPr>
        <w:ind w:right="60" w:firstLine="646"/>
        <w:spacing w:after="0" w:line="258"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4" w:lineRule="exact"/>
        <w:rPr>
          <w:sz w:val="20"/>
          <w:szCs w:val="20"/>
          <w:color w:val="auto"/>
        </w:rPr>
      </w:pPr>
    </w:p>
    <w:p>
      <w:pPr>
        <w:ind w:firstLine="646"/>
        <w:spacing w:after="0" w:line="268"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207" w:lineRule="exact"/>
        <w:rPr>
          <w:sz w:val="20"/>
          <w:szCs w:val="20"/>
          <w:color w:val="auto"/>
        </w:rPr>
      </w:pPr>
    </w:p>
    <w:p>
      <w:pPr>
        <w:ind w:right="240" w:firstLine="646"/>
        <w:spacing w:after="0" w:line="258"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5" w:lineRule="exact"/>
        <w:rPr>
          <w:sz w:val="20"/>
          <w:szCs w:val="20"/>
          <w:color w:val="auto"/>
        </w:rPr>
      </w:pPr>
    </w:p>
    <w:p>
      <w:pPr>
        <w:ind w:right="220" w:firstLine="646"/>
        <w:spacing w:after="0" w:line="276"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right="40" w:firstLine="646"/>
        <w:spacing w:after="0" w:line="270" w:lineRule="auto"/>
        <w:rPr>
          <w:sz w:val="20"/>
          <w:szCs w:val="20"/>
          <w:color w:val="auto"/>
        </w:rPr>
      </w:pPr>
      <w:r>
        <w:rPr>
          <w:rFonts w:ascii="Arial" w:cs="Arial" w:eastAsia="Arial" w:hAnsi="Arial"/>
          <w:sz w:val="17"/>
          <w:szCs w:val="17"/>
          <w:color w:val="auto"/>
        </w:rPr>
        <w:t>(a)-(b) The following disclosure assumes that there are a total of 218,579 shares of Common Stock of the Issuer outstanding as of February 8, 2012 (including 35,521 shares of Common Stock of the Issuer that shall be issued on February 22, 2012 pursuant to the February 8, 2012 capital call), which figure is based on information provided to the Reporting Persons by the Issuer. Pursuant to Rule 13d-3 of the Act, (i) through TSL Advisers and Tarrant, Messrs. Bonderman and Coulter may be deemed to beneficially own 16,727 shares of Common Stock, which constitute approximately 7.7% of outstanding Common Stock; (ii) through TSL Advisers, Mr. Waxman may be deemed to beneficially own 13,987 shares of Common Stock, which constitute approximately 6.4% of the outstanding Common Stock; (iii) through TSL Advisers, Group Advisors may be deemed to beneficially own 13,987 shares of Common Stock, which constitute approximately 6.4% of the outstanding Common Stock; and (iv) through Tarrant, Tarrant Capital may be deemed to beneficially own 14,108 shares of Common Stock, which constitute approximately 6.5% of the outstanding Common Stock.</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10" w:name="page11"/>
    <w:bookmarkEnd w:id="10"/>
    <w:p>
      <w:pPr>
        <w:ind w:right="160" w:firstLine="977"/>
        <w:spacing w:after="0" w:line="276" w:lineRule="auto"/>
        <w:tabs>
          <w:tab w:leader="none" w:pos="12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6" w:lineRule="exact"/>
        <w:rPr>
          <w:rFonts w:ascii="Arial" w:cs="Arial" w:eastAsia="Arial" w:hAnsi="Arial"/>
          <w:sz w:val="18"/>
          <w:szCs w:val="18"/>
          <w:color w:val="auto"/>
        </w:rPr>
      </w:pPr>
    </w:p>
    <w:p>
      <w:pPr>
        <w:ind w:right="460" w:firstLine="977"/>
        <w:spacing w:after="0" w:line="276" w:lineRule="auto"/>
        <w:tabs>
          <w:tab w:leader="none" w:pos="12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6" w:lineRule="exact"/>
        <w:rPr>
          <w:rFonts w:ascii="Arial" w:cs="Arial" w:eastAsia="Arial" w:hAnsi="Arial"/>
          <w:sz w:val="18"/>
          <w:szCs w:val="18"/>
          <w:color w:val="auto"/>
        </w:rPr>
      </w:pPr>
    </w:p>
    <w:p>
      <w:pPr>
        <w:ind w:left="1220" w:hanging="243"/>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1" w:lineRule="exact"/>
        <w:rPr>
          <w:sz w:val="20"/>
          <w:szCs w:val="20"/>
          <w:color w:val="auto"/>
        </w:rPr>
      </w:pPr>
    </w:p>
    <w:p>
      <w:pPr>
        <w:ind w:right="20" w:firstLine="646"/>
        <w:spacing w:after="0" w:line="262"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10" w:lineRule="exact"/>
        <w:rPr>
          <w:sz w:val="20"/>
          <w:szCs w:val="20"/>
          <w:color w:val="auto"/>
        </w:rPr>
      </w:pPr>
    </w:p>
    <w:p>
      <w:pPr>
        <w:ind w:right="200" w:firstLine="646"/>
        <w:spacing w:after="0" w:line="285"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Holdings II Sub and Equity Partners, respectively, in connection with any matter on which TSL Advisers is entitled to vote the TSL Shares. TSL Advisers is required to vote all proxies in respect of the TSL Shares proportionately in accordance with such instructions.</w:t>
      </w:r>
    </w:p>
    <w:p>
      <w:pPr>
        <w:spacing w:after="0" w:line="192" w:lineRule="exact"/>
        <w:rPr>
          <w:sz w:val="20"/>
          <w:szCs w:val="20"/>
          <w:color w:val="auto"/>
        </w:rPr>
      </w:pPr>
    </w:p>
    <w:p>
      <w:pPr>
        <w:ind w:right="160" w:firstLine="646"/>
        <w:spacing w:after="0" w:line="276"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500" w:firstLine="646"/>
        <w:spacing w:after="0" w:line="340"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5" w:lineRule="exact"/>
        <w:rPr>
          <w:sz w:val="20"/>
          <w:szCs w:val="20"/>
          <w:color w:val="auto"/>
        </w:rPr>
      </w:pPr>
    </w:p>
    <w:p>
      <w:pPr>
        <w:ind w:left="340" w:hanging="332"/>
        <w:spacing w:after="0" w:line="34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1" w:lineRule="exact"/>
        <w:rPr>
          <w:rFonts w:ascii="Arial" w:cs="Arial" w:eastAsia="Arial" w:hAnsi="Arial"/>
          <w:sz w:val="16"/>
          <w:szCs w:val="16"/>
          <w:color w:val="auto"/>
        </w:rPr>
      </w:pPr>
    </w:p>
    <w:p>
      <w:pPr>
        <w:ind w:left="340" w:right="300" w:hanging="332"/>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6"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6" w:lineRule="exact"/>
        <w:rPr>
          <w:rFonts w:ascii="Arial" w:cs="Arial" w:eastAsia="Arial" w:hAnsi="Arial"/>
          <w:sz w:val="18"/>
          <w:szCs w:val="18"/>
          <w:color w:val="auto"/>
        </w:rPr>
      </w:pPr>
    </w:p>
    <w:p>
      <w:pPr>
        <w:ind w:left="340" w:right="300" w:hanging="332"/>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6" w:lineRule="exact"/>
        <w:rPr>
          <w:rFonts w:ascii="Arial" w:cs="Arial" w:eastAsia="Arial" w:hAnsi="Arial"/>
          <w:sz w:val="18"/>
          <w:szCs w:val="18"/>
          <w:color w:val="auto"/>
        </w:rPr>
      </w:pPr>
    </w:p>
    <w:p>
      <w:pPr>
        <w:ind w:left="340" w:right="200" w:hanging="332"/>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SIGNATURE</w:t>
      </w:r>
    </w:p>
    <w:p>
      <w:pPr>
        <w:spacing w:after="0" w:line="25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2012</w:t>
      </w:r>
    </w:p>
    <w:p>
      <w:pPr>
        <w:spacing w:after="0" w:line="200" w:lineRule="exact"/>
        <w:rPr>
          <w:sz w:val="20"/>
          <w:szCs w:val="20"/>
          <w:color w:val="auto"/>
        </w:rPr>
      </w:pPr>
    </w:p>
    <w:p>
      <w:pPr>
        <w:spacing w:after="0" w:line="2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00"/>
          </w:cols>
          <w:pgMar w:left="240" w:top="754" w:right="359" w:bottom="1440" w:gutter="0" w:footer="0" w:header="0"/>
        </w:sectPr>
      </w:pPr>
    </w:p>
    <w:bookmarkStart w:id="12" w:name="page13"/>
    <w:bookmarkEnd w:id="12"/>
    <w:p>
      <w:pPr>
        <w:ind w:left="332" w:right="120" w:hanging="332"/>
        <w:spacing w:after="0" w:line="340"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1" w:lineRule="exact"/>
        <w:rPr>
          <w:rFonts w:ascii="Arial" w:cs="Arial" w:eastAsia="Arial" w:hAnsi="Arial"/>
          <w:sz w:val="16"/>
          <w:szCs w:val="16"/>
          <w:color w:val="auto"/>
        </w:rPr>
      </w:pPr>
    </w:p>
    <w:p>
      <w:pPr>
        <w:ind w:left="332" w:hanging="332"/>
        <w:spacing w:after="0" w:line="340"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51" w:lineRule="exact"/>
        <w:rPr>
          <w:rFonts w:ascii="Arial" w:cs="Arial" w:eastAsia="Arial" w:hAnsi="Arial"/>
          <w:sz w:val="16"/>
          <w:szCs w:val="16"/>
          <w:color w:val="auto"/>
        </w:rPr>
      </w:pPr>
    </w:p>
    <w:p>
      <w:pPr>
        <w:ind w:left="332" w:right="20" w:hanging="332"/>
        <w:spacing w:after="0" w:line="340"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52"/>
          </w:cols>
          <w:pgMar w:left="248" w:top="1242" w:right="399" w:bottom="1440" w:gutter="0" w:footer="0" w:header="0"/>
        </w:sectPr>
      </w:pPr>
    </w:p>
    <w:bookmarkStart w:id="13" w:name="page14"/>
    <w:bookmarkEnd w:id="13"/>
    <w:p>
      <w:pPr>
        <w:ind w:left="53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63"/>
        </w:trPr>
        <w:tc>
          <w:tcPr>
            <w:tcW w:w="218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60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600" w:type="dxa"/>
            <w:vAlign w:val="bottom"/>
            <w:gridSpan w:val="2"/>
          </w:tcPr>
          <w:p>
            <w:pPr>
              <w:spacing w:after="0"/>
              <w:rPr>
                <w:sz w:val="20"/>
                <w:szCs w:val="20"/>
                <w:color w:val="auto"/>
              </w:rPr>
            </w:pPr>
            <w:r>
              <w:rPr>
                <w:rFonts w:ascii="Arial" w:cs="Arial" w:eastAsia="Arial" w:hAnsi="Arial"/>
                <w:sz w:val="18"/>
                <w:szCs w:val="18"/>
                <w:color w:val="auto"/>
              </w:rPr>
              <w:t>Senior Vice President and Director</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6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6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754" w:right="1440" w:bottom="1440" w:gutter="0" w:footer="0" w:header="0"/>
        </w:sectPr>
      </w:pPr>
    </w:p>
    <w:bookmarkStart w:id="14" w:name="page15"/>
    <w:bookmarkEnd w:id="14"/>
    <w:p>
      <w:pPr>
        <w:ind w:left="528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63"/>
        </w:trPr>
        <w:tc>
          <w:tcPr>
            <w:tcW w:w="218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60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600" w:type="dxa"/>
            <w:vAlign w:val="bottom"/>
            <w:gridSpan w:val="2"/>
          </w:tcPr>
          <w:p>
            <w:pPr>
              <w:spacing w:after="0"/>
              <w:rPr>
                <w:sz w:val="20"/>
                <w:szCs w:val="20"/>
                <w:color w:val="auto"/>
              </w:rPr>
            </w:pPr>
            <w:r>
              <w:rPr>
                <w:rFonts w:ascii="Arial" w:cs="Arial" w:eastAsia="Arial" w:hAnsi="Arial"/>
                <w:sz w:val="18"/>
                <w:szCs w:val="18"/>
                <w:color w:val="auto"/>
              </w:rPr>
              <w:t>Executive Vice President and Director</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6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6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485" w:right="1440"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ind w:left="920" w:right="120" w:hanging="912"/>
        <w:spacing w:after="0" w:line="262"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82" w:lineRule="exact"/>
        <w:rPr>
          <w:rFonts w:ascii="Arial" w:cs="Arial" w:eastAsia="Arial" w:hAnsi="Arial"/>
          <w:sz w:val="18"/>
          <w:szCs w:val="18"/>
          <w:color w:val="auto"/>
        </w:rPr>
      </w:pPr>
    </w:p>
    <w:p>
      <w:pPr>
        <w:ind w:left="920" w:right="320" w:hanging="912"/>
        <w:spacing w:after="0" w:line="27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69" w:lineRule="exact"/>
        <w:rPr>
          <w:rFonts w:ascii="Arial" w:cs="Arial" w:eastAsia="Arial" w:hAnsi="Arial"/>
          <w:sz w:val="18"/>
          <w:szCs w:val="18"/>
          <w:color w:val="auto"/>
        </w:rPr>
      </w:pPr>
    </w:p>
    <w:p>
      <w:pPr>
        <w:ind w:left="920" w:right="620" w:hanging="912"/>
        <w:spacing w:after="0" w:line="27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69" w:lineRule="exact"/>
        <w:rPr>
          <w:rFonts w:ascii="Arial" w:cs="Arial" w:eastAsia="Arial" w:hAnsi="Arial"/>
          <w:sz w:val="18"/>
          <w:szCs w:val="18"/>
          <w:color w:val="auto"/>
        </w:rPr>
      </w:pPr>
    </w:p>
    <w:p>
      <w:pPr>
        <w:ind w:left="920" w:right="320" w:hanging="912"/>
        <w:spacing w:after="0" w:line="27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69" w:lineRule="exact"/>
        <w:rPr>
          <w:rFonts w:ascii="Arial" w:cs="Arial" w:eastAsia="Arial" w:hAnsi="Arial"/>
          <w:sz w:val="18"/>
          <w:szCs w:val="18"/>
          <w:color w:val="auto"/>
        </w:rPr>
      </w:pPr>
    </w:p>
    <w:p>
      <w:pPr>
        <w:ind w:left="920" w:hanging="912"/>
        <w:spacing w:after="0" w:line="27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Inc.,TSL FOF, L.P. and TSL Advisers, LLC (previously filed with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16 of 16</w:t>
      </w:r>
    </w:p>
    <w:sectPr>
      <w:pgSz w:w="11900" w:h="16838" w:orient="portrait"/>
      <w:cols w:equalWidth="0" w:num="1">
        <w:col w:w="11380"/>
      </w:cols>
      <w:pgMar w:left="240" w:top="7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2"/>
      <w:numFmt w:val="bullet"/>
      <w:start w:val="1"/>
    </w:lvl>
  </w:abstractNum>
  <w:abstractNum w:abstractNumId="3">
    <w:nsid w:val="189A769B"/>
    <w:multiLevelType w:val="hybridMultilevel"/>
    <w:lvl w:ilvl="0">
      <w:lvlJc w:val="left"/>
      <w:lvlText w:val="3"/>
      <w:numFmt w:val="bullet"/>
      <w:start w:val="1"/>
    </w:lvl>
  </w:abstractNum>
  <w:abstractNum w:abstractNumId="4">
    <w:nsid w:val="54E49EB4"/>
    <w:multiLevelType w:val="hybridMultilevel"/>
    <w:lvl w:ilvl="0">
      <w:lvlJc w:val="left"/>
      <w:lvlText w:val="4"/>
      <w:numFmt w:val="bullet"/>
      <w:start w:val="1"/>
    </w:lvl>
  </w:abstractNum>
  <w:abstractNum w:abstractNumId="5">
    <w:nsid w:val="71F32454"/>
    <w:multiLevelType w:val="hybridMultilevel"/>
    <w:lvl w:ilvl="0">
      <w:lvlJc w:val="left"/>
      <w:lvlText w:val="5"/>
      <w:numFmt w:val="bullet"/>
      <w:start w:val="1"/>
    </w:lvl>
  </w:abstractNum>
  <w:abstractNum w:abstractNumId="6">
    <w:nsid w:val="2CA88611"/>
    <w:multiLevelType w:val="hybridMultilevel"/>
    <w:lvl w:ilvl="0">
      <w:lvlJc w:val="left"/>
      <w:lvlText w:val="6"/>
      <w:numFmt w:val="bullet"/>
      <w:start w:val="1"/>
    </w:lvl>
  </w:abstractNum>
  <w:abstractNum w:abstractNumId="7">
    <w:nsid w:val="836C40E"/>
    <w:multiLevelType w:val="hybridMultilevel"/>
    <w:lvl w:ilvl="0">
      <w:lvlJc w:val="left"/>
      <w:lvlText w:val="%1"/>
      <w:numFmt w:val="decimal"/>
      <w:start w:val="11"/>
    </w:lvl>
  </w:abstractNum>
  <w:abstractNum w:abstractNumId="8">
    <w:nsid w:val="2901D82"/>
    <w:multiLevelType w:val="hybridMultilevel"/>
    <w:lvl w:ilvl="0">
      <w:lvlJc w:val="left"/>
      <w:lvlText w:val="%1"/>
      <w:numFmt w:val="decimal"/>
      <w:start w:val="13"/>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bullet"/>
      <w:start w:val="1"/>
    </w:lvl>
  </w:abstractNum>
  <w:abstractNum w:abstractNumId="11">
    <w:nsid w:val="1E7FF521"/>
    <w:multiLevelType w:val="hybridMultilevel"/>
    <w:lvl w:ilvl="0">
      <w:lvlJc w:val="left"/>
      <w:lvlText w:val="2"/>
      <w:numFmt w:val="bullet"/>
      <w:start w:val="1"/>
    </w:lvl>
  </w:abstractNum>
  <w:abstractNum w:abstractNumId="12">
    <w:nsid w:val="7C3DBD3D"/>
    <w:multiLevelType w:val="hybridMultilevel"/>
    <w:lvl w:ilvl="0">
      <w:lvlJc w:val="left"/>
      <w:lvlText w:val="3"/>
      <w:numFmt w:val="bullet"/>
      <w:start w:val="1"/>
    </w:lvl>
  </w:abstractNum>
  <w:abstractNum w:abstractNumId="13">
    <w:nsid w:val="737B8DDC"/>
    <w:multiLevelType w:val="hybridMultilevel"/>
    <w:lvl w:ilvl="0">
      <w:lvlJc w:val="left"/>
      <w:lvlText w:val="4"/>
      <w:numFmt w:val="bullet"/>
      <w:start w:val="1"/>
    </w:lvl>
  </w:abstractNum>
  <w:abstractNum w:abstractNumId="14">
    <w:nsid w:val="6CEAF087"/>
    <w:multiLevelType w:val="hybridMultilevel"/>
    <w:lvl w:ilvl="0">
      <w:lvlJc w:val="left"/>
      <w:lvlText w:val="5"/>
      <w:numFmt w:val="bullet"/>
      <w:start w:val="1"/>
    </w:lvl>
  </w:abstractNum>
  <w:abstractNum w:abstractNumId="15">
    <w:nsid w:val="22221A70"/>
    <w:multiLevelType w:val="hybridMultilevel"/>
    <w:lvl w:ilvl="0">
      <w:lvlJc w:val="left"/>
      <w:lvlText w:val="6"/>
      <w:numFmt w:val="bullet"/>
      <w:start w:val="1"/>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decimal"/>
      <w:start w:val="13"/>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bullet"/>
      <w:start w:val="1"/>
    </w:lvl>
  </w:abstractNum>
  <w:abstractNum w:abstractNumId="20">
    <w:nsid w:val="5577F8E1"/>
    <w:multiLevelType w:val="hybridMultilevel"/>
    <w:lvl w:ilvl="0">
      <w:lvlJc w:val="left"/>
      <w:lvlText w:val="2"/>
      <w:numFmt w:val="bullet"/>
      <w:start w:val="1"/>
    </w:lvl>
  </w:abstractNum>
  <w:abstractNum w:abstractNumId="21">
    <w:nsid w:val="440BADFC"/>
    <w:multiLevelType w:val="hybridMultilevel"/>
    <w:lvl w:ilvl="0">
      <w:lvlJc w:val="left"/>
      <w:lvlText w:val="3"/>
      <w:numFmt w:val="bullet"/>
      <w:start w:val="1"/>
    </w:lvl>
  </w:abstractNum>
  <w:abstractNum w:abstractNumId="22">
    <w:nsid w:val="5072367"/>
    <w:multiLevelType w:val="hybridMultilevel"/>
    <w:lvl w:ilvl="0">
      <w:lvlJc w:val="left"/>
      <w:lvlText w:val="4"/>
      <w:numFmt w:val="bullet"/>
      <w:start w:val="1"/>
    </w:lvl>
  </w:abstractNum>
  <w:abstractNum w:abstractNumId="23">
    <w:nsid w:val="3804823E"/>
    <w:multiLevelType w:val="hybridMultilevel"/>
    <w:lvl w:ilvl="0">
      <w:lvlJc w:val="left"/>
      <w:lvlText w:val="5"/>
      <w:numFmt w:val="bullet"/>
      <w:start w:val="1"/>
    </w:lvl>
  </w:abstractNum>
  <w:abstractNum w:abstractNumId="24">
    <w:nsid w:val="77465F01"/>
    <w:multiLevelType w:val="hybridMultilevel"/>
    <w:lvl w:ilvl="0">
      <w:lvlJc w:val="left"/>
      <w:lvlText w:val="6"/>
      <w:numFmt w:val="bullet"/>
      <w:start w:val="1"/>
    </w:lvl>
  </w:abstractNum>
  <w:abstractNum w:abstractNumId="25">
    <w:nsid w:val="7724C67E"/>
    <w:multiLevelType w:val="hybridMultilevel"/>
    <w:lvl w:ilvl="0">
      <w:lvlJc w:val="left"/>
      <w:lvlText w:val="%1"/>
      <w:numFmt w:val="decimal"/>
      <w:start w:val="11"/>
    </w:lvl>
  </w:abstractNum>
  <w:abstractNum w:abstractNumId="26">
    <w:nsid w:val="5C482A97"/>
    <w:multiLevelType w:val="hybridMultilevel"/>
    <w:lvl w:ilvl="0">
      <w:lvlJc w:val="left"/>
      <w:lvlText w:val="%1"/>
      <w:numFmt w:val="decimal"/>
      <w:start w:val="13"/>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bullet"/>
      <w:start w:val="1"/>
    </w:lvl>
  </w:abstractNum>
  <w:abstractNum w:abstractNumId="29">
    <w:nsid w:val="51EAD36B"/>
    <w:multiLevelType w:val="hybridMultilevel"/>
    <w:lvl w:ilvl="0">
      <w:lvlJc w:val="left"/>
      <w:lvlText w:val="2"/>
      <w:numFmt w:val="bullet"/>
      <w:start w:val="1"/>
    </w:lvl>
  </w:abstractNum>
  <w:abstractNum w:abstractNumId="30">
    <w:nsid w:val="2D517796"/>
    <w:multiLevelType w:val="hybridMultilevel"/>
    <w:lvl w:ilvl="0">
      <w:lvlJc w:val="left"/>
      <w:lvlText w:val="3"/>
      <w:numFmt w:val="bullet"/>
      <w:start w:val="1"/>
    </w:lvl>
  </w:abstractNum>
  <w:abstractNum w:abstractNumId="31">
    <w:nsid w:val="580BD78F"/>
    <w:multiLevelType w:val="hybridMultilevel"/>
    <w:lvl w:ilvl="0">
      <w:lvlJc w:val="left"/>
      <w:lvlText w:val="4"/>
      <w:numFmt w:val="bullet"/>
      <w:start w:val="1"/>
    </w:lvl>
  </w:abstractNum>
  <w:abstractNum w:abstractNumId="32">
    <w:nsid w:val="153EA438"/>
    <w:multiLevelType w:val="hybridMultilevel"/>
    <w:lvl w:ilvl="0">
      <w:lvlJc w:val="left"/>
      <w:lvlText w:val="5"/>
      <w:numFmt w:val="bullet"/>
      <w:start w:val="1"/>
    </w:lvl>
  </w:abstractNum>
  <w:abstractNum w:abstractNumId="33">
    <w:nsid w:val="3855585C"/>
    <w:multiLevelType w:val="hybridMultilevel"/>
    <w:lvl w:ilvl="0">
      <w:lvlJc w:val="left"/>
      <w:lvlText w:val="6"/>
      <w:numFmt w:val="bullet"/>
      <w:start w:val="1"/>
    </w:lvl>
  </w:abstractNum>
  <w:abstractNum w:abstractNumId="34">
    <w:nsid w:val="70A64E2A"/>
    <w:multiLevelType w:val="hybridMultilevel"/>
    <w:lvl w:ilvl="0">
      <w:lvlJc w:val="left"/>
      <w:lvlText w:val="%1"/>
      <w:numFmt w:val="decimal"/>
      <w:start w:val="1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bullet"/>
      <w:start w:val="1"/>
    </w:lvl>
  </w:abstractNum>
  <w:abstractNum w:abstractNumId="37">
    <w:nsid w:val="1D4ED43B"/>
    <w:multiLevelType w:val="hybridMultilevel"/>
    <w:lvl w:ilvl="0">
      <w:lvlJc w:val="left"/>
      <w:lvlText w:val="2"/>
      <w:numFmt w:val="bullet"/>
      <w:start w:val="1"/>
    </w:lvl>
  </w:abstractNum>
  <w:abstractNum w:abstractNumId="38">
    <w:nsid w:val="725A06FB"/>
    <w:multiLevelType w:val="hybridMultilevel"/>
    <w:lvl w:ilvl="0">
      <w:lvlJc w:val="left"/>
      <w:lvlText w:val="3"/>
      <w:numFmt w:val="bullet"/>
      <w:start w:val="1"/>
    </w:lvl>
  </w:abstractNum>
  <w:abstractNum w:abstractNumId="39">
    <w:nsid w:val="2CD89A32"/>
    <w:multiLevelType w:val="hybridMultilevel"/>
    <w:lvl w:ilvl="0">
      <w:lvlJc w:val="left"/>
      <w:lvlText w:val="4"/>
      <w:numFmt w:val="bullet"/>
      <w:start w:val="1"/>
    </w:lvl>
  </w:abstractNum>
  <w:abstractNum w:abstractNumId="40">
    <w:nsid w:val="57E4CCAF"/>
    <w:multiLevelType w:val="hybridMultilevel"/>
    <w:lvl w:ilvl="0">
      <w:lvlJc w:val="left"/>
      <w:lvlText w:val="5"/>
      <w:numFmt w:val="bullet"/>
      <w:start w:val="1"/>
    </w:lvl>
  </w:abstractNum>
  <w:abstractNum w:abstractNumId="41">
    <w:nsid w:val="7A6D8D3C"/>
    <w:multiLevelType w:val="hybridMultilevel"/>
    <w:lvl w:ilvl="0">
      <w:lvlJc w:val="left"/>
      <w:lvlText w:val="6"/>
      <w:numFmt w:val="bullet"/>
      <w:start w:val="1"/>
    </w:lvl>
  </w:abstractNum>
  <w:abstractNum w:abstractNumId="42">
    <w:nsid w:val="4B588F54"/>
    <w:multiLevelType w:val="hybridMultilevel"/>
    <w:lvl w:ilvl="0">
      <w:lvlJc w:val="left"/>
      <w:lvlText w:val="%1"/>
      <w:numFmt w:val="decimal"/>
      <w:start w:val="11"/>
    </w:lvl>
  </w:abstractNum>
  <w:abstractNum w:abstractNumId="43">
    <w:nsid w:val="542289EC"/>
    <w:multiLevelType w:val="hybridMultilevel"/>
    <w:lvl w:ilvl="0">
      <w:lvlJc w:val="left"/>
      <w:lvlText w:val="%1"/>
      <w:numFmt w:val="decimal"/>
      <w:start w:val="13"/>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2019-12-09T20:30:43Z</dcterms:created>
  <dcterms:modified xsi:type="dcterms:W3CDTF">2019-12-09T20:30:43Z</dcterms:modified>
</cp:coreProperties>
</file>