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shd w:fill="FFFFFF" w:val="clear"/>
        </w:rPr>
      </w:pPr>
      <w:bookmarkStart w:id="0" w:name="d779379d8k.htm"/>
      <w:bookmarkStart w:id="1" w:name="ksd779379d8k"/>
      <w:bookmarkEnd w:id="0"/>
      <w:bookmarkEnd w:id="1"/>
      <w:r>
        <w:rPr>
          <w:bdr w:val="single" w:sz="2" w:space="1" w:color="000000"/>
          <w:shd w:fill="FFFFFF" w:val="clear"/>
        </w:rPr>
        <w:t> </w:t>
      </w:r>
    </w:p>
    <w:p>
      <w:pPr>
        <w:pStyle w:val="TextBody"/>
        <w:bidi w:val="0"/>
        <w:spacing w:lineRule="atLeast" w:line="142" w:before="0" w:after="40"/>
        <w:jc w:val="left"/>
        <w:rPr>
          <w:bdr w:val="single" w:sz="2" w:space="1" w:color="000000"/>
          <w:shd w:fill="FFFFFF" w:val="clear"/>
        </w:rPr>
      </w:pPr>
      <w:r>
        <w:rPr>
          <w:bdr w:val="single" w:sz="2" w:space="1" w:color="000000"/>
          <w:shd w:fill="FFFFFF" w:val="clear"/>
        </w:rPr>
        <w:t> </w:t>
      </w:r>
    </w:p>
    <w:p>
      <w:pPr>
        <w:pStyle w:val="TextBody"/>
        <w:bidi w:val="0"/>
        <w:spacing w:before="80" w:after="0"/>
        <w:jc w:val="center"/>
        <w:rPr>
          <w:rFonts w:ascii="Times New Roman" w:hAnsi="Times New Roman"/>
          <w:b/>
          <w:sz w:val="36"/>
          <w:shd w:fill="FFFFFF" w:val="clear"/>
        </w:rPr>
      </w:pPr>
      <w:r>
        <w:rPr>
          <w:rFonts w:ascii="Times New Roman" w:hAnsi="Times New Roman"/>
          <w:b/>
          <w:sz w:val="36"/>
          <w:shd w:fill="FFFFFF" w:val="clear"/>
        </w:rPr>
        <w:t xml:space="preserve">UNITED STATES </w:t>
      </w:r>
    </w:p>
    <w:p>
      <w:pPr>
        <w:pStyle w:val="TextBody"/>
        <w:bidi w:val="0"/>
        <w:spacing w:before="0" w:after="0"/>
        <w:jc w:val="center"/>
        <w:rPr>
          <w:rFonts w:ascii="Times New Roman" w:hAnsi="Times New Roman"/>
          <w:b/>
          <w:sz w:val="36"/>
          <w:shd w:fill="FFFFFF" w:val="clear"/>
        </w:rPr>
      </w:pPr>
      <w:r>
        <w:rPr>
          <w:rFonts w:ascii="Times New Roman" w:hAnsi="Times New Roman"/>
          <w:b/>
          <w:sz w:val="36"/>
          <w:shd w:fill="FFFFFF" w:val="clear"/>
        </w:rPr>
        <w:t xml:space="preserve">SECURITIES AND EXCHANGE COMMISSION </w:t>
      </w:r>
    </w:p>
    <w:p>
      <w:pPr>
        <w:pStyle w:val="TextBody"/>
        <w:bidi w:val="0"/>
        <w:spacing w:before="0" w:after="0"/>
        <w:jc w:val="center"/>
        <w:rPr>
          <w:rFonts w:ascii="Times New Roman" w:hAnsi="Times New Roman"/>
          <w:b/>
          <w:sz w:val="24"/>
          <w:shd w:fill="FFFFFF" w:val="clear"/>
        </w:rPr>
      </w:pPr>
      <w:r>
        <w:rPr>
          <w:rFonts w:ascii="Times New Roman" w:hAnsi="Times New Roman"/>
          <w:b/>
          <w:sz w:val="24"/>
          <w:shd w:fill="FFFFFF" w:val="clear"/>
        </w:rPr>
        <w:t xml:space="preserve">Washington, D.C. 20549 </w:t>
      </w:r>
    </w:p>
    <w:p>
      <w:pPr>
        <w:pStyle w:val="TextBody"/>
        <w:bidi w:val="0"/>
        <w:spacing w:before="0" w:after="0"/>
        <w:jc w:val="left"/>
        <w:rPr>
          <w:shd w:fill="FFFFFF" w:val="clear"/>
        </w:rPr>
      </w:pPr>
      <w:r>
        <w:rPr>
          <w:shd w:fill="FFFFFF" w:val="clear"/>
        </w:rPr>
        <w:t> </w:t>
      </w:r>
    </w:p>
    <w:p>
      <w:pPr>
        <w:pStyle w:val="TextBody"/>
        <w:bidi w:val="0"/>
        <w:spacing w:lineRule="atLeast" w:line="142" w:before="0" w:after="40"/>
        <w:jc w:val="center"/>
        <w:rPr>
          <w:bdr w:val="single" w:sz="8" w:space="1" w:color="000000"/>
          <w:shd w:fill="FFFFFF" w:val="clear"/>
        </w:rPr>
      </w:pPr>
      <w:r>
        <w:rPr>
          <w:bdr w:val="single" w:sz="8" w:space="1" w:color="000000"/>
          <w:shd w:fill="FFFFFF" w:val="clear"/>
        </w:rPr>
        <w:t> </w:t>
      </w:r>
    </w:p>
    <w:p>
      <w:pPr>
        <w:pStyle w:val="TextBody"/>
        <w:bidi w:val="0"/>
        <w:spacing w:before="200" w:after="0"/>
        <w:jc w:val="center"/>
        <w:rPr>
          <w:rFonts w:ascii="Times New Roman" w:hAnsi="Times New Roman"/>
          <w:b/>
          <w:sz w:val="36"/>
          <w:shd w:fill="FFFFFF" w:val="clear"/>
        </w:rPr>
      </w:pPr>
      <w:r>
        <w:rPr>
          <w:rFonts w:ascii="Times New Roman" w:hAnsi="Times New Roman"/>
          <w:b/>
          <w:sz w:val="36"/>
          <w:shd w:fill="FFFFFF" w:val="clear"/>
        </w:rPr>
        <w:t xml:space="preserve">FORM </w:t>
      </w:r>
    </w:p>
    <w:p>
      <w:pPr>
        <w:pStyle w:val="TextBody"/>
        <w:bidi w:val="0"/>
        <w:spacing w:before="200" w:after="0"/>
        <w:jc w:val="center"/>
        <w:rPr>
          <w:rFonts w:ascii="Times New Roman" w:hAnsi="Times New Roman"/>
          <w:b/>
          <w:spacing w:val="0"/>
          <w:sz w:val="36"/>
          <w:shd w:fill="FFFFFF" w:val="clear"/>
        </w:rPr>
      </w:pPr>
      <w:r>
        <w:rPr>
          <w:rFonts w:ascii="Times New Roman" w:hAnsi="Times New Roman"/>
          <w:b/>
          <w:spacing w:val="0"/>
          <w:sz w:val="36"/>
          <w:shd w:fill="FFFFFF" w:val="clear"/>
        </w:rPr>
        <w:t>8-K</w:t>
      </w:r>
    </w:p>
    <w:p>
      <w:pPr>
        <w:pStyle w:val="TextBody"/>
        <w:bidi w:val="0"/>
        <w:spacing w:before="0" w:after="0"/>
        <w:jc w:val="left"/>
        <w:rPr>
          <w:shd w:fill="FFFFFF" w:val="clear"/>
        </w:rPr>
      </w:pPr>
      <w:r>
        <w:rPr>
          <w:shd w:fill="FFFFFF" w:val="clear"/>
        </w:rPr>
        <w:t> </w:t>
      </w:r>
    </w:p>
    <w:p>
      <w:pPr>
        <w:pStyle w:val="TextBody"/>
        <w:bidi w:val="0"/>
        <w:spacing w:lineRule="atLeast" w:line="142" w:before="0" w:after="40"/>
        <w:jc w:val="center"/>
        <w:rPr>
          <w:bdr w:val="single" w:sz="8" w:space="1" w:color="000000"/>
          <w:shd w:fill="FFFFFF" w:val="clear"/>
        </w:rPr>
      </w:pPr>
      <w:r>
        <w:rPr>
          <w:bdr w:val="single" w:sz="8" w:space="1" w:color="000000"/>
          <w:shd w:fill="FFFFFF" w:val="clear"/>
        </w:rPr>
        <w:t> </w:t>
      </w:r>
    </w:p>
    <w:p>
      <w:pPr>
        <w:pStyle w:val="TextBody"/>
        <w:bidi w:val="0"/>
        <w:spacing w:before="200" w:after="0"/>
        <w:jc w:val="center"/>
        <w:rPr>
          <w:rFonts w:ascii="Times New Roman" w:hAnsi="Times New Roman"/>
          <w:b/>
          <w:sz w:val="24"/>
          <w:shd w:fill="FFFFFF" w:val="clear"/>
        </w:rPr>
      </w:pPr>
      <w:r>
        <w:rPr>
          <w:rFonts w:ascii="Times New Roman" w:hAnsi="Times New Roman"/>
          <w:b/>
          <w:sz w:val="24"/>
          <w:shd w:fill="FFFFFF" w:val="clear"/>
        </w:rPr>
        <w:t xml:space="preserve">CURRENT REPORT </w:t>
      </w:r>
    </w:p>
    <w:p>
      <w:pPr>
        <w:pStyle w:val="TextBody"/>
        <w:bidi w:val="0"/>
        <w:spacing w:before="0" w:after="0"/>
        <w:jc w:val="center"/>
        <w:rPr>
          <w:rFonts w:ascii="Times New Roman" w:hAnsi="Times New Roman"/>
          <w:b/>
          <w:sz w:val="24"/>
          <w:shd w:fill="FFFFFF" w:val="clear"/>
        </w:rPr>
      </w:pPr>
      <w:r>
        <w:rPr>
          <w:rFonts w:ascii="Times New Roman" w:hAnsi="Times New Roman"/>
          <w:b/>
          <w:sz w:val="24"/>
          <w:shd w:fill="FFFFFF" w:val="clear"/>
        </w:rPr>
        <w:t xml:space="preserve">Pursuant to Section 13 or 15(d) </w:t>
      </w:r>
    </w:p>
    <w:p>
      <w:pPr>
        <w:pStyle w:val="TextBody"/>
        <w:bidi w:val="0"/>
        <w:spacing w:before="0" w:after="0"/>
        <w:jc w:val="center"/>
        <w:rPr>
          <w:rFonts w:ascii="Times New Roman" w:hAnsi="Times New Roman"/>
          <w:b/>
          <w:sz w:val="24"/>
          <w:shd w:fill="FFFFFF" w:val="clear"/>
        </w:rPr>
      </w:pPr>
      <w:r>
        <w:rPr>
          <w:rFonts w:ascii="Times New Roman" w:hAnsi="Times New Roman"/>
          <w:b/>
          <w:sz w:val="24"/>
          <w:shd w:fill="FFFFFF" w:val="clear"/>
        </w:rPr>
        <w:t xml:space="preserve">of the Securities Exchange Act of 1934 </w:t>
      </w:r>
    </w:p>
    <w:p>
      <w:pPr>
        <w:pStyle w:val="TextBody"/>
        <w:bidi w:val="0"/>
        <w:spacing w:before="240" w:after="0"/>
        <w:jc w:val="center"/>
        <w:rPr>
          <w:rFonts w:ascii="Times New Roman" w:hAnsi="Times New Roman"/>
          <w:b/>
          <w:sz w:val="24"/>
          <w:shd w:fill="FFFFFF" w:val="clear"/>
        </w:rPr>
      </w:pPr>
      <w:r>
        <w:rPr>
          <w:rFonts w:ascii="Times New Roman" w:hAnsi="Times New Roman"/>
          <w:b/>
          <w:sz w:val="24"/>
          <w:shd w:fill="FFFFFF" w:val="clear"/>
        </w:rPr>
        <w:t xml:space="preserve">Date of Report (Date of earliest event reported): March 5, 2024 </w:t>
      </w:r>
    </w:p>
    <w:p>
      <w:pPr>
        <w:pStyle w:val="TextBody"/>
        <w:bidi w:val="0"/>
        <w:spacing w:before="0" w:after="0"/>
        <w:jc w:val="left"/>
        <w:rPr>
          <w:shd w:fill="FFFFFF" w:val="clear"/>
        </w:rPr>
      </w:pPr>
      <w:r>
        <w:rPr>
          <w:shd w:fill="FFFFFF" w:val="clear"/>
        </w:rPr>
        <w:t> </w:t>
      </w:r>
    </w:p>
    <w:p>
      <w:pPr>
        <w:pStyle w:val="TextBody"/>
        <w:bidi w:val="0"/>
        <w:spacing w:lineRule="atLeast" w:line="142" w:before="0" w:after="40"/>
        <w:jc w:val="center"/>
        <w:rPr>
          <w:bdr w:val="single" w:sz="8" w:space="1" w:color="000000"/>
          <w:shd w:fill="FFFFFF" w:val="clear"/>
        </w:rPr>
      </w:pPr>
      <w:r>
        <w:rPr>
          <w:bdr w:val="single" w:sz="8" w:space="1" w:color="000000"/>
          <w:shd w:fill="FFFFFF" w:val="clear"/>
        </w:rPr>
        <w:t> </w:t>
      </w:r>
    </w:p>
    <w:p>
      <w:pPr>
        <w:pStyle w:val="TextBody"/>
        <w:bidi w:val="0"/>
        <w:spacing w:before="200" w:after="0"/>
        <w:jc w:val="center"/>
        <w:rPr>
          <w:rFonts w:ascii="Times New Roman" w:hAnsi="Times New Roman"/>
          <w:b/>
          <w:sz w:val="48"/>
          <w:shd w:fill="FFFFFF" w:val="clear"/>
        </w:rPr>
      </w:pPr>
      <w:r>
        <w:rPr>
          <w:rFonts w:ascii="Times New Roman" w:hAnsi="Times New Roman"/>
          <w:b/>
          <w:sz w:val="48"/>
          <w:shd w:fill="FFFFFF" w:val="clear"/>
        </w:rPr>
        <w:t xml:space="preserve">Sixth Street Specialty Lending, Inc. </w:t>
      </w:r>
    </w:p>
    <w:p>
      <w:pPr>
        <w:pStyle w:val="TextBody"/>
        <w:bidi w:val="0"/>
        <w:spacing w:before="0" w:after="0"/>
        <w:jc w:val="center"/>
        <w:rPr>
          <w:rFonts w:ascii="Times New Roman" w:hAnsi="Times New Roman"/>
          <w:b/>
          <w:sz w:val="20"/>
          <w:shd w:fill="FFFFFF" w:val="clear"/>
        </w:rPr>
      </w:pPr>
      <w:r>
        <w:rPr>
          <w:rFonts w:ascii="Times New Roman" w:hAnsi="Times New Roman"/>
          <w:b/>
          <w:sz w:val="20"/>
          <w:shd w:fill="FFFFFF" w:val="clear"/>
        </w:rPr>
        <w:t xml:space="preserve">(Exact name of registrant as specified in charter) </w:t>
      </w:r>
    </w:p>
    <w:p>
      <w:pPr>
        <w:pStyle w:val="TextBody"/>
        <w:bidi w:val="0"/>
        <w:spacing w:before="0" w:after="0"/>
        <w:jc w:val="left"/>
        <w:rPr>
          <w:shd w:fill="FFFFFF" w:val="clear"/>
        </w:rPr>
      </w:pPr>
      <w:r>
        <w:rPr>
          <w:shd w:fill="FFFFFF" w:val="clear"/>
        </w:rPr>
        <w:t> </w:t>
      </w:r>
    </w:p>
    <w:p>
      <w:pPr>
        <w:pStyle w:val="TextBody"/>
        <w:bidi w:val="0"/>
        <w:spacing w:lineRule="atLeast" w:line="142" w:before="0" w:after="40"/>
        <w:jc w:val="center"/>
        <w:rPr>
          <w:bdr w:val="single" w:sz="8" w:space="1" w:color="000000"/>
          <w:shd w:fill="FFFFFF" w:val="clear"/>
        </w:rPr>
      </w:pPr>
      <w:r>
        <w:rPr>
          <w:bdr w:val="single" w:sz="8" w:space="1" w:color="000000"/>
          <w:shd w:fill="FFFFFF" w:val="clear"/>
        </w:rPr>
        <w:t> </w:t>
      </w:r>
    </w:p>
    <w:p>
      <w:pPr>
        <w:pStyle w:val="TextBody"/>
        <w:bidi w:val="0"/>
        <w:spacing w:before="0" w:after="0"/>
        <w:jc w:val="left"/>
        <w:rPr>
          <w:shd w:fill="FFFFFF" w:val="clear"/>
        </w:rPr>
      </w:pPr>
      <w:r>
        <w:rPr>
          <w:shd w:fill="FFFFFF" w:val="clear"/>
        </w:rPr>
        <w:t> </w:t>
      </w:r>
    </w:p>
    <w:tbl>
      <w:tblPr>
        <w:tblW w:w="5498" w:type="dxa"/>
        <w:jc w:val="left"/>
        <w:tblInd w:w="0" w:type="dxa"/>
        <w:tblLayout w:type="fixed"/>
        <w:tblCellMar>
          <w:top w:w="0" w:type="dxa"/>
          <w:left w:w="0" w:type="dxa"/>
          <w:bottom w:w="0" w:type="dxa"/>
          <w:right w:w="0" w:type="dxa"/>
        </w:tblCellMar>
      </w:tblPr>
      <w:tblGrid>
        <w:gridCol w:w="2640"/>
        <w:gridCol w:w="76"/>
        <w:gridCol w:w="1352"/>
        <w:gridCol w:w="60"/>
        <w:gridCol w:w="1370"/>
      </w:tblGrid>
      <w:tr>
        <w:trPr/>
        <w:tc>
          <w:tcPr>
            <w:tcW w:w="2640" w:type="dxa"/>
            <w:tcBorders/>
            <w:vAlign w:val="center"/>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2640" w:type="dxa"/>
            <w:tcBorders/>
            <w:vAlign w:val="center"/>
          </w:tcPr>
          <w:p>
            <w:pPr>
              <w:pStyle w:val="TableContents"/>
              <w:bidi w:val="0"/>
              <w:spacing w:before="0" w:after="0"/>
              <w:jc w:val="center"/>
              <w:rPr>
                <w:b/>
                <w:spacing w:val="0"/>
              </w:rPr>
            </w:pPr>
            <w:r>
              <w:rPr>
                <w:b/>
                <w:spacing w:val="0"/>
              </w:rPr>
              <w:t>Delaware</w:t>
            </w:r>
          </w:p>
        </w:tc>
        <w:tc>
          <w:tcPr>
            <w:tcW w:w="76" w:type="dxa"/>
            <w:tcBorders/>
            <w:vAlign w:val="center"/>
          </w:tcPr>
          <w:p>
            <w:pPr>
              <w:pStyle w:val="TableContents"/>
              <w:bidi w:val="0"/>
              <w:spacing w:before="0" w:after="283"/>
              <w:jc w:val="left"/>
              <w:rPr/>
            </w:pPr>
            <w:r>
              <w:rPr/>
              <w:t> </w:t>
            </w:r>
          </w:p>
        </w:tc>
        <w:tc>
          <w:tcPr>
            <w:tcW w:w="1352" w:type="dxa"/>
            <w:tcBorders/>
            <w:vAlign w:val="center"/>
          </w:tcPr>
          <w:p>
            <w:pPr>
              <w:pStyle w:val="TableContents"/>
              <w:bidi w:val="0"/>
              <w:spacing w:before="0" w:after="0"/>
              <w:jc w:val="center"/>
              <w:rPr>
                <w:b/>
                <w:spacing w:val="0"/>
              </w:rPr>
            </w:pPr>
            <w:r>
              <w:rPr>
                <w:b/>
                <w:spacing w:val="0"/>
              </w:rPr>
              <w:t>001-36364</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b/>
                <w:spacing w:val="0"/>
              </w:rPr>
            </w:pPr>
            <w:r>
              <w:rPr>
                <w:b/>
                <w:spacing w:val="0"/>
              </w:rPr>
              <w:t>27-3380000</w:t>
            </w:r>
          </w:p>
        </w:tc>
      </w:tr>
      <w:tr>
        <w:trPr/>
        <w:tc>
          <w:tcPr>
            <w:tcW w:w="264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76" w:type="dxa"/>
            <w:tcBorders/>
            <w:vAlign w:val="center"/>
          </w:tcPr>
          <w:p>
            <w:pPr>
              <w:pStyle w:val="TableContents"/>
              <w:bidi w:val="0"/>
              <w:spacing w:before="0" w:after="283"/>
              <w:jc w:val="left"/>
              <w:rPr/>
            </w:pPr>
            <w:r>
              <w:rPr/>
              <w:t> </w:t>
            </w:r>
          </w:p>
        </w:tc>
        <w:tc>
          <w:tcPr>
            <w:tcW w:w="1352"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r>
        <w:trPr/>
        <w:tc>
          <w:tcPr>
            <w:tcW w:w="4068" w:type="dxa"/>
            <w:gridSpan w:val="3"/>
            <w:tcBorders/>
            <w:vAlign w:val="center"/>
          </w:tcPr>
          <w:p>
            <w:pPr>
              <w:pStyle w:val="TableContents"/>
              <w:bidi w:val="0"/>
              <w:spacing w:before="0" w:after="283"/>
              <w:jc w:val="left"/>
              <w:rPr>
                <w:sz w:val="4"/>
                <w:szCs w:val="4"/>
              </w:rPr>
            </w:pPr>
            <w:r>
              <w:rPr>
                <w:sz w:val="4"/>
                <w:szCs w:val="4"/>
              </w:rPr>
            </w:r>
          </w:p>
        </w:tc>
        <w:tc>
          <w:tcPr>
            <w:tcW w:w="1430" w:type="dxa"/>
            <w:gridSpan w:val="2"/>
            <w:tcBorders/>
            <w:vAlign w:val="center"/>
          </w:tcPr>
          <w:p>
            <w:pPr>
              <w:pStyle w:val="TableContents"/>
              <w:bidi w:val="0"/>
              <w:spacing w:before="0" w:after="283"/>
              <w:jc w:val="left"/>
              <w:rPr>
                <w:sz w:val="4"/>
                <w:szCs w:val="4"/>
              </w:rPr>
            </w:pPr>
            <w:r>
              <w:rPr>
                <w:sz w:val="4"/>
                <w:szCs w:val="4"/>
              </w:rPr>
            </w:r>
          </w:p>
        </w:tc>
      </w:tr>
      <w:tr>
        <w:trPr/>
        <w:tc>
          <w:tcPr>
            <w:tcW w:w="4068" w:type="dxa"/>
            <w:gridSpan w:val="3"/>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2100 McKinney Avenue, Suite 1500</w:t>
            </w:r>
          </w:p>
          <w:p>
            <w:pPr>
              <w:pStyle w:val="TableContents"/>
              <w:bidi w:val="0"/>
              <w:spacing w:before="0" w:after="20"/>
              <w:jc w:val="center"/>
              <w:rPr>
                <w:rFonts w:ascii="Times New Roman" w:hAnsi="Times New Roman"/>
                <w:b/>
                <w:sz w:val="20"/>
              </w:rPr>
            </w:pPr>
            <w:r>
              <w:rPr>
                <w:rFonts w:ascii="Times New Roman" w:hAnsi="Times New Roman"/>
                <w:b/>
                <w:sz w:val="20"/>
              </w:rPr>
              <w:t xml:space="preserve">Dallas, </w:t>
            </w:r>
          </w:p>
          <w:p>
            <w:pPr>
              <w:pStyle w:val="TableContents"/>
              <w:bidi w:val="0"/>
              <w:spacing w:before="0" w:after="20"/>
              <w:jc w:val="center"/>
              <w:rPr>
                <w:rFonts w:ascii="Times New Roman" w:hAnsi="Times New Roman"/>
                <w:b/>
                <w:sz w:val="20"/>
              </w:rPr>
            </w:pPr>
            <w:r>
              <w:rPr>
                <w:rFonts w:ascii="Times New Roman" w:hAnsi="Times New Roman"/>
                <w:b/>
                <w:sz w:val="20"/>
              </w:rPr>
              <w:t>TX</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b/>
                <w:spacing w:val="0"/>
              </w:rPr>
            </w:pPr>
            <w:r>
              <w:rPr>
                <w:b/>
                <w:spacing w:val="0"/>
              </w:rPr>
              <w:t>75201</w:t>
            </w:r>
          </w:p>
        </w:tc>
      </w:tr>
      <w:tr>
        <w:trPr/>
        <w:tc>
          <w:tcPr>
            <w:tcW w:w="4068" w:type="dxa"/>
            <w:gridSpan w:val="3"/>
            <w:tcBorders/>
            <w:vAlign w:val="center"/>
          </w:tcPr>
          <w:p>
            <w:pPr>
              <w:pStyle w:val="TableContents"/>
              <w:bidi w:val="0"/>
              <w:spacing w:before="0" w:after="0"/>
              <w:jc w:val="center"/>
              <w:rPr>
                <w:b/>
                <w:spacing w:val="0"/>
              </w:rPr>
            </w:pPr>
            <w:r>
              <w:rPr>
                <w:b/>
                <w:spacing w:val="0"/>
              </w:rPr>
              <w:t>(Address of Principal Executive Offices)</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b/>
                <w:spacing w:val="0"/>
              </w:rPr>
            </w:pPr>
            <w:r>
              <w:rPr>
                <w:b/>
                <w:spacing w:val="0"/>
              </w:rPr>
              <w:t>(zip code)</w:t>
            </w:r>
          </w:p>
        </w:tc>
      </w:tr>
    </w:tbl>
    <w:p>
      <w:pPr>
        <w:pStyle w:val="TextBody"/>
        <w:bidi w:val="0"/>
        <w:spacing w:before="240" w:after="0"/>
        <w:jc w:val="center"/>
        <w:rPr>
          <w:rFonts w:ascii="Times New Roman" w:hAnsi="Times New Roman"/>
          <w:b/>
          <w:sz w:val="20"/>
          <w:shd w:fill="FFFFFF" w:val="clear"/>
        </w:rPr>
      </w:pPr>
      <w:r>
        <w:rPr>
          <w:rFonts w:ascii="Times New Roman" w:hAnsi="Times New Roman"/>
          <w:b/>
          <w:sz w:val="20"/>
          <w:shd w:fill="FFFFFF" w:val="clear"/>
        </w:rPr>
        <w:t xml:space="preserve">Registrant’s telephone number, including area code: (469) </w:t>
      </w:r>
    </w:p>
    <w:p>
      <w:pPr>
        <w:pStyle w:val="TextBody"/>
        <w:bidi w:val="0"/>
        <w:spacing w:before="240" w:after="0"/>
        <w:jc w:val="center"/>
        <w:rPr>
          <w:rFonts w:ascii="Times New Roman" w:hAnsi="Times New Roman"/>
          <w:b/>
          <w:spacing w:val="0"/>
          <w:sz w:val="20"/>
          <w:shd w:fill="FFFFFF" w:val="clear"/>
        </w:rPr>
      </w:pPr>
      <w:r>
        <w:rPr>
          <w:rFonts w:ascii="Times New Roman" w:hAnsi="Times New Roman"/>
          <w:b/>
          <w:spacing w:val="0"/>
          <w:sz w:val="20"/>
          <w:shd w:fill="FFFFFF" w:val="clear"/>
        </w:rPr>
        <w:t>621-3001</w:t>
      </w:r>
    </w:p>
    <w:p>
      <w:pPr>
        <w:pStyle w:val="TextBody"/>
        <w:bidi w:val="0"/>
        <w:spacing w:before="0" w:after="0"/>
        <w:jc w:val="left"/>
        <w:rPr>
          <w:shd w:fill="FFFFFF" w:val="clear"/>
        </w:rPr>
      </w:pPr>
      <w:r>
        <w:rPr>
          <w:shd w:fill="FFFFFF" w:val="clear"/>
        </w:rPr>
        <w:t> </w:t>
      </w:r>
    </w:p>
    <w:p>
      <w:pPr>
        <w:pStyle w:val="TextBody"/>
        <w:bidi w:val="0"/>
        <w:spacing w:lineRule="atLeast" w:line="142" w:before="0" w:after="40"/>
        <w:jc w:val="center"/>
        <w:rPr>
          <w:bdr w:val="single" w:sz="8" w:space="1" w:color="000000"/>
          <w:shd w:fill="FFFFFF" w:val="clear"/>
        </w:rPr>
      </w:pPr>
      <w:r>
        <w:rPr>
          <w:bdr w:val="single" w:sz="8" w:space="1" w:color="000000"/>
          <w:shd w:fill="FFFFFF" w:val="clear"/>
        </w:rPr>
        <w:t> </w:t>
      </w:r>
    </w:p>
    <w:p>
      <w:pPr>
        <w:pStyle w:val="TextBody"/>
        <w:bidi w:val="0"/>
        <w:spacing w:before="200" w:after="0"/>
        <w:jc w:val="left"/>
        <w:rPr>
          <w:rFonts w:ascii="Times New Roman" w:hAnsi="Times New Roman"/>
          <w:sz w:val="20"/>
          <w:shd w:fill="FFFFFF" w:val="clear"/>
        </w:rPr>
      </w:pPr>
      <w:r>
        <w:rPr>
          <w:rFonts w:ascii="Times New Roman" w:hAnsi="Times New Roman"/>
          <w:sz w:val="20"/>
          <w:shd w:fill="FFFFFF" w:val="clear"/>
        </w:rPr>
        <w:t xml:space="preserve">Check the appropriate box below if the Form </w:t>
      </w:r>
    </w:p>
    <w:p>
      <w:pPr>
        <w:pStyle w:val="TextBody"/>
        <w:bidi w:val="0"/>
        <w:spacing w:before="200" w:after="0"/>
        <w:jc w:val="left"/>
        <w:rPr>
          <w:rFonts w:ascii="Times New Roman" w:hAnsi="Times New Roman"/>
          <w:spacing w:val="0"/>
          <w:sz w:val="20"/>
          <w:shd w:fill="FFFFFF" w:val="clear"/>
        </w:rPr>
      </w:pPr>
      <w:r>
        <w:rPr>
          <w:rFonts w:ascii="Times New Roman" w:hAnsi="Times New Roman"/>
          <w:spacing w:val="0"/>
          <w:sz w:val="20"/>
          <w:shd w:fill="FFFFFF" w:val="clear"/>
        </w:rPr>
        <w:t>8-K</w:t>
      </w:r>
    </w:p>
    <w:p>
      <w:pPr>
        <w:pStyle w:val="TextBody"/>
        <w:bidi w:val="0"/>
        <w:spacing w:before="200" w:after="0"/>
        <w:jc w:val="left"/>
        <w:rPr>
          <w:rFonts w:ascii="Times New Roman" w:hAnsi="Times New Roman"/>
          <w:sz w:val="20"/>
          <w:shd w:fill="FFFFFF" w:val="clear"/>
        </w:rPr>
      </w:pPr>
      <w:r>
        <w:rPr>
          <w:rFonts w:ascii="Times New Roman" w:hAnsi="Times New Roman"/>
          <w:sz w:val="20"/>
          <w:shd w:fill="FFFFFF" w:val="clear"/>
        </w:rPr>
        <w:t xml:space="preserve">filing is intended to simultaneously satisfy the filing obligation of the registrant under any of the following provisions: </w:t>
      </w:r>
    </w:p>
    <w:p>
      <w:pPr>
        <w:pStyle w:val="TextBody"/>
        <w:bidi w:val="0"/>
        <w:spacing w:before="0" w:after="0"/>
        <w:jc w:val="left"/>
        <w:rPr>
          <w:shd w:fill="FFFFFF" w:val="clear"/>
        </w:rPr>
      </w:pPr>
      <w:r>
        <w:rPr>
          <w:shd w:fill="FFFFFF" w:val="clear"/>
        </w:rPr>
        <w:t> </w:t>
      </w:r>
    </w:p>
    <w:tbl>
      <w:tblPr>
        <w:tblW w:w="7585" w:type="dxa"/>
        <w:jc w:val="left"/>
        <w:tblInd w:w="0" w:type="dxa"/>
        <w:tblLayout w:type="fixed"/>
        <w:tblCellMar>
          <w:top w:w="0" w:type="dxa"/>
          <w:left w:w="0" w:type="dxa"/>
          <w:bottom w:w="0" w:type="dxa"/>
          <w:right w:w="0" w:type="dxa"/>
        </w:tblCellMar>
      </w:tblPr>
      <w:tblGrid>
        <w:gridCol w:w="245"/>
        <w:gridCol w:w="7340"/>
      </w:tblGrid>
      <w:tr>
        <w:trPr/>
        <w:tc>
          <w:tcPr>
            <w:tcW w:w="245" w:type="dxa"/>
            <w:tcBorders/>
            <w:vAlign w:val="center"/>
          </w:tcPr>
          <w:p>
            <w:pPr>
              <w:pStyle w:val="TableContents"/>
              <w:bidi w:val="0"/>
              <w:spacing w:before="0" w:after="283"/>
              <w:jc w:val="left"/>
              <w:rPr/>
            </w:pPr>
            <w:r>
              <w:rPr/>
              <w:t>☐</w:t>
            </w:r>
          </w:p>
        </w:tc>
        <w:tc>
          <w:tcPr>
            <w:tcW w:w="73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Written communications pursuant to Rule 425 under the Securities Act (17 CFR 230.425) </w:t>
            </w:r>
          </w:p>
        </w:tc>
      </w:tr>
    </w:tbl>
    <w:p>
      <w:pPr>
        <w:pStyle w:val="TextBody"/>
        <w:bidi w:val="0"/>
        <w:spacing w:before="0" w:after="0"/>
        <w:jc w:val="left"/>
        <w:rPr>
          <w:shd w:fill="FFFFFF" w:val="clear"/>
        </w:rPr>
      </w:pPr>
      <w:r>
        <w:rPr>
          <w:shd w:fill="FFFFFF" w:val="clear"/>
        </w:rPr>
        <w:t> </w:t>
      </w:r>
    </w:p>
    <w:tbl>
      <w:tblPr>
        <w:tblW w:w="3235" w:type="dxa"/>
        <w:jc w:val="left"/>
        <w:tblInd w:w="0" w:type="dxa"/>
        <w:tblLayout w:type="fixed"/>
        <w:tblCellMar>
          <w:top w:w="0" w:type="dxa"/>
          <w:left w:w="0" w:type="dxa"/>
          <w:bottom w:w="0" w:type="dxa"/>
          <w:right w:w="0" w:type="dxa"/>
        </w:tblCellMar>
      </w:tblPr>
      <w:tblGrid>
        <w:gridCol w:w="245"/>
        <w:gridCol w:w="2990"/>
      </w:tblGrid>
      <w:tr>
        <w:trPr/>
        <w:tc>
          <w:tcPr>
            <w:tcW w:w="245" w:type="dxa"/>
            <w:tcBorders/>
            <w:vAlign w:val="center"/>
          </w:tcPr>
          <w:p>
            <w:pPr>
              <w:pStyle w:val="TableContents"/>
              <w:bidi w:val="0"/>
              <w:spacing w:before="0" w:after="283"/>
              <w:jc w:val="left"/>
              <w:rPr/>
            </w:pPr>
            <w:r>
              <w:rPr/>
              <w:t>☐</w:t>
            </w:r>
          </w:p>
        </w:tc>
        <w:tc>
          <w:tcPr>
            <w:tcW w:w="29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Soliciting material pursuant to Rule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14a-12</w:t>
            </w:r>
          </w:p>
          <w:p>
            <w:pPr>
              <w:pStyle w:val="TableContents"/>
              <w:bidi w:val="0"/>
              <w:spacing w:before="0" w:after="0"/>
              <w:jc w:val="left"/>
              <w:rPr>
                <w:rFonts w:ascii="Times New Roman" w:hAnsi="Times New Roman"/>
                <w:sz w:val="20"/>
              </w:rPr>
            </w:pPr>
            <w:r>
              <w:rPr>
                <w:rFonts w:ascii="Times New Roman" w:hAnsi="Times New Roman"/>
                <w:sz w:val="20"/>
              </w:rPr>
              <w:t xml:space="preserve">under the Exchange Act (17 CFR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240.14a-12)</w:t>
            </w:r>
          </w:p>
        </w:tc>
      </w:tr>
    </w:tbl>
    <w:p>
      <w:pPr>
        <w:pStyle w:val="TextBody"/>
        <w:bidi w:val="0"/>
        <w:spacing w:before="0" w:after="0"/>
        <w:jc w:val="left"/>
        <w:rPr>
          <w:shd w:fill="FFFFFF" w:val="clear"/>
        </w:rPr>
      </w:pPr>
      <w:r>
        <w:rPr>
          <w:shd w:fill="FFFFFF" w:val="clear"/>
        </w:rPr>
        <w:t> </w:t>
      </w:r>
    </w:p>
    <w:tbl>
      <w:tblPr>
        <w:tblW w:w="3070" w:type="dxa"/>
        <w:jc w:val="left"/>
        <w:tblInd w:w="0" w:type="dxa"/>
        <w:tblLayout w:type="fixed"/>
        <w:tblCellMar>
          <w:top w:w="0" w:type="dxa"/>
          <w:left w:w="0" w:type="dxa"/>
          <w:bottom w:w="0" w:type="dxa"/>
          <w:right w:w="0" w:type="dxa"/>
        </w:tblCellMar>
      </w:tblPr>
      <w:tblGrid>
        <w:gridCol w:w="245"/>
        <w:gridCol w:w="2825"/>
      </w:tblGrid>
      <w:tr>
        <w:trPr/>
        <w:tc>
          <w:tcPr>
            <w:tcW w:w="245" w:type="dxa"/>
            <w:tcBorders/>
            <w:vAlign w:val="center"/>
          </w:tcPr>
          <w:p>
            <w:pPr>
              <w:pStyle w:val="TableContents"/>
              <w:bidi w:val="0"/>
              <w:spacing w:before="0" w:after="283"/>
              <w:jc w:val="left"/>
              <w:rPr/>
            </w:pPr>
            <w:r>
              <w:rPr/>
              <w:t>☐</w:t>
            </w:r>
          </w:p>
        </w:tc>
        <w:tc>
          <w:tcPr>
            <w:tcW w:w="282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Pre-commencement</w:t>
            </w:r>
          </w:p>
          <w:p>
            <w:pPr>
              <w:pStyle w:val="TableContents"/>
              <w:bidi w:val="0"/>
              <w:spacing w:before="0" w:after="0"/>
              <w:jc w:val="left"/>
              <w:rPr>
                <w:rFonts w:ascii="Times New Roman" w:hAnsi="Times New Roman"/>
                <w:sz w:val="20"/>
              </w:rPr>
            </w:pPr>
            <w:r>
              <w:rPr>
                <w:rFonts w:ascii="Times New Roman" w:hAnsi="Times New Roman"/>
                <w:sz w:val="20"/>
              </w:rPr>
              <w:t xml:space="preserve">communications pursuant to Rule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14d-2(b)</w:t>
            </w:r>
          </w:p>
          <w:p>
            <w:pPr>
              <w:pStyle w:val="TableContents"/>
              <w:bidi w:val="0"/>
              <w:spacing w:before="0" w:after="0"/>
              <w:jc w:val="left"/>
              <w:rPr>
                <w:rFonts w:ascii="Times New Roman" w:hAnsi="Times New Roman"/>
                <w:sz w:val="20"/>
              </w:rPr>
            </w:pPr>
            <w:r>
              <w:rPr>
                <w:rFonts w:ascii="Times New Roman" w:hAnsi="Times New Roman"/>
                <w:sz w:val="20"/>
              </w:rPr>
              <w:t xml:space="preserve">under the Exchange Act (17 CFR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240.14d-2(b))</w:t>
            </w:r>
          </w:p>
        </w:tc>
      </w:tr>
    </w:tbl>
    <w:p>
      <w:pPr>
        <w:pStyle w:val="TextBody"/>
        <w:bidi w:val="0"/>
        <w:spacing w:before="0" w:after="0"/>
        <w:jc w:val="left"/>
        <w:rPr>
          <w:shd w:fill="FFFFFF" w:val="clear"/>
        </w:rPr>
      </w:pPr>
      <w:r>
        <w:rPr>
          <w:shd w:fill="FFFFFF" w:val="clear"/>
        </w:rPr>
        <w:t> </w:t>
      </w:r>
    </w:p>
    <w:tbl>
      <w:tblPr>
        <w:tblW w:w="3070" w:type="dxa"/>
        <w:jc w:val="left"/>
        <w:tblInd w:w="0" w:type="dxa"/>
        <w:tblLayout w:type="fixed"/>
        <w:tblCellMar>
          <w:top w:w="0" w:type="dxa"/>
          <w:left w:w="0" w:type="dxa"/>
          <w:bottom w:w="0" w:type="dxa"/>
          <w:right w:w="0" w:type="dxa"/>
        </w:tblCellMar>
      </w:tblPr>
      <w:tblGrid>
        <w:gridCol w:w="245"/>
        <w:gridCol w:w="2825"/>
      </w:tblGrid>
      <w:tr>
        <w:trPr/>
        <w:tc>
          <w:tcPr>
            <w:tcW w:w="245" w:type="dxa"/>
            <w:tcBorders/>
            <w:vAlign w:val="center"/>
          </w:tcPr>
          <w:p>
            <w:pPr>
              <w:pStyle w:val="TableContents"/>
              <w:bidi w:val="0"/>
              <w:spacing w:before="0" w:after="283"/>
              <w:jc w:val="left"/>
              <w:rPr/>
            </w:pPr>
            <w:r>
              <w:rPr/>
              <w:t>☐</w:t>
            </w:r>
          </w:p>
        </w:tc>
        <w:tc>
          <w:tcPr>
            <w:tcW w:w="282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Pre-commencement</w:t>
            </w:r>
          </w:p>
          <w:p>
            <w:pPr>
              <w:pStyle w:val="TableContents"/>
              <w:bidi w:val="0"/>
              <w:spacing w:before="0" w:after="0"/>
              <w:jc w:val="left"/>
              <w:rPr>
                <w:rFonts w:ascii="Times New Roman" w:hAnsi="Times New Roman"/>
                <w:sz w:val="20"/>
              </w:rPr>
            </w:pPr>
            <w:r>
              <w:rPr>
                <w:rFonts w:ascii="Times New Roman" w:hAnsi="Times New Roman"/>
                <w:sz w:val="20"/>
              </w:rPr>
              <w:t xml:space="preserve">communications pursuant to Rule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13e-4(c)</w:t>
            </w:r>
          </w:p>
          <w:p>
            <w:pPr>
              <w:pStyle w:val="TableContents"/>
              <w:bidi w:val="0"/>
              <w:spacing w:before="0" w:after="0"/>
              <w:jc w:val="left"/>
              <w:rPr>
                <w:rFonts w:ascii="Times New Roman" w:hAnsi="Times New Roman"/>
                <w:sz w:val="20"/>
              </w:rPr>
            </w:pPr>
            <w:r>
              <w:rPr>
                <w:rFonts w:ascii="Times New Roman" w:hAnsi="Times New Roman"/>
                <w:sz w:val="20"/>
              </w:rPr>
              <w:t xml:space="preserve">under the Exchange Act (17 CFR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240.13e-4(c))</w:t>
            </w:r>
          </w:p>
        </w:tc>
      </w:tr>
    </w:tbl>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Securities registered pursuant to Section 12(b) of the Act: </w:t>
      </w:r>
    </w:p>
    <w:p>
      <w:pPr>
        <w:pStyle w:val="TextBody"/>
        <w:bidi w:val="0"/>
        <w:spacing w:before="0" w:after="0"/>
        <w:jc w:val="left"/>
        <w:rPr>
          <w:shd w:fill="FFFFFF" w:val="clear"/>
        </w:rPr>
      </w:pPr>
      <w:r>
        <w:rPr>
          <w:shd w:fill="FFFFFF" w:val="clear"/>
        </w:rPr>
        <w:t> </w:t>
      </w:r>
    </w:p>
    <w:tbl>
      <w:tblPr>
        <w:tblW w:w="7980" w:type="dxa"/>
        <w:jc w:val="left"/>
        <w:tblInd w:w="0" w:type="dxa"/>
        <w:tblLayout w:type="fixed"/>
        <w:tblCellMar>
          <w:top w:w="0" w:type="dxa"/>
          <w:left w:w="0" w:type="dxa"/>
          <w:bottom w:w="0" w:type="dxa"/>
          <w:right w:w="0" w:type="dxa"/>
        </w:tblCellMar>
      </w:tblPr>
      <w:tblGrid>
        <w:gridCol w:w="4025"/>
        <w:gridCol w:w="60"/>
        <w:gridCol w:w="740"/>
        <w:gridCol w:w="60"/>
        <w:gridCol w:w="3095"/>
      </w:tblGrid>
      <w:tr>
        <w:trPr/>
        <w:tc>
          <w:tcPr>
            <w:tcW w:w="40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95" w:type="dxa"/>
            <w:tcBorders/>
            <w:vAlign w:val="center"/>
          </w:tcPr>
          <w:p>
            <w:pPr>
              <w:pStyle w:val="TableContents"/>
              <w:bidi w:val="0"/>
              <w:spacing w:before="0" w:after="283"/>
              <w:jc w:val="left"/>
              <w:rPr>
                <w:sz w:val="4"/>
                <w:szCs w:val="4"/>
              </w:rPr>
            </w:pPr>
            <w:r>
              <w:rPr>
                <w:sz w:val="4"/>
                <w:szCs w:val="4"/>
              </w:rPr>
            </w:r>
          </w:p>
        </w:tc>
      </w:tr>
      <w:tr>
        <w:trPr/>
        <w:tc>
          <w:tcPr>
            <w:tcW w:w="402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Trading</w:t>
            </w:r>
          </w:p>
          <w:p>
            <w:pPr>
              <w:pStyle w:val="TableContents"/>
              <w:bidi w:val="0"/>
              <w:spacing w:before="0" w:after="20"/>
              <w:jc w:val="center"/>
              <w:rPr>
                <w:rFonts w:ascii="Times New Roman" w:hAnsi="Times New Roman"/>
                <w:b/>
                <w:sz w:val="16"/>
              </w:rPr>
            </w:pPr>
            <w:r>
              <w:rPr>
                <w:rFonts w:ascii="Times New Roman" w:hAnsi="Times New Roman"/>
                <w:b/>
                <w:sz w:val="16"/>
              </w:rPr>
              <w:t>Symbol(s)</w:t>
            </w:r>
          </w:p>
        </w:tc>
        <w:tc>
          <w:tcPr>
            <w:tcW w:w="60" w:type="dxa"/>
            <w:tcBorders/>
            <w:vAlign w:val="center"/>
          </w:tcPr>
          <w:p>
            <w:pPr>
              <w:pStyle w:val="TableContents"/>
              <w:bidi w:val="0"/>
              <w:spacing w:before="0" w:after="283"/>
              <w:jc w:val="left"/>
              <w:rPr/>
            </w:pPr>
            <w:r>
              <w:rPr/>
              <w:t> </w:t>
            </w:r>
          </w:p>
        </w:tc>
        <w:tc>
          <w:tcPr>
            <w:tcW w:w="3095"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4025" w:type="dxa"/>
            <w:tcBorders/>
            <w:vAlign w:val="center"/>
          </w:tcPr>
          <w:p>
            <w:pPr>
              <w:pStyle w:val="TableContents"/>
              <w:bidi w:val="0"/>
              <w:spacing w:before="0" w:after="283"/>
              <w:jc w:val="center"/>
              <w:rPr/>
            </w:pPr>
            <w:r>
              <w:rPr/>
              <w:t>Common Stock, par value $0.01 per share</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TSLX</w:t>
            </w:r>
          </w:p>
        </w:tc>
        <w:tc>
          <w:tcPr>
            <w:tcW w:w="60" w:type="dxa"/>
            <w:tcBorders/>
            <w:vAlign w:val="center"/>
          </w:tcPr>
          <w:p>
            <w:pPr>
              <w:pStyle w:val="TableContents"/>
              <w:bidi w:val="0"/>
              <w:spacing w:before="0" w:after="283"/>
              <w:jc w:val="left"/>
              <w:rPr/>
            </w:pPr>
            <w:r>
              <w:rPr/>
              <w:t> </w:t>
            </w:r>
          </w:p>
        </w:tc>
        <w:tc>
          <w:tcPr>
            <w:tcW w:w="3095" w:type="dxa"/>
            <w:tcBorders/>
            <w:vAlign w:val="center"/>
          </w:tcPr>
          <w:p>
            <w:pPr>
              <w:pStyle w:val="TableContents"/>
              <w:bidi w:val="0"/>
              <w:spacing w:before="0" w:after="283"/>
              <w:jc w:val="center"/>
              <w:rPr/>
            </w:pPr>
            <w:r>
              <w:rPr/>
              <w:t>The New York Stock Exchange</w:t>
            </w:r>
          </w:p>
        </w:tc>
      </w:tr>
    </w:tbl>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Indicate by check mark whether the registrant is an emerging growth company as defined in Rule 405 of the Securities Act of 1933 (§230.405 of this chapter) or Rule </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12b-2</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of the Securities Exchange Act of 1934 </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(§240.12b-2</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of this chapter).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Emerging growth company ☐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If an emerging growth company, indicate by check mark if the registrant has elected not to use the extended transition period for complying with any new or revised financial accounting standards provided pursuant to Section 13(a) of the Exchange Act. ☐ </w:t>
      </w:r>
    </w:p>
    <w:p>
      <w:pPr>
        <w:pStyle w:val="TextBody"/>
        <w:bidi w:val="0"/>
        <w:spacing w:before="0" w:after="0"/>
        <w:jc w:val="left"/>
        <w:rPr>
          <w:shd w:fill="FFFFFF" w:val="clear"/>
        </w:rPr>
      </w:pPr>
      <w:r>
        <w:rPr>
          <w:shd w:fill="FFFFFF" w:val="clear"/>
        </w:rPr>
        <w:t> </w:t>
      </w:r>
    </w:p>
    <w:p>
      <w:pPr>
        <w:pStyle w:val="TextBody"/>
        <w:bidi w:val="0"/>
        <w:spacing w:lineRule="atLeast" w:line="142" w:before="0" w:after="0"/>
        <w:jc w:val="left"/>
        <w:rPr>
          <w:bdr w:val="single" w:sz="2" w:space="1" w:color="000000"/>
          <w:shd w:fill="FFFFFF" w:val="clear"/>
        </w:rPr>
      </w:pPr>
      <w:r>
        <w:rPr>
          <w:bdr w:val="single" w:sz="2" w:space="1" w:color="000000"/>
          <w:shd w:fill="FFFFFF" w:val="clear"/>
        </w:rPr>
        <w:t> </w:t>
      </w:r>
    </w:p>
    <w:p>
      <w:pPr>
        <w:pStyle w:val="TextBody"/>
        <w:bidi w:val="0"/>
        <w:spacing w:lineRule="atLeast" w:line="142" w:before="0" w:after="40"/>
        <w:jc w:val="left"/>
        <w:rPr>
          <w:bdr w:val="single" w:sz="2" w:space="1" w:color="000000"/>
          <w:shd w:fill="FFFFFF" w:val="clear"/>
        </w:rPr>
      </w:pPr>
      <w:r>
        <w:rPr>
          <w:bdr w:val="single" w:sz="2" w:space="1" w:color="000000"/>
          <w:shd w:fill="FFFFFF" w:val="clear"/>
        </w:rPr>
        <w:t> </w:t>
      </w:r>
    </w:p>
    <w:p>
      <w:pPr>
        <w:pStyle w:val="HorizontalLine"/>
        <w:pBdr>
          <w:bottom w:val="double" w:sz="2" w:space="0" w:color="808080"/>
        </w:pBdr>
        <w:bidi w:val="0"/>
        <w:spacing w:before="0" w:after="283"/>
        <w:jc w:val="left"/>
        <w:rPr/>
      </w:pPr>
      <w:r>
        <w:rPr/>
      </w:r>
    </w:p>
    <w:p>
      <w:pPr>
        <w:pStyle w:val="TextBody"/>
        <w:bidi w:val="0"/>
        <w:spacing w:before="0" w:after="0"/>
        <w:jc w:val="left"/>
        <w:rPr>
          <w:rFonts w:ascii="Times New Roman" w:hAnsi="Times New Roman"/>
          <w:b/>
          <w:sz w:val="20"/>
          <w:shd w:fill="FFFFFF" w:val="clear"/>
        </w:rPr>
      </w:pPr>
      <w:r>
        <w:rPr>
          <w:rFonts w:ascii="Times New Roman" w:hAnsi="Times New Roman"/>
          <w:b/>
          <w:sz w:val="20"/>
          <w:shd w:fill="FFFFFF" w:val="clear"/>
        </w:rPr>
        <w:t xml:space="preserve">Item 8.01 - Other Events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On March 5, 2024, Sixth Street Specialty Lending, Inc. (the “Company”) issued 4,000,000 shares (the “Shares”) of the Company’s common stock, par value $0.01 per share (“Common Stock”), pursuant to an Underwriting Agreement, dated February 29, 2024 (the “Underwriting Agreement”), among the Company, Street Specialty Lending Advisers, LLC (the “Adviser”) and Morgan Stanley &amp; Co. LLC, as representative of the several underwriters named on Schedule 1 thereto (collectively, the “Underwriters”). In addition, under the terms of the Underwriting Agreement, the Company granted the Underwriters an option to purchase an additional 600,000 shares of Common Stock, exercisable for 30 days from the date of the Underwriting Agreement.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The Shares were purchased by the Underwriters from the Company at a price of $20.52 per share, resulting in net proceeds to the Company of approximately $81.6 million, after deducting estimated offering expenses.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The Shares were offered and sold pursuant to the Registration Statement on Form </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N-2</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(File </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No. 333-276252)</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and a prospectus supplement and accompanying prospectus, dated February 29, 2024, filed with the Securities and Exchange Commission.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The foregoing description of the Underwriting Agreement does not purport to be complete and is qualified in its entirety by reference to the full text of the Underwriting Agreement, filed as Exhibit 1.1 hereto and incorporated by reference herein. </w:t>
      </w:r>
    </w:p>
    <w:p>
      <w:pPr>
        <w:pStyle w:val="TextBody"/>
        <w:bidi w:val="0"/>
        <w:spacing w:before="360" w:after="0"/>
        <w:jc w:val="left"/>
        <w:rPr>
          <w:rFonts w:ascii="Times New Roman" w:hAnsi="Times New Roman"/>
          <w:b/>
          <w:sz w:val="20"/>
          <w:shd w:fill="FFFFFF" w:val="clear"/>
        </w:rPr>
      </w:pPr>
      <w:r>
        <w:rPr>
          <w:rFonts w:ascii="Times New Roman" w:hAnsi="Times New Roman"/>
          <w:b/>
          <w:sz w:val="20"/>
          <w:shd w:fill="FFFFFF" w:val="clear"/>
        </w:rPr>
        <w:t xml:space="preserve">Item 9.01 - Financial Statements and Exhibits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(d) Exhibits: </w:t>
      </w:r>
    </w:p>
    <w:p>
      <w:pPr>
        <w:pStyle w:val="TextBody"/>
        <w:bidi w:val="0"/>
        <w:spacing w:before="0" w:after="0"/>
        <w:jc w:val="left"/>
        <w:rPr>
          <w:shd w:fill="FFFFFF" w:val="clear"/>
        </w:rPr>
      </w:pPr>
      <w:r>
        <w:rPr>
          <w:shd w:fill="FFFFFF" w:val="clear"/>
        </w:rPr>
        <w:t> </w:t>
      </w:r>
    </w:p>
    <w:tbl>
      <w:tblPr>
        <w:tblW w:w="10205" w:type="dxa"/>
        <w:jc w:val="left"/>
        <w:tblInd w:w="0" w:type="dxa"/>
        <w:tblLayout w:type="fixed"/>
        <w:tblCellMar>
          <w:top w:w="0" w:type="dxa"/>
          <w:left w:w="0" w:type="dxa"/>
          <w:bottom w:w="0" w:type="dxa"/>
          <w:right w:w="0" w:type="dxa"/>
        </w:tblCellMar>
      </w:tblPr>
      <w:tblGrid>
        <w:gridCol w:w="890"/>
        <w:gridCol w:w="120"/>
        <w:gridCol w:w="9195"/>
      </w:tblGrid>
      <w:tr>
        <w:trPr/>
        <w:tc>
          <w:tcPr>
            <w:tcW w:w="8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195" w:type="dxa"/>
            <w:tcBorders/>
            <w:vAlign w:val="center"/>
          </w:tcPr>
          <w:p>
            <w:pPr>
              <w:pStyle w:val="TableContents"/>
              <w:bidi w:val="0"/>
              <w:spacing w:before="0" w:after="283"/>
              <w:jc w:val="left"/>
              <w:rPr>
                <w:sz w:val="4"/>
                <w:szCs w:val="4"/>
              </w:rPr>
            </w:pPr>
            <w:r>
              <w:rPr>
                <w:sz w:val="4"/>
                <w:szCs w:val="4"/>
              </w:rPr>
            </w:r>
          </w:p>
        </w:tc>
      </w:tr>
      <w:tr>
        <w:trPr/>
        <w:tc>
          <w:tcPr>
            <w:tcW w:w="890" w:type="dxa"/>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Exhibit</w:t>
              <w:br/>
              <w:t>Number</w:t>
            </w:r>
          </w:p>
        </w:tc>
        <w:tc>
          <w:tcPr>
            <w:tcW w:w="120" w:type="dxa"/>
            <w:tcBorders/>
            <w:vAlign w:val="center"/>
          </w:tcPr>
          <w:p>
            <w:pPr>
              <w:pStyle w:val="TableContents"/>
              <w:bidi w:val="0"/>
              <w:spacing w:before="0" w:after="283"/>
              <w:jc w:val="left"/>
              <w:rPr/>
            </w:pPr>
            <w:r>
              <w:rPr/>
              <w:t>  </w:t>
            </w:r>
          </w:p>
        </w:tc>
        <w:tc>
          <w:tcPr>
            <w:tcW w:w="919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Description</w:t>
            </w:r>
          </w:p>
        </w:tc>
      </w:tr>
      <w:tr>
        <w:trPr/>
        <w:tc>
          <w:tcPr>
            <w:tcW w:w="890" w:type="dxa"/>
            <w:tcBorders/>
            <w:vAlign w:val="center"/>
          </w:tcPr>
          <w:p>
            <w:pPr>
              <w:pStyle w:val="TableContents"/>
              <w:bidi w:val="0"/>
              <w:spacing w:before="0" w:after="283"/>
              <w:jc w:val="left"/>
              <w:rPr>
                <w:sz w:val="4"/>
                <w:szCs w:val="4"/>
              </w:rPr>
            </w:pPr>
            <w:r>
              <w:rPr>
                <w:sz w:val="4"/>
                <w:szCs w:val="4"/>
              </w:rPr>
            </w:r>
          </w:p>
        </w:tc>
        <w:tc>
          <w:tcPr>
            <w:tcW w:w="9315" w:type="dxa"/>
            <w:gridSpan w:val="2"/>
            <w:tcBorders/>
            <w:vAlign w:val="center"/>
          </w:tcPr>
          <w:p>
            <w:pPr>
              <w:pStyle w:val="TableContents"/>
              <w:bidi w:val="0"/>
              <w:spacing w:before="0" w:after="283"/>
              <w:jc w:val="left"/>
              <w:rPr>
                <w:sz w:val="4"/>
                <w:szCs w:val="4"/>
              </w:rPr>
            </w:pPr>
            <w:r>
              <w:rPr>
                <w:sz w:val="4"/>
                <w:szCs w:val="4"/>
              </w:rPr>
            </w:r>
          </w:p>
        </w:tc>
      </w:tr>
      <w:tr>
        <w:trPr/>
        <w:tc>
          <w:tcPr>
            <w:tcW w:w="890" w:type="dxa"/>
            <w:tcBorders/>
            <w:vAlign w:val="center"/>
          </w:tcPr>
          <w:p>
            <w:pPr>
              <w:pStyle w:val="TableContents"/>
              <w:bidi w:val="0"/>
              <w:spacing w:before="0" w:after="283"/>
              <w:jc w:val="left"/>
              <w:rPr/>
            </w:pPr>
            <w:r>
              <w:rPr/>
              <w:t>1.1</w:t>
            </w:r>
          </w:p>
        </w:tc>
        <w:tc>
          <w:tcPr>
            <w:tcW w:w="120" w:type="dxa"/>
            <w:tcBorders/>
            <w:vAlign w:val="center"/>
          </w:tcPr>
          <w:p>
            <w:pPr>
              <w:pStyle w:val="TableContents"/>
              <w:bidi w:val="0"/>
              <w:spacing w:before="0" w:after="283"/>
              <w:jc w:val="left"/>
              <w:rPr/>
            </w:pPr>
            <w:r>
              <w:rPr/>
              <w:t>  </w:t>
            </w:r>
          </w:p>
        </w:tc>
        <w:tc>
          <w:tcPr>
            <w:tcW w:w="9195" w:type="dxa"/>
            <w:tcBorders/>
            <w:vAlign w:val="center"/>
          </w:tcPr>
          <w:p>
            <w:pPr>
              <w:pStyle w:val="TableContents"/>
              <w:bidi w:val="0"/>
              <w:spacing w:before="0" w:after="283"/>
              <w:jc w:val="left"/>
              <w:rPr/>
            </w:pPr>
            <w:hyperlink w:anchor="d779379dex11.htm">
              <w:r>
                <w:rPr>
                  <w:rStyle w:val="InternetLink"/>
                </w:rPr>
                <w:t xml:space="preserve">Underwriting Agreement, dated February 29, 2024, by and among the Company, the Adviser and Morgan Stanley &amp; Co. LLC as representative of the several underwriters named in Schedule 1 thereto. </w:t>
              </w:r>
            </w:hyperlink>
          </w:p>
        </w:tc>
      </w:tr>
      <w:tr>
        <w:trPr/>
        <w:tc>
          <w:tcPr>
            <w:tcW w:w="890" w:type="dxa"/>
            <w:tcBorders/>
            <w:vAlign w:val="center"/>
          </w:tcPr>
          <w:p>
            <w:pPr>
              <w:pStyle w:val="TableContents"/>
              <w:bidi w:val="0"/>
              <w:spacing w:before="0" w:after="283"/>
              <w:jc w:val="left"/>
              <w:rPr>
                <w:sz w:val="4"/>
                <w:szCs w:val="4"/>
              </w:rPr>
            </w:pPr>
            <w:r>
              <w:rPr>
                <w:sz w:val="4"/>
                <w:szCs w:val="4"/>
              </w:rPr>
            </w:r>
          </w:p>
        </w:tc>
        <w:tc>
          <w:tcPr>
            <w:tcW w:w="9315" w:type="dxa"/>
            <w:gridSpan w:val="2"/>
            <w:tcBorders/>
            <w:vAlign w:val="center"/>
          </w:tcPr>
          <w:p>
            <w:pPr>
              <w:pStyle w:val="TableContents"/>
              <w:bidi w:val="0"/>
              <w:spacing w:before="0" w:after="283"/>
              <w:jc w:val="left"/>
              <w:rPr>
                <w:sz w:val="4"/>
                <w:szCs w:val="4"/>
              </w:rPr>
            </w:pPr>
            <w:r>
              <w:rPr>
                <w:sz w:val="4"/>
                <w:szCs w:val="4"/>
              </w:rPr>
            </w:r>
          </w:p>
        </w:tc>
      </w:tr>
      <w:tr>
        <w:trPr/>
        <w:tc>
          <w:tcPr>
            <w:tcW w:w="890" w:type="dxa"/>
            <w:tcBorders/>
            <w:vAlign w:val="center"/>
          </w:tcPr>
          <w:p>
            <w:pPr>
              <w:pStyle w:val="TableContents"/>
              <w:bidi w:val="0"/>
              <w:spacing w:before="0" w:after="283"/>
              <w:jc w:val="left"/>
              <w:rPr/>
            </w:pPr>
            <w:r>
              <w:rPr/>
              <w:t>5.1</w:t>
            </w:r>
          </w:p>
        </w:tc>
        <w:tc>
          <w:tcPr>
            <w:tcW w:w="120" w:type="dxa"/>
            <w:tcBorders/>
            <w:vAlign w:val="center"/>
          </w:tcPr>
          <w:p>
            <w:pPr>
              <w:pStyle w:val="TableContents"/>
              <w:bidi w:val="0"/>
              <w:spacing w:before="0" w:after="283"/>
              <w:jc w:val="left"/>
              <w:rPr/>
            </w:pPr>
            <w:r>
              <w:rPr/>
              <w:t>  </w:t>
            </w:r>
          </w:p>
        </w:tc>
        <w:tc>
          <w:tcPr>
            <w:tcW w:w="9195" w:type="dxa"/>
            <w:tcBorders/>
            <w:vAlign w:val="center"/>
          </w:tcPr>
          <w:p>
            <w:pPr>
              <w:pStyle w:val="TableContents"/>
              <w:bidi w:val="0"/>
              <w:spacing w:before="0" w:after="283"/>
              <w:jc w:val="left"/>
              <w:rPr/>
            </w:pPr>
            <w:hyperlink w:anchor="d779379dex51.htm">
              <w:r>
                <w:rPr>
                  <w:rStyle w:val="InternetLink"/>
                </w:rPr>
                <w:t xml:space="preserve">Opinion of Simpson Thacher &amp; Bartlett LLP </w:t>
              </w:r>
            </w:hyperlink>
          </w:p>
        </w:tc>
      </w:tr>
      <w:tr>
        <w:trPr/>
        <w:tc>
          <w:tcPr>
            <w:tcW w:w="890" w:type="dxa"/>
            <w:tcBorders/>
            <w:vAlign w:val="center"/>
          </w:tcPr>
          <w:p>
            <w:pPr>
              <w:pStyle w:val="TableContents"/>
              <w:bidi w:val="0"/>
              <w:spacing w:before="0" w:after="283"/>
              <w:jc w:val="left"/>
              <w:rPr>
                <w:sz w:val="4"/>
                <w:szCs w:val="4"/>
              </w:rPr>
            </w:pPr>
            <w:r>
              <w:rPr>
                <w:sz w:val="4"/>
                <w:szCs w:val="4"/>
              </w:rPr>
            </w:r>
          </w:p>
        </w:tc>
        <w:tc>
          <w:tcPr>
            <w:tcW w:w="9315" w:type="dxa"/>
            <w:gridSpan w:val="2"/>
            <w:tcBorders/>
            <w:vAlign w:val="center"/>
          </w:tcPr>
          <w:p>
            <w:pPr>
              <w:pStyle w:val="TableContents"/>
              <w:bidi w:val="0"/>
              <w:spacing w:before="0" w:after="283"/>
              <w:jc w:val="left"/>
              <w:rPr>
                <w:sz w:val="4"/>
                <w:szCs w:val="4"/>
              </w:rPr>
            </w:pPr>
            <w:r>
              <w:rPr>
                <w:sz w:val="4"/>
                <w:szCs w:val="4"/>
              </w:rPr>
            </w:r>
          </w:p>
        </w:tc>
      </w:tr>
      <w:tr>
        <w:trPr/>
        <w:tc>
          <w:tcPr>
            <w:tcW w:w="890" w:type="dxa"/>
            <w:tcBorders/>
            <w:vAlign w:val="center"/>
          </w:tcPr>
          <w:p>
            <w:pPr>
              <w:pStyle w:val="TableContents"/>
              <w:bidi w:val="0"/>
              <w:spacing w:before="0" w:after="283"/>
              <w:jc w:val="left"/>
              <w:rPr/>
            </w:pPr>
            <w:r>
              <w:rPr/>
              <w:t>23.1</w:t>
            </w:r>
          </w:p>
        </w:tc>
        <w:tc>
          <w:tcPr>
            <w:tcW w:w="120" w:type="dxa"/>
            <w:tcBorders/>
            <w:vAlign w:val="center"/>
          </w:tcPr>
          <w:p>
            <w:pPr>
              <w:pStyle w:val="TableContents"/>
              <w:bidi w:val="0"/>
              <w:spacing w:before="0" w:after="283"/>
              <w:jc w:val="left"/>
              <w:rPr/>
            </w:pPr>
            <w:r>
              <w:rPr/>
              <w:t>  </w:t>
            </w:r>
          </w:p>
        </w:tc>
        <w:tc>
          <w:tcPr>
            <w:tcW w:w="9195" w:type="dxa"/>
            <w:tcBorders/>
            <w:vAlign w:val="center"/>
          </w:tcPr>
          <w:p>
            <w:pPr>
              <w:pStyle w:val="TableContents"/>
              <w:bidi w:val="0"/>
              <w:spacing w:before="0" w:after="283"/>
              <w:jc w:val="left"/>
              <w:rPr/>
            </w:pPr>
            <w:hyperlink w:anchor="d779379dex51.htm">
              <w:r>
                <w:rPr>
                  <w:rStyle w:val="InternetLink"/>
                </w:rPr>
                <w:t xml:space="preserve">Consent of Simpson Thacher &amp; Bartlett LLP (included as part of Exhibit 5.1) </w:t>
              </w:r>
            </w:hyperlink>
          </w:p>
        </w:tc>
      </w:tr>
      <w:tr>
        <w:trPr/>
        <w:tc>
          <w:tcPr>
            <w:tcW w:w="890" w:type="dxa"/>
            <w:tcBorders/>
            <w:vAlign w:val="center"/>
          </w:tcPr>
          <w:p>
            <w:pPr>
              <w:pStyle w:val="TableContents"/>
              <w:bidi w:val="0"/>
              <w:spacing w:before="0" w:after="283"/>
              <w:jc w:val="left"/>
              <w:rPr>
                <w:sz w:val="4"/>
                <w:szCs w:val="4"/>
              </w:rPr>
            </w:pPr>
            <w:r>
              <w:rPr>
                <w:sz w:val="4"/>
                <w:szCs w:val="4"/>
              </w:rPr>
            </w:r>
          </w:p>
        </w:tc>
        <w:tc>
          <w:tcPr>
            <w:tcW w:w="9315" w:type="dxa"/>
            <w:gridSpan w:val="2"/>
            <w:tcBorders/>
            <w:vAlign w:val="center"/>
          </w:tcPr>
          <w:p>
            <w:pPr>
              <w:pStyle w:val="TableContents"/>
              <w:bidi w:val="0"/>
              <w:spacing w:before="0" w:after="283"/>
              <w:jc w:val="left"/>
              <w:rPr>
                <w:sz w:val="4"/>
                <w:szCs w:val="4"/>
              </w:rPr>
            </w:pPr>
            <w:r>
              <w:rPr>
                <w:sz w:val="4"/>
                <w:szCs w:val="4"/>
              </w:rPr>
            </w:r>
          </w:p>
        </w:tc>
      </w:tr>
      <w:tr>
        <w:trPr/>
        <w:tc>
          <w:tcPr>
            <w:tcW w:w="890"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9195" w:type="dxa"/>
            <w:tcBorders/>
            <w:vAlign w:val="center"/>
          </w:tcPr>
          <w:p>
            <w:pPr>
              <w:pStyle w:val="TableContents"/>
              <w:bidi w:val="0"/>
              <w:spacing w:before="0" w:after="283"/>
              <w:jc w:val="left"/>
              <w:rPr/>
            </w:pPr>
            <w:r>
              <w:rPr/>
              <w:t>Cover Page Interactive Data File (embedded within the Inline XBRL document).</w:t>
            </w:r>
          </w:p>
        </w:tc>
      </w:tr>
    </w:tbl>
    <w:p>
      <w:pPr>
        <w:pStyle w:val="HorizontalLine"/>
        <w:pBdr>
          <w:bottom w:val="double" w:sz="2" w:space="0" w:color="808080"/>
        </w:pBdr>
        <w:bidi w:val="0"/>
        <w:spacing w:before="0" w:after="283"/>
        <w:jc w:val="left"/>
        <w:rPr/>
      </w:pPr>
      <w:r>
        <w:rPr/>
      </w:r>
    </w:p>
    <w:p>
      <w:pPr>
        <w:pStyle w:val="TextBody"/>
        <w:bidi w:val="0"/>
        <w:spacing w:before="0" w:after="0"/>
        <w:jc w:val="center"/>
        <w:rPr>
          <w:rFonts w:ascii="Times New Roman" w:hAnsi="Times New Roman"/>
          <w:b/>
          <w:sz w:val="20"/>
          <w:shd w:fill="FFFFFF" w:val="clear"/>
        </w:rPr>
      </w:pPr>
      <w:r>
        <w:rPr>
          <w:rFonts w:ascii="Times New Roman" w:hAnsi="Times New Roman"/>
          <w:b/>
          <w:sz w:val="20"/>
          <w:shd w:fill="FFFFFF" w:val="clear"/>
        </w:rPr>
        <w:t xml:space="preserve">SIGNATURES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Pursuant to the requirements of the Securities Exchange Act of 1934, as amended, the Registrant has duly caused this report to be signed on its behalf by the undersigned hereunto duly authorized. </w:t>
      </w:r>
    </w:p>
    <w:p>
      <w:pPr>
        <w:pStyle w:val="TextBody"/>
        <w:bidi w:val="0"/>
        <w:spacing w:before="0" w:after="0"/>
        <w:jc w:val="left"/>
        <w:rPr>
          <w:shd w:fill="FFFFFF" w:val="clear"/>
        </w:rPr>
      </w:pPr>
      <w:r>
        <w:rPr>
          <w:shd w:fill="FFFFFF" w:val="clear"/>
        </w:rPr>
        <w:t> </w:t>
      </w:r>
    </w:p>
    <w:tbl>
      <w:tblPr>
        <w:tblW w:w="5926" w:type="dxa"/>
        <w:jc w:val="left"/>
        <w:tblInd w:w="0" w:type="dxa"/>
        <w:tblLayout w:type="fixed"/>
        <w:tblCellMar>
          <w:top w:w="0" w:type="dxa"/>
          <w:left w:w="0" w:type="dxa"/>
          <w:bottom w:w="0" w:type="dxa"/>
          <w:right w:w="0" w:type="dxa"/>
        </w:tblCellMar>
      </w:tblPr>
      <w:tblGrid>
        <w:gridCol w:w="2000"/>
        <w:gridCol w:w="60"/>
        <w:gridCol w:w="23"/>
        <w:gridCol w:w="60"/>
        <w:gridCol w:w="521"/>
        <w:gridCol w:w="85"/>
        <w:gridCol w:w="3177"/>
      </w:tblGrid>
      <w:tr>
        <w:trPr/>
        <w:tc>
          <w:tcPr>
            <w:tcW w:w="20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85" w:type="dxa"/>
            <w:tcBorders/>
            <w:vAlign w:val="center"/>
          </w:tcPr>
          <w:p>
            <w:pPr>
              <w:pStyle w:val="TableContents"/>
              <w:bidi w:val="0"/>
              <w:spacing w:before="0" w:after="283"/>
              <w:jc w:val="left"/>
              <w:rPr>
                <w:sz w:val="4"/>
                <w:szCs w:val="4"/>
              </w:rPr>
            </w:pPr>
            <w:r>
              <w:rPr>
                <w:sz w:val="4"/>
                <w:szCs w:val="4"/>
              </w:rPr>
            </w:r>
          </w:p>
        </w:tc>
        <w:tc>
          <w:tcPr>
            <w:tcW w:w="3177" w:type="dxa"/>
            <w:tcBorders/>
            <w:vAlign w:val="center"/>
          </w:tcPr>
          <w:p>
            <w:pPr>
              <w:pStyle w:val="TableContents"/>
              <w:bidi w:val="0"/>
              <w:spacing w:before="0" w:after="283"/>
              <w:jc w:val="left"/>
              <w:rPr>
                <w:sz w:val="4"/>
                <w:szCs w:val="4"/>
              </w:rPr>
            </w:pPr>
            <w:r>
              <w:rPr>
                <w:sz w:val="4"/>
                <w:szCs w:val="4"/>
              </w:rPr>
            </w:r>
          </w:p>
        </w:tc>
      </w:tr>
      <w:tr>
        <w:trPr/>
        <w:tc>
          <w:tcPr>
            <w:tcW w:w="20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783" w:type="dxa"/>
            <w:gridSpan w:val="3"/>
            <w:tcBorders/>
            <w:vAlign w:val="center"/>
          </w:tcPr>
          <w:p>
            <w:pPr>
              <w:pStyle w:val="TableContents"/>
              <w:bidi w:val="0"/>
              <w:spacing w:before="0" w:after="0"/>
              <w:jc w:val="left"/>
              <w:rPr>
                <w:rFonts w:ascii="Times New Roman" w:hAnsi="Times New Roman"/>
                <w:sz w:val="20"/>
              </w:rPr>
            </w:pPr>
            <w:r>
              <w:rPr>
                <w:rFonts w:ascii="Times New Roman" w:hAnsi="Times New Roman"/>
                <w:sz w:val="20"/>
              </w:rPr>
              <w:t>SIXTH STREET SPECIALTY LENDING, INC.</w:t>
            </w:r>
          </w:p>
          <w:p>
            <w:pPr>
              <w:pStyle w:val="TableContents"/>
              <w:bidi w:val="0"/>
              <w:spacing w:before="0" w:after="20"/>
              <w:jc w:val="left"/>
              <w:rPr/>
            </w:pPr>
            <w:r>
              <w:rPr/>
              <w:t>    </w:t>
            </w:r>
            <w:r>
              <w:rPr>
                <w:rFonts w:ascii="Times New Roman" w:hAnsi="Times New Roman"/>
                <w:sz w:val="20"/>
              </w:rPr>
              <w:t>(Registrant)</w:t>
            </w:r>
          </w:p>
        </w:tc>
      </w:tr>
      <w:tr>
        <w:trPr/>
        <w:tc>
          <w:tcPr>
            <w:tcW w:w="2000"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581" w:type="dxa"/>
            <w:gridSpan w:val="2"/>
            <w:tcBorders/>
            <w:vAlign w:val="center"/>
          </w:tcPr>
          <w:p>
            <w:pPr>
              <w:pStyle w:val="TableContents"/>
              <w:bidi w:val="0"/>
              <w:spacing w:before="0" w:after="283"/>
              <w:jc w:val="left"/>
              <w:rPr>
                <w:sz w:val="4"/>
                <w:szCs w:val="4"/>
              </w:rPr>
            </w:pPr>
            <w:r>
              <w:rPr>
                <w:sz w:val="4"/>
                <w:szCs w:val="4"/>
              </w:rPr>
            </w:r>
          </w:p>
        </w:tc>
        <w:tc>
          <w:tcPr>
            <w:tcW w:w="3262" w:type="dxa"/>
            <w:gridSpan w:val="2"/>
            <w:tcBorders/>
            <w:vAlign w:val="center"/>
          </w:tcPr>
          <w:p>
            <w:pPr>
              <w:pStyle w:val="TableContents"/>
              <w:bidi w:val="0"/>
              <w:spacing w:before="0" w:after="283"/>
              <w:jc w:val="left"/>
              <w:rPr>
                <w:sz w:val="4"/>
                <w:szCs w:val="4"/>
              </w:rPr>
            </w:pPr>
            <w:r>
              <w:rPr>
                <w:sz w:val="4"/>
                <w:szCs w:val="4"/>
              </w:rPr>
            </w:r>
          </w:p>
        </w:tc>
      </w:tr>
      <w:tr>
        <w:trPr/>
        <w:tc>
          <w:tcPr>
            <w:tcW w:w="2000" w:type="dxa"/>
            <w:tcBorders/>
            <w:vAlign w:val="center"/>
          </w:tcPr>
          <w:p>
            <w:pPr>
              <w:pStyle w:val="TableContents"/>
              <w:bidi w:val="0"/>
              <w:spacing w:before="0" w:after="283"/>
              <w:jc w:val="left"/>
              <w:rPr/>
            </w:pPr>
            <w:r>
              <w:rPr/>
              <w:t>Date: March 5, 2024</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21" w:type="dxa"/>
            <w:tcBorders/>
            <w:vAlign w:val="center"/>
          </w:tcPr>
          <w:p>
            <w:pPr>
              <w:pStyle w:val="TableContents"/>
              <w:bidi w:val="0"/>
              <w:spacing w:before="0" w:after="283"/>
              <w:jc w:val="left"/>
              <w:rPr/>
            </w:pPr>
            <w:r>
              <w:rPr/>
              <w:t>By:</w:t>
            </w:r>
          </w:p>
        </w:tc>
        <w:tc>
          <w:tcPr>
            <w:tcW w:w="85" w:type="dxa"/>
            <w:tcBorders/>
            <w:vAlign w:val="center"/>
          </w:tcPr>
          <w:p>
            <w:pPr>
              <w:pStyle w:val="TableContents"/>
              <w:bidi w:val="0"/>
              <w:spacing w:before="0" w:after="283"/>
              <w:jc w:val="left"/>
              <w:rPr/>
            </w:pPr>
            <w:r>
              <w:rPr/>
              <w:t> </w:t>
            </w:r>
          </w:p>
        </w:tc>
        <w:tc>
          <w:tcPr>
            <w:tcW w:w="3177" w:type="dxa"/>
            <w:tcBorders/>
            <w:vAlign w:val="center"/>
          </w:tcPr>
          <w:p>
            <w:pPr>
              <w:pStyle w:val="TableContents"/>
              <w:bidi w:val="0"/>
              <w:spacing w:before="0" w:after="20"/>
              <w:jc w:val="left"/>
              <w:rPr>
                <w:rFonts w:ascii="Times New Roman" w:hAnsi="Times New Roman"/>
                <w:sz w:val="20"/>
                <w:bdr w:val="single" w:sz="2" w:space="1" w:color="000000"/>
              </w:rPr>
            </w:pPr>
            <w:r>
              <w:rPr>
                <w:rFonts w:ascii="Times New Roman" w:hAnsi="Times New Roman"/>
                <w:sz w:val="20"/>
                <w:bdr w:val="single" w:sz="2" w:space="1" w:color="000000"/>
              </w:rPr>
              <w:t>/s/ Ian Simmonds</w:t>
            </w:r>
          </w:p>
        </w:tc>
      </w:tr>
      <w:tr>
        <w:trPr/>
        <w:tc>
          <w:tcPr>
            <w:tcW w:w="20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21" w:type="dxa"/>
            <w:tcBorders/>
            <w:vAlign w:val="center"/>
          </w:tcPr>
          <w:p>
            <w:pPr>
              <w:pStyle w:val="TableContents"/>
              <w:bidi w:val="0"/>
              <w:spacing w:before="0" w:after="283"/>
              <w:jc w:val="left"/>
              <w:rPr>
                <w:sz w:val="4"/>
                <w:szCs w:val="4"/>
              </w:rPr>
            </w:pPr>
            <w:r>
              <w:rPr>
                <w:sz w:val="4"/>
                <w:szCs w:val="4"/>
              </w:rPr>
            </w:r>
          </w:p>
        </w:tc>
        <w:tc>
          <w:tcPr>
            <w:tcW w:w="85" w:type="dxa"/>
            <w:tcBorders/>
            <w:vAlign w:val="center"/>
          </w:tcPr>
          <w:p>
            <w:pPr>
              <w:pStyle w:val="TableContents"/>
              <w:bidi w:val="0"/>
              <w:spacing w:before="0" w:after="283"/>
              <w:jc w:val="left"/>
              <w:rPr/>
            </w:pPr>
            <w:r>
              <w:rPr/>
              <w:t> </w:t>
            </w:r>
          </w:p>
        </w:tc>
        <w:tc>
          <w:tcPr>
            <w:tcW w:w="3177" w:type="dxa"/>
            <w:tcBorders/>
            <w:vAlign w:val="center"/>
          </w:tcPr>
          <w:p>
            <w:pPr>
              <w:pStyle w:val="TableContents"/>
              <w:bidi w:val="0"/>
              <w:spacing w:before="0" w:after="283"/>
              <w:jc w:val="left"/>
              <w:rPr/>
            </w:pPr>
            <w:r>
              <w:rPr/>
              <w:t>Ian Simmonds</w:t>
            </w:r>
          </w:p>
        </w:tc>
      </w:tr>
      <w:tr>
        <w:trPr/>
        <w:tc>
          <w:tcPr>
            <w:tcW w:w="20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21" w:type="dxa"/>
            <w:tcBorders/>
            <w:vAlign w:val="center"/>
          </w:tcPr>
          <w:p>
            <w:pPr>
              <w:pStyle w:val="TableContents"/>
              <w:bidi w:val="0"/>
              <w:spacing w:before="0" w:after="283"/>
              <w:jc w:val="left"/>
              <w:rPr>
                <w:sz w:val="4"/>
                <w:szCs w:val="4"/>
              </w:rPr>
            </w:pPr>
            <w:r>
              <w:rPr>
                <w:sz w:val="4"/>
                <w:szCs w:val="4"/>
              </w:rPr>
            </w:r>
          </w:p>
        </w:tc>
        <w:tc>
          <w:tcPr>
            <w:tcW w:w="85" w:type="dxa"/>
            <w:tcBorders/>
            <w:vAlign w:val="center"/>
          </w:tcPr>
          <w:p>
            <w:pPr>
              <w:pStyle w:val="TableContents"/>
              <w:bidi w:val="0"/>
              <w:spacing w:before="0" w:after="283"/>
              <w:jc w:val="left"/>
              <w:rPr/>
            </w:pPr>
            <w:r>
              <w:rPr/>
              <w:t> </w:t>
            </w:r>
          </w:p>
        </w:tc>
        <w:tc>
          <w:tcPr>
            <w:tcW w:w="3177" w:type="dxa"/>
            <w:tcBorders/>
            <w:vAlign w:val="center"/>
          </w:tcPr>
          <w:p>
            <w:pPr>
              <w:pStyle w:val="TableContents"/>
              <w:bidi w:val="0"/>
              <w:spacing w:before="0" w:after="283"/>
              <w:jc w:val="left"/>
              <w:rPr/>
            </w:pPr>
            <w:r>
              <w:rPr/>
              <w:t>Chief Financial Officer</w:t>
            </w:r>
          </w:p>
        </w:tc>
      </w:tr>
    </w:tbl>
    <w:p>
      <w:pPr>
        <w:pStyle w:val="TextBody"/>
        <w:bidi w:val="0"/>
        <w:spacing w:before="240" w:after="0"/>
        <w:jc w:val="center"/>
        <w:rPr>
          <w:rFonts w:ascii="Times New Roman" w:hAnsi="Times New Roman"/>
          <w:sz w:val="20"/>
          <w:shd w:fill="FFFFFF" w:val="clear"/>
        </w:rPr>
      </w:pPr>
      <w:r>
        <w:rPr>
          <w:rFonts w:ascii="Times New Roman" w:hAnsi="Times New Roman"/>
          <w:sz w:val="20"/>
          <w:shd w:fill="FFFFFF" w:val="clear"/>
        </w:rPr>
        <w:t>[</w:t>
      </w:r>
    </w:p>
    <w:p>
      <w:pPr>
        <w:pStyle w:val="TextBody"/>
        <w:bidi w:val="0"/>
        <w:spacing w:before="240" w:after="0"/>
        <w:jc w:val="center"/>
        <w:rPr>
          <w:rFonts w:ascii="Times New Roman" w:hAnsi="Times New Roman"/>
          <w:i/>
          <w:caps w:val="false"/>
          <w:smallCaps w:val="false"/>
          <w:spacing w:val="0"/>
          <w:sz w:val="20"/>
          <w:shd w:fill="FFFFFF" w:val="clear"/>
        </w:rPr>
      </w:pPr>
      <w:r>
        <w:rPr>
          <w:rFonts w:ascii="Times New Roman" w:hAnsi="Times New Roman"/>
          <w:i/>
          <w:caps w:val="false"/>
          <w:smallCaps w:val="false"/>
          <w:spacing w:val="0"/>
          <w:sz w:val="20"/>
          <w:shd w:fill="FFFFFF" w:val="clear"/>
        </w:rPr>
        <w:t xml:space="preserve">Signature Page to </w:t>
      </w:r>
    </w:p>
    <w:p>
      <w:pPr>
        <w:pStyle w:val="TextBody"/>
        <w:bidi w:val="0"/>
        <w:spacing w:before="240" w:after="0"/>
        <w:jc w:val="center"/>
        <w:rPr>
          <w:rFonts w:ascii="Times New Roman" w:hAnsi="Times New Roman"/>
          <w:i/>
          <w:caps w:val="false"/>
          <w:smallCaps w:val="false"/>
          <w:spacing w:val="0"/>
          <w:sz w:val="20"/>
          <w:shd w:fill="FFFFFF" w:val="clear"/>
        </w:rPr>
      </w:pPr>
      <w:r>
        <w:rPr>
          <w:rFonts w:ascii="Times New Roman" w:hAnsi="Times New Roman"/>
          <w:i/>
          <w:caps w:val="false"/>
          <w:smallCaps w:val="false"/>
          <w:spacing w:val="0"/>
          <w:sz w:val="20"/>
          <w:shd w:fill="FFFFFF" w:val="clear"/>
        </w:rPr>
        <w:t>8-K</w:t>
      </w:r>
    </w:p>
    <w:p>
      <w:pPr>
        <w:pStyle w:val="TextBody"/>
        <w:bidi w:val="0"/>
        <w:spacing w:before="240" w:after="0"/>
        <w:jc w:val="center"/>
        <w:rPr>
          <w:caps w:val="false"/>
          <w:smallCaps w:val="false"/>
          <w:spacing w:val="0"/>
          <w:shd w:fill="FFFFFF" w:val="clear"/>
        </w:rPr>
      </w:pPr>
      <w:r>
        <w:rPr>
          <w:caps w:val="false"/>
          <w:smallCaps w:val="false"/>
          <w:spacing w:val="0"/>
          <w:shd w:fill="FFFFFF" w:val="clear"/>
        </w:rPr>
        <w:t xml:space="preserve">– </w:t>
      </w:r>
      <w:r>
        <w:rPr>
          <w:rFonts w:ascii="Times New Roman" w:hAnsi="Times New Roman"/>
          <w:i/>
          <w:caps w:val="false"/>
          <w:smallCaps w:val="false"/>
          <w:spacing w:val="0"/>
          <w:sz w:val="20"/>
          <w:shd w:fill="FFFFFF" w:val="clear"/>
        </w:rPr>
        <w:t>Sixth Street Specialty Lending, Inc.</w:t>
      </w:r>
    </w:p>
    <w:p>
      <w:pPr>
        <w:pStyle w:val="TextBody"/>
        <w:bidi w:val="0"/>
        <w:spacing w:before="240" w:after="0"/>
        <w:jc w:val="center"/>
        <w:rPr>
          <w:rFonts w:ascii="Times New Roman" w:hAnsi="Times New Roman"/>
          <w:sz w:val="20"/>
          <w:shd w:fill="FFFFFF" w:val="clear"/>
        </w:rPr>
      </w:pPr>
      <w:r>
        <w:rPr>
          <w:rFonts w:ascii="Times New Roman" w:hAnsi="Times New Roman"/>
          <w:sz w:val="20"/>
          <w:shd w:fill="FFFFFF" w:val="clear"/>
        </w:rPr>
        <w:t xml:space="preserve">] </w:t>
      </w:r>
    </w:p>
    <w:p>
      <w:pPr>
        <w:pStyle w:val="TextBody"/>
        <w:bidi w:val="0"/>
        <w:spacing w:before="0" w:after="283"/>
        <w:jc w:val="left"/>
        <w:rPr/>
      </w:pPr>
      <w:r>
        <w:rPr/>
        <w:t> </w:t>
      </w:r>
    </w:p>
    <w:p>
      <w:pPr>
        <w:pStyle w:val="TextBody"/>
        <w:bidi w:val="0"/>
        <w:spacing w:before="0" w:after="0"/>
        <w:jc w:val="right"/>
        <w:rPr>
          <w:rFonts w:ascii="Times New Roman" w:hAnsi="Times New Roman"/>
          <w:b/>
          <w:i/>
          <w:sz w:val="20"/>
        </w:rPr>
      </w:pPr>
      <w:bookmarkStart w:id="2" w:name="d779379dex11.htm"/>
      <w:bookmarkStart w:id="3" w:name="ksd779379dex11"/>
      <w:bookmarkEnd w:id="2"/>
      <w:bookmarkEnd w:id="3"/>
      <w:r>
        <w:rPr>
          <w:rFonts w:ascii="Times New Roman" w:hAnsi="Times New Roman"/>
          <w:b/>
          <w:i/>
          <w:sz w:val="20"/>
        </w:rPr>
        <w:t xml:space="preserve">Exhibit 1.1 </w:t>
      </w:r>
      <w:r>
        <w:br w:type="page"/>
      </w:r>
    </w:p>
    <w:p>
      <w:pPr>
        <w:pStyle w:val="TextBody"/>
        <w:bidi w:val="0"/>
        <w:spacing w:before="240" w:after="0"/>
        <w:jc w:val="center"/>
        <w:rPr>
          <w:rFonts w:ascii="Times New Roman" w:hAnsi="Times New Roman"/>
          <w:sz w:val="20"/>
        </w:rPr>
      </w:pPr>
      <w:r>
        <w:rPr>
          <w:rFonts w:ascii="Times New Roman" w:hAnsi="Times New Roman"/>
          <w:sz w:val="20"/>
        </w:rPr>
        <w:t xml:space="preserve">SIXTH STREET SPECIALTY LENDING, INC. </w:t>
      </w:r>
    </w:p>
    <w:p>
      <w:pPr>
        <w:pStyle w:val="TextBody"/>
        <w:bidi w:val="0"/>
        <w:spacing w:before="240" w:after="0"/>
        <w:jc w:val="center"/>
        <w:rPr>
          <w:rFonts w:ascii="Times New Roman" w:hAnsi="Times New Roman"/>
          <w:sz w:val="20"/>
        </w:rPr>
      </w:pPr>
      <w:r>
        <w:rPr>
          <w:rFonts w:ascii="Times New Roman" w:hAnsi="Times New Roman"/>
          <w:sz w:val="20"/>
        </w:rPr>
        <w:t xml:space="preserve">(a Delaware corporation) </w:t>
      </w:r>
    </w:p>
    <w:p>
      <w:pPr>
        <w:pStyle w:val="TextBody"/>
        <w:bidi w:val="0"/>
        <w:spacing w:before="240" w:after="0"/>
        <w:jc w:val="center"/>
        <w:rPr>
          <w:rFonts w:ascii="Times New Roman" w:hAnsi="Times New Roman"/>
          <w:sz w:val="20"/>
        </w:rPr>
      </w:pPr>
      <w:r>
        <w:rPr>
          <w:rFonts w:ascii="Times New Roman" w:hAnsi="Times New Roman"/>
          <w:sz w:val="20"/>
        </w:rPr>
        <w:t xml:space="preserve">4,000,000 Shares of Common Stock </w:t>
      </w:r>
    </w:p>
    <w:p>
      <w:pPr>
        <w:pStyle w:val="TextBody"/>
        <w:bidi w:val="0"/>
        <w:spacing w:before="240" w:after="0"/>
        <w:jc w:val="center"/>
        <w:rPr>
          <w:rFonts w:ascii="Times New Roman" w:hAnsi="Times New Roman"/>
          <w:sz w:val="20"/>
        </w:rPr>
      </w:pPr>
      <w:r>
        <w:rPr>
          <w:rFonts w:ascii="Times New Roman" w:hAnsi="Times New Roman"/>
          <w:sz w:val="20"/>
        </w:rPr>
        <w:t xml:space="preserve">Underwriting Agreement </w:t>
      </w:r>
    </w:p>
    <w:p>
      <w:pPr>
        <w:pStyle w:val="TextBody"/>
        <w:bidi w:val="0"/>
        <w:spacing w:before="240" w:after="0"/>
        <w:jc w:val="right"/>
        <w:rPr>
          <w:rFonts w:ascii="Times New Roman" w:hAnsi="Times New Roman"/>
          <w:sz w:val="20"/>
        </w:rPr>
      </w:pPr>
      <w:r>
        <w:rPr>
          <w:rFonts w:ascii="Times New Roman" w:hAnsi="Times New Roman"/>
          <w:sz w:val="20"/>
        </w:rPr>
        <w:t xml:space="preserve">February 29, 2024 </w:t>
      </w:r>
    </w:p>
    <w:p>
      <w:pPr>
        <w:pStyle w:val="TextBody"/>
        <w:bidi w:val="0"/>
        <w:spacing w:before="240" w:after="0"/>
        <w:jc w:val="left"/>
        <w:rPr>
          <w:rFonts w:ascii="Times New Roman" w:hAnsi="Times New Roman"/>
          <w:sz w:val="20"/>
        </w:rPr>
      </w:pPr>
      <w:r>
        <w:rPr>
          <w:rFonts w:ascii="Times New Roman" w:hAnsi="Times New Roman"/>
          <w:sz w:val="20"/>
        </w:rPr>
        <w:t xml:space="preserve">Morgan Stanley &amp; Co. LLC </w:t>
      </w:r>
    </w:p>
    <w:p>
      <w:pPr>
        <w:pStyle w:val="TextBody"/>
        <w:bidi w:val="0"/>
        <w:spacing w:before="0" w:after="0"/>
        <w:jc w:val="left"/>
        <w:rPr>
          <w:rFonts w:ascii="Times New Roman" w:hAnsi="Times New Roman"/>
          <w:sz w:val="20"/>
        </w:rPr>
      </w:pPr>
      <w:r>
        <w:rPr>
          <w:rFonts w:ascii="Times New Roman" w:hAnsi="Times New Roman"/>
          <w:sz w:val="20"/>
        </w:rPr>
        <w:t xml:space="preserve">1585 Broadway </w:t>
      </w:r>
    </w:p>
    <w:p>
      <w:pPr>
        <w:pStyle w:val="TextBody"/>
        <w:bidi w:val="0"/>
        <w:spacing w:before="0" w:after="0"/>
        <w:jc w:val="left"/>
        <w:rPr>
          <w:rFonts w:ascii="Times New Roman" w:hAnsi="Times New Roman"/>
          <w:sz w:val="20"/>
        </w:rPr>
      </w:pPr>
      <w:r>
        <w:rPr>
          <w:rFonts w:ascii="Times New Roman" w:hAnsi="Times New Roman"/>
          <w:sz w:val="20"/>
        </w:rPr>
        <w:t xml:space="preserve">New York, NY 10036 </w:t>
      </w:r>
    </w:p>
    <w:p>
      <w:pPr>
        <w:pStyle w:val="TextBody"/>
        <w:bidi w:val="0"/>
        <w:spacing w:before="240" w:after="0"/>
        <w:jc w:val="left"/>
        <w:rPr>
          <w:rFonts w:ascii="Times New Roman" w:hAnsi="Times New Roman"/>
          <w:sz w:val="20"/>
        </w:rPr>
      </w:pPr>
      <w:r>
        <w:rPr>
          <w:rFonts w:ascii="Times New Roman" w:hAnsi="Times New Roman"/>
          <w:sz w:val="20"/>
        </w:rPr>
        <w:t xml:space="preserve">As Representative of the </w:t>
      </w:r>
    </w:p>
    <w:p>
      <w:pPr>
        <w:pStyle w:val="TextBody"/>
        <w:bidi w:val="0"/>
        <w:spacing w:before="0" w:after="0"/>
        <w:jc w:val="left"/>
        <w:rPr>
          <w:rFonts w:ascii="Times New Roman" w:hAnsi="Times New Roman"/>
          <w:sz w:val="20"/>
        </w:rPr>
      </w:pPr>
      <w:r>
        <w:rPr>
          <w:rFonts w:ascii="Times New Roman" w:hAnsi="Times New Roman"/>
          <w:sz w:val="20"/>
        </w:rPr>
        <w:t xml:space="preserve">several Underwriters listed </w:t>
      </w:r>
    </w:p>
    <w:p>
      <w:pPr>
        <w:pStyle w:val="TextBody"/>
        <w:bidi w:val="0"/>
        <w:spacing w:before="0" w:after="0"/>
        <w:jc w:val="left"/>
        <w:rPr>
          <w:rFonts w:ascii="Times New Roman" w:hAnsi="Times New Roman"/>
          <w:sz w:val="20"/>
        </w:rPr>
      </w:pPr>
      <w:r>
        <w:rPr>
          <w:rFonts w:ascii="Times New Roman" w:hAnsi="Times New Roman"/>
          <w:sz w:val="20"/>
        </w:rPr>
        <w:t xml:space="preserve">in Schedule 1 hereto </w:t>
      </w:r>
    </w:p>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240" w:after="0"/>
        <w:jc w:val="left"/>
        <w:rPr>
          <w:rFonts w:ascii="Times New Roman" w:hAnsi="Times New Roman"/>
          <w:sz w:val="20"/>
        </w:rPr>
      </w:pPr>
      <w:r>
        <w:rPr>
          <w:rFonts w:ascii="Times New Roman" w:hAnsi="Times New Roman"/>
          <w:sz w:val="20"/>
        </w:rPr>
        <w:t xml:space="preserve">Sixth Street Specialty Lending, Inc., a Delaware corporation (the Company), confirms its agreement with you and each of the other Underwriters named in Schedule 1 hereto (collectively, the Underwriters), for whom you are acting as representative (the Representative), with respect to the sale by the Company and the purchase by the Underwriters, acting severally and not jointly, of (i) 4,000,000 shares of common stock, par value $0.01 per share, of the Company (the Common Stock) and (ii) the option described in Section 2(b) hereof to purchase all or any part of 600,000 additional shares of Common Stock. The aforesaid 4,000,000 shares of the Common Stock (the Initial Securities) to be purchased by the Underwriters and all or any part of the 600,000 shares of Common Stock subject to the option described in Section 2(b) hereof (the Option Securities) are herein called, collectively, the Securities. </w:t>
      </w:r>
    </w:p>
    <w:p>
      <w:pPr>
        <w:pStyle w:val="TextBody"/>
        <w:bidi w:val="0"/>
        <w:spacing w:before="240" w:after="0"/>
        <w:jc w:val="left"/>
        <w:rPr>
          <w:rFonts w:ascii="Times New Roman" w:hAnsi="Times New Roman"/>
          <w:sz w:val="20"/>
        </w:rPr>
      </w:pPr>
      <w:r>
        <w:rPr>
          <w:rFonts w:ascii="Times New Roman" w:hAnsi="Times New Roman"/>
          <w:sz w:val="20"/>
        </w:rPr>
        <w:t xml:space="preserve">The Securities will be issued in book-entry form to Cede &amp; Co. as nominee of the Depository Trust Company (DTC) pursuant to a blanket letter of representations, dated as of March 24, 2014, between the Company and DTC. </w:t>
      </w:r>
    </w:p>
    <w:p>
      <w:pPr>
        <w:pStyle w:val="TextBody"/>
        <w:bidi w:val="0"/>
        <w:spacing w:before="240" w:after="0"/>
        <w:jc w:val="left"/>
        <w:rPr>
          <w:rFonts w:ascii="Times New Roman" w:hAnsi="Times New Roman"/>
          <w:sz w:val="20"/>
        </w:rPr>
      </w:pPr>
      <w:r>
        <w:rPr>
          <w:rFonts w:ascii="Times New Roman" w:hAnsi="Times New Roman"/>
          <w:sz w:val="20"/>
        </w:rPr>
        <w:t xml:space="preserve">The Company understands that the Underwriters propose to make a public offering of the Securities as soon as the Representative deems advisable after this Agreement has been executed and delivered. </w:t>
      </w:r>
    </w:p>
    <w:p>
      <w:pPr>
        <w:pStyle w:val="TextBody"/>
        <w:bidi w:val="0"/>
        <w:spacing w:before="240" w:after="0"/>
        <w:jc w:val="left"/>
        <w:rPr>
          <w:rFonts w:ascii="Times New Roman" w:hAnsi="Times New Roman"/>
          <w:sz w:val="20"/>
        </w:rPr>
      </w:pPr>
      <w:r>
        <w:rPr>
          <w:rFonts w:ascii="Times New Roman" w:hAnsi="Times New Roman"/>
          <w:sz w:val="20"/>
        </w:rPr>
        <w:t xml:space="preserve">The Company hereby confirms its agreement with the several Underwriters concerning the purchase and sale of the Securities, as follows: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 </w:t>
      </w:r>
      <w:r>
        <w:rPr>
          <w:rFonts w:ascii="Times New Roman" w:hAnsi="Times New Roman"/>
          <w:sz w:val="20"/>
          <w:u w:val="single"/>
        </w:rPr>
        <w:t>Registration Statement</w:t>
      </w:r>
      <w:r>
        <w:rPr>
          <w:rFonts w:ascii="Times New Roman" w:hAnsi="Times New Roman"/>
          <w:sz w:val="20"/>
        </w:rPr>
        <w:t xml:space="preserve">. The Company has prepared and filed with the Securities and Exchange Commission (the Commission) under the Securities Act of 1933, as amended, and the rules and regulations of the Commission thereunder (collectively, the Securities Act), an automatic shelf registration statement on Form N-2 (File No. 333-276252), relating to the Securities and certain of the Companys other securities, which registration statement became effective upon filing with the Commission on December 22, 2023. The Company has also prepared and filed with the Commission a preliminary prospectus supplement, dated February 29, 2024, as such prospectus may be amended (the Preliminary Prospectus Supplement), which contains a base prospectus, dated December 22, 2023 (the Base Prospectus and, together with the Preliminary Prospectus Supplement, the Preliminary Prospectus). Promptly after execution and delivery of this Agreement, the Company will prepare and file a prospectus in accordance with the provisions of Rule 430B (Rule 430B) promulgated under the Securities Act or Rule 430C (Rule 430C) promulgated under the Securities Act and Rule 424(b) (Rule 424(b)). The information included or incorporated by reference in such prospectus that was omitted from such registration statement at the time it became effective but that is deemed to be part of such registration statement pursuant to Rule 430C is referred to as Rule 430C Information and the information, if any, included or incorporated by reference in such prospectus that was omitted from such registration statement at the time it became effective but that is deemed to be part of such registration statement pursuant to Rule 430B is referred to as Rule 430B Information. Unless the context otherwise requires, such registration statement, including all documents filed as a part thereof and any Rule 430B Information or Rule 430C Information contained in a prospectus subsequently filed with the Commission pursuant to Rule 424(b) under the Securities Act and deemed to be part of the registration statement and also including any registration statement filed pursuant to Rule 462(b) promulgated under the Securities Act, is herein called the Registration Statement. The final prospectus to be filed with the Commission pursuant to Rule 424(b) after the Applicable Time (as defined below) and to be used to confirm sales of the Securities, which will include the Base Prospectus, together with a final prospectus supplement, is hereinafter referred to as the Prospectus. Any reference herein to the Registration Statement, the Preliminary Prospectus and the Prospectus shall be deemed to refer to and include all financial statements and other information incorporated or deemed to be incorporated therein by reference pursuant to the rules of the Commission promulgated under the Securities Act, as of any specified date. All references in this Agreement to amendments or supplements to the Registration Statement or the Prospectus, including those made pursuant to Rule 424(b) under the Securities Act or such other rule under the Securities Act as may be applicable to the Company, shall be deemed to mean and include, without limitation, the filing of any document under the Securities Exchange Act of 1934, as amended (the Exchange Act) which is or is deemed to be incorporated by reference under the rules of the Commission promulgated thereunder or otherwise to be a part of or included in the Registration Statement or the Prospectus, as the case may be, as of any specified date. </w:t>
      </w:r>
    </w:p>
    <w:p>
      <w:pPr>
        <w:pStyle w:val="TextBody"/>
        <w:bidi w:val="0"/>
        <w:spacing w:before="240" w:after="0"/>
        <w:jc w:val="left"/>
        <w:rPr>
          <w:rFonts w:ascii="Times New Roman" w:hAnsi="Times New Roman"/>
          <w:sz w:val="20"/>
        </w:rPr>
      </w:pPr>
      <w:r>
        <w:rPr>
          <w:rFonts w:ascii="Times New Roman" w:hAnsi="Times New Roman"/>
          <w:sz w:val="20"/>
        </w:rPr>
        <w:t xml:space="preserve">A Form N-6F Notice of Intent to Elect to be Subject to Sections 55 through 65 of the Investment Company Act of 1940 (File No. 814-00854) (the Notice of Intent) was filed, pursuant to Section 6(f) of the Investment Company Act of 1940, as amended, and the rules and regulations of the Commission thereunder (collectively, the Investment Company Act) with the Commission on January 14, 2011. A Form N-54A Notification of Election to be Subject to Sections 55 through 65 of the Investment Company Act filed pursuant to Section 54(a) of the Investment Company Act (File No. 814-00854) (the Notification of Election) was filed under the Investment Company Act with the Commission on April 15, 2011.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Company has entered into an Amended and Restated Investment Advisory and Management Agreement, dated as of December 12, 2011 (the Investment Management Agreement), with Sixth Street Specialty Lending Advisers, LLC, a Delaware limited liability company registered as an investment adviser (the Adviser) under the Investment Advisers Act of 1940, as amended, and the rules and regulations thereunder (the Advisers Act). </w:t>
      </w:r>
    </w:p>
    <w:p>
      <w:pPr>
        <w:pStyle w:val="TextBody"/>
        <w:bidi w:val="0"/>
        <w:spacing w:before="240" w:after="0"/>
        <w:jc w:val="left"/>
        <w:rPr>
          <w:rFonts w:ascii="Times New Roman" w:hAnsi="Times New Roman"/>
          <w:sz w:val="20"/>
        </w:rPr>
      </w:pPr>
      <w:r>
        <w:rPr>
          <w:rFonts w:ascii="Times New Roman" w:hAnsi="Times New Roman"/>
          <w:sz w:val="20"/>
        </w:rPr>
        <w:t xml:space="preserve">The Company has also entered into an Amended and Restated Administration Agreement, dated as of February 22, 2017 (the Administration Agreement) with the Adviser. </w:t>
      </w:r>
    </w:p>
    <w:p>
      <w:pPr>
        <w:pStyle w:val="TextBody"/>
        <w:bidi w:val="0"/>
        <w:spacing w:before="240" w:after="0"/>
        <w:jc w:val="left"/>
        <w:rPr>
          <w:rFonts w:ascii="Times New Roman" w:hAnsi="Times New Roman"/>
          <w:sz w:val="20"/>
        </w:rPr>
      </w:pPr>
      <w:r>
        <w:rPr>
          <w:rFonts w:ascii="Times New Roman" w:hAnsi="Times New Roman"/>
          <w:sz w:val="20"/>
        </w:rPr>
        <w:t xml:space="preserve">At or prior to the Applicable Time (as defined below), the Company had prepared the Preliminary Prospectus, which together with the pricing information set forth on Schedule 1 hereto, comprises the Pricing Disclosure Package. </w:t>
      </w:r>
    </w:p>
    <w:p>
      <w:pPr>
        <w:pStyle w:val="TextBody"/>
        <w:bidi w:val="0"/>
        <w:spacing w:before="240" w:after="0"/>
        <w:jc w:val="left"/>
        <w:rPr>
          <w:rFonts w:ascii="Times New Roman" w:hAnsi="Times New Roman"/>
          <w:sz w:val="20"/>
        </w:rPr>
      </w:pPr>
      <w:r>
        <w:rPr>
          <w:rFonts w:ascii="Times New Roman" w:hAnsi="Times New Roman"/>
          <w:sz w:val="20"/>
        </w:rPr>
        <w:t xml:space="preserve">Applicable Time means 4:15 P.M., New York City time, on February 29, 2024. </w:t>
      </w:r>
    </w:p>
    <w:p>
      <w:pPr>
        <w:pStyle w:val="TextBody"/>
        <w:bidi w:val="0"/>
        <w:spacing w:before="240" w:after="0"/>
        <w:jc w:val="left"/>
        <w:rPr>
          <w:rFonts w:ascii="Times New Roman" w:hAnsi="Times New Roman"/>
          <w:sz w:val="20"/>
        </w:rPr>
      </w:pPr>
      <w:r>
        <w:rPr>
          <w:rFonts w:ascii="Times New Roman" w:hAnsi="Times New Roman"/>
          <w:sz w:val="20"/>
        </w:rPr>
        <w:t xml:space="preserve">Testing-the-Waters Communication means any oral or written communication with potential investors undertaken in reliance on Section 5(d) of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Written Testing-the-Waters Communication means any Testing-the-Waters Communication that is a written communication within the meaning of Rule 405 under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2. </w:t>
      </w:r>
      <w:r>
        <w:rPr>
          <w:rFonts w:ascii="Times New Roman" w:hAnsi="Times New Roman"/>
          <w:sz w:val="20"/>
          <w:u w:val="single"/>
        </w:rPr>
        <w:t>Purchase of the Securities by the Underwriters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The Company agrees to issue and sell the Securities to the several Underwriters as provided in this Agreement, and each Underwriter, on the basis of the representations, warranties and agreements set forth herein and subject to the conditions set forth herein, agrees, severally and not jointly, to purchase from the Company the respective number of Initial Securities set forth opposite such Underwriters name in Schedule 1 hereto at the price per share (the Purchase Price) of $20.52. </w:t>
      </w:r>
    </w:p>
    <w:p>
      <w:pPr>
        <w:pStyle w:val="TextBody"/>
        <w:bidi w:val="0"/>
        <w:spacing w:before="120" w:after="0"/>
        <w:jc w:val="left"/>
        <w:rPr>
          <w:rFonts w:ascii="Times New Roman" w:hAnsi="Times New Roman"/>
          <w:sz w:val="20"/>
        </w:rPr>
      </w:pPr>
      <w:r>
        <w:rPr>
          <w:rFonts w:ascii="Times New Roman" w:hAnsi="Times New Roman"/>
          <w:sz w:val="20"/>
        </w:rPr>
        <w:t xml:space="preserve">(b) In addition, on the basis of the representations and warranties herein contained and subject to the terms and conditions herein set forth, the Company hereby grants an option to the Underwriters, severally and not jointly, to purchase up to an additional 600,000 shares of Common Stock, at the price per share set forth in Schedule A, less an amount per share equal to any dividends or distributions declared by the Company and payable on the Initial Securities but not payable on the Option Securities. The option hereby granted may be exercised for 30 days after the date hereof and may be exercised in whole or in part at any time from time to time upon notice by the Representative to the Company setting forth the number of Option Securities as to which the several Underwriters are then exercising the option and the time and date of payment and delivery for such Option Securities. Any such time and date of delivery (a Date of Delivery) shall be determined by the Representative, and may be the same date as the Closing Time, but shall not be later than seven full business days after the exercise of said option, nor in any event prior to the Closing Time (unless such time and date are postponed in accordance with Section 11 hereof). If the option is exercised as to all or any portion of the Option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each of the Underwriters, acting severally and not jointly, will purchase that proportion of the total number of Option Securities then being purchased which the number of Initial Securities set forth in Schedule A opposite the name of such Underwriter bears to the total number of Initial Securities, subject, in each case, to such adjustments as Morgan Stanley &amp; Co. LLC in its sole discretion shall make to eliminate any sales or purchases of fractional shares. </w:t>
      </w:r>
    </w:p>
    <w:p>
      <w:pPr>
        <w:pStyle w:val="TextBody"/>
        <w:bidi w:val="0"/>
        <w:spacing w:before="120" w:after="0"/>
        <w:jc w:val="left"/>
        <w:rPr>
          <w:rFonts w:ascii="Times New Roman" w:hAnsi="Times New Roman"/>
          <w:sz w:val="20"/>
        </w:rPr>
      </w:pPr>
      <w:r>
        <w:rPr>
          <w:rFonts w:ascii="Times New Roman" w:hAnsi="Times New Roman"/>
          <w:sz w:val="20"/>
        </w:rPr>
        <w:t xml:space="preserve">(c) The Company understands that the Underwriters intend to make a public offering of the Securities as soon after the execution of this Agreement as in the judgment of the Representative is advisable, and initially to offer the Securities on the terms set forth in the Prospectus. The Company acknowledges and agrees that the Underwriters may offer and sell Securities to or through any affiliate of an Underwriter. </w:t>
      </w:r>
    </w:p>
    <w:p>
      <w:pPr>
        <w:pStyle w:val="TextBody"/>
        <w:bidi w:val="0"/>
        <w:spacing w:before="120" w:after="0"/>
        <w:jc w:val="left"/>
        <w:rPr>
          <w:rFonts w:ascii="Times New Roman" w:hAnsi="Times New Roman"/>
          <w:sz w:val="20"/>
        </w:rPr>
      </w:pPr>
      <w:r>
        <w:rPr>
          <w:rFonts w:ascii="Times New Roman" w:hAnsi="Times New Roman"/>
          <w:sz w:val="20"/>
        </w:rPr>
        <w:t xml:space="preserve">(d) Payment for the Securities shall be made by wire transfer in immediately available funds to the account specified by the Company to the Representative, at the offices of Ropes &amp; Gray LLP, 1211 Avenue of the Americas, New York, NY 10036, at 10:00 A.M., New York City time, on March 5, 2024, or at such other time or place on the same or such other date, not later than the fifth business day thereafter, as the Representative and the Company may agree upon in writing; or, in the case of the Option Securities, on the date and at the time and place specified by the Representative in the written notice of the Underwriters election to purchase such Option Securities. The time and date of such payment for the Initial Securities is referred to herein as the Closing Date, and the time and date for such payment for the Option Securities, if other than the Closing Date, is herein referred to as the Additional Closing Date. </w:t>
      </w:r>
    </w:p>
    <w:p>
      <w:pPr>
        <w:pStyle w:val="TextBody"/>
        <w:bidi w:val="0"/>
        <w:spacing w:before="120" w:after="0"/>
        <w:jc w:val="left"/>
        <w:rPr>
          <w:rFonts w:ascii="Times New Roman" w:hAnsi="Times New Roman"/>
          <w:sz w:val="20"/>
        </w:rPr>
      </w:pPr>
      <w:r>
        <w:rPr>
          <w:rFonts w:ascii="Times New Roman" w:hAnsi="Times New Roman"/>
          <w:sz w:val="20"/>
        </w:rPr>
        <w:t xml:space="preserve">Payment for the Securities to be purchased on the Closing Date or the Additional Closing Date, as the case may be, shall be made against delivery to the Representative for the respective accounts of the several Underwriters of the Securities to be purchased on such date with any transfer taxes payable in connection with the sale of such Securities duly paid by the Company. Delivery of the Securities shall be made through the facilities of DTC unless the Representative shall otherwise instruct. </w:t>
      </w:r>
    </w:p>
    <w:p>
      <w:pPr>
        <w:pStyle w:val="TextBody"/>
        <w:bidi w:val="0"/>
        <w:spacing w:before="120" w:after="0"/>
        <w:jc w:val="left"/>
        <w:rPr>
          <w:rFonts w:ascii="Times New Roman" w:hAnsi="Times New Roman"/>
          <w:sz w:val="20"/>
        </w:rPr>
      </w:pPr>
      <w:r>
        <w:rPr>
          <w:rFonts w:ascii="Times New Roman" w:hAnsi="Times New Roman"/>
          <w:sz w:val="20"/>
        </w:rPr>
        <w:t xml:space="preserve">(e) The Company acknowledges and agrees that the Underwriters are acting solely in the capacity of an arms-length contractual counterparty to the Company with respect to the offering of Securities contemplated hereby (including in connection with determining the terms of the offering) and not as a financial advisor or a fiduciary to, or an agent of, the Company or any other person. Additionally, neither the Representative nor any other Underwriter is advising the Company or any other person as to any legal, tax, investment, accounting or regulatory matters in any jurisdiction. The Company shall consult with its own advisors concerning such matters and shall be responsible for making its own independent investigation and appraisal of the transactions contemplated hereby, and the Underwriters shall have no responsibility or liability to the Company with respect thereto. Any review by the Underwriters of the Company, the transactions contemplated hereby or other matters relating to such transactions will be performed solely for the benefit of the Underwriters and shall not be on behalf of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3. </w:t>
      </w:r>
      <w:r>
        <w:rPr>
          <w:rFonts w:ascii="Times New Roman" w:hAnsi="Times New Roman"/>
          <w:sz w:val="20"/>
          <w:u w:val="single"/>
        </w:rPr>
        <w:t>Representations and Warranties of the Company</w:t>
      </w:r>
      <w:r>
        <w:rPr>
          <w:rFonts w:ascii="Times New Roman" w:hAnsi="Times New Roman"/>
          <w:sz w:val="20"/>
        </w:rPr>
        <w:t xml:space="preserve">. The Company represents and warrants to, and agrees with, each Underwriter that: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Preliminary Prospectus.</w:t>
      </w:r>
      <w:r>
        <w:rPr>
          <w:rFonts w:ascii="Times New Roman" w:hAnsi="Times New Roman"/>
          <w:sz w:val="20"/>
        </w:rPr>
        <w:t xml:space="preserve"> No order preventing or suspending the use of the Preliminary Prospectus has been issued by the Commission, and the Preliminary Prospectus included in the Pricing Disclosure Package, at the time of filing thereof, complied in all material respects with the Securities Act, and the Preliminary Prospectus, at the time of filing thereof, did not contain any untrue statement of a material fact or omit to state a material fact necessary in order to make the statements therein, in the light of the circumstances under which they were made, not misleading; </w:t>
      </w:r>
      <w:r>
        <w:rPr>
          <w:rFonts w:ascii="Times New Roman" w:hAnsi="Times New Roman"/>
          <w:sz w:val="20"/>
          <w:u w:val="single"/>
        </w:rPr>
        <w:t>provided</w:t>
      </w:r>
      <w:r>
        <w:rPr>
          <w:rFonts w:ascii="Times New Roman" w:hAnsi="Times New Roman"/>
          <w:sz w:val="20"/>
        </w:rPr>
        <w:t xml:space="preserve"> that the Company makes no representation and warranty with respect to any statements or omissions made in reliance upon and in conformity with information relating to any Underwriter furnished to the Company in writing by such Underwriter through the Representative expressly for use in any Preliminary Prospectus, it being understood and agreed that the only such information furnished by any Underwriter consists of the information described as such in Section 8(b) hereof.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Pricing Disclosure Package and Marketing Materials</w:t>
      </w:r>
      <w:r>
        <w:rPr>
          <w:rFonts w:ascii="Times New Roman" w:hAnsi="Times New Roman"/>
          <w:sz w:val="20"/>
        </w:rPr>
        <w:t xml:space="preserve">. The Pricing Disclosure Package and any Marketing Materials (as defined below), considered together with the Pricing Disclosure Package, as of the Applicable Time did not, and the Pricing Disclosure Package and any Marketing Materials, considered together with the Pricing Disclosure Package, (together with any amendment or supplement thereto) as of the Closing Date and as of any Additional Closing Date, as the case may be, will not, contain any untrue statement of a material fact or omit to state a material fact necessary in order to make the statements therein, in the light of the circumstances under which they were made, not misleading and as of the Applicable Time, the Marketing Materials do not conflict with the information contained in the Preliminary Prospectus, the Pricing Disclosure Package or the Prospectus; </w:t>
      </w:r>
      <w:r>
        <w:rPr>
          <w:rFonts w:ascii="Times New Roman" w:hAnsi="Times New Roman"/>
          <w:sz w:val="20"/>
          <w:u w:val="single"/>
        </w:rPr>
        <w:t>provided</w:t>
      </w:r>
      <w:r>
        <w:rPr>
          <w:rFonts w:ascii="Times New Roman" w:hAnsi="Times New Roman"/>
          <w:sz w:val="20"/>
        </w:rPr>
        <w:t xml:space="preserve"> that the Company makes no representation and warranty with respect to any statements or omissions made in reliance upon and in conformity with information relating to any Underwriter furnished to the Company in writing by such Underwriter through the Representative expressly for use in such Pricing Disclosure Package or Marketing Materials, it being understood and agreed that the only such information furnished by any Underwriter consists of the information described as such in Section 8(b) hereof. As used in this subsection and elsewhere in this Agreement, Marketing Materials means the materials, if any, made available by the Company or with the Companys consent during certain meetings (including materials made available as part of any road show) in connection with the marketing of the offering of the Securities.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Issuer Free Writing Prospectus</w:t>
      </w:r>
      <w:r>
        <w:rPr>
          <w:rFonts w:ascii="Times New Roman" w:hAnsi="Times New Roman"/>
          <w:sz w:val="20"/>
        </w:rPr>
        <w:t xml:space="preserve">. The Company (including its agents and representatives, other than the Underwriters in their capacity as such) has not made, used, prepared, authorized, approved or referred to and will not prepare, make, use, authorize, approve or refer to any written communication (as defined in Rule 405 under the Securities Act) that constitutes an offer to sell or solicitation of an offer to buy the Securities (each such communication by the Company or its agents and representatives (other than a communication referred to in clauses (i), (ii) and (iii) below) an Issuer Free Writing Prospectus) other than (i) any document not constituting a prospectus pursuant to Section 2(a)(10)(a) of the Securities Act or Rule 134 under the Securities Act, (ii) the Registration Statement, (iii) the Preliminary Prospectus, (iv) the Prospectus, (v) the documents listed on Schedule 2 hereto, including the pricing terms included in Schedule 1 hereto and (vi) any electronic road show or other written communications, in each case approved in writing in advance by the Representative, such approval not to be unreasonably withheld. Each such Issuer Free Writing Prospectus, if any, complies in all material respects with the Securities Act, has been or will be (within the time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period specified in Rule 433) filed in accordance with the Securities Act (to the extent required thereby) and, when taken together with the Preliminary Prospectus filed prior to the first use of such Issuer Free Writing Prospectus, at the Applicable Time, did not, and at the Closing Date will not, contain any untrue statement of a material fact or omit to state a material fact necessary in order to make the statements therein, in the light of the circumstances under which they were made, not misleading; </w:t>
      </w:r>
      <w:r>
        <w:rPr>
          <w:rFonts w:ascii="Times New Roman" w:hAnsi="Times New Roman"/>
          <w:sz w:val="20"/>
          <w:u w:val="single"/>
        </w:rPr>
        <w:t>provided, however</w:t>
      </w:r>
      <w:r>
        <w:rPr>
          <w:rFonts w:ascii="Times New Roman" w:hAnsi="Times New Roman"/>
          <w:sz w:val="20"/>
        </w:rPr>
        <w:t xml:space="preserve">, that the Company makes no representation or warranty with respect to any statement or omission contained in any Issuer Free Writing Prospectus made in reliance upon and in conformity with information relating to any Underwriter furnished to the Company in writing by such Underwriter through the Representative expressly for use therein, it being understood and agreed that the only such information furnished by any Underwriter consists of the information described as such in Section 8(b) hereof. </w:t>
      </w:r>
    </w:p>
    <w:p>
      <w:pPr>
        <w:pStyle w:val="TextBody"/>
        <w:bidi w:val="0"/>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Documents Incorporated by Reference</w:t>
      </w:r>
      <w:r>
        <w:rPr>
          <w:rFonts w:ascii="Times New Roman" w:hAnsi="Times New Roman"/>
          <w:sz w:val="20"/>
        </w:rPr>
        <w:t xml:space="preserve">. The documents incorporated by reference in each of the Registration Statement, the Prospectus and the Preliminary Prospectus, when they became effective or were filed with the Commission, as the case may be, conformed or will conform in all material respects to the requirements of the Securities Exchange Act of 1934, as amended (the Exchange Act). </w:t>
      </w:r>
    </w:p>
    <w:p>
      <w:pPr>
        <w:pStyle w:val="TextBody"/>
        <w:bidi w:val="0"/>
        <w:spacing w:before="120" w:after="0"/>
        <w:jc w:val="left"/>
        <w:rPr>
          <w:rFonts w:ascii="Times New Roman" w:hAnsi="Times New Roman"/>
          <w:sz w:val="20"/>
        </w:rPr>
      </w:pPr>
      <w:r>
        <w:rPr>
          <w:rFonts w:ascii="Times New Roman" w:hAnsi="Times New Roman"/>
          <w:sz w:val="20"/>
        </w:rPr>
        <w:t xml:space="preserve">(e) </w:t>
      </w:r>
      <w:r>
        <w:rPr>
          <w:rFonts w:ascii="Times New Roman" w:hAnsi="Times New Roman"/>
          <w:i/>
          <w:sz w:val="20"/>
        </w:rPr>
        <w:t>Registration Statement and Prospectus.</w:t>
      </w:r>
      <w:r>
        <w:rPr>
          <w:rFonts w:ascii="Times New Roman" w:hAnsi="Times New Roman"/>
          <w:sz w:val="20"/>
        </w:rPr>
        <w:t xml:space="preserve"> The Company is eligible to use Form N-2. The Registration Statement became effective upon filing with the Commission. No order suspending the effectiveness of the Registration Statement has been issued by the Commission, and, no proceeding for that purpose or pursuant to Section 8A of the Securities Act against the Company or related to the offering of the Securities has been initiated or threatened by the Commission; as of the applicable effective date of the Registration Statement and any post-effective amendment thereto, the Registration Statement and any such post-effective amendment complied and will comply in all material respects with the Securities Act, the applicable rules and regulations of the Commission thereunder, the Investment Company Act, and did not and will not contain any untrue statement of a material fact or omit to state a material fact required to be stated therein or necessary in order to make the statements therein not misleading; and as of the date of the Prospectus and any amendment or supplement thereto and as of the Closing Date and as of any Additional Closing Date, as the case may be, the Prospectus and any amendment or supplement thereto will not contain any untrue statement of a material fact or omit to state a material fact necessary in order to make the statements therein, in the light of the circumstances under which they were made, not misleading; </w:t>
      </w:r>
      <w:r>
        <w:rPr>
          <w:rFonts w:ascii="Times New Roman" w:hAnsi="Times New Roman"/>
          <w:sz w:val="20"/>
          <w:u w:val="single"/>
        </w:rPr>
        <w:t>provided</w:t>
      </w:r>
      <w:r>
        <w:rPr>
          <w:rFonts w:ascii="Times New Roman" w:hAnsi="Times New Roman"/>
          <w:sz w:val="20"/>
        </w:rPr>
        <w:t xml:space="preserve"> that the Company makes no representation and warranty with respect to any statements or omissions made in reliance upon and in conformity with information relating to any Underwriter furnished to the Company in writing by such Underwriter through the Representative expressly for use in the Registration Statement and the Prospectus and any amendment or supplement thereto, it being understood and agreed that the only such information furnished by any Underwriter consists of the information described as such in Section 8(b) hereof. </w:t>
      </w:r>
    </w:p>
    <w:p>
      <w:pPr>
        <w:pStyle w:val="TextBody"/>
        <w:bidi w:val="0"/>
        <w:spacing w:before="120" w:after="0"/>
        <w:jc w:val="left"/>
        <w:rPr>
          <w:rFonts w:ascii="Times New Roman" w:hAnsi="Times New Roman"/>
          <w:sz w:val="20"/>
        </w:rPr>
      </w:pPr>
      <w:r>
        <w:rPr>
          <w:rFonts w:ascii="Times New Roman" w:hAnsi="Times New Roman"/>
          <w:sz w:val="20"/>
        </w:rPr>
        <w:t xml:space="preserve">(f) </w:t>
      </w:r>
      <w:r>
        <w:rPr>
          <w:rFonts w:ascii="Times New Roman" w:hAnsi="Times New Roman"/>
          <w:i/>
          <w:sz w:val="20"/>
        </w:rPr>
        <w:t>Testing-the-Waters Materials.</w:t>
      </w:r>
      <w:r>
        <w:rPr>
          <w:rFonts w:ascii="Times New Roman" w:hAnsi="Times New Roman"/>
          <w:sz w:val="20"/>
        </w:rPr>
        <w:t xml:space="preserve"> The Company (i) has not engaged in any Testing-the-Waters Communication and (ii) has not authorized anyone other than the Representative to engage in Testing-the-Waters Communications. The Company has not distributed any Written Testing-the-Waters Communications.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(g) </w:t>
      </w:r>
      <w:r>
        <w:rPr>
          <w:rFonts w:ascii="Times New Roman" w:hAnsi="Times New Roman"/>
          <w:i/>
          <w:sz w:val="20"/>
        </w:rPr>
        <w:t>Financial Statements.</w:t>
      </w:r>
      <w:r>
        <w:rPr>
          <w:rFonts w:ascii="Times New Roman" w:hAnsi="Times New Roman"/>
          <w:sz w:val="20"/>
        </w:rPr>
        <w:t xml:space="preserve"> The financial statements (including the related notes thereto) of the Company and its consolidated subsidiaries included or incorporated by reference in the Registration Statement, the Pricing Disclosure Package and the Prospectus comply in all material respects with the applicable requirements of the Securities Act and present fairly in all material respects the financial position of the Company and its consolidated subsidiaries as of the dates indicated and the results of their operations and the changes in their cash flows for the periods specified; such financial statements have been prepared in conformity with generally accepted accounting principles in the United States (U.S. GAAP) applied on a consistent basis throughout the periods covered thereby, and any supporting schedules included or incorporated by reference in the Registration Statement present fairly in all material respects the information required to be stated therein; and the other financial information included or incorporated by reference in the Registration Statement, the Pricing Disclosure Package and the Prospectus has been derived from the accounting records and other books and records of the Company and its consolidated subsidiaries and presents fairly in all material respects the information shown thereby. </w:t>
      </w:r>
    </w:p>
    <w:p>
      <w:pPr>
        <w:pStyle w:val="TextBody"/>
        <w:bidi w:val="0"/>
        <w:spacing w:before="120" w:after="0"/>
        <w:jc w:val="left"/>
        <w:rPr>
          <w:rFonts w:ascii="Times New Roman" w:hAnsi="Times New Roman"/>
          <w:sz w:val="20"/>
        </w:rPr>
      </w:pPr>
      <w:r>
        <w:rPr>
          <w:rFonts w:ascii="Times New Roman" w:hAnsi="Times New Roman"/>
          <w:sz w:val="20"/>
        </w:rPr>
        <w:t xml:space="preserve">(h) </w:t>
      </w:r>
      <w:r>
        <w:rPr>
          <w:rFonts w:ascii="Times New Roman" w:hAnsi="Times New Roman"/>
          <w:i/>
          <w:sz w:val="20"/>
        </w:rPr>
        <w:t>No Material Adverse Change.</w:t>
      </w:r>
      <w:r>
        <w:rPr>
          <w:rFonts w:ascii="Times New Roman" w:hAnsi="Times New Roman"/>
          <w:sz w:val="20"/>
        </w:rPr>
        <w:t xml:space="preserve"> Except as disclosed in the Registration Statement, the Pricing Disclosure Package and the Prospectus, since the date of the most recent financial statements of the Company included or incorporated by reference in the Registration Statement, the Pricing Disclosure Package and the Prospectus, (i) there has not been any material change in the capital stock of the Company, short-term debt or long-term debt of the Company or any of its subsidiaries, or any dividend or distribution of any kind declared, set aside for payment, paid or made by the Company on any class of capital stock, or any material adverse change, or any development that would reasonably be expected to result in a material adverse change, in or affecting the business, properties, management, financial position, stockholders equity, results of operations or prospects of the Company and its subsidiaries taken as a whole; (ii) neither the Company nor any of its subsidiaries has entered into any transaction or agreement (whether or not in the ordinary course of business) that is material to the Company and its subsidiaries taken as a whole or incurred any liability or obligation, direct or contingent, that is material to the Company and its subsidiaries taken as a whole; and (iii) neither the Company nor any of its subsidiaries has sustained any loss or interference with its business that is material to the Company and its subsidiaries taken as a whole and that is either from fire, explosion, flood or other calamity, whether or not covered by insurance, or from any labor disturbance or dispute or any action, order or decree of any court or arbitrator or governmental or regulatory authority. </w:t>
      </w:r>
    </w:p>
    <w:p>
      <w:pPr>
        <w:pStyle w:val="TextBody"/>
        <w:bidi w:val="0"/>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i/>
          <w:sz w:val="20"/>
        </w:rPr>
        <w:t>Organization and Good Standing.</w:t>
      </w:r>
      <w:r>
        <w:rPr>
          <w:rFonts w:ascii="Times New Roman" w:hAnsi="Times New Roman"/>
          <w:sz w:val="20"/>
        </w:rPr>
        <w:t xml:space="preserve"> The Company and each of its subsidiaries have been duly organized and are validly existing and in good standing under the laws of their respective jurisdictions of organization, are duly qualified to do business and are in good standing in each jurisdiction in which their respective ownership or lease of property or the conduct of their respective businesses requires such qualification, and have all power and authority necessary to own or hold their respective properties and to conduct the businesses in which they are engaged, except where the failure to be so qualified or in good standing or have such power or authority would not reasonably be expected, individually or in the aggregate, to have a material adverse effect on the business, properties, management, financial position, stockholders equity, results of operations or prospects of the Company and its subsidiaries taken as a whole or on the performance by the Company of its obligations under this Agreement, the Securities, the Investment Management Agreement and the Administration Agreement (a Material Adverse Effect). The subsidiaries listed in Schedule 3 to this Agreement are the only subsidiaries of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(j) </w:t>
      </w:r>
      <w:r>
        <w:rPr>
          <w:rFonts w:ascii="Times New Roman" w:hAnsi="Times New Roman"/>
          <w:i/>
          <w:sz w:val="20"/>
        </w:rPr>
        <w:t>Capitalization.</w:t>
      </w:r>
      <w:r>
        <w:rPr>
          <w:rFonts w:ascii="Times New Roman" w:hAnsi="Times New Roman"/>
          <w:sz w:val="20"/>
        </w:rPr>
        <w:t xml:space="preserve"> As of December 31, 2023, the Company had authorized and outstanding capital stock and material indebtedness as set forth in the Registration Statement, the Pricing Disclosure Package and the Prospectus in Capitalization, all the outstanding shares of capital stock of the Company have been duly authorized and validly issued and are fully paid and non-assessable and are not subject to any pre-emptive or similar rights; except as described in or expressly contemplated by the Pricing Disclosure Package and the Prospectus, there are no outstanding rights (including, without limitation, pre-emptive rights), warrants or options to acquire, or instruments convertible into or exchangeable for, any shares of capital stock or other equity interest in the Company or any of its subsidiaries, or any contract, commitment, agreement, understanding or arrangement of any kind relating to the issuance of any capital stock of the Company or any such subsidiary, any such convertible or exchangeable securities or any such rights, warrants or options; the capital stock of the Company conforms in all material respects to the description thereof contained in the Registration Statement, the Pricing Disclosure Package and the Prospectus; and all the outstanding shares of capital stock or other equity interests of each subsidiary owned, directly or indirectly, by the Company have been duly authorized and validly issued, are fully paid and non-assessable (except as otherwise described in the Registration Statement, the Pricing Disclosure Package and the Prospectus), and are owned directly or indirectly by the Company, free and clear of any lien, charge, encumbrance, security interest, restriction on voting or transfer or any other claim of any third party, except as described in the Registration Statement, the Pricing Disclosure Package and the Prospectus. </w:t>
      </w:r>
    </w:p>
    <w:p>
      <w:pPr>
        <w:pStyle w:val="TextBody"/>
        <w:bidi w:val="0"/>
        <w:spacing w:before="120" w:after="0"/>
        <w:jc w:val="left"/>
        <w:rPr>
          <w:rFonts w:ascii="Times New Roman" w:hAnsi="Times New Roman"/>
          <w:sz w:val="20"/>
        </w:rPr>
      </w:pPr>
      <w:r>
        <w:rPr>
          <w:rFonts w:ascii="Times New Roman" w:hAnsi="Times New Roman"/>
          <w:sz w:val="20"/>
        </w:rPr>
        <w:t xml:space="preserve">(k) </w:t>
      </w:r>
      <w:r>
        <w:rPr>
          <w:rFonts w:ascii="Times New Roman" w:hAnsi="Times New Roman"/>
          <w:i/>
          <w:sz w:val="20"/>
        </w:rPr>
        <w:t xml:space="preserve">Stock Options. </w:t>
      </w:r>
      <w:r>
        <w:rPr>
          <w:rFonts w:ascii="Times New Roman" w:hAnsi="Times New Roman"/>
          <w:sz w:val="20"/>
        </w:rPr>
        <w:t xml:space="preserve">The Company has not granted, and has no policy or expectation of granting stock options. </w:t>
      </w:r>
    </w:p>
    <w:p>
      <w:pPr>
        <w:pStyle w:val="TextBody"/>
        <w:bidi w:val="0"/>
        <w:spacing w:before="120" w:after="0"/>
        <w:jc w:val="left"/>
        <w:rPr>
          <w:rFonts w:ascii="Times New Roman" w:hAnsi="Times New Roman"/>
          <w:sz w:val="20"/>
        </w:rPr>
      </w:pPr>
      <w:r>
        <w:rPr>
          <w:rFonts w:ascii="Times New Roman" w:hAnsi="Times New Roman"/>
          <w:sz w:val="20"/>
        </w:rPr>
        <w:t xml:space="preserve">(l) </w:t>
      </w:r>
      <w:r>
        <w:rPr>
          <w:rFonts w:ascii="Times New Roman" w:hAnsi="Times New Roman"/>
          <w:i/>
          <w:sz w:val="20"/>
        </w:rPr>
        <w:t>Due Authorization.</w:t>
      </w:r>
      <w:r>
        <w:rPr>
          <w:rFonts w:ascii="Times New Roman" w:hAnsi="Times New Roman"/>
          <w:sz w:val="20"/>
        </w:rPr>
        <w:t xml:space="preserve"> The Company has corporate power and authority to execute and deliver this Agreement and at the applicable time had corporate power and authority to execute and deliver the Investment Management Agreement and the Administration Agreement and to perform its obligations hereunder and thereunder; and all action required to be taken for the due and proper authorization, execution and delivery by it of this Agreement and each of the Investment Management Agreement and the Administration Agreement and the consummation by it of the transactions contemplated hereby and thereby has been duly and validly taken. </w:t>
      </w:r>
    </w:p>
    <w:p>
      <w:pPr>
        <w:pStyle w:val="TextBody"/>
        <w:bidi w:val="0"/>
        <w:spacing w:before="120" w:after="0"/>
        <w:jc w:val="left"/>
        <w:rPr>
          <w:rFonts w:ascii="Times New Roman" w:hAnsi="Times New Roman"/>
          <w:sz w:val="20"/>
        </w:rPr>
      </w:pPr>
      <w:r>
        <w:rPr>
          <w:rFonts w:ascii="Times New Roman" w:hAnsi="Times New Roman"/>
          <w:sz w:val="20"/>
        </w:rPr>
        <w:t xml:space="preserve">(m) </w:t>
      </w:r>
      <w:r>
        <w:rPr>
          <w:rFonts w:ascii="Times New Roman" w:hAnsi="Times New Roman"/>
          <w:i/>
          <w:sz w:val="20"/>
        </w:rPr>
        <w:t xml:space="preserve">Underwriting Agreement. </w:t>
      </w:r>
      <w:r>
        <w:rPr>
          <w:rFonts w:ascii="Times New Roman" w:hAnsi="Times New Roman"/>
          <w:sz w:val="20"/>
        </w:rPr>
        <w:t xml:space="preserve">This Agreement has been duly authorized, executed and delivered by the Company. </w:t>
      </w:r>
    </w:p>
    <w:p>
      <w:pPr>
        <w:pStyle w:val="TextBody"/>
        <w:bidi w:val="0"/>
        <w:spacing w:before="120" w:after="0"/>
        <w:jc w:val="left"/>
        <w:rPr>
          <w:rFonts w:ascii="Times New Roman" w:hAnsi="Times New Roman"/>
          <w:sz w:val="20"/>
        </w:rPr>
      </w:pPr>
      <w:r>
        <w:rPr>
          <w:rFonts w:ascii="Times New Roman" w:hAnsi="Times New Roman"/>
          <w:sz w:val="20"/>
        </w:rPr>
        <w:t xml:space="preserve">(n) </w:t>
      </w:r>
      <w:r>
        <w:rPr>
          <w:rFonts w:ascii="Times New Roman" w:hAnsi="Times New Roman"/>
          <w:i/>
          <w:sz w:val="20"/>
        </w:rPr>
        <w:t>Investment Management Agreement and Administration Agreement.</w:t>
      </w:r>
      <w:r>
        <w:rPr>
          <w:rFonts w:ascii="Times New Roman" w:hAnsi="Times New Roman"/>
          <w:sz w:val="20"/>
        </w:rPr>
        <w:t xml:space="preserve"> The Investment Management Agreement and the Administration Agreement have each been duly authorized, executed and delivered by the Company and are valid and binding obligations of the Company, enforceable against the Company in accordance with their terms, except as enforceability may be limited by applicable bankruptcy, insolvency or similar laws affecting creditors rights generally or by equitable principles relating to enforceability.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 </w:t>
      </w:r>
      <w:r>
        <w:rPr>
          <w:rFonts w:ascii="Times New Roman" w:hAnsi="Times New Roman"/>
          <w:i/>
          <w:sz w:val="20"/>
        </w:rPr>
        <w:t>The Securities</w:t>
      </w:r>
      <w:r>
        <w:rPr>
          <w:rFonts w:ascii="Times New Roman" w:hAnsi="Times New Roman"/>
          <w:sz w:val="20"/>
        </w:rPr>
        <w:t xml:space="preserve">. The Securities to be issued and sold by the Company hereunder have been duly authorized and, when issued and delivered and paid for as provided herein, will be duly and validly issued, will be fully paid and nonassessable and will conform in all material respects to the descriptions thereof in the Registration Statement, the Pricing Disclosure Package and the Prospectus; and the issuance of the Securities is not subject to any preemptive or similar rights. </w:t>
      </w:r>
    </w:p>
    <w:p>
      <w:pPr>
        <w:pStyle w:val="TextBody"/>
        <w:bidi w:val="0"/>
        <w:spacing w:before="120" w:after="0"/>
        <w:jc w:val="left"/>
        <w:rPr>
          <w:rFonts w:ascii="Times New Roman" w:hAnsi="Times New Roman"/>
          <w:sz w:val="20"/>
        </w:rPr>
      </w:pPr>
      <w:r>
        <w:rPr>
          <w:rFonts w:ascii="Times New Roman" w:hAnsi="Times New Roman"/>
          <w:sz w:val="20"/>
        </w:rPr>
        <w:t xml:space="preserve">(p) </w:t>
      </w:r>
      <w:r>
        <w:rPr>
          <w:rFonts w:ascii="Times New Roman" w:hAnsi="Times New Roman"/>
          <w:i/>
          <w:sz w:val="20"/>
        </w:rPr>
        <w:t>No Registration Rights</w:t>
      </w:r>
      <w:r>
        <w:rPr>
          <w:rFonts w:ascii="Times New Roman" w:hAnsi="Times New Roman"/>
          <w:sz w:val="20"/>
        </w:rPr>
        <w:t xml:space="preserve">. No person has the right to require the Company or any of its subsidiaries to register any securities for sale under the Securities Act by reason of the filing of the Registration Statement with the Commission or the issuance and sale of the Securities. </w:t>
      </w:r>
    </w:p>
    <w:p>
      <w:pPr>
        <w:pStyle w:val="TextBody"/>
        <w:bidi w:val="0"/>
        <w:spacing w:before="120" w:after="0"/>
        <w:jc w:val="left"/>
        <w:rPr>
          <w:rFonts w:ascii="Times New Roman" w:hAnsi="Times New Roman"/>
          <w:sz w:val="20"/>
        </w:rPr>
      </w:pPr>
      <w:r>
        <w:rPr>
          <w:rFonts w:ascii="Times New Roman" w:hAnsi="Times New Roman"/>
          <w:sz w:val="20"/>
        </w:rPr>
        <w:t xml:space="preserve">(q) </w:t>
      </w:r>
      <w:r>
        <w:rPr>
          <w:rFonts w:ascii="Times New Roman" w:hAnsi="Times New Roman"/>
          <w:i/>
          <w:sz w:val="20"/>
        </w:rPr>
        <w:t>Descriptions of Investment Management Agreement and Administration Agreement</w:t>
      </w:r>
      <w:r>
        <w:rPr>
          <w:rFonts w:ascii="Times New Roman" w:hAnsi="Times New Roman"/>
          <w:sz w:val="20"/>
        </w:rPr>
        <w:t xml:space="preserve">. Both the Investment Management Agreement and Administration Agreement conform in all material respects to the descriptions thereof contained in the Registration Statement, the Pricing Disclosure Package and the Prospectus. </w:t>
      </w:r>
    </w:p>
    <w:p>
      <w:pPr>
        <w:pStyle w:val="TextBody"/>
        <w:bidi w:val="0"/>
        <w:spacing w:before="120" w:after="0"/>
        <w:jc w:val="left"/>
        <w:rPr>
          <w:rFonts w:ascii="Times New Roman" w:hAnsi="Times New Roman"/>
          <w:sz w:val="20"/>
        </w:rPr>
      </w:pPr>
      <w:r>
        <w:rPr>
          <w:rFonts w:ascii="Times New Roman" w:hAnsi="Times New Roman"/>
          <w:sz w:val="20"/>
        </w:rPr>
        <w:t xml:space="preserve">(r) </w:t>
      </w:r>
      <w:r>
        <w:rPr>
          <w:rFonts w:ascii="Times New Roman" w:hAnsi="Times New Roman"/>
          <w:i/>
          <w:sz w:val="20"/>
        </w:rPr>
        <w:t>No Violation or Default.</w:t>
      </w:r>
      <w:r>
        <w:rPr>
          <w:rFonts w:ascii="Times New Roman" w:hAnsi="Times New Roman"/>
          <w:sz w:val="20"/>
        </w:rPr>
        <w:t xml:space="preserve"> Neither the Company nor any of its subsidiaries is (i) in violation of its charter or by-laws or similar organizational documents, each as amended or supplemented as of the date of this Agreement; (ii) in default, and no event has occurred that, with notice or lapse of time or both, would constitute such a default, in the due performance or observance of any term, covenant or condition contained in any indenture, mortgage, deed of trust, loan agreement or other agreement or instrument to which the Company or any of its subsidiaries is a party or by which the Company or any of its subsidiaries is bound or to which any of the property or assets of the Company or any of its subsidiaries is subject; or (iii) in violation of any law or statute applicable to the Company or any of its subsidiaries or any judgment, order, rule or regulation of any court or arbitrator or governmental or regulatory authority having jurisdiction over the Company or any of its subsidiaries, except, in the case of clauses (ii) and (iii) above, for any such default or violation that would not reasonably be expected, individually or in the aggregate, to have a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(s) </w:t>
      </w:r>
      <w:r>
        <w:rPr>
          <w:rFonts w:ascii="Times New Roman" w:hAnsi="Times New Roman"/>
          <w:i/>
          <w:sz w:val="20"/>
        </w:rPr>
        <w:t xml:space="preserve">No Conflicts. </w:t>
      </w:r>
      <w:r>
        <w:rPr>
          <w:rFonts w:ascii="Times New Roman" w:hAnsi="Times New Roman"/>
          <w:sz w:val="20"/>
        </w:rPr>
        <w:t xml:space="preserve">The execution, delivery and performance by the Company of this Agreement, the issuance and sale of the Securities and the consummation of the transactions contemplated by this Agreement and the performance by the Company of the Investment Management Agreement and the Administration Agreement will not (i) conflict with or result in a breach or violation of any of the terms or provisions of, or constitute a default under, or result in the creation or imposition of any lien, charge or encumbrance upon any property or assets of the Company or any of its subsidiaries pursuant to, any indenture, mortgage, deed of trust, loan agreement or other agreement or instrument to which the Company or any of its subsidiaries is a party or by which the Company or any of its subsidiaries is bound or to which any of the property or assets of the Company or any of its subsidiaries is subject, (ii) result in any violation of the provisions of the charter or by-laws or similar organizational documents of the Company or any of its subsidiaries or (iii) result in the violation of any law or statute applicable to the Company or any of its subsidiaries or any judgment, order, rule or regulation of any court or arbitrator or governmental or regulatory authority having jurisdiction over the Company or any of its subsidiaries, except, in the case of clauses (i) and (iii) above, for any such conflict, breach, violation, default, lien, charge or encumbrance that would not reasonably be expected, individually or in the aggregate, to have a Material Adverse Effect.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 </w:t>
      </w:r>
      <w:r>
        <w:rPr>
          <w:rFonts w:ascii="Times New Roman" w:hAnsi="Times New Roman"/>
          <w:i/>
          <w:sz w:val="20"/>
        </w:rPr>
        <w:t>No Consents Required.</w:t>
      </w:r>
      <w:r>
        <w:rPr>
          <w:rFonts w:ascii="Times New Roman" w:hAnsi="Times New Roman"/>
          <w:sz w:val="20"/>
        </w:rPr>
        <w:t xml:space="preserve"> No consent, approval, authorization, order, license, registration or qualification of or with any court or arbitrator or governmental or regulatory authority is required for the execution, delivery and performance by the Company of this Agreement, the issuance and sale of the Securities and the consummation of the transactions contemplated by this Agreement or the performance by the Company of the Investment Management Agreement and the Administration Agreement, except for (i) the registration of the Securities under the Securities Act, (ii) such consents, approvals, authorizations, orders, licenses, registrations or qualifications as have already been obtained or made, (iii) such consents, approvals, authorizations, orders and registrations or qualifications as may be required by the Financial Industry Regulatory Authority, Inc. (FINRA) or under applicable state securities laws in connection with the purchase and distribution of the Securities by the Underwriters and (iv) where the failure to obtain any such consent, approval, authorization, order, license, registration or qualification would not reasonably be expected, individually or in the aggregate, to have a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(u) </w:t>
      </w:r>
      <w:r>
        <w:rPr>
          <w:rFonts w:ascii="Times New Roman" w:hAnsi="Times New Roman"/>
          <w:i/>
          <w:sz w:val="20"/>
        </w:rPr>
        <w:t>Legal Proceedings.</w:t>
      </w:r>
      <w:r>
        <w:rPr>
          <w:rFonts w:ascii="Times New Roman" w:hAnsi="Times New Roman"/>
          <w:sz w:val="20"/>
        </w:rPr>
        <w:t xml:space="preserve"> Except as described in the Registration Statement, the Pricing Disclosure Package and the Prospectus, there are no legal, governmental or regulatory investigations, actions, suits or proceedings pending to which the Company or any of its subsidiaries is or, to the knowledge of the Company, may be reasonably expected to become a party or to which any property of the Company or any of its subsidiaries is or, to the knowledge of the Company, may be reasonably expected to become the subject that, individually or in the aggregate, if determined adversely to the Company or any of its subsidiaries, would reasonably be expected to have a Material Adverse Effect; no such investigations, actions, suits or proceedings are threatened or, to the knowledge of the Company, contemplated by any governmental or regulatory authority or threatened by others, except as would not reasonably be expected, individually or in the aggregate, to have a Material Adverse Effect; and (i) there are no current or pending legal, governmental or regulatory actions, suits or proceedings that are required under the Securities Act to be described in the Registration Statement, the Pricing Disclosure Package or the Prospectus that are not so described in the Registration Statement, the Pricing Disclosure Package and the Prospectus and (ii) there are no contracts or other documents that are required under the Securities Act to be filed as exhibits to the Registration Statement that are not so filed as exhibits to the Registration Statement. </w:t>
      </w:r>
    </w:p>
    <w:p>
      <w:pPr>
        <w:pStyle w:val="TextBody"/>
        <w:bidi w:val="0"/>
        <w:spacing w:before="120" w:after="0"/>
        <w:jc w:val="left"/>
        <w:rPr>
          <w:rFonts w:ascii="Times New Roman" w:hAnsi="Times New Roman"/>
          <w:sz w:val="20"/>
        </w:rPr>
      </w:pPr>
      <w:r>
        <w:rPr>
          <w:rFonts w:ascii="Times New Roman" w:hAnsi="Times New Roman"/>
          <w:sz w:val="20"/>
        </w:rPr>
        <w:t xml:space="preserve">(v) </w:t>
      </w:r>
      <w:r>
        <w:rPr>
          <w:rFonts w:ascii="Times New Roman" w:hAnsi="Times New Roman"/>
          <w:i/>
          <w:sz w:val="20"/>
        </w:rPr>
        <w:t>Notification of Election</w:t>
      </w:r>
      <w:r>
        <w:rPr>
          <w:rFonts w:ascii="Times New Roman" w:hAnsi="Times New Roman"/>
          <w:sz w:val="20"/>
        </w:rPr>
        <w:t xml:space="preserve">. When the Notification of Election was filed with the Commission, it (i) contained all statements required to be stated therein in accordance with, and complied in all material respects with the requirements of, the Investment Company Act and (ii) did not include any untrue statement of a material fact or omit to state a material fact necessary to make the statements therein, in the light of the circumstances under which they were made, not misleading. </w:t>
      </w:r>
    </w:p>
    <w:p>
      <w:pPr>
        <w:pStyle w:val="TextBody"/>
        <w:bidi w:val="0"/>
        <w:spacing w:before="120" w:after="0"/>
        <w:jc w:val="left"/>
        <w:rPr>
          <w:rFonts w:ascii="Times New Roman" w:hAnsi="Times New Roman"/>
          <w:sz w:val="20"/>
        </w:rPr>
      </w:pPr>
      <w:r>
        <w:rPr>
          <w:rFonts w:ascii="Times New Roman" w:hAnsi="Times New Roman"/>
          <w:sz w:val="20"/>
        </w:rPr>
        <w:t xml:space="preserve">(w) </w:t>
      </w:r>
      <w:r>
        <w:rPr>
          <w:rFonts w:ascii="Times New Roman" w:hAnsi="Times New Roman"/>
          <w:i/>
          <w:sz w:val="20"/>
        </w:rPr>
        <w:t>Election to be Treated as a Business Development Company</w:t>
      </w:r>
      <w:r>
        <w:rPr>
          <w:rFonts w:ascii="Times New Roman" w:hAnsi="Times New Roman"/>
          <w:sz w:val="20"/>
        </w:rPr>
        <w:t xml:space="preserve">. (A) The Company has duly elected to be treated by the Commission under the Investment Company Act as a business development company, such election is effective and the Company has not withdrawn such election and, to the Companys knowledge, the Commission has not ordered such election to be withdrawn nor, to the Companys knowledge have proceedings to effectuate such withdrawal been initiated or threatened by the Commission; (B) the provisions of the certificate of incorporation and by-laws of the Company and the investment objectives, policies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restrictions of the Company described in the Prospectus, assuming they are implemented as described, will comply in all material respects with the requirements of the Investment Company Act; and (C) as of the time of the sale of the Securities and as of the Closing Date and as of any Additional Closing Date, the operations of the Company are in compliance in all material respects with the provisions of the Investment Company Act applicable to business development companies. </w:t>
      </w:r>
    </w:p>
    <w:p>
      <w:pPr>
        <w:pStyle w:val="TextBody"/>
        <w:bidi w:val="0"/>
        <w:spacing w:before="120" w:after="0"/>
        <w:jc w:val="left"/>
        <w:rPr>
          <w:rFonts w:ascii="Times New Roman" w:hAnsi="Times New Roman"/>
          <w:sz w:val="20"/>
        </w:rPr>
      </w:pPr>
      <w:r>
        <w:rPr>
          <w:rFonts w:ascii="Times New Roman" w:hAnsi="Times New Roman"/>
          <w:sz w:val="20"/>
        </w:rPr>
        <w:t xml:space="preserve">(x) </w:t>
      </w:r>
      <w:r>
        <w:rPr>
          <w:rFonts w:ascii="Times New Roman" w:hAnsi="Times New Roman"/>
          <w:i/>
          <w:sz w:val="20"/>
        </w:rPr>
        <w:t>Independent Accountants</w:t>
      </w:r>
      <w:r>
        <w:rPr>
          <w:rFonts w:ascii="Times New Roman" w:hAnsi="Times New Roman"/>
          <w:sz w:val="20"/>
        </w:rPr>
        <w:t xml:space="preserve">. KPMG LLP, who have certified certain financial statements of the Company and its subsidiaries, is an independent registered public accounting firm with respect to the Company and its subsidiaries within the applicable rules and regulations adopted by the Commission and the Public Company Accounting Oversight Board (United States) and as required by the Securities Act. </w:t>
      </w:r>
    </w:p>
    <w:p>
      <w:pPr>
        <w:pStyle w:val="TextBody"/>
        <w:bidi w:val="0"/>
        <w:spacing w:before="120" w:after="0"/>
        <w:jc w:val="left"/>
        <w:rPr>
          <w:rFonts w:ascii="Times New Roman" w:hAnsi="Times New Roman"/>
          <w:sz w:val="20"/>
        </w:rPr>
      </w:pPr>
      <w:r>
        <w:rPr>
          <w:rFonts w:ascii="Times New Roman" w:hAnsi="Times New Roman"/>
          <w:sz w:val="20"/>
        </w:rPr>
        <w:t xml:space="preserve">(y) </w:t>
      </w:r>
      <w:r>
        <w:rPr>
          <w:rFonts w:ascii="Times New Roman" w:hAnsi="Times New Roman"/>
          <w:i/>
          <w:sz w:val="20"/>
        </w:rPr>
        <w:t>Title to Real and Personal Property</w:t>
      </w:r>
      <w:r>
        <w:rPr>
          <w:rFonts w:ascii="Times New Roman" w:hAnsi="Times New Roman"/>
          <w:sz w:val="20"/>
        </w:rPr>
        <w:t xml:space="preserve">. Except as would not reasonably be expected, individually or in the aggregate, to have a Material Adverse Effect, the Company and its subsidiaries have good and marketable title in fee simple (in the case of real property) to, or have valid and marketable rights to lease or otherwise use, all items of real and personal property and assets (other than intellectual property, which is subject to Section 3(z)) that are material to the business of the Company and its subsidiaries, in each case free and clear of all liens, encumbrances, claims and defects and imperfections of title except (i) as otherwise described in the Registration Statement, the Pricing Disclosure Package and the Prospectus or (ii) those that do not materially interfere with the use made and proposed to be made of such property by the Company and its subsidiaries. </w:t>
      </w:r>
    </w:p>
    <w:p>
      <w:pPr>
        <w:pStyle w:val="TextBody"/>
        <w:bidi w:val="0"/>
        <w:spacing w:before="120" w:after="0"/>
        <w:jc w:val="left"/>
        <w:rPr>
          <w:rFonts w:ascii="Times New Roman" w:hAnsi="Times New Roman"/>
          <w:sz w:val="20"/>
        </w:rPr>
      </w:pPr>
      <w:r>
        <w:rPr>
          <w:rFonts w:ascii="Times New Roman" w:hAnsi="Times New Roman"/>
          <w:sz w:val="20"/>
        </w:rPr>
        <w:t xml:space="preserve">(z) </w:t>
      </w:r>
      <w:r>
        <w:rPr>
          <w:rFonts w:ascii="Times New Roman" w:hAnsi="Times New Roman"/>
          <w:i/>
          <w:sz w:val="20"/>
        </w:rPr>
        <w:t>Title to Intellectual Property</w:t>
      </w:r>
      <w:r>
        <w:rPr>
          <w:rFonts w:ascii="Times New Roman" w:hAnsi="Times New Roman"/>
          <w:sz w:val="20"/>
        </w:rPr>
        <w:t xml:space="preserve">. Except as would not reasonably be expected, individually or in the aggregate, to have a Material Adverse Effect, (i) the Company and its subsidiaries, to the knowledge of the Company, own or possess, or can acquire on reasonable terms, adequate rights to use all patents, patent applications, trademarks, service marks, trade names, trademark registrations, service mark registrations, copyrights, licenses and know-how (including trade secrets) necessary for the conduct of their respective businesses as currently conducted, and (ii) to the knowledge of the Company, the conduct of their respective businesses as currently conducted does not conflict with any such rights of others. The Company and its subsidiaries have not received any written notice of any claim of infringement, misappropriation or conflict with any such rights of others in connection with its patents, patent rights, licenses, inventions, trademarks, service marks, trade names, copyrights and know-how, which would reasonably be expected to result in a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(aa) </w:t>
      </w:r>
      <w:r>
        <w:rPr>
          <w:rFonts w:ascii="Times New Roman" w:hAnsi="Times New Roman"/>
          <w:i/>
          <w:sz w:val="20"/>
        </w:rPr>
        <w:t>No Undisclosed Relationships</w:t>
      </w:r>
      <w:r>
        <w:rPr>
          <w:rFonts w:ascii="Times New Roman" w:hAnsi="Times New Roman"/>
          <w:sz w:val="20"/>
        </w:rPr>
        <w:t xml:space="preserve">. No relationship, direct or indirect, exists between or among the Company or any of its subsidiaries, on the one hand, and the directors, officers, stockholders, customers or suppliers of the Company or any of its subsidiaries, on the other, that is required by the Securities Act to be described in the Registration Statement and the Prospectus and that is not so described in such documents and in the Pricing Disclosure Package. </w:t>
      </w:r>
    </w:p>
    <w:p>
      <w:pPr>
        <w:pStyle w:val="TextBody"/>
        <w:bidi w:val="0"/>
        <w:spacing w:before="120" w:after="0"/>
        <w:jc w:val="left"/>
        <w:rPr>
          <w:rFonts w:ascii="Times New Roman" w:hAnsi="Times New Roman"/>
          <w:sz w:val="20"/>
        </w:rPr>
      </w:pPr>
      <w:r>
        <w:rPr>
          <w:rFonts w:ascii="Times New Roman" w:hAnsi="Times New Roman"/>
          <w:sz w:val="20"/>
        </w:rPr>
        <w:t xml:space="preserve">(bb) </w:t>
      </w:r>
      <w:r>
        <w:rPr>
          <w:rFonts w:ascii="Times New Roman" w:hAnsi="Times New Roman"/>
          <w:i/>
          <w:sz w:val="20"/>
        </w:rPr>
        <w:t>Investment Company Act</w:t>
      </w:r>
      <w:r>
        <w:rPr>
          <w:rFonts w:ascii="Times New Roman" w:hAnsi="Times New Roman"/>
          <w:sz w:val="20"/>
        </w:rPr>
        <w:t xml:space="preserve">. The Company is not and its subsidiaries are not, and, after giving effect to the offering and sale of the Securities and the application of the proceeds thereof as described in the Registration Statement, the Pricing Disclosure Package and the Prospectus, neither the Company nor its subsidiaries will be required to register as an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investment company or an entity controlled by an investment company within the meaning of the Investment Company Act. No person is serving or acting as an officer, director or investment adviser of the Company or any subsidiary of the Company except in accordance with the applicable provisions of the Investment Company Act and the Advisers Act. </w:t>
      </w:r>
    </w:p>
    <w:p>
      <w:pPr>
        <w:pStyle w:val="TextBody"/>
        <w:bidi w:val="0"/>
        <w:spacing w:before="120" w:after="0"/>
        <w:jc w:val="left"/>
        <w:rPr>
          <w:rFonts w:ascii="Times New Roman" w:hAnsi="Times New Roman"/>
          <w:sz w:val="20"/>
        </w:rPr>
      </w:pPr>
      <w:r>
        <w:rPr>
          <w:rFonts w:ascii="Times New Roman" w:hAnsi="Times New Roman"/>
          <w:sz w:val="20"/>
        </w:rPr>
        <w:t xml:space="preserve">(cc) </w:t>
      </w:r>
      <w:r>
        <w:rPr>
          <w:rFonts w:ascii="Times New Roman" w:hAnsi="Times New Roman"/>
          <w:i/>
          <w:sz w:val="20"/>
        </w:rPr>
        <w:t xml:space="preserve">Taxes. </w:t>
      </w:r>
      <w:r>
        <w:rPr>
          <w:rFonts w:ascii="Times New Roman" w:hAnsi="Times New Roman"/>
          <w:sz w:val="20"/>
        </w:rPr>
        <w:t xml:space="preserve">The Company and its subsidiaries have paid (or caused to be paid) all federal, state, local and foreign taxes required by law to be paid, and have filed (or caused to be filed) all tax returns required by law to be filed, in each case, through the date hereof, except where the failure to pay such taxes or file such returns would not reasonably be expected, individually or in the aggregate, to have a Material Adverse Effect. Except as otherwise disclosed in the Registration Statement, the Pricing Disclosure Package and the Prospectus, there is no tax deficiency that has been, or, to the knowledge of the Company, would reasonably be expected to be, asserted against the Company or any of its subsidiaries or any of their respective properties or assets that, in any case, would reasonably be expected, individually or in the aggregate, to have a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(dd) </w:t>
      </w:r>
      <w:r>
        <w:rPr>
          <w:rFonts w:ascii="Times New Roman" w:hAnsi="Times New Roman"/>
          <w:i/>
          <w:sz w:val="20"/>
        </w:rPr>
        <w:t>Licenses and Permits.</w:t>
      </w:r>
      <w:r>
        <w:rPr>
          <w:rFonts w:ascii="Times New Roman" w:hAnsi="Times New Roman"/>
          <w:sz w:val="20"/>
        </w:rPr>
        <w:t xml:space="preserve"> The Company and its subsidiaries possess all licenses, certificates, permits and other authorizations issued by, and have made all declarations and filings with, the appropriate federal, state, local or foreign governmental or regulatory authorities having jurisdiction over the Company and its subsidiaries that are necessary for the ownership or lease of their respective properties or the conduct of their respective businesses as described in the Registration Statement, the Pricing Disclosure Package and the Prospectus, except where the failure to possess or make the same would not reasonably be expected, individually or in the aggregate, to have a Material Adverse Effect; and except as described in the Registration Statement, the Pricing Disclosure Package and the Prospectus, neither the Company nor any of its subsidiaries has received written notice of any revocation or modification of any such license, certificate, permit or authorization or has any reason to believe that any such license, certificate, permit or authorization will not be renewed in the ordinary course, except where such revocation, modification or non-renewal would not reasonably be expected, individually or in the aggregate, to have a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(ee) </w:t>
      </w:r>
      <w:r>
        <w:rPr>
          <w:rFonts w:ascii="Times New Roman" w:hAnsi="Times New Roman"/>
          <w:i/>
          <w:sz w:val="20"/>
        </w:rPr>
        <w:t>Disclosure Controls</w:t>
      </w:r>
      <w:r>
        <w:rPr>
          <w:rFonts w:ascii="Times New Roman" w:hAnsi="Times New Roman"/>
          <w:sz w:val="20"/>
        </w:rPr>
        <w:t xml:space="preserve">. The Company maintains an effective system of disclosure controls and procedures (as defined in Rule 13a-15(e) of the Exchange Act) that complies with the requirements of the Exchange Act and that has been designed to ensure that information required to be disclosed by the Company in reports that it files or submits under the Exchange Act is recorded, processed, summarized and reported within the time periods specified in the Commissions rules and forms, including controls and procedures designed to ensure that such information is accumulated and communicated to the Companys management as appropriate to allow timely decisions regarding required disclosure. The Company has carried out an evaluation of the effectiveness of its disclosure controls and procedures as required by Rule 13a-15 of the Exchange Act. </w:t>
      </w:r>
    </w:p>
    <w:p>
      <w:pPr>
        <w:pStyle w:val="TextBody"/>
        <w:bidi w:val="0"/>
        <w:spacing w:before="120" w:after="0"/>
        <w:jc w:val="left"/>
        <w:rPr>
          <w:rFonts w:ascii="Times New Roman" w:hAnsi="Times New Roman"/>
          <w:sz w:val="20"/>
        </w:rPr>
      </w:pPr>
      <w:r>
        <w:rPr>
          <w:rFonts w:ascii="Times New Roman" w:hAnsi="Times New Roman"/>
          <w:sz w:val="20"/>
        </w:rPr>
        <w:t xml:space="preserve">(ff) </w:t>
      </w:r>
      <w:r>
        <w:rPr>
          <w:rFonts w:ascii="Times New Roman" w:hAnsi="Times New Roman"/>
          <w:i/>
          <w:sz w:val="20"/>
        </w:rPr>
        <w:t>Accounting Controls.</w:t>
      </w:r>
      <w:r>
        <w:rPr>
          <w:rFonts w:ascii="Times New Roman" w:hAnsi="Times New Roman"/>
          <w:sz w:val="20"/>
        </w:rPr>
        <w:t xml:space="preserve"> The Company maintains a system of internal control over financial reporting (as defined in Rule 13a-15(f) of the Exchange Act) that complies with the requirements of the Exchange Act and that has been designed by, or under the supervision of, its principal executive and principal financial officers, or persons performing similar functions, to provide reasonable assurance regarding the reliability of financial reporting and the preparation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of financial statements for external purposes in accordance with U.S. GAAP, including, but not limited to, internal accounting controls sufficient to provide reasonable assurance that (i) transactions are executed in accordance with managements general or specific authorizations; (ii) transactions are executed in accordance with the investment objectives, policies and restrictions of the Company and the applicable requirements of the Investment Company Act and the Internal Revenue Code of 1986, as amended (the Code); (iii) transactions are recorded as necessary to permit preparation of financial statements in conformity with U.S. GAAP, to calculate net asset value, to maintain asset accountability, and to maintain material compliance with the books and records requirements under the Investment Company Act; (iv) access to assets is permitted only in accordance with managements general or specific authorization; and (v) the recorded accountability for assets is compared with the existing assets at reasonable intervals and appropriate action is taken with respect to any differences. Except as disclosed in the Registration Statement, the Pricing Disclosure Package and the Prospectus, there are no material weaknesses in the Companys internal controls. The Companys auditors and the Audit Committee of the Board of Directors of the Company have been advised of: (i) all significant deficiencies and material weaknesses in the design or operation of internal controls over financial reporting, which have adversely affected or are reasonably likely to adversely affect the Companys ability to record, process, summarize and report financial information; and (ii) any fraud, whether or not material, that involves management or, other employees who have a significant role in the Companys internal controls over financial reporting. </w:t>
      </w:r>
    </w:p>
    <w:p>
      <w:pPr>
        <w:pStyle w:val="TextBody"/>
        <w:bidi w:val="0"/>
        <w:spacing w:before="120" w:after="0"/>
        <w:jc w:val="left"/>
        <w:rPr>
          <w:rFonts w:ascii="Times New Roman" w:hAnsi="Times New Roman"/>
          <w:sz w:val="20"/>
        </w:rPr>
      </w:pPr>
      <w:r>
        <w:rPr>
          <w:rFonts w:ascii="Times New Roman" w:hAnsi="Times New Roman"/>
          <w:sz w:val="20"/>
        </w:rPr>
        <w:t xml:space="preserve">(gg) </w:t>
      </w:r>
      <w:r>
        <w:rPr>
          <w:rFonts w:ascii="Times New Roman" w:hAnsi="Times New Roman"/>
          <w:i/>
          <w:sz w:val="20"/>
        </w:rPr>
        <w:t xml:space="preserve">Insurance. </w:t>
      </w:r>
      <w:r>
        <w:rPr>
          <w:rFonts w:ascii="Times New Roman" w:hAnsi="Times New Roman"/>
          <w:sz w:val="20"/>
        </w:rPr>
        <w:t xml:space="preserve">The Company and its subsidiaries have insurance covering their respective properties, operations, personnel and businesses, including business interruption insurance, which insurance is in amounts and insures against such losses and risks as the Company reasonably believes are adequate to protect the Company and its subsidiaries and their respective businesses; and neither the Company nor any of its subsidiaries has (i) received notice from any insurer or agent of such insurer that capital improvements or other expenditures are required or necessary to be made in order to continue such insurance or (ii) any reason to believe that it will not be able to renew its existing insurance coverage as and when such coverage expires or to obtain similar coverage at reasonable cost from similar insurers as may be necessary to continue its business, except, in each case, as would not, individually or in the aggregate, have a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(hh) </w:t>
      </w:r>
      <w:r>
        <w:rPr>
          <w:rFonts w:ascii="Times New Roman" w:hAnsi="Times New Roman"/>
          <w:i/>
          <w:sz w:val="20"/>
        </w:rPr>
        <w:t>No Unlawful Payments.</w:t>
      </w:r>
      <w:r>
        <w:rPr>
          <w:rFonts w:ascii="Times New Roman" w:hAnsi="Times New Roman"/>
          <w:sz w:val="20"/>
        </w:rPr>
        <w:t xml:space="preserve"> Neither the Company nor any of its subsidiaries nor any director, officer, or employee of the Company or any of its subsidiaries nor, to the knowledge of the Company, any agent, affiliate or other person associated with or acting on behalf of the Company or any of its subsidiaries has (i) used any funds for any unlawful contribution, gift, entertainment or other unlawful expense relating to political activity; (ii) made or taken an act in furtherance of an offer, promise or authorization of any direct or indirect unlawful payment or benefit to any foreign or domestic government or regulatory official or employee, including of any government-owned or controlled entity or of a public international organization, or any person acting in an official capacity for or on behalf of any of the foregoing, or any political party or party official or candidate for political office; (iii) violated or is in violation of any provision of the Foreign Corrupt Practices Act of 1977, as amended, or any applicable law or regulation implementing the OECD Convention on Combating Bribery of Foreign Public Officials in International Business Transactions, or committed an offence under the Bribery Act 2010 of the United Kingdom, or any other applicable anti-bribery or anti-corruption laws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(collectively, the Anti-Corruption Laws); or (iv) made, offered, agreed, requested or taken an act in furtherance of any unlawful bribe or other unlawful benefit, including, without limitation, any rebate, payoff, influence payment, kickback or other unlawful or improper payment or benefit. The Company and its subsidiaries have instituted, maintain and enforce, and will continue to maintain and enforce policies and procedures designed to promote and ensure compliance with the Anti-Corruption Laws. </w:t>
      </w:r>
    </w:p>
    <w:p>
      <w:pPr>
        <w:pStyle w:val="TextBody"/>
        <w:bidi w:val="0"/>
        <w:spacing w:before="120" w:after="0"/>
        <w:jc w:val="left"/>
        <w:rPr>
          <w:rFonts w:ascii="Times New Roman" w:hAnsi="Times New Roman"/>
          <w:sz w:val="20"/>
        </w:rPr>
      </w:pPr>
      <w:r>
        <w:rPr>
          <w:rFonts w:ascii="Times New Roman" w:hAnsi="Times New Roman"/>
          <w:sz w:val="20"/>
        </w:rPr>
        <w:t xml:space="preserve">(ii) </w:t>
      </w:r>
      <w:r>
        <w:rPr>
          <w:rFonts w:ascii="Times New Roman" w:hAnsi="Times New Roman"/>
          <w:i/>
          <w:sz w:val="20"/>
        </w:rPr>
        <w:t>Compliance with Money Laundering Laws</w:t>
      </w:r>
      <w:r>
        <w:rPr>
          <w:rFonts w:ascii="Times New Roman" w:hAnsi="Times New Roman"/>
          <w:sz w:val="20"/>
        </w:rPr>
        <w:t xml:space="preserve">. The operations of the Company and its subsidiaries are and have been conducted at all times in compliance with applicable financial recordkeeping and reporting requirements, including those of the Currency and Foreign Transactions Reporting Act of 1970, as amended, the applicable money laundering statutes, the rules and regulations thereunder and any related or similar rules, regulations or guidelines issued, administered or enforced by any governmental or regulatory agency (collectively, the Anti-Money Laundering Laws) of all jurisdictions having jurisdiction over the Company and its subsidiaries, and no action, suit or proceeding by or before any court or governmental or regulatory agency, authority or body or any arbitrator involving the Company or any of its subsidiaries with respect to the Anti-Money Laundering Laws of all jurisdictions having jurisdiction over the Company and its subsidiaries is pending or, to the knowledge of the Company, threatened. </w:t>
      </w:r>
    </w:p>
    <w:p>
      <w:pPr>
        <w:pStyle w:val="TextBody"/>
        <w:bidi w:val="0"/>
        <w:spacing w:before="120" w:after="0"/>
        <w:jc w:val="left"/>
        <w:rPr>
          <w:rFonts w:ascii="Times New Roman" w:hAnsi="Times New Roman"/>
          <w:sz w:val="20"/>
        </w:rPr>
      </w:pPr>
      <w:r>
        <w:rPr>
          <w:rFonts w:ascii="Times New Roman" w:hAnsi="Times New Roman"/>
          <w:sz w:val="20"/>
        </w:rPr>
        <w:t xml:space="preserve">(jj) </w:t>
      </w:r>
      <w:r>
        <w:rPr>
          <w:rFonts w:ascii="Times New Roman" w:hAnsi="Times New Roman"/>
          <w:i/>
          <w:sz w:val="20"/>
        </w:rPr>
        <w:t>No Conflicts with Sanctions Laws.</w:t>
      </w:r>
      <w:r>
        <w:rPr>
          <w:rFonts w:ascii="Times New Roman" w:hAnsi="Times New Roman"/>
          <w:sz w:val="20"/>
        </w:rPr>
        <w:t xml:space="preserve"> Neither the Company nor any of its subsidiaries, directors, officers or employees, nor, to the knowledge of the Company, any agent, affiliate, or other person acting on behalf of the Company or any of its subsidiaries is currently the subject or the target of any sanctions administered or enforced by the U.S. Government (including, without limitation, the Office of Foreign Assets Control of the U.S. Department of the Treasury or the U.S. Department of State and including, without limitation, the designation as a specially designated national or blocked person), the United Nations Security Council, the European Union, His Majestys Treasury, or other relevant sanctions authority (collectively, Sanctions, and each such subject or target, a Sanctioned Person), nor is the Company or any of its subsidiaries located, organized or resident in a country or territory that is the subject or the target of Sanctions, including, without limitation, Cuba, Iran, North Korea, Syria, and the occupied Donetsk, Luhansk, Crimea, Zaporizhzhia and Kerson regions of Ukraine, that broadly prohibit dealings with that country or territory (each, a Sanctioned Territory); and the Company will not directly or indirectly use the proceeds of the offering of the Securities hereunder, or lend, contribute or otherwise make available such proceeds to any subsidiary, joint venture partner or other person or entity to fund or facilitate any activities of or business with any person, or in any country or territory, that, at the time of such funding or facilitation, is a Sanctioned Person or Sanctioned Territory in each case, in any manner that will result in a violation by any person (including any person participating in the transaction, whether as underwriter, advisor, investor or otherwise) of Sanctions. Since the inception of the Company, the Company and its subsidiaries have not knowingly engaged in, and are not now knowingly engaged in, any dealings or transactions with any person that at the time of the dealing or transaction is or was a Sanctioned Person or with any Sanctioned Territory. </w:t>
      </w:r>
    </w:p>
    <w:p>
      <w:pPr>
        <w:pStyle w:val="TextBody"/>
        <w:bidi w:val="0"/>
        <w:spacing w:before="120" w:after="0"/>
        <w:jc w:val="left"/>
        <w:rPr>
          <w:rFonts w:ascii="Times New Roman" w:hAnsi="Times New Roman"/>
          <w:sz w:val="20"/>
        </w:rPr>
      </w:pPr>
      <w:r>
        <w:rPr>
          <w:rFonts w:ascii="Times New Roman" w:hAnsi="Times New Roman"/>
          <w:sz w:val="20"/>
        </w:rPr>
        <w:t xml:space="preserve">(kk) </w:t>
      </w:r>
      <w:r>
        <w:rPr>
          <w:rFonts w:ascii="Times New Roman" w:hAnsi="Times New Roman"/>
          <w:i/>
          <w:sz w:val="20"/>
        </w:rPr>
        <w:t>Company Not Ineligible Issuer and is a Well-Known Seasoned Issuer</w:t>
      </w:r>
      <w:r>
        <w:rPr>
          <w:rFonts w:ascii="Times New Roman" w:hAnsi="Times New Roman"/>
          <w:sz w:val="20"/>
        </w:rPr>
        <w:t xml:space="preserve">. The Company is not an ineligible issuer and is a well-known seasoned issuer, in each case as defined under the Securities Act, in each case at the times specified in the Securities Act in connection with the offering of the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(ll) </w:t>
      </w:r>
      <w:r>
        <w:rPr>
          <w:rFonts w:ascii="Times New Roman" w:hAnsi="Times New Roman"/>
          <w:i/>
          <w:sz w:val="20"/>
        </w:rPr>
        <w:t>No Restrictions on Subsidiaries</w:t>
      </w:r>
      <w:r>
        <w:rPr>
          <w:rFonts w:ascii="Times New Roman" w:hAnsi="Times New Roman"/>
          <w:sz w:val="20"/>
        </w:rPr>
        <w:t xml:space="preserve">. No subsidiary of the Company is currently prohibited, directly or indirectly, under any agreement or other instrument to which it is a party or is subject, from paying any dividends to the Company, from making any other distribution on such subsidiarys capital stock, from repaying to the Company any loans or advances to such subsidiary from the Company or from transferring any of such subsidiarys properties or assets to the Company or any other subsidiary of the Company, except as disclosed in the Registration Statement, the Pricing Disclosure Package and the Prospectus. </w:t>
      </w:r>
    </w:p>
    <w:p>
      <w:pPr>
        <w:pStyle w:val="TextBody"/>
        <w:bidi w:val="0"/>
        <w:spacing w:before="120" w:after="0"/>
        <w:jc w:val="left"/>
        <w:rPr>
          <w:rFonts w:ascii="Times New Roman" w:hAnsi="Times New Roman"/>
          <w:sz w:val="20"/>
        </w:rPr>
      </w:pPr>
      <w:r>
        <w:rPr>
          <w:rFonts w:ascii="Times New Roman" w:hAnsi="Times New Roman"/>
          <w:sz w:val="20"/>
        </w:rPr>
        <w:t xml:space="preserve">(mm) </w:t>
      </w:r>
      <w:r>
        <w:rPr>
          <w:rFonts w:ascii="Times New Roman" w:hAnsi="Times New Roman"/>
          <w:i/>
          <w:sz w:val="20"/>
        </w:rPr>
        <w:t>No Brokers Fees.</w:t>
      </w:r>
      <w:r>
        <w:rPr>
          <w:rFonts w:ascii="Times New Roman" w:hAnsi="Times New Roman"/>
          <w:sz w:val="20"/>
        </w:rPr>
        <w:t xml:space="preserve"> Neither the Company nor any of its subsidiaries is a party to any contract, agreement or understanding with any person (other than this Agreement) that would give rise to a valid claim against the Company or any of its subsidiaries or any Underwriter for a brokerage commission, finders fee or like payment in connection with the offering and sale of the Securities. </w:t>
      </w:r>
    </w:p>
    <w:p>
      <w:pPr>
        <w:pStyle w:val="TextBody"/>
        <w:bidi w:val="0"/>
        <w:spacing w:before="120" w:after="0"/>
        <w:jc w:val="left"/>
        <w:rPr>
          <w:rFonts w:ascii="Times New Roman" w:hAnsi="Times New Roman"/>
          <w:sz w:val="20"/>
        </w:rPr>
      </w:pPr>
      <w:r>
        <w:rPr>
          <w:rFonts w:ascii="Times New Roman" w:hAnsi="Times New Roman"/>
          <w:sz w:val="20"/>
        </w:rPr>
        <w:t xml:space="preserve">(nn) </w:t>
      </w:r>
      <w:r>
        <w:rPr>
          <w:rFonts w:ascii="Times New Roman" w:hAnsi="Times New Roman"/>
          <w:i/>
          <w:sz w:val="20"/>
        </w:rPr>
        <w:t>No Stabilization or Manipulation.</w:t>
      </w:r>
      <w:r>
        <w:rPr>
          <w:rFonts w:ascii="Times New Roman" w:hAnsi="Times New Roman"/>
          <w:sz w:val="20"/>
        </w:rPr>
        <w:t xml:space="preserve"> The Company has not taken, directly or indirectly, without giving effect to any activities by the Underwriters, any action designed, or that would reasonably be expected, to cause or result in any stabilization or manipulation of the price of the Securities, other than permitted activity pursuant to Regulation M and Rule 10b-18 under the Exchange Act. </w:t>
      </w:r>
    </w:p>
    <w:p>
      <w:pPr>
        <w:pStyle w:val="TextBody"/>
        <w:bidi w:val="0"/>
        <w:spacing w:before="120" w:after="0"/>
        <w:jc w:val="left"/>
        <w:rPr>
          <w:rFonts w:ascii="Times New Roman" w:hAnsi="Times New Roman"/>
          <w:sz w:val="20"/>
        </w:rPr>
      </w:pPr>
      <w:r>
        <w:rPr>
          <w:rFonts w:ascii="Times New Roman" w:hAnsi="Times New Roman"/>
          <w:sz w:val="20"/>
        </w:rPr>
        <w:t xml:space="preserve">(oo) </w:t>
      </w:r>
      <w:r>
        <w:rPr>
          <w:rFonts w:ascii="Times New Roman" w:hAnsi="Times New Roman"/>
          <w:i/>
          <w:sz w:val="20"/>
        </w:rPr>
        <w:t>Forward-Looking Statements.</w:t>
      </w:r>
      <w:r>
        <w:rPr>
          <w:rFonts w:ascii="Times New Roman" w:hAnsi="Times New Roman"/>
          <w:sz w:val="20"/>
        </w:rPr>
        <w:t xml:space="preserve"> No forward-looking statement (within the meaning of Section 27A of the Securities Act and Section 21E of the Exchange Act) contained in the Registration Statement, the Pricing Disclosure Package or the Prospectus has been made or reaffirmed without a reasonable basis or has been disclosed other than in good faith. </w:t>
      </w:r>
    </w:p>
    <w:p>
      <w:pPr>
        <w:pStyle w:val="TextBody"/>
        <w:bidi w:val="0"/>
        <w:spacing w:before="120" w:after="0"/>
        <w:jc w:val="left"/>
        <w:rPr>
          <w:rFonts w:ascii="Times New Roman" w:hAnsi="Times New Roman"/>
          <w:sz w:val="20"/>
        </w:rPr>
      </w:pPr>
      <w:r>
        <w:rPr>
          <w:rFonts w:ascii="Times New Roman" w:hAnsi="Times New Roman"/>
          <w:sz w:val="20"/>
        </w:rPr>
        <w:t xml:space="preserve">(pp) </w:t>
      </w:r>
      <w:r>
        <w:rPr>
          <w:rFonts w:ascii="Times New Roman" w:hAnsi="Times New Roman"/>
          <w:i/>
          <w:sz w:val="20"/>
        </w:rPr>
        <w:t>Statistical and Market Data.</w:t>
      </w:r>
      <w:r>
        <w:rPr>
          <w:rFonts w:ascii="Times New Roman" w:hAnsi="Times New Roman"/>
          <w:sz w:val="20"/>
        </w:rPr>
        <w:t xml:space="preserve"> Nothing has come to the attention of the Company that has caused the Company to believe that the statistical and market-related data included or incorporated by reference in the Registration Statement, the Pricing Disclosure Package and the Prospectus is not based on or derived from sources that are reasonably reliable and accurate in all material respects. </w:t>
      </w:r>
    </w:p>
    <w:p>
      <w:pPr>
        <w:pStyle w:val="TextBody"/>
        <w:bidi w:val="0"/>
        <w:spacing w:before="120" w:after="0"/>
        <w:jc w:val="left"/>
        <w:rPr>
          <w:rFonts w:ascii="Times New Roman" w:hAnsi="Times New Roman"/>
          <w:sz w:val="20"/>
        </w:rPr>
      </w:pPr>
      <w:r>
        <w:rPr>
          <w:rFonts w:ascii="Times New Roman" w:hAnsi="Times New Roman"/>
          <w:sz w:val="20"/>
        </w:rPr>
        <w:t xml:space="preserve">(qq) </w:t>
      </w:r>
      <w:r>
        <w:rPr>
          <w:rFonts w:ascii="Times New Roman" w:hAnsi="Times New Roman"/>
          <w:i/>
          <w:sz w:val="20"/>
        </w:rPr>
        <w:t>Sarbanes-Oxley Act</w:t>
      </w:r>
      <w:r>
        <w:rPr>
          <w:rFonts w:ascii="Times New Roman" w:hAnsi="Times New Roman"/>
          <w:sz w:val="20"/>
        </w:rPr>
        <w:t xml:space="preserve">. There is and has been no failure on the part of the Company or, to the knowledge of the Company, any of the Companys directors or officers, in their capacities as such, to comply in all material respects with any provision of the Sarbanes-Oxley Act of 2002 and the rules and regulations promulgated in connection therewith (the Sarbanes-Oxley Act), including Section 402 related to loans and Sections 302 and 906 related to certifications. </w:t>
      </w:r>
    </w:p>
    <w:p>
      <w:pPr>
        <w:pStyle w:val="TextBody"/>
        <w:bidi w:val="0"/>
        <w:spacing w:before="120" w:after="0"/>
        <w:jc w:val="left"/>
        <w:rPr>
          <w:rFonts w:ascii="Times New Roman" w:hAnsi="Times New Roman"/>
          <w:sz w:val="20"/>
        </w:rPr>
      </w:pPr>
      <w:r>
        <w:rPr>
          <w:rFonts w:ascii="Times New Roman" w:hAnsi="Times New Roman"/>
          <w:sz w:val="20"/>
        </w:rPr>
        <w:t xml:space="preserve">(rr) </w:t>
      </w:r>
      <w:r>
        <w:rPr>
          <w:rFonts w:ascii="Times New Roman" w:hAnsi="Times New Roman"/>
          <w:i/>
          <w:sz w:val="20"/>
        </w:rPr>
        <w:t>Rule 38a-1 Compliance</w:t>
      </w:r>
      <w:r>
        <w:rPr>
          <w:rFonts w:ascii="Times New Roman" w:hAnsi="Times New Roman"/>
          <w:sz w:val="20"/>
        </w:rPr>
        <w:t xml:space="preserve">. The Company has adopted and implemented written policies and procedures reasonably designed to prevent violation of the Federal Securities Laws (as that term is defined in Rule 38a-1 under the Investment Company Act) by the Company, including policies and procedures that provide oversight of compliance by each investment adviser, administrator and transfer agent of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(ss) </w:t>
      </w:r>
      <w:r>
        <w:rPr>
          <w:rFonts w:ascii="Times New Roman" w:hAnsi="Times New Roman"/>
          <w:i/>
          <w:sz w:val="20"/>
        </w:rPr>
        <w:t>Regulated Investment Company</w:t>
      </w:r>
      <w:r>
        <w:rPr>
          <w:rFonts w:ascii="Times New Roman" w:hAnsi="Times New Roman"/>
          <w:sz w:val="20"/>
        </w:rPr>
        <w:t xml:space="preserve">. The Company has elected to be treated, and has operated, and intends to continue to operate, its business in such a manner so as to enable the Company to continue to qualify as a regulated investment company under Subchapter M of the Code. The Company intends to direct the investment of the proceeds of the offering of the Securities in such a manner as to comply with the requirements of Subchapter M of the Code. </w:t>
      </w:r>
    </w:p>
    <w:p>
      <w:pPr>
        <w:pStyle w:val="TextBody"/>
        <w:bidi w:val="0"/>
        <w:spacing w:before="120" w:after="0"/>
        <w:jc w:val="left"/>
        <w:rPr>
          <w:rFonts w:ascii="Times New Roman" w:hAnsi="Times New Roman"/>
          <w:sz w:val="20"/>
        </w:rPr>
      </w:pPr>
      <w:r>
        <w:rPr>
          <w:rFonts w:ascii="Times New Roman" w:hAnsi="Times New Roman"/>
          <w:sz w:val="20"/>
        </w:rPr>
        <w:t xml:space="preserve">(tt) </w:t>
      </w:r>
      <w:r>
        <w:rPr>
          <w:rFonts w:ascii="Times New Roman" w:hAnsi="Times New Roman"/>
          <w:i/>
          <w:sz w:val="20"/>
        </w:rPr>
        <w:t>Cybersecurity</w:t>
      </w:r>
      <w:r>
        <w:rPr>
          <w:rFonts w:ascii="Times New Roman" w:hAnsi="Times New Roman"/>
          <w:sz w:val="20"/>
        </w:rPr>
        <w:t>. (A) To the Companys knowledge, in the last three years, there has been no material security breach or other material compromise of or relating to the Companys or its subsidiaries information technology and computer systems, networks, hardware, software, data and databases (including the data and information of their respective customers, employees, suppliers, vendors and any third party data maintained, processed or stored by the Company and its subsidiaries, and any such data processed or stored by third parties on behalf of the Company and its subsidiaries) (collectively, </w:t>
      </w:r>
      <w:r>
        <w:rPr>
          <w:rFonts w:ascii="Times New Roman" w:hAnsi="Times New Roman"/>
          <w:sz w:val="20"/>
          <w:u w:val="single"/>
        </w:rPr>
        <w:t>IT Systems and Data</w:t>
      </w:r>
      <w:r>
        <w:rPr>
          <w:rFonts w:ascii="Times New Roman" w:hAnsi="Times New Roman"/>
          <w:sz w:val="20"/>
        </w:rPr>
        <w:t xml:space="preserve">); (B) in the last three years, neither the Company nor its subsidiaries have been notified of, and have no knowledge of any material event or condition that would reasonably be expected to result in, any such material security breach or other material compromise to their IT Systems and Data and (C) the Company and its subsidiaries have implemented controls, policies, procedures, and technological safeguards reasonably designed to maintain and protect the integrity, continuous operation, redundancy and security of their IT Systems and Data reasonably consistent with industry standards and practices, or as required by applicable regulatory standards. The Company and its subsidiaries are presently in material compliance with all applicable laws or statutes and all applicable judgments, orders, rules and regulations of any court or arbitrator or governmental or regulatory authority and internal policies relating to the privacy and security of IT Systems and Data. </w:t>
      </w:r>
    </w:p>
    <w:p>
      <w:pPr>
        <w:pStyle w:val="TextBody"/>
        <w:bidi w:val="0"/>
        <w:spacing w:before="120" w:after="0"/>
        <w:jc w:val="left"/>
        <w:rPr>
          <w:rFonts w:ascii="Times New Roman" w:hAnsi="Times New Roman"/>
          <w:sz w:val="20"/>
        </w:rPr>
      </w:pPr>
      <w:r>
        <w:rPr>
          <w:rFonts w:ascii="Times New Roman" w:hAnsi="Times New Roman"/>
          <w:sz w:val="20"/>
        </w:rPr>
        <w:t xml:space="preserve">(uu) </w:t>
      </w:r>
      <w:r>
        <w:rPr>
          <w:rFonts w:ascii="Times New Roman" w:hAnsi="Times New Roman"/>
          <w:i/>
          <w:sz w:val="20"/>
        </w:rPr>
        <w:t>eXtensible Business Reporting Language</w:t>
      </w:r>
      <w:r>
        <w:rPr>
          <w:rFonts w:ascii="Times New Roman" w:hAnsi="Times New Roman"/>
          <w:sz w:val="20"/>
        </w:rPr>
        <w:t xml:space="preserve">. To the Companys knowledge, the interactive data in eXtensible Business Reporting Language included or incorporated by reference in the Registration Statement and Prospectus fairly presents the information called for in all material respects and has been prepared in accordance with the Commissions rules and guidelines applicable thereto. </w:t>
      </w:r>
    </w:p>
    <w:p>
      <w:pPr>
        <w:pStyle w:val="TextBody"/>
        <w:bidi w:val="0"/>
        <w:spacing w:before="240" w:after="0"/>
        <w:jc w:val="left"/>
        <w:rPr>
          <w:rFonts w:ascii="Times New Roman" w:hAnsi="Times New Roman"/>
          <w:sz w:val="20"/>
        </w:rPr>
      </w:pPr>
      <w:r>
        <w:rPr>
          <w:rFonts w:ascii="Times New Roman" w:hAnsi="Times New Roman"/>
          <w:sz w:val="20"/>
        </w:rPr>
        <w:t xml:space="preserve">4. </w:t>
      </w:r>
      <w:r>
        <w:rPr>
          <w:rFonts w:ascii="Times New Roman" w:hAnsi="Times New Roman"/>
          <w:sz w:val="20"/>
          <w:u w:val="single"/>
        </w:rPr>
        <w:t>Representations and Warranties of the Adviser</w:t>
      </w:r>
      <w:r>
        <w:rPr>
          <w:rFonts w:ascii="Times New Roman" w:hAnsi="Times New Roman"/>
          <w:sz w:val="20"/>
        </w:rPr>
        <w:t xml:space="preserve">. The Adviser represents and warrants to, and agrees with, each Underwriter that: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No Material Adverse Change.</w:t>
      </w:r>
      <w:r>
        <w:rPr>
          <w:rFonts w:ascii="Times New Roman" w:hAnsi="Times New Roman"/>
          <w:sz w:val="20"/>
        </w:rPr>
        <w:t xml:space="preserve"> Except as disclosed in the Registration Statement, the Pricing Disclosure Package and the Prospectus, since the date of the most recent financial statements of the Company included or incorporated by reference in the Registration Statement, the Pricing Disclosure Package and the Prospectus, (i) there has not been any material adverse change, or any development that would reasonably be expected to result in a material adverse change, in or affecting the business, properties, management, financial position, stockholders equity, results of operations or prospects of the Adviser and its subsidiaries taken as a whole; and (ii) neither the Adviser nor any of its subsidiaries has sustained any loss or interference with its business that is material to the Adviser and its subsidiaries taken as a whole and that is either from fire, explosion, flood or other calamity, whether or not covered by insurance, or from any labor disturbance or dispute or any action, order or decree of any court or arbitrator or governmental or regulatory authority.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Organization and Good Standing.</w:t>
      </w:r>
      <w:r>
        <w:rPr>
          <w:rFonts w:ascii="Times New Roman" w:hAnsi="Times New Roman"/>
          <w:sz w:val="20"/>
        </w:rPr>
        <w:t xml:space="preserve"> The Adviser and each of its subsidiaries have been duly organized and are validly existing and in good standing under the laws of their respective jurisdictions of organization, are duly qualified to do business and are in good standing in each jurisdiction in which their respective ownership or lease of property or the conduct of their respective businesses requires such qualification, and have all power and authority necessary to own or hold their respective properties and to conduct the businesses in which they are engaged, except where the failure to be so qualified or in good standing or have such power or authority would not reasonably be expected, individually or in the aggregate, to have a material adverse effect on the business, properties, management, financial position, stockholders equity, results of operations or prospects of the Adviser and its subsidiaries taken as a whole or on the performance by the Adviser of its obligations under this Agreement, the Investment Management Agreement and the Administration Agreement (an Adviser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Registration as an Investment Adviser</w:t>
      </w:r>
      <w:r>
        <w:rPr>
          <w:rFonts w:ascii="Times New Roman" w:hAnsi="Times New Roman"/>
          <w:sz w:val="20"/>
        </w:rPr>
        <w:t xml:space="preserve">. The Adviser is duly registered with the Commission as an investment adviser under the Advisers Act and the Adviser is not prohibited by the Advisers Act or the Investment Company Act from acting under the Investment Management Agreement as an investment adviser to the Company, as contemplated by the Registration Statement, the Pricing Disclosure Package and the Prospectus. There does not exist any proceeding or, to the Advisers knowledge, any facts or circumstances, the existence of which would lead to any proceeding which would reasonably be expected to adversely affect the registration of the Adviser with the Commission. </w:t>
      </w:r>
    </w:p>
    <w:p>
      <w:pPr>
        <w:pStyle w:val="TextBody"/>
        <w:bidi w:val="0"/>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 xml:space="preserve">Underwriting Agreement. </w:t>
      </w:r>
      <w:r>
        <w:rPr>
          <w:rFonts w:ascii="Times New Roman" w:hAnsi="Times New Roman"/>
          <w:sz w:val="20"/>
        </w:rPr>
        <w:t xml:space="preserve">This Agreement has been duly authorized, executed and delivered by the Adviser. </w:t>
      </w:r>
    </w:p>
    <w:p>
      <w:pPr>
        <w:pStyle w:val="TextBody"/>
        <w:bidi w:val="0"/>
        <w:spacing w:before="120" w:after="0"/>
        <w:jc w:val="left"/>
        <w:rPr>
          <w:rFonts w:ascii="Times New Roman" w:hAnsi="Times New Roman"/>
          <w:sz w:val="20"/>
        </w:rPr>
      </w:pPr>
      <w:r>
        <w:rPr>
          <w:rFonts w:ascii="Times New Roman" w:hAnsi="Times New Roman"/>
          <w:sz w:val="20"/>
        </w:rPr>
        <w:t xml:space="preserve">(e) </w:t>
      </w:r>
      <w:r>
        <w:rPr>
          <w:rFonts w:ascii="Times New Roman" w:hAnsi="Times New Roman"/>
          <w:i/>
          <w:sz w:val="20"/>
        </w:rPr>
        <w:t>Investment Management Agreement and the Administration Agreement.</w:t>
      </w:r>
      <w:r>
        <w:rPr>
          <w:rFonts w:ascii="Times New Roman" w:hAnsi="Times New Roman"/>
          <w:sz w:val="20"/>
        </w:rPr>
        <w:t xml:space="preserve"> The Investment Management Agreement and the Administration Agreement have each been duly authorized, executed and delivered by the Adviser and are valid and binding obligations of the Adviser, enforceable against the Adviser in accordance with their terms, except as enforceability may be limited by applicable bankruptcy, insolvency or similar laws affecting creditors rights generally or by equitable principles relating to enforceability. </w:t>
      </w:r>
    </w:p>
    <w:p>
      <w:pPr>
        <w:pStyle w:val="TextBody"/>
        <w:bidi w:val="0"/>
        <w:spacing w:before="120" w:after="0"/>
        <w:jc w:val="left"/>
        <w:rPr>
          <w:rFonts w:ascii="Times New Roman" w:hAnsi="Times New Roman"/>
          <w:sz w:val="20"/>
        </w:rPr>
      </w:pPr>
      <w:r>
        <w:rPr>
          <w:rFonts w:ascii="Times New Roman" w:hAnsi="Times New Roman"/>
          <w:sz w:val="20"/>
        </w:rPr>
        <w:t xml:space="preserve">(f) </w:t>
      </w:r>
      <w:r>
        <w:rPr>
          <w:rFonts w:ascii="Times New Roman" w:hAnsi="Times New Roman"/>
          <w:i/>
          <w:sz w:val="20"/>
        </w:rPr>
        <w:t>No Violation or Default.</w:t>
      </w:r>
      <w:r>
        <w:rPr>
          <w:rFonts w:ascii="Times New Roman" w:hAnsi="Times New Roman"/>
          <w:sz w:val="20"/>
        </w:rPr>
        <w:t xml:space="preserve"> Neither the Adviser nor any of its subsidiaries is (i) in violation of its charter or by-laws or similar organizational documents; (ii) in default, and no event has occurred that, with notice or lapse of time or both, would constitute such a default, in the due performance or observance of any term, covenant or condition contained in any indenture, mortgage, deed of trust, loan agreement or other agreement or instrument to which the Adviser or any of its subsidiaries is a party or by which the Adviser or any of its subsidiaries is bound or to which any of the property or assets of the Adviser or any of its subsidiaries is subject; or (iii) in violation of any law or statute applicable to the Adviser or any of its subsidiaries or any judgment, order, rule or regulation of any court or arbitrator or governmental or regulatory authority having jurisdiction over the Adviser or any of its subsidiaries, except, in the case of clauses (ii) and (iii) above, for any such default or violation that would not reasonably be expected, individually or in the aggregate, to have an Adviser Material Adverse Effect.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(g) </w:t>
      </w:r>
      <w:r>
        <w:rPr>
          <w:rFonts w:ascii="Times New Roman" w:hAnsi="Times New Roman"/>
          <w:i/>
          <w:sz w:val="20"/>
        </w:rPr>
        <w:t xml:space="preserve">No Conflicts. </w:t>
      </w:r>
      <w:r>
        <w:rPr>
          <w:rFonts w:ascii="Times New Roman" w:hAnsi="Times New Roman"/>
          <w:sz w:val="20"/>
        </w:rPr>
        <w:t xml:space="preserve">The execution, delivery and performance by the Adviser of this Agreement and the performance by the Adviser of the Investment Management Agreement and the Administration Agreement will not (i) conflict with or result in a breach or violation of any of the terms or provisions of, or constitute a default under, or result in the creation or imposition of any lien, charge or encumbrance upon any property or assets of the Adviser or any of its subsidiaries pursuant to, any indenture, mortgage, deed of trust, loan agreement or other agreement or instrument to which the Adviser or any of its subsidiaries is a party or by which the Company or any of its subsidiaries is bound or to which any of the property or assets of the Adviser or any of its subsidiaries is subject, (ii) result in any violation of the provisions of the charter or by-laws or similar organizational documents of the Adviser or any of its subsidiaries or (iii) result in the violation of any law or statute applicable to the Adviser or any of its subsidiaries or any judgment, order, rule or regulation of any court or arbitrator or governmental or regulatory authority having jurisdiction over the Adviser or any of its subsidiaries, except, in the case of clauses (i) and (iii) above, for any such conflict, breach, violation, default, lien, charge or encumbrance that would not reasonably be expected, individually or in the aggregate, to have an Adviser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(h) </w:t>
      </w:r>
      <w:r>
        <w:rPr>
          <w:rFonts w:ascii="Times New Roman" w:hAnsi="Times New Roman"/>
          <w:i/>
          <w:sz w:val="20"/>
        </w:rPr>
        <w:t>No Consents Required.</w:t>
      </w:r>
      <w:r>
        <w:rPr>
          <w:rFonts w:ascii="Times New Roman" w:hAnsi="Times New Roman"/>
          <w:sz w:val="20"/>
        </w:rPr>
        <w:t xml:space="preserve"> No consent, approval, authorization, order, license, registration or qualification of or with any court or arbitrator or governmental or regulatory authority is required for the execution, delivery and performance by the Adviser of this Agreement or the performance by the Adviser of the Investment Management Agreement and the Administration Agreement, except for (i) such consents, approvals, authorizations, orders, licenses and registrations or qualifications as have already been obtained or made and (ii) where the failure to obtain any such consent, approval, authorization, order, license, registration or qualification would not reasonably be expected, individually or in the aggregate, to have an Adviser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i/>
          <w:sz w:val="20"/>
        </w:rPr>
        <w:t>Legal Proceedings.</w:t>
      </w:r>
      <w:r>
        <w:rPr>
          <w:rFonts w:ascii="Times New Roman" w:hAnsi="Times New Roman"/>
          <w:sz w:val="20"/>
        </w:rPr>
        <w:t xml:space="preserve"> Except as described in the Registration Statement, the Pricing Disclosure Package and the Prospectus, there are no legal, governmental or regulatory investigations, actions, suits or proceedings pending to which the Adviser or any of its subsidiaries is or, to the knowledge of the Adviser, may be reasonably expected to become a party or to which any property of the Adviser or any of its subsidiaries is or, to the knowledge of the Adviser, may be reasonably expected to become the subject that, individually or in the aggregate, if determined adversely to the Adviser or any of its subsidiaries, would reasonably be expected to have an Adviser Material Adverse Effect; no such investigations, actions, suits or proceedings are threatened or, to the knowledge of the Adviser, contemplated by any governmental or regulatory authority or threatened by others, except as would not reasonably be expected, individually or in the aggregate, to have an Adviser Material Adverse Effect; and there are no current or pending legal, governmental or regulatory actions, suits or proceedings that are required under the Securities Act to be described in the Registration Statement, the Pricing Disclosure Package or the Prospectus that are not so described in the Registration Statement, the Pricing Disclosure Package and the Prospectus. </w:t>
      </w:r>
    </w:p>
    <w:p>
      <w:pPr>
        <w:pStyle w:val="TextBody"/>
        <w:bidi w:val="0"/>
        <w:spacing w:before="120" w:after="0"/>
        <w:jc w:val="left"/>
        <w:rPr>
          <w:rFonts w:ascii="Times New Roman" w:hAnsi="Times New Roman"/>
          <w:sz w:val="20"/>
        </w:rPr>
      </w:pPr>
      <w:r>
        <w:rPr>
          <w:rFonts w:ascii="Times New Roman" w:hAnsi="Times New Roman"/>
          <w:sz w:val="20"/>
        </w:rPr>
        <w:t xml:space="preserve">(j) </w:t>
      </w:r>
      <w:r>
        <w:rPr>
          <w:rFonts w:ascii="Times New Roman" w:hAnsi="Times New Roman"/>
          <w:i/>
          <w:sz w:val="20"/>
        </w:rPr>
        <w:t>Licenses and Permits.</w:t>
      </w:r>
      <w:r>
        <w:rPr>
          <w:rFonts w:ascii="Times New Roman" w:hAnsi="Times New Roman"/>
          <w:sz w:val="20"/>
        </w:rPr>
        <w:t xml:space="preserve"> The Adviser and its subsidiaries possess all licenses, certificates, permits and other authorizations issued by, and have made all declarations and filings with, the appropriate federal, state, local or foreign governmental or regulatory authorities having jurisdiction over the Adviser and its subsidiaries that are necessary for the ownership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lease of their respective properties or the conduct of their respective businesses as described in the Registration Statement, the Pricing Disclosure Package and the Prospectus, except where the failure to possess or make the same would not reasonably be expected, individually or in the aggregate, to have an Adviser Material Adverse Effect; and except as described in the Registration Statement, the Pricing Disclosure Package and the Prospectus, neither the Adviser nor any of its subsidiaries has received written notice of any revocation or modification of any such license, certificate, permit or authorization or has any reason to believe that any such license, certificate, permit or authorization will not be renewed in the ordinary course, except where such revocation, modification or non-renewal would not reasonably be expected, individually or in the aggregate, to have an Adviser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(k) </w:t>
      </w:r>
      <w:r>
        <w:rPr>
          <w:rFonts w:ascii="Times New Roman" w:hAnsi="Times New Roman"/>
          <w:i/>
          <w:sz w:val="20"/>
        </w:rPr>
        <w:t>Description of the Adviser</w:t>
      </w:r>
      <w:r>
        <w:rPr>
          <w:rFonts w:ascii="Times New Roman" w:hAnsi="Times New Roman"/>
          <w:sz w:val="20"/>
        </w:rPr>
        <w:t xml:space="preserve">. The description of the Adviser and its respective principals and business in the Registration Statement, Pricing Disclosure Package and the Prospectus do not and will not contain an untrue statement of a material fact or omit to state a material fact required to be stated therein or necessary to make the statements therein, in the light of the circumstances under which they were made, not misleading. </w:t>
      </w:r>
    </w:p>
    <w:p>
      <w:pPr>
        <w:pStyle w:val="TextBody"/>
        <w:bidi w:val="0"/>
        <w:spacing w:before="120" w:after="0"/>
        <w:jc w:val="left"/>
        <w:rPr>
          <w:rFonts w:ascii="Times New Roman" w:hAnsi="Times New Roman"/>
          <w:sz w:val="20"/>
        </w:rPr>
      </w:pPr>
      <w:r>
        <w:rPr>
          <w:rFonts w:ascii="Times New Roman" w:hAnsi="Times New Roman"/>
          <w:sz w:val="20"/>
        </w:rPr>
        <w:t xml:space="preserve">(l) </w:t>
      </w:r>
      <w:r>
        <w:rPr>
          <w:rFonts w:ascii="Times New Roman" w:hAnsi="Times New Roman"/>
          <w:i/>
          <w:sz w:val="20"/>
        </w:rPr>
        <w:t>Financial Resources</w:t>
      </w:r>
      <w:r>
        <w:rPr>
          <w:rFonts w:ascii="Times New Roman" w:hAnsi="Times New Roman"/>
          <w:sz w:val="20"/>
        </w:rPr>
        <w:t xml:space="preserve">. The Adviser has the financial resources available to it necessary for the performance of its services and obligations contemplated in the Pricing Disclosure Package, the Prospectus, and under this Agreement, the Investment Management Agreement and the Administration Agreement. </w:t>
      </w:r>
    </w:p>
    <w:p>
      <w:pPr>
        <w:pStyle w:val="TextBody"/>
        <w:bidi w:val="0"/>
        <w:spacing w:before="120" w:after="0"/>
        <w:jc w:val="left"/>
        <w:rPr>
          <w:rFonts w:ascii="Times New Roman" w:hAnsi="Times New Roman"/>
          <w:sz w:val="20"/>
        </w:rPr>
      </w:pPr>
      <w:r>
        <w:rPr>
          <w:rFonts w:ascii="Times New Roman" w:hAnsi="Times New Roman"/>
          <w:sz w:val="20"/>
        </w:rPr>
        <w:t xml:space="preserve">(m) </w:t>
      </w:r>
      <w:r>
        <w:rPr>
          <w:rFonts w:ascii="Times New Roman" w:hAnsi="Times New Roman"/>
          <w:i/>
          <w:sz w:val="20"/>
        </w:rPr>
        <w:t>Internal Controls</w:t>
      </w:r>
      <w:r>
        <w:rPr>
          <w:rFonts w:ascii="Times New Roman" w:hAnsi="Times New Roman"/>
          <w:sz w:val="20"/>
        </w:rPr>
        <w:t xml:space="preserve">. The Adviser maintains a system of internal accounting controls sufficient to provide reasonable assurance that (i) transactions are executed in accordance with its managements general or specific authorization and with the investment objectives, policies and restrictions of the Company and the applicable requirements of the Investment Company Act and the Code; (ii) transactions are recorded as necessary to permit preparation of the Companys financial statements in conformity with U.S. GAAP, to calculate net asset value, and to maintain asset accountability, and to maintain material compliance with the books and records requirements under the Investment Company Act; (iii) access to assets of the Company and its subsidiaries is permitted only in accordance with its managements general or specific authorization; and (iv) the recorded accountability for assets is compared with existing assets at reasonable intervals and appropriate action is taken with respect to any differences. </w:t>
      </w:r>
    </w:p>
    <w:p>
      <w:pPr>
        <w:pStyle w:val="TextBody"/>
        <w:bidi w:val="0"/>
        <w:spacing w:before="120" w:after="0"/>
        <w:jc w:val="left"/>
        <w:rPr>
          <w:rFonts w:ascii="Times New Roman" w:hAnsi="Times New Roman"/>
          <w:sz w:val="20"/>
        </w:rPr>
      </w:pPr>
      <w:r>
        <w:rPr>
          <w:rFonts w:ascii="Times New Roman" w:hAnsi="Times New Roman"/>
          <w:sz w:val="20"/>
        </w:rPr>
        <w:t xml:space="preserve">(n) </w:t>
      </w:r>
      <w:r>
        <w:rPr>
          <w:rFonts w:ascii="Times New Roman" w:hAnsi="Times New Roman"/>
          <w:i/>
          <w:sz w:val="20"/>
        </w:rPr>
        <w:t>No Unlawful Payments.</w:t>
      </w:r>
      <w:r>
        <w:rPr>
          <w:rFonts w:ascii="Times New Roman" w:hAnsi="Times New Roman"/>
          <w:sz w:val="20"/>
        </w:rPr>
        <w:t xml:space="preserve"> Neither the Adviser nor any of its subsidiaries nor any director, officer, or employee of the Adviser or any of its subsidiaries nor, to the knowledge of the Adviser, any agent, affiliate or other person associated with or acting on behalf of the Adviser or any of its subsidiaries has (i) used any funds for any unlawful contribution, gift, entertainment or other unlawful expense relating to political activity; (ii) made or taken an act in furtherance of an offer, promise or authorization of any direct or indirect unlawful payment or benefit to any foreign or domestic government or regulatory official or employee, including of any government-owned or controlled entity or of a public international organization, or any person acting in an official capacity for or on behalf of any of the foregoing, or any political party or party official or candidate for political office; (iii) violated or is in violation of any provision of the Anti-Corruption Laws; or (iv) made, offered, agreed, requested or taken an act in furtherance of any unlawful bribe or other unlawful benefit, including, without limitation, any rebate, payoff, influence payment, kickback or other unlawful or improper payment or benefit. The Adviser and its subsidiaries have instituted, maintain and enforce, and will continue to maintain and enforce, policies and procedures designed to promote and ensure compliance with all Anti-Corruption Laws.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 </w:t>
      </w:r>
      <w:r>
        <w:rPr>
          <w:rFonts w:ascii="Times New Roman" w:hAnsi="Times New Roman"/>
          <w:i/>
          <w:sz w:val="20"/>
        </w:rPr>
        <w:t>Compliance with Money Laundering Laws</w:t>
      </w:r>
      <w:r>
        <w:rPr>
          <w:rFonts w:ascii="Times New Roman" w:hAnsi="Times New Roman"/>
          <w:sz w:val="20"/>
        </w:rPr>
        <w:t xml:space="preserve">. The operations of the Adviser and its subsidiaries are and have been conducted at all times in compliance with applicable financial recordkeeping and reporting requirements, including those of the Anti-Money Laundering Laws of all jurisdictions having jurisdiction over the Adviser and its subsidiaries, and no action, suit or proceeding by or before any court or governmental or regulatory agency, authority or body or any arbitrator involving the Adviser or any of its subsidiaries with respect to the Anti-Money Laundering Laws of all jurisdictions having jurisdiction over the Adviser and its subsidiaries is pending or, to the knowledge of the Adviser, threatened. </w:t>
      </w:r>
    </w:p>
    <w:p>
      <w:pPr>
        <w:pStyle w:val="TextBody"/>
        <w:bidi w:val="0"/>
        <w:spacing w:before="120" w:after="0"/>
        <w:jc w:val="left"/>
        <w:rPr>
          <w:rFonts w:ascii="Times New Roman" w:hAnsi="Times New Roman"/>
          <w:sz w:val="20"/>
        </w:rPr>
      </w:pPr>
      <w:r>
        <w:rPr>
          <w:rFonts w:ascii="Times New Roman" w:hAnsi="Times New Roman"/>
          <w:sz w:val="20"/>
        </w:rPr>
        <w:t xml:space="preserve">(p) </w:t>
      </w:r>
      <w:r>
        <w:rPr>
          <w:rFonts w:ascii="Times New Roman" w:hAnsi="Times New Roman"/>
          <w:i/>
          <w:sz w:val="20"/>
        </w:rPr>
        <w:t>No Conflicts with Sanctions Laws.</w:t>
      </w:r>
      <w:r>
        <w:rPr>
          <w:rFonts w:ascii="Times New Roman" w:hAnsi="Times New Roman"/>
          <w:sz w:val="20"/>
        </w:rPr>
        <w:t xml:space="preserve"> Neither the Adviser nor any of its subsidiaries, directors, officers or employees, nor, to the knowledge of the Adviser, any agent, or affiliate or other person associated with or acting on behalf of the Adviser or any of its subsidiaries is currently the subject or the target of any Sanctions, nor is the Adviser, any of its subsidiaries located, organized or resident in a Sanctioned Territory. Since the inception of the Adviser, the Adviser and its subsidiaries have not knowingly engaged in, and are not now knowingly engaged in, any dealings or transactions with any person that at the time of the dealing or transaction is or was a Sanctioned Person or with any Sanctioned Territory. </w:t>
      </w:r>
    </w:p>
    <w:p>
      <w:pPr>
        <w:pStyle w:val="TextBody"/>
        <w:bidi w:val="0"/>
        <w:spacing w:before="120" w:after="0"/>
        <w:jc w:val="left"/>
        <w:rPr>
          <w:rFonts w:ascii="Times New Roman" w:hAnsi="Times New Roman"/>
          <w:sz w:val="20"/>
        </w:rPr>
      </w:pPr>
      <w:r>
        <w:rPr>
          <w:rFonts w:ascii="Times New Roman" w:hAnsi="Times New Roman"/>
          <w:sz w:val="20"/>
        </w:rPr>
        <w:t xml:space="preserve">(q) </w:t>
      </w:r>
      <w:r>
        <w:rPr>
          <w:rFonts w:ascii="Times New Roman" w:hAnsi="Times New Roman"/>
          <w:i/>
          <w:sz w:val="20"/>
        </w:rPr>
        <w:t>No Stabilization or Manipulation.</w:t>
      </w:r>
      <w:r>
        <w:rPr>
          <w:rFonts w:ascii="Times New Roman" w:hAnsi="Times New Roman"/>
          <w:sz w:val="20"/>
        </w:rPr>
        <w:t xml:space="preserve"> The Adviser has not taken, directly or indirectly, without giving effect to any activities by the Underwriters, any action designed to or that would reasonably be expected to cause or result in any stabilization or manipulation of the price of the Securities, other than permitted activity pursuant to Regulation M and Rule 10b-18 under the Exchange Act. </w:t>
      </w:r>
    </w:p>
    <w:p>
      <w:pPr>
        <w:pStyle w:val="TextBody"/>
        <w:bidi w:val="0"/>
        <w:spacing w:before="120" w:after="0"/>
        <w:jc w:val="left"/>
        <w:rPr>
          <w:rFonts w:ascii="Times New Roman" w:hAnsi="Times New Roman"/>
          <w:sz w:val="20"/>
        </w:rPr>
      </w:pPr>
      <w:r>
        <w:rPr>
          <w:rFonts w:ascii="Times New Roman" w:hAnsi="Times New Roman"/>
          <w:sz w:val="20"/>
        </w:rPr>
        <w:t xml:space="preserve">(r) </w:t>
      </w:r>
      <w:r>
        <w:rPr>
          <w:rFonts w:ascii="Times New Roman" w:hAnsi="Times New Roman"/>
          <w:i/>
          <w:sz w:val="20"/>
        </w:rPr>
        <w:t xml:space="preserve">Key Employees. </w:t>
      </w:r>
      <w:r>
        <w:rPr>
          <w:rFonts w:ascii="Times New Roman" w:hAnsi="Times New Roman"/>
          <w:sz w:val="20"/>
        </w:rPr>
        <w:t xml:space="preserve">The Adviser is not aware that (i) any of its executives, key employees or significant group of employees plans to terminate employment with the Adviser or (ii) any such executive or key employee is subject to any noncompete, nondisclosure, confidentiality, employment, consulting or similar agreement that would be violated by either the Advisers present or proposed business activities, except, in each case, as would not reasonably be expected, individually or in the aggregate, to have an Adviser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(s) </w:t>
      </w:r>
      <w:r>
        <w:rPr>
          <w:rFonts w:ascii="Times New Roman" w:hAnsi="Times New Roman"/>
          <w:i/>
          <w:sz w:val="20"/>
        </w:rPr>
        <w:t>No Labor Disputes.</w:t>
      </w:r>
      <w:r>
        <w:rPr>
          <w:rFonts w:ascii="Times New Roman" w:hAnsi="Times New Roman"/>
          <w:sz w:val="20"/>
        </w:rPr>
        <w:t xml:space="preserve"> No labor disturbance by or dispute with employees of the Adviser or any of its subsidiaries exists or, to the knowledge of the Adviser, is contemplated or threatened, and the Adviser is not aware of any existing or imminent labor disturbance by, or dispute with, the employees or any of its or its subsidiaries principal suppliers, contractors or customers, except in each case as would not reasonably be expected to have an Adviser Material Adverse Effect.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5. </w:t>
      </w:r>
      <w:r>
        <w:rPr>
          <w:rFonts w:ascii="Times New Roman" w:hAnsi="Times New Roman"/>
          <w:sz w:val="20"/>
          <w:u w:val="single"/>
        </w:rPr>
        <w:t>Further Agreements of the Company</w:t>
      </w:r>
      <w:r>
        <w:rPr>
          <w:rFonts w:ascii="Times New Roman" w:hAnsi="Times New Roman"/>
          <w:sz w:val="20"/>
        </w:rPr>
        <w:t xml:space="preserve">. The Company covenants and agrees with each Underwriter that: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Required Filings.</w:t>
      </w:r>
      <w:r>
        <w:rPr>
          <w:rFonts w:ascii="Times New Roman" w:hAnsi="Times New Roman"/>
          <w:sz w:val="20"/>
        </w:rPr>
        <w:t xml:space="preserve"> The Company will file the final Prospectus with the Commission within the time periods specified by Rule 424(b) and Rule 430B or Rule 430C under the Securities Act; will file promptly all reports and any definitive proxy or information statements required to be filed by the Company with the Commission pursuant to Section 13(a), 13(c), 14 or 15(d) of the Exchange Act subsequent to the date of the Prospectus and for so long as the delivery of a prospectus is required in connection with the offering or sale of the Securities; and will furnish electronic copies of the Prospectus to the Underwriters in New York City prior to 5:00 P.M., New York City time, on the business day next succeeding the date of this Agreement, with written copies of the Prospectus to follow as soon as practicable but in no event later than 5:00 P.M., New York City time, on the second business day succeeding the date of this Agreement in such quantities as the Representative may reasonably request.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Delivery of Copies.</w:t>
      </w:r>
      <w:r>
        <w:rPr>
          <w:rFonts w:ascii="Times New Roman" w:hAnsi="Times New Roman"/>
          <w:sz w:val="20"/>
        </w:rPr>
        <w:t xml:space="preserve"> The Company will deliver, without charge, (i) to the Representative, electronic signed copies of the Registration Statement as originally filed and each amendment thereto, in each case including all exhibits and consents filed therewith; and (ii) to each Underwriter (A) a conformed copy of the Registration Statement as originally filed and each amendment thereto (without exhibits) and (B) during the Prospectus Delivery Period (as defined below), as many copies of the Prospectus as the Representative may reasonably request. As used herein, the term Prospectus Delivery Period means such period of time after the first date of the public offering of the Securities as in the opinion of counsel for the Underwriters a prospectus relating to the Securities is required by law to be delivered in connection with sales of the Securities by any Underwriter or dealer.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Amendments or Supplements.</w:t>
      </w:r>
      <w:r>
        <w:rPr>
          <w:rFonts w:ascii="Times New Roman" w:hAnsi="Times New Roman"/>
          <w:sz w:val="20"/>
        </w:rPr>
        <w:t xml:space="preserve"> Before using, authorizing, approving, referring to or filing any amendment or supplement to the Registration Statement or the Prospectus, the Company will furnish to the Representative and counsel for the Underwriters a copy of the proposed amendment or supplement for review and will not use, authorize, approve, refer to or file any such proposed amendment or supplement to which the Representative reasonably objects in a timely manner. </w:t>
      </w:r>
    </w:p>
    <w:p>
      <w:pPr>
        <w:pStyle w:val="TextBody"/>
        <w:bidi w:val="0"/>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Marketing Materials</w:t>
      </w:r>
      <w:r>
        <w:rPr>
          <w:rFonts w:ascii="Times New Roman" w:hAnsi="Times New Roman"/>
          <w:sz w:val="20"/>
        </w:rPr>
        <w:t xml:space="preserve">. Before using, authorizing, approving, referring to or distributing any Marketing Materials, the Company will furnish to the Representative and counsel for the Underwriters a copy of such materials for review and will not use, authorize, approve, refer to or distribute any such materials to which the Representative reasonably objects in a timely manner. </w:t>
      </w:r>
    </w:p>
    <w:p>
      <w:pPr>
        <w:pStyle w:val="TextBody"/>
        <w:bidi w:val="0"/>
        <w:spacing w:before="120" w:after="0"/>
        <w:jc w:val="left"/>
        <w:rPr>
          <w:rFonts w:ascii="Times New Roman" w:hAnsi="Times New Roman"/>
          <w:sz w:val="20"/>
        </w:rPr>
      </w:pPr>
      <w:r>
        <w:rPr>
          <w:rFonts w:ascii="Times New Roman" w:hAnsi="Times New Roman"/>
          <w:sz w:val="20"/>
        </w:rPr>
        <w:t xml:space="preserve">(e) </w:t>
      </w:r>
      <w:r>
        <w:rPr>
          <w:rFonts w:ascii="Times New Roman" w:hAnsi="Times New Roman"/>
          <w:i/>
          <w:sz w:val="20"/>
        </w:rPr>
        <w:t>Notice to the Representative.</w:t>
      </w:r>
      <w:r>
        <w:rPr>
          <w:rFonts w:ascii="Times New Roman" w:hAnsi="Times New Roman"/>
          <w:sz w:val="20"/>
        </w:rPr>
        <w:t xml:space="preserve"> The Company will advise the Representative promptly, and confirm such advice in writing, (i) when any amendment to the Registration Statement has been filed or becomes effective; (ii) when any supplement to the Prospectus or any amendment to the Prospectus has been filed or distributed; (iii) of any request by the Commission for any amendment to the Registration Statement or any amendment or supplement to the Prospectus or the receipt of any comments from the Commission relating to the Registration Statement or any other request by the Commission for any additional information; (iv) of the issuance by the Commission of any order suspending the effectiveness of the Registration Statement or preventing or suspending the use of any Preliminary Prospectus, the Pricing Disclosure Package, any Marketing Materials or the Prospectus or the initiation or threatening of any proceeding for that purpose or pursuant to Section 8A of the Securities 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(v) of the occurrence of any event or development within the Prospectus Delivery Period as a result of which the Prospectus, the Pricing Disclosure Package or any Marketing Materials, as then amended or supplemented, would include any untrue statement of a material fact or omit to state a material fact necessary in order to make the statements therein, in the light of the circumstances existing when the Prospectus, the Pricing Disclosure Package or any Marketing Materials is delivered to a purchaser, not misleading; and (vi) of the receipt by the Company of any notice with respect to any suspension of the qualification of the Securities for offer and sale in any jurisdiction or the initiation or threatening of any proceeding for such purpose; and the Company will use commercially reasonable efforts to prevent the issuance of any such order suspending the effectiveness of the Registration Statement, preventing or suspending the use of any Preliminary Prospectus, any of the Pricing Disclosure Package, any Marketing Materials or the Prospectus or suspending any such qualification of the Securities and, if any such order is issued, will use commercially reasonable efforts to obtain as soon as possible the withdrawal thereof. </w:t>
      </w:r>
    </w:p>
    <w:p>
      <w:pPr>
        <w:pStyle w:val="TextBody"/>
        <w:bidi w:val="0"/>
        <w:spacing w:before="120" w:after="0"/>
        <w:jc w:val="left"/>
        <w:rPr>
          <w:rFonts w:ascii="Times New Roman" w:hAnsi="Times New Roman"/>
          <w:sz w:val="20"/>
        </w:rPr>
      </w:pPr>
      <w:r>
        <w:rPr>
          <w:rFonts w:ascii="Times New Roman" w:hAnsi="Times New Roman"/>
          <w:sz w:val="20"/>
        </w:rPr>
        <w:t xml:space="preserve">(f) </w:t>
      </w:r>
      <w:r>
        <w:rPr>
          <w:rFonts w:ascii="Times New Roman" w:hAnsi="Times New Roman"/>
          <w:i/>
          <w:sz w:val="20"/>
        </w:rPr>
        <w:t>Ongoing Compliance.</w:t>
      </w:r>
      <w:r>
        <w:rPr>
          <w:rFonts w:ascii="Times New Roman" w:hAnsi="Times New Roman"/>
          <w:sz w:val="20"/>
        </w:rPr>
        <w:t xml:space="preserve"> (1) If during the Prospectus Delivery Period (i) any event or development shall occur or condition shall exist as a result of which the Prospectus as then amended or supplemented would include any untrue statement of a material fact or omit to state any material fact necessary in order to make the statements therein, in the light of the circumstances existing when the Prospectus is delivered to a purchaser, not misleading or (ii) it is necessary to amend or supplement the Prospectus to comply with law, the Company will immediately notify the Underwriters thereof and forthwith prepare and, subject to paragraph (c) above, file with the Commission and furnish to the Underwriters and to such dealers as the Representative may designate such amendments or supplements to the Prospectus as may be necessary so that the statements in the Prospectus as so amended or supplemented will not, in the light of the circumstances existing when the Prospectus is delivered to a purchaser, be misleading or so that the Prospectus will comply with law and (2) if at any time prior to the Closing Date (i) any event or development shall occur or condition shall exist as a result of which the Pricing Disclosure Package as then amended or supplemented would include any untrue statement of a material fact or omit to state any material fact necessary in order to make the statements therein, in the light of the circumstances existing when the Pricing Disclosure Package is delivered to a purchaser, not misleading or (ii) it is necessary to amend or supplement the Pricing Disclosure Package to comply with law, the Company will immediately notify the Underwriters thereof and forthwith prepare and, subject to paragraph (c) above, file with the Commission (to the extent required) and furnish to the Underwriters and to such dealers as the Representative may designate such amendments or supplements to the Pricing Disclosure Package as may be necessary so that the statements in the Pricing Disclosure Package as so amended or supplemented will not, in the light of the circumstances existing when the Pricing Disclosure Package is delivered to a purchaser, be misleading or so that the Pricing Disclosure Package will comply with law. </w:t>
      </w:r>
    </w:p>
    <w:p>
      <w:pPr>
        <w:pStyle w:val="TextBody"/>
        <w:bidi w:val="0"/>
        <w:spacing w:before="120" w:after="0"/>
        <w:jc w:val="left"/>
        <w:rPr>
          <w:rFonts w:ascii="Times New Roman" w:hAnsi="Times New Roman"/>
          <w:sz w:val="20"/>
        </w:rPr>
      </w:pPr>
      <w:r>
        <w:rPr>
          <w:rFonts w:ascii="Times New Roman" w:hAnsi="Times New Roman"/>
          <w:sz w:val="20"/>
        </w:rPr>
        <w:t xml:space="preserve">(g) </w:t>
      </w:r>
      <w:r>
        <w:rPr>
          <w:rFonts w:ascii="Times New Roman" w:hAnsi="Times New Roman"/>
          <w:i/>
          <w:sz w:val="20"/>
        </w:rPr>
        <w:t>Blue Sky Compliance.</w:t>
      </w:r>
      <w:r>
        <w:rPr>
          <w:rFonts w:ascii="Times New Roman" w:hAnsi="Times New Roman"/>
          <w:sz w:val="20"/>
        </w:rPr>
        <w:t xml:space="preserve"> The Company will use commercially reasonable efforts, in cooperation with the Representative, to qualify the Securities for offer and sale under the securities or Blue Sky laws of such jurisdictions as the Representative shall reasonably request and will continue such qualifications in effect so long as required for distribution of the Securities; </w:t>
      </w:r>
      <w:r>
        <w:rPr>
          <w:rFonts w:ascii="Times New Roman" w:hAnsi="Times New Roman"/>
          <w:sz w:val="20"/>
          <w:u w:val="single"/>
        </w:rPr>
        <w:t>provided</w:t>
      </w:r>
      <w:r>
        <w:rPr>
          <w:rFonts w:ascii="Times New Roman" w:hAnsi="Times New Roman"/>
          <w:sz w:val="20"/>
        </w:rPr>
        <w:t xml:space="preserve"> that the Company shall not be required to (i) qualify as a foreign corporation or other entity or as a dealer in securities in any such jurisdiction where it would not otherwise be required to so qualify or (ii) file any general consent to service of process in any such jurisdiction.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(h) </w:t>
      </w:r>
      <w:r>
        <w:rPr>
          <w:rFonts w:ascii="Times New Roman" w:hAnsi="Times New Roman"/>
          <w:i/>
          <w:sz w:val="20"/>
        </w:rPr>
        <w:t xml:space="preserve">Earning Statement. </w:t>
      </w:r>
      <w:r>
        <w:rPr>
          <w:rFonts w:ascii="Times New Roman" w:hAnsi="Times New Roman"/>
          <w:sz w:val="20"/>
        </w:rPr>
        <w:t xml:space="preserve">The Company will make generally available to its security holders and the Representative as soon as practicable an earning statement that satisfies the provisions of Section 11(a) of the Securities Act and Rule 158 of the Commission promulgated thereunder covering a period of at least twelve months beginning after the effective date (as defined in Rule 158) of the Registration Statement; </w:t>
      </w:r>
      <w:r>
        <w:rPr>
          <w:rFonts w:ascii="Times New Roman" w:hAnsi="Times New Roman"/>
          <w:i/>
          <w:sz w:val="20"/>
        </w:rPr>
        <w:t>provided that</w:t>
      </w:r>
      <w:r>
        <w:rPr>
          <w:rFonts w:ascii="Times New Roman" w:hAnsi="Times New Roman"/>
          <w:sz w:val="20"/>
        </w:rPr>
        <w:t xml:space="preserve"> the Company will be deemed to have complied with such requirement by filing such an earning statement on the Commissions Electronic Data Gathering, Analysis, and Retrieval system (or any successor system) (EDGAR). </w:t>
      </w:r>
    </w:p>
    <w:p>
      <w:pPr>
        <w:pStyle w:val="TextBody"/>
        <w:bidi w:val="0"/>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i/>
          <w:sz w:val="20"/>
        </w:rPr>
        <w:t>Clear Market.</w:t>
      </w:r>
      <w:r>
        <w:rPr>
          <w:rFonts w:ascii="Times New Roman" w:hAnsi="Times New Roman"/>
          <w:sz w:val="20"/>
        </w:rPr>
        <w:t xml:space="preserve"> For a period of 30 days after the date of the Prospectus, the Company will not (i) offer, pledge, sell, contract to sell, sell any option or contract to purchase, purchase any option or contract to sell, grant any option, right or warrant to purchase, or otherwise transfer or dispose of, directly or indirectly, or file with the Commission a registration statement under the Securities Act relating to, any shares of Common Stock or any securities convertible into or exercisable or exchangeable for Common Stock, or publicly disclose the intention to make any such offer, sale, pledge, disposition or filing, or (ii) enter into any swap or other agreement that transfers, in whole or in part, any of the economic consequences of ownership of the Common Stock or any such other securities, whether any such transaction described in clause (i) or (ii) above is to be settled by delivery of Common Stock or such other securities, in cash or otherwise, without the prior written consent of the Representative on behalf of the Underwriters, other than the (A) Securities to be sold hereunder and (B) shares of Common Stock issued or delivered in connection with the Companys dividend reinvestment plan. </w:t>
      </w:r>
    </w:p>
    <w:p>
      <w:pPr>
        <w:pStyle w:val="TextBody"/>
        <w:bidi w:val="0"/>
        <w:spacing w:before="120" w:after="0"/>
        <w:jc w:val="left"/>
        <w:rPr>
          <w:rFonts w:ascii="Times New Roman" w:hAnsi="Times New Roman"/>
          <w:sz w:val="20"/>
        </w:rPr>
      </w:pPr>
      <w:r>
        <w:rPr>
          <w:rFonts w:ascii="Times New Roman" w:hAnsi="Times New Roman"/>
          <w:sz w:val="20"/>
        </w:rPr>
        <w:t xml:space="preserve">(j) </w:t>
      </w:r>
      <w:r>
        <w:rPr>
          <w:rFonts w:ascii="Times New Roman" w:hAnsi="Times New Roman"/>
          <w:i/>
          <w:sz w:val="20"/>
        </w:rPr>
        <w:t>Use of Proceeds</w:t>
      </w:r>
      <w:r>
        <w:rPr>
          <w:rFonts w:ascii="Times New Roman" w:hAnsi="Times New Roman"/>
          <w:sz w:val="20"/>
        </w:rPr>
        <w:t xml:space="preserve">. The Company will apply the net proceeds from the sale of the Securities in all material respects as described in the Pricing Disclosure Package and the Prospectus under the heading Use of Proceeds. </w:t>
      </w:r>
    </w:p>
    <w:p>
      <w:pPr>
        <w:pStyle w:val="TextBody"/>
        <w:bidi w:val="0"/>
        <w:spacing w:before="120" w:after="0"/>
        <w:jc w:val="left"/>
        <w:rPr>
          <w:rFonts w:ascii="Times New Roman" w:hAnsi="Times New Roman"/>
          <w:sz w:val="20"/>
        </w:rPr>
      </w:pPr>
      <w:r>
        <w:rPr>
          <w:rFonts w:ascii="Times New Roman" w:hAnsi="Times New Roman"/>
          <w:sz w:val="20"/>
        </w:rPr>
        <w:t xml:space="preserve">(k) </w:t>
      </w:r>
      <w:r>
        <w:rPr>
          <w:rFonts w:ascii="Times New Roman" w:hAnsi="Times New Roman"/>
          <w:i/>
          <w:sz w:val="20"/>
        </w:rPr>
        <w:t>No Stabilization or Manipulation.</w:t>
      </w:r>
      <w:r>
        <w:rPr>
          <w:rFonts w:ascii="Times New Roman" w:hAnsi="Times New Roman"/>
          <w:sz w:val="20"/>
        </w:rPr>
        <w:t xml:space="preserve"> The Company will not take, directly or indirectly, without giving effect to any activities by the Underwriters, any action designed, or that would reasonably be expected, to cause or result in any stabilization or manipulation of the price of the Common Stock. </w:t>
      </w:r>
    </w:p>
    <w:p>
      <w:pPr>
        <w:pStyle w:val="TextBody"/>
        <w:bidi w:val="0"/>
        <w:spacing w:before="120" w:after="0"/>
        <w:jc w:val="left"/>
        <w:rPr>
          <w:rFonts w:ascii="Times New Roman" w:hAnsi="Times New Roman"/>
          <w:sz w:val="20"/>
        </w:rPr>
      </w:pPr>
      <w:r>
        <w:rPr>
          <w:rFonts w:ascii="Times New Roman" w:hAnsi="Times New Roman"/>
          <w:sz w:val="20"/>
        </w:rPr>
        <w:t xml:space="preserve">(l) </w:t>
      </w:r>
      <w:r>
        <w:rPr>
          <w:rFonts w:ascii="Times New Roman" w:hAnsi="Times New Roman"/>
          <w:i/>
          <w:sz w:val="20"/>
        </w:rPr>
        <w:t>Exchange Listing.</w:t>
      </w:r>
      <w:r>
        <w:rPr>
          <w:rFonts w:ascii="Times New Roman" w:hAnsi="Times New Roman"/>
          <w:sz w:val="20"/>
        </w:rPr>
        <w:t xml:space="preserve"> The Company will use its best efforts to effect and maintain the listing of the Securities on the New York Stock Exchange. </w:t>
      </w:r>
    </w:p>
    <w:p>
      <w:pPr>
        <w:pStyle w:val="TextBody"/>
        <w:bidi w:val="0"/>
        <w:spacing w:before="120" w:after="0"/>
        <w:jc w:val="left"/>
        <w:rPr>
          <w:rFonts w:ascii="Times New Roman" w:hAnsi="Times New Roman"/>
          <w:sz w:val="20"/>
        </w:rPr>
      </w:pPr>
      <w:r>
        <w:rPr>
          <w:rFonts w:ascii="Times New Roman" w:hAnsi="Times New Roman"/>
          <w:sz w:val="20"/>
        </w:rPr>
        <w:t xml:space="preserve">(m) </w:t>
      </w:r>
      <w:r>
        <w:rPr>
          <w:rFonts w:ascii="Times New Roman" w:hAnsi="Times New Roman"/>
          <w:i/>
          <w:sz w:val="20"/>
        </w:rPr>
        <w:t>Reports.</w:t>
      </w:r>
      <w:r>
        <w:rPr>
          <w:rFonts w:ascii="Times New Roman" w:hAnsi="Times New Roman"/>
          <w:sz w:val="20"/>
        </w:rPr>
        <w:t xml:space="preserve"> For a period of one year from the date of this Agreement, so long as the Securities are outstanding, the Company will furnish to the Representative, as soon as commercially reasonable after the date they are available, copies of all reports or other communications (financial or other) furnished to holders of the Securities, and copies of any reports and financial statements furnished to or filed with the Commission or any national securities exchange or automatic quotation system; </w:t>
      </w:r>
      <w:r>
        <w:rPr>
          <w:rFonts w:ascii="Times New Roman" w:hAnsi="Times New Roman"/>
          <w:sz w:val="20"/>
          <w:u w:val="single"/>
        </w:rPr>
        <w:t>provided</w:t>
      </w:r>
      <w:r>
        <w:rPr>
          <w:rFonts w:ascii="Times New Roman" w:hAnsi="Times New Roman"/>
          <w:sz w:val="20"/>
        </w:rPr>
        <w:t xml:space="preserve"> the Company will be deemed to have furnished such reports and financial statements to the Representative to the extent they are filed on EDGAR.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 </w:t>
      </w:r>
      <w:r>
        <w:rPr>
          <w:rFonts w:ascii="Times New Roman" w:hAnsi="Times New Roman"/>
          <w:i/>
          <w:sz w:val="20"/>
        </w:rPr>
        <w:t>Business Development Company</w:t>
      </w:r>
      <w:r>
        <w:rPr>
          <w:rFonts w:ascii="Times New Roman" w:hAnsi="Times New Roman"/>
          <w:sz w:val="20"/>
        </w:rPr>
        <w:t xml:space="preserve">. The Company, during a period of twelve months from the date of the Prospectus, will use commercially reasonable efforts to maintain its status as a business development company under the Investment Company Act;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the Company may change the nature of its business so as to cease to be, or withdraw its election to be treated as, a business development company with the approval of its Board of Directors and a vote of stockholders as required by Section 58 of the Investment Company Act. </w:t>
      </w:r>
    </w:p>
    <w:p>
      <w:pPr>
        <w:pStyle w:val="TextBody"/>
        <w:bidi w:val="0"/>
        <w:spacing w:before="120" w:after="0"/>
        <w:jc w:val="left"/>
        <w:rPr>
          <w:rFonts w:ascii="Times New Roman" w:hAnsi="Times New Roman"/>
          <w:sz w:val="20"/>
        </w:rPr>
      </w:pPr>
      <w:r>
        <w:rPr>
          <w:rFonts w:ascii="Times New Roman" w:hAnsi="Times New Roman"/>
          <w:sz w:val="20"/>
        </w:rPr>
        <w:t xml:space="preserve">(o) </w:t>
      </w:r>
      <w:r>
        <w:rPr>
          <w:rFonts w:ascii="Times New Roman" w:hAnsi="Times New Roman"/>
          <w:i/>
          <w:sz w:val="20"/>
        </w:rPr>
        <w:t>Regulated Investment Company.</w:t>
      </w:r>
      <w:r>
        <w:rPr>
          <w:rFonts w:ascii="Times New Roman" w:hAnsi="Times New Roman"/>
          <w:sz w:val="20"/>
        </w:rPr>
        <w:t xml:space="preserve"> The Company will use commercially reasonable efforts to maintain in effect its qualification and election to be treated as a regulated investment company under Subchapter M of the Code for each taxable year during which it is a business development company under the Investment Company Act. </w:t>
      </w:r>
    </w:p>
    <w:p>
      <w:pPr>
        <w:pStyle w:val="TextBody"/>
        <w:bidi w:val="0"/>
        <w:spacing w:before="120" w:after="0"/>
        <w:jc w:val="left"/>
        <w:rPr>
          <w:rFonts w:ascii="Times New Roman" w:hAnsi="Times New Roman"/>
          <w:sz w:val="20"/>
        </w:rPr>
      </w:pPr>
      <w:r>
        <w:rPr>
          <w:rFonts w:ascii="Times New Roman" w:hAnsi="Times New Roman"/>
          <w:sz w:val="20"/>
        </w:rPr>
        <w:t xml:space="preserve">(p) </w:t>
      </w:r>
      <w:r>
        <w:rPr>
          <w:rFonts w:ascii="Times New Roman" w:hAnsi="Times New Roman"/>
          <w:i/>
          <w:sz w:val="20"/>
        </w:rPr>
        <w:t>Annual Compliance Reviews</w:t>
      </w:r>
      <w:r>
        <w:rPr>
          <w:rFonts w:ascii="Times New Roman" w:hAnsi="Times New Roman"/>
          <w:sz w:val="20"/>
        </w:rPr>
        <w:t xml:space="preserve">. The Company will retain qualified accountants and qualified tax experts (i) to test procedures and conduct annual compliance reviews designed to determine compliance with the regulated investment company provisions of the Code and the Companys exempt status under the Investment Company Act and (ii) to otherwise assist the Company in monitoring appropriate accounting systems and procedures designed to determine compliance with the regulated investment company provisions of the Code and the Companys exempt status under the Investment Company Act. </w:t>
      </w:r>
    </w:p>
    <w:p>
      <w:pPr>
        <w:pStyle w:val="TextBody"/>
        <w:bidi w:val="0"/>
        <w:spacing w:before="120" w:after="0"/>
        <w:jc w:val="left"/>
        <w:rPr>
          <w:rFonts w:ascii="Times New Roman" w:hAnsi="Times New Roman"/>
          <w:sz w:val="20"/>
        </w:rPr>
      </w:pPr>
      <w:r>
        <w:rPr>
          <w:rFonts w:ascii="Times New Roman" w:hAnsi="Times New Roman"/>
          <w:sz w:val="20"/>
        </w:rPr>
        <w:t xml:space="preserve">(q) </w:t>
      </w:r>
      <w:r>
        <w:rPr>
          <w:rFonts w:ascii="Times New Roman" w:hAnsi="Times New Roman"/>
          <w:i/>
          <w:sz w:val="20"/>
        </w:rPr>
        <w:t>Issuer Free Writing Prospectus</w:t>
      </w:r>
      <w:r>
        <w:rPr>
          <w:rFonts w:ascii="Times New Roman" w:hAnsi="Times New Roman"/>
          <w:sz w:val="20"/>
        </w:rPr>
        <w:t xml:space="preserve">. The Company represents and agrees that, without the prior consent of the Representative (i) it will not distribute any offering material other than the Registration Statement, the Pricing Disclosure Package, the Prospectus or the information set forth on Schedule 1 hereto, and (ii) it has not made and will not make any offer relating to the Securities that would constitute a free writing prospectus as defined in Rule 405 under the Securities Act (other than for the information set forth on Schedule 1 hereto), and which the parties agree, for the purposes of this Agreement, includes (x) any advertisement as defined in Rule 482 under the Securities Act; and (y) any sales literature, materials or information provided to investors by, or with the approval of, the Company in connection with the marketing of the offering of the Securities, including any in-person roadshow or investor presentations (including slides and scripts relating thereto) made to investors by or on behalf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6. </w:t>
      </w:r>
      <w:r>
        <w:rPr>
          <w:rFonts w:ascii="Times New Roman" w:hAnsi="Times New Roman"/>
          <w:sz w:val="20"/>
          <w:u w:val="single"/>
        </w:rPr>
        <w:t>Certain Agreements of the Underwriters</w:t>
      </w:r>
      <w:r>
        <w:rPr>
          <w:rFonts w:ascii="Times New Roman" w:hAnsi="Times New Roman"/>
          <w:sz w:val="20"/>
        </w:rPr>
        <w:t xml:space="preserve">. Each Underwriter hereby represents, warrants and agrees that: </w:t>
      </w:r>
    </w:p>
    <w:p>
      <w:pPr>
        <w:pStyle w:val="TextBody"/>
        <w:bidi w:val="0"/>
        <w:spacing w:before="120" w:after="0"/>
        <w:jc w:val="left"/>
        <w:rPr>
          <w:rFonts w:ascii="Times New Roman" w:hAnsi="Times New Roman"/>
          <w:sz w:val="20"/>
        </w:rPr>
      </w:pPr>
      <w:r>
        <w:rPr>
          <w:rFonts w:ascii="Times New Roman" w:hAnsi="Times New Roman"/>
          <w:sz w:val="20"/>
        </w:rPr>
        <w:t xml:space="preserve">(a) Without the prior written consent of the Company, it has not used, authorized use of, referred to or participated in the planning for the use of, and will not use, authorize the use of, refer to or participate in the planning for the use of, any written information concerning the offering of the Securities other than materials contained in the Pricing Disclosure Package, any Marketing Materials, the Prospectus or any other offering materials prepared by or with the prior written consent of the Company. </w:t>
      </w:r>
    </w:p>
    <w:p>
      <w:pPr>
        <w:pStyle w:val="TextBody"/>
        <w:bidi w:val="0"/>
        <w:spacing w:before="120" w:after="0"/>
        <w:jc w:val="left"/>
        <w:rPr>
          <w:rFonts w:ascii="Times New Roman" w:hAnsi="Times New Roman"/>
          <w:sz w:val="20"/>
        </w:rPr>
      </w:pPr>
      <w:r>
        <w:rPr>
          <w:rFonts w:ascii="Times New Roman" w:hAnsi="Times New Roman"/>
          <w:sz w:val="20"/>
        </w:rPr>
        <w:t xml:space="preserve">(b) It is not subject to any pending proceeding under Section 8A of the Securities Act with respect to the offering contemplated by this Agreement (and will promptly notify the Company if any such proceeding against it is initiated during the Prospectus Delivery Period).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7. </w:t>
      </w:r>
      <w:r>
        <w:rPr>
          <w:rFonts w:ascii="Times New Roman" w:hAnsi="Times New Roman"/>
          <w:sz w:val="20"/>
          <w:u w:val="single"/>
        </w:rPr>
        <w:t>Conditions of Underwriters Obligations.</w:t>
      </w:r>
      <w:r>
        <w:rPr>
          <w:rFonts w:ascii="Times New Roman" w:hAnsi="Times New Roman"/>
          <w:sz w:val="20"/>
        </w:rPr>
        <w:t xml:space="preserve"> The obligation of each Underwriter to purchase the Initial Securities on the Closing Date or the Option Securities on the Closing Date or the Additional Closing Date, as the case may be, as provided herein is subject to the performance by the Company of its covenants and other obligations hereunder and to the following additional conditions: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Registration Compliance; No Stop Order.</w:t>
      </w:r>
      <w:r>
        <w:rPr>
          <w:rFonts w:ascii="Times New Roman" w:hAnsi="Times New Roman"/>
          <w:sz w:val="20"/>
        </w:rPr>
        <w:t xml:space="preserve"> No order suspending the effectiveness of the Registration Statement or any post-effective amendment thereto shall be in effect, and no proceeding for such purpose or pursuant to Section 8A under the Securities Act shall be pending before or threatened by the Commission; the Prospectus shall have been timely filed with the Commission under the Securities Act and in accordance with Section 5(a) hereof; and all requests by the Commission for additional information shall have been complied with to the reasonable satisfaction of the Representative.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Representations and Warranties.</w:t>
      </w:r>
      <w:r>
        <w:rPr>
          <w:rFonts w:ascii="Times New Roman" w:hAnsi="Times New Roman"/>
          <w:sz w:val="20"/>
        </w:rPr>
        <w:t xml:space="preserve"> The representations and warranties of the Company and the Adviser contained herein shall be true and correct on the date hereof and on and as of the Closing Date or the Additional Closing Date, as the case may be; and the statements of the Company and its officers made in any certificates delivered pursuant to this Agreement shall be true and correct on and as of the Closing Date or the Additional Closing Date, as the case may be.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No Material Adverse Change.</w:t>
      </w:r>
      <w:r>
        <w:rPr>
          <w:rFonts w:ascii="Times New Roman" w:hAnsi="Times New Roman"/>
          <w:sz w:val="20"/>
        </w:rPr>
        <w:t xml:space="preserve"> No event or condition of a type described in Section 3(h) and Section 4(a) hereof shall have occurred or shall exist, which event or condition is not described in the Pricing Disclosure Package (excluding any amendment or supplement thereto) and the Prospectus (excluding any amendment or supplement thereto) and the effect of which in the judgment of the Representative makes it impracticable or inadvisable to proceed with the offering, sale or delivery of the Securities on the Closing Date or the Additional Closing Date, as the case may be, on the terms and in the manner contemplated by this Agreement, the Pricing Disclosure Package and the Prospectus. </w:t>
      </w:r>
    </w:p>
    <w:p>
      <w:pPr>
        <w:pStyle w:val="TextBody"/>
        <w:bidi w:val="0"/>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Companys Officers Certificate.</w:t>
      </w:r>
      <w:r>
        <w:rPr>
          <w:rFonts w:ascii="Times New Roman" w:hAnsi="Times New Roman"/>
          <w:sz w:val="20"/>
        </w:rPr>
        <w:t xml:space="preserve"> The Representative shall have received on and as of the Closing Date or the Additional Closing Date, as the case may be, a certificate, which shall be delivered on behalf of the Company and not the signatories in their individual capacity, of the chief financial officer or chief accounting officer of the Company and one additional senior executive officer of the Company who is reasonably satisfactory to the Representative (i) confirming that such officers have carefully reviewed the Registration Statement, the Pricing Disclosure Package and the Prospectus, (ii) confirming that, to the knowledge of such officers, the representations and warranties of the Company in Sections 3(b), 3(c) and 3(e) hereof are true and correct, (iii) confirming that, to the knowledge of such officers, the other representations and warranties of the Company in this Agreement are true and correct and that the Company has complied with all agreements and satisfied all conditions on its part to be performed or satisfied hereunder at or prior to the Closing Date or the Additional Closing Date, as the case may be, and (iv) to the effect set forth in paragraph (a) above and, with respect to the Company and its subsidiaries, to the effect set forth in paragraph (c) above.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w:t>
      </w:r>
      <w:r>
        <w:rPr>
          <w:rFonts w:ascii="Times New Roman" w:hAnsi="Times New Roman"/>
          <w:i/>
          <w:sz w:val="20"/>
        </w:rPr>
        <w:t>Advisers Officers Certificate.</w:t>
      </w:r>
      <w:r>
        <w:rPr>
          <w:rFonts w:ascii="Times New Roman" w:hAnsi="Times New Roman"/>
          <w:sz w:val="20"/>
        </w:rPr>
        <w:t xml:space="preserve"> The Representative shall have received on and as of the Closing Date or the Additional Closing Date, as the case may be, a certificate, which shall be delivered on behalf of the Adviser and not the signatories in their individual capacity, from the two appropriate senior officers of the Adviser reasonably satisfactory to the Representative (i) confirming that the representations and warranties of the Adviser in this Agreement are true and correct and that the Adviser has complied with all agreements and satisfied all conditions on its part to be performed or satisfied hereunder at or prior to the Closing Date or the Additional Closing Date, as the case may be, and (ii) with respect to the Adviser and its subsidiaries, to the effect set forth in paragraph (c) above. </w:t>
      </w:r>
    </w:p>
    <w:p>
      <w:pPr>
        <w:pStyle w:val="TextBody"/>
        <w:bidi w:val="0"/>
        <w:spacing w:before="120" w:after="0"/>
        <w:jc w:val="left"/>
        <w:rPr>
          <w:rFonts w:ascii="Times New Roman" w:hAnsi="Times New Roman"/>
          <w:sz w:val="20"/>
        </w:rPr>
      </w:pPr>
      <w:r>
        <w:rPr>
          <w:rFonts w:ascii="Times New Roman" w:hAnsi="Times New Roman"/>
          <w:sz w:val="20"/>
        </w:rPr>
        <w:t xml:space="preserve">(f) </w:t>
      </w:r>
      <w:r>
        <w:rPr>
          <w:rFonts w:ascii="Times New Roman" w:hAnsi="Times New Roman"/>
          <w:i/>
          <w:sz w:val="20"/>
        </w:rPr>
        <w:t>Comfort Letters.</w:t>
      </w:r>
      <w:r>
        <w:rPr>
          <w:rFonts w:ascii="Times New Roman" w:hAnsi="Times New Roman"/>
          <w:sz w:val="20"/>
        </w:rPr>
        <w:t xml:space="preserve"> On the date of this Agreement and on the Closing Date or the Additional Closing Date, as the case may be KPMG LLP shall have furnished to the Representative, at the request of the Company, letters, dated the respective dates of delivery thereof and addressed to the Underwriters, in form and substance reasonably satisfactory to the Representative, containing statements and information of the type customarily included in accountants comfort letters to underwriters with respect to the financial statements and certain financial information included or incorporated by reference in the Registration Statement, the Pricing Disclosure Package and the Prospectus; provided, that the letter delivered on the Closing Date or the Additional Closing Date, as the case may be, shall use a cut-off date no more than three business days prior to the Closing Date or such Additional Closing Date, as the case may be. </w:t>
      </w:r>
    </w:p>
    <w:p>
      <w:pPr>
        <w:pStyle w:val="TextBody"/>
        <w:bidi w:val="0"/>
        <w:spacing w:before="120" w:after="0"/>
        <w:jc w:val="left"/>
        <w:rPr>
          <w:rFonts w:ascii="Times New Roman" w:hAnsi="Times New Roman"/>
          <w:sz w:val="20"/>
        </w:rPr>
      </w:pPr>
      <w:r>
        <w:rPr>
          <w:rFonts w:ascii="Times New Roman" w:hAnsi="Times New Roman"/>
          <w:sz w:val="20"/>
        </w:rPr>
        <w:t xml:space="preserve">(g) </w:t>
      </w:r>
      <w:r>
        <w:rPr>
          <w:rFonts w:ascii="Times New Roman" w:hAnsi="Times New Roman"/>
          <w:i/>
          <w:sz w:val="20"/>
        </w:rPr>
        <w:t>Opinion and 10b-5 Statement of Counsel for the Company and Adviser.</w:t>
      </w:r>
      <w:r>
        <w:rPr>
          <w:rFonts w:ascii="Times New Roman" w:hAnsi="Times New Roman"/>
          <w:sz w:val="20"/>
        </w:rPr>
        <w:t xml:space="preserve"> Simpson Thacher &amp; Bartlett LLP, counsel for the Company and the Adviser, shall have furnished to the Representative, at the request of the Company and the Adviser, their written opinions and 10b-5 letter, dated the Closing Date or the Additional Closing Date, as the case may be, and addressed to the Underwriters, in form and substance reasonably satisfactory to the Representative. Morris, Nichols, Arsht &amp; Tunnell LLP, Delaware counsel for the Adviser, shall have furnished to the Representative, at the request of the Company and the Adviser, their written opinion, dated the Closing Date or the Additional Closing Date, as the case may be, and addressed to the Underwriters, in form and substance reasonably satisfactory to the Representative. In-house counsel to the Company and the Adviser, shall have furnished to the Representative its written opinion, dated the Closing Date or the Additional Closing Date, as the case may be, and addressed to the Underwriters, in form and substance reasonably satisfactory to the Representative. </w:t>
      </w:r>
    </w:p>
    <w:p>
      <w:pPr>
        <w:pStyle w:val="TextBody"/>
        <w:bidi w:val="0"/>
        <w:spacing w:before="120" w:after="0"/>
        <w:jc w:val="left"/>
        <w:rPr>
          <w:rFonts w:ascii="Times New Roman" w:hAnsi="Times New Roman"/>
          <w:sz w:val="20"/>
        </w:rPr>
      </w:pPr>
      <w:r>
        <w:rPr>
          <w:rFonts w:ascii="Times New Roman" w:hAnsi="Times New Roman"/>
          <w:sz w:val="20"/>
        </w:rPr>
        <w:t xml:space="preserve">(h) </w:t>
      </w:r>
      <w:r>
        <w:rPr>
          <w:rFonts w:ascii="Times New Roman" w:hAnsi="Times New Roman"/>
          <w:i/>
          <w:sz w:val="20"/>
        </w:rPr>
        <w:t>Opinion and 10b-5 Statement of Counsel for the Underwriters.</w:t>
      </w:r>
      <w:r>
        <w:rPr>
          <w:rFonts w:ascii="Times New Roman" w:hAnsi="Times New Roman"/>
          <w:sz w:val="20"/>
        </w:rPr>
        <w:t xml:space="preserve"> The Representative shall have received on and as of the Closing Date or the Additional Closing Date, as the case may be, an opinion and 10b-5 statement of Ropes &amp; Gray LLP, counsel for the Underwriters, with respect to such matters as the Representative may reasonably request, and such counsel shall have received such documents and information as they may reasonably request to enable them to pass upon such matters. </w:t>
      </w:r>
    </w:p>
    <w:p>
      <w:pPr>
        <w:pStyle w:val="TextBody"/>
        <w:bidi w:val="0"/>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i/>
          <w:sz w:val="20"/>
        </w:rPr>
        <w:t>No Legal Impediment to Issuance.</w:t>
      </w:r>
      <w:r>
        <w:rPr>
          <w:rFonts w:ascii="Times New Roman" w:hAnsi="Times New Roman"/>
          <w:sz w:val="20"/>
        </w:rPr>
        <w:t xml:space="preserve"> No action shall have been taken and no statute, rule, regulation or order shall have been enacted, adopted or issued by any federal, state or foreign governmental or regulatory authority that would, as of the Closing Date or the Additional Closing Date, as the case may be, prevent the issuance and sale of the Securities; and no injunction or order of any federal, state or foreign court shall have been issued that would, as of the Closing Date or the Additional Closing Date, as the case may be, prevent the issuance and sale of the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(j) </w:t>
      </w:r>
      <w:r>
        <w:rPr>
          <w:rFonts w:ascii="Times New Roman" w:hAnsi="Times New Roman"/>
          <w:i/>
          <w:sz w:val="20"/>
        </w:rPr>
        <w:t>Good Standing</w:t>
      </w:r>
      <w:r>
        <w:rPr>
          <w:rFonts w:ascii="Times New Roman" w:hAnsi="Times New Roman"/>
          <w:sz w:val="20"/>
        </w:rPr>
        <w:t xml:space="preserve">. The Representative shall have received on and as of the Closing Date or the Additional Closing Date, as the case may be, reasonably satisfactory evidence of the good standing of the Company and its subsidiaries in their respective jurisdictions of organization and their good standing as foreign entities in such other jurisdictions as the Representative may reasonably request, in each case in writing or any standard form of telecommunication from the appropriate governmental authorities of such jurisdictions. </w:t>
      </w:r>
    </w:p>
    <w:p>
      <w:pPr>
        <w:pStyle w:val="TextBody"/>
        <w:bidi w:val="0"/>
        <w:spacing w:before="120" w:after="0"/>
        <w:jc w:val="left"/>
        <w:rPr>
          <w:rFonts w:ascii="Times New Roman" w:hAnsi="Times New Roman"/>
          <w:sz w:val="20"/>
        </w:rPr>
      </w:pPr>
      <w:r>
        <w:rPr>
          <w:rFonts w:ascii="Times New Roman" w:hAnsi="Times New Roman"/>
          <w:sz w:val="20"/>
        </w:rPr>
        <w:t xml:space="preserve">(k) </w:t>
      </w:r>
      <w:r>
        <w:rPr>
          <w:rFonts w:ascii="Times New Roman" w:hAnsi="Times New Roman"/>
          <w:i/>
          <w:sz w:val="20"/>
        </w:rPr>
        <w:t>Exchange Listing.</w:t>
      </w:r>
      <w:r>
        <w:rPr>
          <w:rFonts w:ascii="Times New Roman" w:hAnsi="Times New Roman"/>
          <w:sz w:val="20"/>
        </w:rPr>
        <w:t xml:space="preserve"> The Securities to be delivered on the Closing Date or Additional Closing Date, as the case may be, shall have been duly listed, subject to official notice of issuance, on the New York Stock Exchange. </w:t>
      </w:r>
    </w:p>
    <w:p>
      <w:pPr>
        <w:pStyle w:val="TextBody"/>
        <w:bidi w:val="0"/>
        <w:spacing w:before="120" w:after="0"/>
        <w:jc w:val="left"/>
        <w:rPr>
          <w:rFonts w:ascii="Times New Roman" w:hAnsi="Times New Roman"/>
          <w:sz w:val="20"/>
        </w:rPr>
      </w:pPr>
      <w:r>
        <w:rPr>
          <w:rFonts w:ascii="Times New Roman" w:hAnsi="Times New Roman"/>
          <w:sz w:val="20"/>
        </w:rPr>
        <w:t xml:space="preserve">(l) </w:t>
      </w:r>
      <w:r>
        <w:rPr>
          <w:rFonts w:ascii="Times New Roman" w:hAnsi="Times New Roman"/>
          <w:i/>
          <w:sz w:val="20"/>
        </w:rPr>
        <w:t>Lock-up Agreements</w:t>
      </w:r>
      <w:r>
        <w:rPr>
          <w:rFonts w:ascii="Times New Roman" w:hAnsi="Times New Roman"/>
          <w:sz w:val="20"/>
        </w:rPr>
        <w:t xml:space="preserve">. The lock-up agreements, each substantially in the form of Exhibit A hereto, from all the officers and directors of the Company listed in Schedule 4 and from the Adviser, relating to sales and certain other dispositions of shares of common stock or certain other securities, delivered to you on or before the date hereof, shall be in full force and effect on the Closing Date or Additional Closing Date, as the case may be. </w:t>
      </w:r>
    </w:p>
    <w:p>
      <w:pPr>
        <w:pStyle w:val="TextBody"/>
        <w:bidi w:val="0"/>
        <w:spacing w:before="120" w:after="0"/>
        <w:jc w:val="left"/>
        <w:rPr>
          <w:rFonts w:ascii="Times New Roman" w:hAnsi="Times New Roman"/>
          <w:sz w:val="20"/>
        </w:rPr>
      </w:pPr>
      <w:r>
        <w:rPr>
          <w:rFonts w:ascii="Times New Roman" w:hAnsi="Times New Roman"/>
          <w:sz w:val="20"/>
        </w:rPr>
        <w:t xml:space="preserve">(m) </w:t>
      </w:r>
      <w:r>
        <w:rPr>
          <w:rFonts w:ascii="Times New Roman" w:hAnsi="Times New Roman"/>
          <w:i/>
          <w:sz w:val="20"/>
        </w:rPr>
        <w:t>No Downgrade</w:t>
      </w:r>
      <w:r>
        <w:rPr>
          <w:rFonts w:ascii="Times New Roman" w:hAnsi="Times New Roman"/>
          <w:sz w:val="20"/>
        </w:rPr>
        <w:t xml:space="preserve">. Subsequent to the earlier of (A) the Applicable Time and (B) the execution and delivery of this Agreement, if there are any debt securities or preferred stock of, or guaranteed, by, the Company or any of its subsidiaries that are rated by a nationally recognized statistical rating organization, as such term is defined in Section 3(a)(62) of the Exchange Act, (i) no downgrading shall have occurred in the rating accorded any such debt securities or preferred stock and (ii) no such organization shall have publicly announced that it has under surveillance or review, or has changed its outlook with respect to, its rating of any such debt securities or preferred stock (other than an announcement with positive implications of a possible upgrading). </w:t>
      </w:r>
    </w:p>
    <w:p>
      <w:pPr>
        <w:pStyle w:val="TextBody"/>
        <w:bidi w:val="0"/>
        <w:spacing w:before="120" w:after="0"/>
        <w:jc w:val="left"/>
        <w:rPr>
          <w:rFonts w:ascii="Times New Roman" w:hAnsi="Times New Roman"/>
          <w:sz w:val="20"/>
        </w:rPr>
      </w:pPr>
      <w:r>
        <w:rPr>
          <w:rFonts w:ascii="Times New Roman" w:hAnsi="Times New Roman"/>
          <w:sz w:val="20"/>
        </w:rPr>
        <w:t xml:space="preserve">(n) </w:t>
      </w:r>
      <w:r>
        <w:rPr>
          <w:rFonts w:ascii="Times New Roman" w:hAnsi="Times New Roman"/>
          <w:i/>
          <w:sz w:val="20"/>
        </w:rPr>
        <w:t>Additional Documents.</w:t>
      </w:r>
      <w:r>
        <w:rPr>
          <w:rFonts w:ascii="Times New Roman" w:hAnsi="Times New Roman"/>
          <w:sz w:val="20"/>
        </w:rPr>
        <w:t xml:space="preserve"> On or prior to the Closing Date or the Additional Closing Date, as the case may be, the Company shall have furnished to the Representative such further certificates and documents as the Representative may reasonably request. </w:t>
      </w:r>
    </w:p>
    <w:p>
      <w:pPr>
        <w:pStyle w:val="TextBody"/>
        <w:bidi w:val="0"/>
        <w:spacing w:before="240" w:after="0"/>
        <w:jc w:val="left"/>
        <w:rPr>
          <w:rFonts w:ascii="Times New Roman" w:hAnsi="Times New Roman"/>
          <w:sz w:val="20"/>
        </w:rPr>
      </w:pPr>
      <w:r>
        <w:rPr>
          <w:rFonts w:ascii="Times New Roman" w:hAnsi="Times New Roman"/>
          <w:sz w:val="20"/>
        </w:rPr>
        <w:t xml:space="preserve">All opinions, letters, certificates and evidence mentioned above or elsewhere in this Agreement shall be deemed to be in compliance with the provisions hereof only if they are in form and substance reasonably satisfactory to counsel for the Underwriters. </w:t>
      </w:r>
    </w:p>
    <w:p>
      <w:pPr>
        <w:pStyle w:val="TextBody"/>
        <w:bidi w:val="0"/>
        <w:spacing w:before="240" w:after="0"/>
        <w:jc w:val="left"/>
        <w:rPr>
          <w:rFonts w:ascii="Times New Roman" w:hAnsi="Times New Roman"/>
          <w:sz w:val="20"/>
        </w:rPr>
      </w:pPr>
      <w:r>
        <w:rPr>
          <w:rFonts w:ascii="Times New Roman" w:hAnsi="Times New Roman"/>
          <w:sz w:val="20"/>
        </w:rPr>
        <w:t xml:space="preserve">8. </w:t>
      </w:r>
      <w:r>
        <w:rPr>
          <w:rFonts w:ascii="Times New Roman" w:hAnsi="Times New Roman"/>
          <w:sz w:val="20"/>
          <w:u w:val="single"/>
        </w:rPr>
        <w:t>Indemnification and Contribution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Indemnification of the Underwriters.</w:t>
      </w:r>
      <w:r>
        <w:rPr>
          <w:rFonts w:ascii="Times New Roman" w:hAnsi="Times New Roman"/>
          <w:sz w:val="20"/>
        </w:rPr>
        <w:t xml:space="preserve"> The Company agrees to indemnify and hold harmless each Underwriter, its affiliates, directors and officers and each person, if any, who controls such Underwriter within the meaning of Section 15 of the Securities Act or Section 20 of the Exchange Act, from and against any and all losses, claims, damages and liabilities (including, without limitation, reasonable and documented legal fees and other reasonable and documented expenses incurred in connection with any suit, action or proceeding or any claim asserted, as such fees and expenses are incurred), joint or several, that arise out of, or are based upon, (i) any untrue statement or alleged untrue statement of a material fact contained in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Registration Statement or caused by any omission or alleged omission to state therein a material fact required to be stated therein or necessary in order to make the statements therein not misleading, or (ii) any untrue statement or alleged untrue statement of a material fact contained in the Prospectus (or any amendment or supplement thereto), any Issuer Free Writing Prospectus, any road show as defined in Rule 433(h) under the Securities Act (a road show), any Marketing Materials or the Pricing Disclosure Package (including any Pricing Disclosure Package that has subsequently been amended), or caused by any omission or alleged omission to state therein a material fact necessary in order to make the statements therein, in the light of the circumstances under which they were made, not misleading, in each case except insofar as such losses, claims, damages or liabilities arise out of, or are based upon, any untrue statement or omission or alleged untrue statement or omission made in reliance upon and in conformity with any information relating to any Underwriter furnished to the Company in writing by such Underwriter through the Representative expressly for use therein, it being understood and agreed that the only such information furnished by any Underwriter consists of the information described as such in subsection (b) below.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Indemnification of the Company.</w:t>
      </w:r>
      <w:r>
        <w:rPr>
          <w:rFonts w:ascii="Times New Roman" w:hAnsi="Times New Roman"/>
          <w:sz w:val="20"/>
        </w:rPr>
        <w:t xml:space="preserve"> Each Underwriter agrees, severally and not jointly, to indemnify and hold harmless the Company, its directors, its officers who signed the Registration Statement and each person, if any, who controls the Company within the meaning of Section 15 of the Securities Act or Section 20 of the Exchange Act to the same extent as the indemnity set forth in paragraph (a) above, but only with respect to any losses, claims, damages or liabilities that arise out of, or are based upon, any untrue statement or omission or alleged untrue statement or omission made in reliance upon and in conformity with any information relating to such Underwriter furnished to the Company in writing by such Underwriter through the Representative expressly for use in the Registration Statement, the Prospectus (or any amendment or supplement thereto), any Issuer Free Writing Prospectus, any road show, any Marketing Materials or any Pricing Disclosure Package (including any Pricing Disclosure Package that has subsequently been amended), it being understood and agreed upon that the only such information furnished by any Underwriter consists of the following information in the Prospectus furnished on behalf of each Underwriter: the marketing names of the Underwriters set forth on such cover page, and under the caption Underwriting; the legal names of the Underwriters and the information regarding stabilizing transactions contained in the eleventh, twelfth and thirteenth paragraphs.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Notice and Procedures.</w:t>
      </w:r>
      <w:r>
        <w:rPr>
          <w:rFonts w:ascii="Times New Roman" w:hAnsi="Times New Roman"/>
          <w:sz w:val="20"/>
        </w:rPr>
        <w:t xml:space="preserve"> If any suit, action, proceeding (including any governmental or regulatory investigation), claim or demand shall be brought or asserted against any person in respect of which indemnification may be sought pursuant to either paragraph (a) or (b) above, such person (the Indemnified Person) shall promptly notify the person against whom such indemnification may be sought (the Indemnifying Person) in writing; </w:t>
      </w:r>
      <w:r>
        <w:rPr>
          <w:rFonts w:ascii="Times New Roman" w:hAnsi="Times New Roman"/>
          <w:sz w:val="20"/>
          <w:u w:val="single"/>
        </w:rPr>
        <w:t>provided</w:t>
      </w:r>
      <w:r>
        <w:rPr>
          <w:rFonts w:ascii="Times New Roman" w:hAnsi="Times New Roman"/>
          <w:sz w:val="20"/>
        </w:rPr>
        <w:t xml:space="preserve"> that the failure to notify the Indemnifying Person shall not relieve it from any liability that it may have under paragraph (a) or (b) above except to the extent that it has been materially prejudiced (including through the forfeiture of substantive rights or defenses) by such failure; and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the failure to notify the Indemnifying Person shall not relieve it from any liability that it may have to an Indemnified Person otherwise than under paragraph (a) or (b) above. If any such proceeding shall be brought or asserted against an Indemnified Person and it shall have notified the Indemnifying Person thereof, the Indemnifying Person shall retain counsel reasonably satisfactory to the Indemnified Person (who shall not, without the consent of the Indemnified Person, be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counsel to the Indemnifying Person) to represent the Indemnified Person in such proceeding and shall pay the reasonable and documented fees and expenses of such counsel related to such proceeding, as incurred. In any such proceeding, any Indemnified Person shall have the right to retain its own counsel, but the fees and expenses of such counsel shall be at the expense of such Indemnified Person, unless (i) the Indemnifying Person and the Indemnified Person shall have mutually agreed to the contrary; (ii) the Indemnifying Person has failed within a reasonable time to retain counsel reasonably satisfactory to the Indemnified Person; (iii) the Indemnified Person shall have reasonably concluded that there may be legal defenses available to it that are different from or in addition to those available to the Indemnifying Person; or (iv) the named parties in any such proceeding (including any impleaded parties) include both the Indemnifying Person and the Indemnified Person and representation of both parties by the same counsel would be inappropriate due to actual or potential differing interest between them. It is understood and agreed that the Indemnifying Person shall not, in connection with any proceeding or related proceedings in the same jurisdiction, be liable for the reasonable and documented fees and expenses of more than one separate firm (in addition to any local counsel) for all Indemnified Persons, and that all such reasonable and documented fees and expenses shall be paid or reimbursed as they are incurred. Any such separate firm for any Underwriter, its affiliates, directors and officers and any control persons of such Underwriter shall be designated in writing by the Representative, and any such separate firm for the Company, its directors, its officers who signed the Registration Statement and any control persons of the Company shall be designated in writing by the Company. The Indemnifying Person shall not be liable for any settlement of any proceeding effected without its written consent, but if settled with such consent or if there be a final judgment for the plaintiff, the Indemnifying Person agrees to indemnify each Indemnified Person from and against any loss or liability by reason of such settlement or judgment. Notwithstanding the foregoing sentence, if at any time an Indemnified Person shall have requested that an Indemnifying Person reimburse the Indemnified Person for reasonable and documented fees and expenses of counsel as contemplated by this paragraph, the Indemnifying Person shall be liable for any settlement of any proceeding effected without its written consent if (i) such settlement is entered into more than 30 days after receipt by the Indemnifying Person of such request and, (ii) the Indemnifying Person shall not have reimbursed the Indemnified Person in accordance with such request prior to the date of such settlement. No Indemnifying Person shall, without the written consent of the Indemnified Person, effect any settlement of any pending or threatened proceeding in respect of which any Indemnified Person is or could have been a party and indemnification could have been sought hereunder by such Indemnified Person, unless such settlement (x) includes an unconditional release of such Indemnified Person, in form and substance reasonably satisfactory to such Indemnified Person, from all liability on claims that are the subject matter of such proceeding and (y) does not include any statement as to or any admission of fault, culpability or a failure to act by or on behalf of any Indemnified Person. </w:t>
      </w:r>
    </w:p>
    <w:p>
      <w:pPr>
        <w:pStyle w:val="TextBody"/>
        <w:bidi w:val="0"/>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Contribution.</w:t>
      </w:r>
      <w:r>
        <w:rPr>
          <w:rFonts w:ascii="Times New Roman" w:hAnsi="Times New Roman"/>
          <w:sz w:val="20"/>
        </w:rPr>
        <w:t xml:space="preserve"> If the indemnification provided for in paragraphs (a) and (b) above is unavailable to an Indemnified Person or insufficient in respect of any losses, claims, damages or liabilities referred to therein, then each Indemnifying Person under such paragraph, in lieu of indemnifying such Indemnified Person thereunder, shall contribute to the amount paid or payable by such Indemnified Person as a result of such losses, claims, damages or liabilities (i) in such proportion as is appropriate to reflect the relative benefits received by the Company, on the one hand, and the Underwriters on the other, from the offering of the Securities or (ii) if the allocation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provided by clause (i) is not permitted by applicable law, in such proportion as is appropriate to reflect not only the relative benefits referred to in clause (i) but also the relative fault of the Company, on the one hand, and the Underwriters on the other, in connection with the statements or omissions that resulted in such losses, claims, damages or liabilities, as well as any other relevant equitable considerations. The relative benefits received by the Company, on the one hand, and the Underwriters, on the other, shall be deemed to be in the same respective proportions as the net proceeds (before deducting expenses) received by the Company from the sale of the Securities and the total underwriting discounts and commissions received by the Underwriters in connection therewith, in each case as set forth in the table on the cover of the Prospectus, bear to the aggregate offering price of the Securities. The relative fault of the Company, on the one hand, and the Underwriters, on the other, shall be determined by reference to, among other things, whether the untrue or alleged untrue statement of a material fact or the omission or alleged omission to state a material fact relates to information supplied by the Company or by the Underwriters and the parties relative intent, knowledge, access to information and opportunity to correct or prevent such statement or omission. Notwithstanding any other provision in this Section 8, no party shall be entitled to indemnification or contribution under this Agreement in violation of Section 17(j) of the Investment Company Act. </w:t>
      </w:r>
    </w:p>
    <w:p>
      <w:pPr>
        <w:pStyle w:val="TextBody"/>
        <w:bidi w:val="0"/>
        <w:spacing w:before="120" w:after="0"/>
        <w:jc w:val="left"/>
        <w:rPr>
          <w:rFonts w:ascii="Times New Roman" w:hAnsi="Times New Roman"/>
          <w:sz w:val="20"/>
        </w:rPr>
      </w:pPr>
      <w:r>
        <w:rPr>
          <w:rFonts w:ascii="Times New Roman" w:hAnsi="Times New Roman"/>
          <w:sz w:val="20"/>
        </w:rPr>
        <w:t xml:space="preserve">(e) </w:t>
      </w:r>
      <w:r>
        <w:rPr>
          <w:rFonts w:ascii="Times New Roman" w:hAnsi="Times New Roman"/>
          <w:i/>
          <w:sz w:val="20"/>
        </w:rPr>
        <w:t>Limitation on Liability.</w:t>
      </w:r>
      <w:r>
        <w:rPr>
          <w:rFonts w:ascii="Times New Roman" w:hAnsi="Times New Roman"/>
          <w:sz w:val="20"/>
        </w:rPr>
        <w:t xml:space="preserve"> The Company and the Underwriters agree that it would not be just and equitable if contribution pursuant to paragraph (d) above were determined by </w:t>
      </w:r>
      <w:r>
        <w:rPr>
          <w:rFonts w:ascii="Times New Roman" w:hAnsi="Times New Roman"/>
          <w:sz w:val="20"/>
          <w:u w:val="single"/>
        </w:rPr>
        <w:t>pro</w:t>
      </w:r>
      <w:r>
        <w:rPr>
          <w:rFonts w:ascii="Times New Roman" w:hAnsi="Times New Roman"/>
          <w:sz w:val="20"/>
        </w:rPr>
        <w:t xml:space="preserve"> </w:t>
      </w:r>
      <w:r>
        <w:rPr>
          <w:rFonts w:ascii="Times New Roman" w:hAnsi="Times New Roman"/>
          <w:sz w:val="20"/>
          <w:u w:val="single"/>
        </w:rPr>
        <w:t>rata</w:t>
      </w:r>
      <w:r>
        <w:rPr>
          <w:rFonts w:ascii="Times New Roman" w:hAnsi="Times New Roman"/>
          <w:sz w:val="20"/>
        </w:rPr>
        <w:t xml:space="preserve"> allocation (even if the Underwriters were treated as one entity for such purpose) or by any other method of allocation that does not take account of the equitable considerations referred to in paragraph (d) above. The amount paid or payable by an Indemnified Person as a result of the losses, claims, damages and liabilities referred to in paragraph (d) above shall be deemed to include, subject to the limitations set forth above, any reasonable and documented legal or other expenses incurred by such Indemnified Person in connection with any such action or claim. Notwithstanding the provisions of paragraphs (d) and (e) of this Section 8, in no event shall an Underwriter be required to contribute any amount in excess of the amount by which the total underwriting discounts and commissions received by such Underwriter with respect to the offering of the Securities exceeds the amount of any damages that such Underwriter has otherwise been required to pay by reason of such untrue or alleged untrue statement or omission or alleged omission. No person guilty of fraudulent misrepresentation (within the meaning of Section 11(f) of the Securities Act) shall be entitled to contribution from any person who was not guilty of such fraudulent misrepresentation. The Underwriters obligations to contribute pursuant to paragraphs (d) and (e) of this Section 8 are several in proportion to their respective purchase obligations hereunder and not joint. </w:t>
      </w:r>
    </w:p>
    <w:p>
      <w:pPr>
        <w:pStyle w:val="TextBody"/>
        <w:bidi w:val="0"/>
        <w:spacing w:before="120" w:after="0"/>
        <w:jc w:val="left"/>
        <w:rPr>
          <w:rFonts w:ascii="Times New Roman" w:hAnsi="Times New Roman"/>
          <w:sz w:val="20"/>
        </w:rPr>
      </w:pPr>
      <w:r>
        <w:rPr>
          <w:rFonts w:ascii="Times New Roman" w:hAnsi="Times New Roman"/>
          <w:sz w:val="20"/>
        </w:rPr>
        <w:t xml:space="preserve">(f) </w:t>
      </w:r>
      <w:r>
        <w:rPr>
          <w:rFonts w:ascii="Times New Roman" w:hAnsi="Times New Roman"/>
          <w:i/>
          <w:sz w:val="20"/>
        </w:rPr>
        <w:t>Non-Exclusive Remedies.</w:t>
      </w:r>
      <w:r>
        <w:rPr>
          <w:rFonts w:ascii="Times New Roman" w:hAnsi="Times New Roman"/>
          <w:sz w:val="20"/>
        </w:rPr>
        <w:t xml:space="preserve"> The remedies provided for in this Section 8 paragraphs (a) through (e) are not exclusive and shall not limit any rights or remedies which may otherwise be available to any Indemnified Person at law or in equity. </w:t>
      </w:r>
    </w:p>
    <w:p>
      <w:pPr>
        <w:pStyle w:val="TextBody"/>
        <w:bidi w:val="0"/>
        <w:spacing w:before="240" w:after="0"/>
        <w:jc w:val="left"/>
        <w:rPr>
          <w:rFonts w:ascii="Times New Roman" w:hAnsi="Times New Roman"/>
          <w:sz w:val="20"/>
        </w:rPr>
      </w:pPr>
      <w:r>
        <w:rPr>
          <w:rFonts w:ascii="Times New Roman" w:hAnsi="Times New Roman"/>
          <w:sz w:val="20"/>
        </w:rPr>
        <w:t xml:space="preserve">9. </w:t>
      </w:r>
      <w:r>
        <w:rPr>
          <w:rFonts w:ascii="Times New Roman" w:hAnsi="Times New Roman"/>
          <w:sz w:val="20"/>
          <w:u w:val="single"/>
        </w:rPr>
        <w:t>Effectiveness of Agreement</w:t>
      </w:r>
      <w:r>
        <w:rPr>
          <w:rFonts w:ascii="Times New Roman" w:hAnsi="Times New Roman"/>
          <w:sz w:val="20"/>
        </w:rPr>
        <w:t xml:space="preserve">. This Agreement shall become effective upon the execution and delivery hereof by the parties hereto.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10. </w:t>
      </w:r>
      <w:r>
        <w:rPr>
          <w:rFonts w:ascii="Times New Roman" w:hAnsi="Times New Roman"/>
          <w:sz w:val="20"/>
          <w:u w:val="single"/>
        </w:rPr>
        <w:t>Termination</w:t>
      </w:r>
      <w:r>
        <w:rPr>
          <w:rFonts w:ascii="Times New Roman" w:hAnsi="Times New Roman"/>
          <w:sz w:val="20"/>
        </w:rPr>
        <w:t xml:space="preserve">. This Agreement may be terminated in the absolute discretion of the Representative, by notice to the Company, if after the execution and delivery of this Agreement and prior to the Closing Date or, in the case of the Option Securities, prior to the Additional Closing Date (i) trading generally shall have been suspended or materially limited on or by either of the New York Stock Exchange or the Nasdaq Stock Market; (ii) trading of any securities issued or guaranteed by the Company shall have been suspended on any exchange or in any over-the-counter market; (iii) a general moratorium on commercial banking activities shall have been declared by U.S. federal or New York State authorities; or (iv) there shall have occurred any outbreak or escalation of hostilities or any change in financial markets or any calamity or crisis, either within or outside the United States, that, in the judgment of the Representative, is material and adverse and makes it impracticable or inadvisable to proceed with the offering, sale or delivery of the Securities on the Closing Date or the Additional Closing Date, as the case may be, on the terms and in the manner contemplated by this Agreement, the Pricing Disclosure Package and the Prospectus. </w:t>
      </w:r>
    </w:p>
    <w:p>
      <w:pPr>
        <w:pStyle w:val="TextBody"/>
        <w:bidi w:val="0"/>
        <w:spacing w:before="240" w:after="0"/>
        <w:jc w:val="left"/>
        <w:rPr>
          <w:rFonts w:ascii="Times New Roman" w:hAnsi="Times New Roman"/>
          <w:sz w:val="20"/>
        </w:rPr>
      </w:pPr>
      <w:r>
        <w:rPr>
          <w:rFonts w:ascii="Times New Roman" w:hAnsi="Times New Roman"/>
          <w:sz w:val="20"/>
        </w:rPr>
        <w:t xml:space="preserve">11. </w:t>
      </w:r>
      <w:r>
        <w:rPr>
          <w:rFonts w:ascii="Times New Roman" w:hAnsi="Times New Roman"/>
          <w:sz w:val="20"/>
          <w:u w:val="single"/>
        </w:rPr>
        <w:t>Defaulting Underwriter</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If, on the Closing Date or the Additional Closing Date, as the case may be, any Underwriter defaults on its obligation to purchase the Securities that it has agreed to purchase hereunder on such date, the non-defaulting Underwriters may in their discretion arrange for the purchase of such Securities by other persons satisfactory to the Company on the terms contained in this Agreement. If, within 36 hours after any such default by any Underwriter, the non-defaulting Underwriters do not arrange for the purchase of such Securities, then the Company shall be entitled to a further period of 36 hours within which to procure other persons reasonably satisfactory to the non-defaulting Underwriters to purchase such Securities on such terms. If other persons become obligated or agree to purchase the Securities of a defaulting Underwriter, either the non-defaulting Underwriters or the Company may postpone the Closing Date or the Additional Closing Date, as the case may be, for up to five full business days in order to effect any changes that in the opinion of counsel for the Company or counsel for the Underwriters may be necessary in the Registration Statement and the Prospectus or in any other document or arrangement, and the Company agrees to promptly prepare any amendment or supplement to the Registration Statement and the Prospectus that effects any such changes. As used in this Agreement, the term Underwriter includes, for all purposes of this Agreement unless the context otherwise requires, any person not listed in Schedule 1 hereto that, pursuant to this Section 11, purchases Securities that a defaulting Underwriter agreed but failed to purchase. </w:t>
      </w:r>
    </w:p>
    <w:p>
      <w:pPr>
        <w:pStyle w:val="TextBody"/>
        <w:bidi w:val="0"/>
        <w:spacing w:before="120" w:after="0"/>
        <w:jc w:val="left"/>
        <w:rPr>
          <w:rFonts w:ascii="Times New Roman" w:hAnsi="Times New Roman"/>
          <w:sz w:val="20"/>
        </w:rPr>
      </w:pPr>
      <w:r>
        <w:rPr>
          <w:rFonts w:ascii="Times New Roman" w:hAnsi="Times New Roman"/>
          <w:sz w:val="20"/>
        </w:rPr>
        <w:t xml:space="preserve">(b) If, after giving effect to any arrangements for the purchase of the Securities of a defaulting Underwriter or Underwriters by the non-defaulting Underwriters and the Company as provided in paragraph (a) above, the aggregate principal amount of Securities that remain unpurchased on the Closing Date or the Additional Closing Date, as the case may be, does not exceed one-eleventh of the aggregate principal amount of Securities to be purchased on such date, then the Company shall have the right to require each non-defaulting Underwriter to purchase the principal amount of Securities that such Underwriter agreed to purchase hereunder on such date plus such Underwriters pro rata share (based on the principal amount of Securities that such Underwriter agreed to purchase on such date) of the Securities of such defaulting Underwriter or Underwriters for which such arrangements have not been made.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If, after giving effect to any arrangements for the purchase of the Securities of a defaulting Underwriter or Underwriters by the non-defaulting Underwriters and the Company as provided in paragraph (a) above, the aggregate principal amount of Securities that remain unpurchased on the Closing Date or the Additional Closing Date, as the case may be, exceeds one-eleventh of the aggregate principal amount of Securities to be purchased on such date, or if the Company shall not exercise the right described in paragraph (b) above, then this Agreement, or, with respect to any Additional Closing Date, the obligation of the Underwriters to purchase Securities on the Additional Closing Date, as the case may be, shall terminate without liability on the part of the non-defaulting Underwriters. Any termination of this Agreement pursuant to this Section 11 shall be without liability on the part of the Company, except that the Company will continue to be liable for the payment of expenses as set forth in Section 12 hereof and except that the provisions of Section 8 hereof shall not terminate and shall remain in effect. </w:t>
      </w:r>
    </w:p>
    <w:p>
      <w:pPr>
        <w:pStyle w:val="TextBody"/>
        <w:bidi w:val="0"/>
        <w:spacing w:before="120" w:after="0"/>
        <w:jc w:val="left"/>
        <w:rPr>
          <w:rFonts w:ascii="Times New Roman" w:hAnsi="Times New Roman"/>
          <w:sz w:val="20"/>
        </w:rPr>
      </w:pPr>
      <w:r>
        <w:rPr>
          <w:rFonts w:ascii="Times New Roman" w:hAnsi="Times New Roman"/>
          <w:sz w:val="20"/>
        </w:rPr>
        <w:t xml:space="preserve">(d) Nothing contained herein shall relieve a defaulting Underwriter of any liability it may have to the Company or any non-defaulting Underwriter for damages caused by its default. </w:t>
      </w:r>
    </w:p>
    <w:p>
      <w:pPr>
        <w:pStyle w:val="TextBody"/>
        <w:bidi w:val="0"/>
        <w:spacing w:before="240" w:after="0"/>
        <w:jc w:val="left"/>
        <w:rPr>
          <w:rFonts w:ascii="Times New Roman" w:hAnsi="Times New Roman"/>
          <w:sz w:val="20"/>
        </w:rPr>
      </w:pPr>
      <w:r>
        <w:rPr>
          <w:rFonts w:ascii="Times New Roman" w:hAnsi="Times New Roman"/>
          <w:sz w:val="20"/>
        </w:rPr>
        <w:t xml:space="preserve">12. </w:t>
      </w:r>
      <w:r>
        <w:rPr>
          <w:rFonts w:ascii="Times New Roman" w:hAnsi="Times New Roman"/>
          <w:sz w:val="20"/>
          <w:u w:val="single"/>
        </w:rPr>
        <w:t>Payment of Expenses</w:t>
      </w:r>
      <w:r>
        <w:rPr>
          <w:rFonts w:ascii="Times New Roman" w:hAnsi="Times New Roman"/>
          <w:i/>
          <w:sz w:val="20"/>
        </w:rPr>
        <w: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Whether or not the transactions contemplated by this Agreement are consummated or this Agreement is terminated, the Company will pay or cause to be paid all costs and expenses incident to the performance of its obligations hereunder, including without limitation, (i) the costs incident to the authorization, issuance, sale, preparation and delivery of the Securities and any stamp, issuance, transfer or other similar taxes payable in that connection; (ii) the costs incident to the preparation, printing and filing under the Securities Act of the Registration Statement, the Preliminary Prospectus, any Pricing Disclosure Package, any Marketing Materials and the Prospectus (including all exhibits, amendments and supplements thereto) and the distribution thereof; (iii) the fees and expenses of the Companys counsel and independent accountants; (iv) the reasonable and documented fees and expenses incurred in connection with the registration or qualification of the Securities under the state or foreign securities or blue sky laws of such jurisdictions as the Representative may designate with the prior approval of the Company (such approval not to be unreasonably withheld, conditioned or delayed) (including the related reasonable and documented fees and expenses of counsel for the Underwriters); (v) the cost of preparing stock certificates, if applicable; (vi) the costs and charges of any transfer agent and any registrar; (vii) all filing fees and the reasonable fees and expenses incurred in connection with any filing with, and clearance of the offering by, FINRA (such fees and expenses pursuant to this clause (vii) and clause (iv), in the aggregate, shall not exceed $15,000); (viii) all expenses incurred by the Company in connection with any road show presentation to potential investors, </w:t>
      </w:r>
      <w:r>
        <w:rPr>
          <w:rFonts w:ascii="Times New Roman" w:hAnsi="Times New Roman"/>
          <w:sz w:val="20"/>
          <w:u w:val="single"/>
        </w:rPr>
        <w:t>provided, however</w:t>
      </w:r>
      <w:r>
        <w:rPr>
          <w:rFonts w:ascii="Times New Roman" w:hAnsi="Times New Roman"/>
          <w:sz w:val="20"/>
        </w:rPr>
        <w:t xml:space="preserve">, that the Underwriters shall be responsible for 50% of the third-party costs of any chartered private aircraft incurred in connection with such road show; and (ix) all expenses and application fees related to the listing of the Securities on the New York Stock Exchange. It is, however, understood that except as provided in this Section 12 or in Section 8 of this Agreement, the Underwriters shall pay all of their own costs and expenses, including, without limitation, the fees and disbursements of their counsel, any advertising expenses connected with any offers they make and 50% of the third-party costs of any chartered private aircraft incurred in connection with the road show and all travel, lodging and other expenses of the Underwriters incurred by them in connection with any road show.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If (i) this Agreement is terminated pursuant to Section 10 (other than as a result of a termination pursuant to clauses (i), (iii) or (iv) of Section 10), (ii) the Company for any reason fails to tender the Securities for delivery to the Underwriters (other than as a result of a termination pursuant to Section 11 or clauses (i), (iii) or (iv) of Section 10 or the default by one or more of the Underwriters in its or their respective obligations hereunder) or (iii) the Underwriters decline to purchase the Securities for any reason permitted under this Agreement, the Company agrees to reimburse the Underwriters for all out-of-pocket costs and expenses (including the reasonable and documented fees and expenses of their counsel) reasonably incurred by the Underwriters in connection with this Agreement and the offering contemplated hereby. </w:t>
      </w:r>
    </w:p>
    <w:p>
      <w:pPr>
        <w:pStyle w:val="TextBody"/>
        <w:bidi w:val="0"/>
        <w:spacing w:before="240" w:after="0"/>
        <w:jc w:val="left"/>
        <w:rPr>
          <w:rFonts w:ascii="Times New Roman" w:hAnsi="Times New Roman"/>
          <w:sz w:val="20"/>
        </w:rPr>
      </w:pPr>
      <w:r>
        <w:rPr>
          <w:rFonts w:ascii="Times New Roman" w:hAnsi="Times New Roman"/>
          <w:sz w:val="20"/>
        </w:rPr>
        <w:t xml:space="preserve">13. </w:t>
      </w:r>
      <w:r>
        <w:rPr>
          <w:rFonts w:ascii="Times New Roman" w:hAnsi="Times New Roman"/>
          <w:sz w:val="20"/>
          <w:u w:val="single"/>
        </w:rPr>
        <w:t>Persons Entitled to Benefit of Agreement</w:t>
      </w:r>
      <w:r>
        <w:rPr>
          <w:rFonts w:ascii="Times New Roman" w:hAnsi="Times New Roman"/>
          <w:sz w:val="20"/>
        </w:rPr>
        <w:t xml:space="preserve">. This Agreement shall inure to the benefit of and be binding upon the parties hereto and their respective successors and the officers and directors and any controlling persons referred to in Section 8 hereof. Nothing in this Agreement is intended or shall be construed to give any other person any legal or equitable right, remedy or claim under or in respect of this Agreement or any provision contained herein. No purchaser of Securities from any Underwriter shall be deemed to be a successor merely by reason of such purchase. </w:t>
      </w:r>
    </w:p>
    <w:p>
      <w:pPr>
        <w:pStyle w:val="TextBody"/>
        <w:bidi w:val="0"/>
        <w:spacing w:before="240" w:after="0"/>
        <w:jc w:val="left"/>
        <w:rPr>
          <w:rFonts w:ascii="Times New Roman" w:hAnsi="Times New Roman"/>
          <w:sz w:val="20"/>
        </w:rPr>
      </w:pPr>
      <w:r>
        <w:rPr>
          <w:rFonts w:ascii="Times New Roman" w:hAnsi="Times New Roman"/>
          <w:sz w:val="20"/>
        </w:rPr>
        <w:t xml:space="preserve">14. </w:t>
      </w:r>
      <w:r>
        <w:rPr>
          <w:rFonts w:ascii="Times New Roman" w:hAnsi="Times New Roman"/>
          <w:sz w:val="20"/>
          <w:u w:val="single"/>
        </w:rPr>
        <w:t>Survival</w:t>
      </w:r>
      <w:r>
        <w:rPr>
          <w:rFonts w:ascii="Times New Roman" w:hAnsi="Times New Roman"/>
          <w:sz w:val="20"/>
        </w:rPr>
        <w:t xml:space="preserve">. The respective indemnities, rights of contribution, representations, warranties and agreements of the Company, the Adviser and the Underwriters contained in this Agreement or made by or on behalf of the Company, the Adviser or the Underwriters pursuant to this Agreement or any certificate delivered pursuant hereto shall survive the delivery of and payment for the Securities and shall remain in full force and effect, regardless of any termination of this Agreement or any investigation made by or on behalf of the Company, the Adviser or the Underwriters. </w:t>
      </w:r>
    </w:p>
    <w:p>
      <w:pPr>
        <w:pStyle w:val="TextBody"/>
        <w:bidi w:val="0"/>
        <w:spacing w:before="240" w:after="0"/>
        <w:jc w:val="left"/>
        <w:rPr>
          <w:rFonts w:ascii="Times New Roman" w:hAnsi="Times New Roman"/>
          <w:sz w:val="20"/>
        </w:rPr>
      </w:pPr>
      <w:r>
        <w:rPr>
          <w:rFonts w:ascii="Times New Roman" w:hAnsi="Times New Roman"/>
          <w:sz w:val="20"/>
        </w:rPr>
        <w:t xml:space="preserve">15. </w:t>
      </w:r>
      <w:r>
        <w:rPr>
          <w:rFonts w:ascii="Times New Roman" w:hAnsi="Times New Roman"/>
          <w:sz w:val="20"/>
          <w:u w:val="single"/>
        </w:rPr>
        <w:t>Certain Defined Terms</w:t>
      </w:r>
      <w:r>
        <w:rPr>
          <w:rFonts w:ascii="Times New Roman" w:hAnsi="Times New Roman"/>
          <w:sz w:val="20"/>
        </w:rPr>
        <w:t xml:space="preserve">. For purposes of this Agreement, (a) except where otherwise expressly provided, the term affiliate has the meaning set forth in Rule 405 under the Securities Act; (b) the term business day means any day other than a day on which banks are permitted or required to be closed in New York City; and (c) the term subsidiary has the meaning set forth in Rule 405 under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16. </w:t>
      </w:r>
      <w:r>
        <w:rPr>
          <w:rFonts w:ascii="Times New Roman" w:hAnsi="Times New Roman"/>
          <w:sz w:val="20"/>
          <w:u w:val="single"/>
        </w:rPr>
        <w:t>Recognition of the U.S. Special Resolution Regimes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In the event that any Underwriter that is a Covered Entity becomes subject to a proceeding under a U.S. Special Resolution Regime, the transfer from such Underwriter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 </w:t>
      </w:r>
    </w:p>
    <w:p>
      <w:pPr>
        <w:pStyle w:val="TextBody"/>
        <w:bidi w:val="0"/>
        <w:spacing w:before="240" w:after="0"/>
        <w:jc w:val="left"/>
        <w:rPr>
          <w:rFonts w:ascii="Times New Roman" w:hAnsi="Times New Roman"/>
          <w:sz w:val="20"/>
        </w:rPr>
      </w:pPr>
      <w:r>
        <w:rPr>
          <w:rFonts w:ascii="Times New Roman" w:hAnsi="Times New Roman"/>
          <w:sz w:val="20"/>
        </w:rPr>
        <w:t xml:space="preserve">(b) In the event that any Underwriter that is a Covered Entity or a BHC Act Affiliate of such Underwriter becomes subject to a proceeding under a U.S. Special Resolution Regime, Default Rights under this Agreement that may be exercised against such Underwriter are permitted to be exercised to no greater extent than such Default Rights could be exercised under the U.S. Special Resolution Regime if this Agreement were governed by the laws of the United States or a state of the United States.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For purposes of this Section 16, a BHC Act Affiliate has the meaning assigned to the term affiliate in, and shall be interpreted in accordance with, 12 U.S.C. § 1841(k). Covered Entity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 Default Right has the meaning assigned to that term in, and shall be interpreted in accordance with, 12 C.F.R. §§ 252.81, 47.2 or 382.1, as applicable. U.S. Special Resolution Regime means each of (i) the Federal Deposit Insurance Act and the regulations promulgated thereunder and (ii) Title II of the Dodd-Frank Wall Street Reform and Consumer Protection Act and the regulations promulgated thereunder. </w:t>
      </w:r>
    </w:p>
    <w:p>
      <w:pPr>
        <w:pStyle w:val="TextBody"/>
        <w:bidi w:val="0"/>
        <w:spacing w:before="240" w:after="0"/>
        <w:jc w:val="left"/>
        <w:rPr>
          <w:rFonts w:ascii="Times New Roman" w:hAnsi="Times New Roman"/>
          <w:sz w:val="20"/>
        </w:rPr>
      </w:pPr>
      <w:r>
        <w:rPr>
          <w:rFonts w:ascii="Times New Roman" w:hAnsi="Times New Roman"/>
          <w:sz w:val="20"/>
        </w:rPr>
        <w:t xml:space="preserve">17. </w:t>
      </w:r>
      <w:r>
        <w:rPr>
          <w:rFonts w:ascii="Times New Roman" w:hAnsi="Times New Roman"/>
          <w:sz w:val="20"/>
          <w:u w:val="single"/>
        </w:rPr>
        <w:t>Miscellaneous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Notices</w:t>
      </w:r>
      <w:r>
        <w:rPr>
          <w:rFonts w:ascii="Times New Roman" w:hAnsi="Times New Roman"/>
          <w:sz w:val="20"/>
        </w:rPr>
        <w:t xml:space="preserve">. All notices and other communications hereunder shall be in writing and shall be deemed to have been duly given if mailed or transmitted and confirmed by any standard form of telecommunication. Notices to the Underwriters shall be given to the Representative c/o Morgan Stanley &amp; Co. LLC, 1585 Broadway, New York, NY 10036, Attention: Equity Syndicate Desk, with a copy to Legal Department. Notices to the Company or the Adviser shall be given to either of them at Sixth Street Specialty Lending, Inc., 345 California Street, Suite 3300, San Francisco, California 94104 (fax: (415) 486-5929), Attention: Joshua Peck.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USA Patriot Act</w:t>
      </w:r>
      <w:r>
        <w:rPr>
          <w:rFonts w:ascii="Times New Roman" w:hAnsi="Times New Roman"/>
          <w:sz w:val="20"/>
        </w:rPr>
        <w:t xml:space="preserve">. In accordance with the requirements of the USA Patriot Act (Title III of Pub. L, 107-56 (signed into law October 26, 2001)), the Underwriters are required to obtain, verify and record information that identifies their clients, which may include the name and address of their clients, as well as other information that will allow the Underwriters to properly identify their clients.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Governing Law.</w:t>
      </w:r>
      <w:r>
        <w:rPr>
          <w:rFonts w:ascii="Times New Roman" w:hAnsi="Times New Roman"/>
          <w:sz w:val="20"/>
        </w:rPr>
        <w:t xml:space="preserve"> This Agreement and any claim, controversy or dispute arising under or related to this Agreement shall be governed by and construed in accordance with the laws of the State of New York applicable to agreements made and to be performed in such state. </w:t>
      </w:r>
    </w:p>
    <w:p>
      <w:pPr>
        <w:pStyle w:val="TextBody"/>
        <w:bidi w:val="0"/>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Counterparts.</w:t>
      </w:r>
      <w:r>
        <w:rPr>
          <w:rFonts w:ascii="Times New Roman" w:hAnsi="Times New Roman"/>
          <w:sz w:val="20"/>
        </w:rPr>
        <w:t xml:space="preserve"> This Agreement may be signed in one or more counterparts, each of which shall constitute an original and all of which together shall constitute one and the same agreement. Delivery of this Agreement by one party to the other may be made by facsimile, electronic mail (including any electronic signature complying with the New York Electronic Signatures and Records Act (N.Y. State Tech. §§ 301-309), as amended from time to time, or other applicable law) or other transmission method, and the parties hereto agree that any counterpart so delivered shall be deemed to have been duly and validly delivered and be valid and effective for all purposes. </w:t>
      </w:r>
    </w:p>
    <w:p>
      <w:pPr>
        <w:pStyle w:val="TextBody"/>
        <w:bidi w:val="0"/>
        <w:spacing w:before="120" w:after="0"/>
        <w:jc w:val="left"/>
        <w:rPr>
          <w:rFonts w:ascii="Times New Roman" w:hAnsi="Times New Roman"/>
          <w:sz w:val="20"/>
        </w:rPr>
      </w:pPr>
      <w:r>
        <w:rPr>
          <w:rFonts w:ascii="Times New Roman" w:hAnsi="Times New Roman"/>
          <w:sz w:val="20"/>
        </w:rPr>
        <w:t xml:space="preserve">(e) </w:t>
      </w:r>
      <w:r>
        <w:rPr>
          <w:rFonts w:ascii="Times New Roman" w:hAnsi="Times New Roman"/>
          <w:i/>
          <w:sz w:val="20"/>
        </w:rPr>
        <w:t>Amendments or Waivers.</w:t>
      </w:r>
      <w:r>
        <w:rPr>
          <w:rFonts w:ascii="Times New Roman" w:hAnsi="Times New Roman"/>
          <w:sz w:val="20"/>
        </w:rPr>
        <w:t xml:space="preserve"> No amendment or waiver of any provision of this Agreement, nor any consent or approval to any departure therefrom, shall in any event be effective unless the same shall be in writing and signed by the parties hereto. </w:t>
      </w:r>
    </w:p>
    <w:p>
      <w:pPr>
        <w:pStyle w:val="TextBody"/>
        <w:bidi w:val="0"/>
        <w:spacing w:before="120" w:after="0"/>
        <w:jc w:val="left"/>
        <w:rPr>
          <w:rFonts w:ascii="Times New Roman" w:hAnsi="Times New Roman"/>
          <w:sz w:val="20"/>
        </w:rPr>
      </w:pPr>
      <w:r>
        <w:rPr>
          <w:rFonts w:ascii="Times New Roman" w:hAnsi="Times New Roman"/>
          <w:sz w:val="20"/>
        </w:rPr>
        <w:t xml:space="preserve">(f) </w:t>
      </w:r>
      <w:r>
        <w:rPr>
          <w:rFonts w:ascii="Times New Roman" w:hAnsi="Times New Roman"/>
          <w:i/>
          <w:sz w:val="20"/>
        </w:rPr>
        <w:t>Headings.</w:t>
      </w:r>
      <w:r>
        <w:rPr>
          <w:rFonts w:ascii="Times New Roman" w:hAnsi="Times New Roman"/>
          <w:sz w:val="20"/>
        </w:rPr>
        <w:t xml:space="preserve"> The headings herein are included for convenience of reference only and are not intended to be part of, or to affect the meaning or interpretation of,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(g) </w:t>
      </w:r>
      <w:r>
        <w:rPr>
          <w:rFonts w:ascii="Times New Roman" w:hAnsi="Times New Roman"/>
          <w:i/>
          <w:sz w:val="20"/>
        </w:rPr>
        <w:t>Authority of the Representative</w:t>
      </w:r>
      <w:r>
        <w:rPr>
          <w:rFonts w:ascii="Times New Roman" w:hAnsi="Times New Roman"/>
          <w:sz w:val="20"/>
        </w:rPr>
        <w:t xml:space="preserve">. The Representative is duly authorized to act hereunder on behalf of the other Underwriters. Any action by the Underwriters hereunder may be taken by the Representative on behalf of the Underwriters, and any such action taken by the Representative shall be binding on all the Underwriters. </w:t>
      </w:r>
    </w:p>
    <w:p>
      <w:pPr>
        <w:pStyle w:val="TextBody"/>
        <w:bidi w:val="0"/>
        <w:spacing w:before="240" w:after="0"/>
        <w:jc w:val="left"/>
        <w:rPr>
          <w:rFonts w:ascii="Times New Roman" w:hAnsi="Times New Roman"/>
          <w:sz w:val="20"/>
        </w:rPr>
      </w:pPr>
      <w:r>
        <w:rPr>
          <w:rFonts w:ascii="Times New Roman" w:hAnsi="Times New Roman"/>
          <w:sz w:val="20"/>
        </w:rPr>
        <w:t xml:space="preserve">If the foregoing is in accordance with your understanding, please indicate your acceptance of this Agreement by signing in the space provided below. </w:t>
      </w:r>
    </w:p>
    <w:p>
      <w:pPr>
        <w:pStyle w:val="TextBody"/>
        <w:bidi w:val="0"/>
        <w:spacing w:before="240" w:after="0"/>
        <w:jc w:val="center"/>
        <w:rPr>
          <w:rFonts w:ascii="Times New Roman" w:hAnsi="Times New Roman"/>
          <w:i/>
          <w:sz w:val="20"/>
        </w:rPr>
      </w:pPr>
      <w:r>
        <w:rPr>
          <w:rFonts w:ascii="Times New Roman" w:hAnsi="Times New Roman"/>
          <w:i/>
          <w:sz w:val="20"/>
        </w:rPr>
        <w:t xml:space="preserve">[Signature pages follow]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372"/>
        <w:gridCol w:w="60"/>
        <w:gridCol w:w="3650"/>
      </w:tblGrid>
      <w:tr>
        <w:trPr/>
        <w:tc>
          <w:tcPr>
            <w:tcW w:w="372"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50"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Very truly yours,</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SIXTH STREET SPECIALTY LENDING, INC.</w:t>
            </w:r>
          </w:p>
        </w:tc>
      </w:tr>
      <w:tr>
        <w:trPr>
          <w:trHeight w:val="240" w:hRule="atLeast"/>
        </w:trPr>
        <w:tc>
          <w:tcPr>
            <w:tcW w:w="372" w:type="dxa"/>
            <w:tcBorders/>
            <w:vAlign w:val="center"/>
          </w:tcPr>
          <w:p>
            <w:pPr>
              <w:pStyle w:val="TableContents"/>
              <w:bidi w:val="0"/>
              <w:spacing w:before="0" w:after="283"/>
              <w:jc w:val="left"/>
              <w:rPr>
                <w:sz w:val="4"/>
                <w:szCs w:val="4"/>
              </w:rPr>
            </w:pPr>
            <w:r>
              <w:rPr>
                <w:sz w:val="4"/>
                <w:szCs w:val="4"/>
              </w:rPr>
            </w:r>
          </w:p>
        </w:tc>
        <w:tc>
          <w:tcPr>
            <w:tcW w:w="3710" w:type="dxa"/>
            <w:gridSpan w:val="2"/>
            <w:tcBorders/>
            <w:vAlign w:val="center"/>
          </w:tcPr>
          <w:p>
            <w:pPr>
              <w:pStyle w:val="TableContents"/>
              <w:bidi w:val="0"/>
              <w:spacing w:before="0" w:after="283"/>
              <w:jc w:val="left"/>
              <w:rPr>
                <w:sz w:val="4"/>
                <w:szCs w:val="4"/>
              </w:rPr>
            </w:pPr>
            <w:r>
              <w:rPr>
                <w:sz w:val="4"/>
                <w:szCs w:val="4"/>
              </w:rPr>
            </w:r>
          </w:p>
        </w:tc>
      </w:tr>
      <w:tr>
        <w:trPr/>
        <w:tc>
          <w:tcPr>
            <w:tcW w:w="372"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50"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Ian T. Simmonds</w:t>
            </w:r>
          </w:p>
        </w:tc>
      </w:tr>
      <w:tr>
        <w:trPr/>
        <w:tc>
          <w:tcPr>
            <w:tcW w:w="372"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0" w:type="dxa"/>
            <w:tcBorders/>
          </w:tcPr>
          <w:p>
            <w:pPr>
              <w:pStyle w:val="TableContents"/>
              <w:bidi w:val="0"/>
              <w:spacing w:before="0" w:after="283"/>
              <w:jc w:val="left"/>
              <w:rPr/>
            </w:pPr>
            <w:r>
              <w:rPr/>
              <w:t>Name: Ian T. Simmonds</w:t>
            </w:r>
          </w:p>
        </w:tc>
      </w:tr>
      <w:tr>
        <w:trPr/>
        <w:tc>
          <w:tcPr>
            <w:tcW w:w="372"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0" w:type="dxa"/>
            <w:tcBorders/>
          </w:tcPr>
          <w:p>
            <w:pPr>
              <w:pStyle w:val="TableContents"/>
              <w:bidi w:val="0"/>
              <w:spacing w:before="0" w:after="283"/>
              <w:jc w:val="left"/>
              <w:rPr/>
            </w:pPr>
            <w:r>
              <w:rPr/>
              <w:t>Title: Chief Financial Officer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SIXTH STREET SPECIALTY LENDING ADVISERS, LLC</w:t>
            </w:r>
          </w:p>
        </w:tc>
      </w:tr>
      <w:tr>
        <w:trPr>
          <w:trHeight w:val="240" w:hRule="atLeast"/>
        </w:trPr>
        <w:tc>
          <w:tcPr>
            <w:tcW w:w="372" w:type="dxa"/>
            <w:tcBorders/>
            <w:vAlign w:val="center"/>
          </w:tcPr>
          <w:p>
            <w:pPr>
              <w:pStyle w:val="TableContents"/>
              <w:bidi w:val="0"/>
              <w:spacing w:before="0" w:after="283"/>
              <w:jc w:val="left"/>
              <w:rPr>
                <w:sz w:val="4"/>
                <w:szCs w:val="4"/>
              </w:rPr>
            </w:pPr>
            <w:r>
              <w:rPr>
                <w:sz w:val="4"/>
                <w:szCs w:val="4"/>
              </w:rPr>
            </w:r>
          </w:p>
        </w:tc>
        <w:tc>
          <w:tcPr>
            <w:tcW w:w="3710" w:type="dxa"/>
            <w:gridSpan w:val="2"/>
            <w:tcBorders/>
            <w:vAlign w:val="center"/>
          </w:tcPr>
          <w:p>
            <w:pPr>
              <w:pStyle w:val="TableContents"/>
              <w:bidi w:val="0"/>
              <w:spacing w:before="0" w:after="283"/>
              <w:jc w:val="left"/>
              <w:rPr>
                <w:sz w:val="4"/>
                <w:szCs w:val="4"/>
              </w:rPr>
            </w:pPr>
            <w:r>
              <w:rPr>
                <w:sz w:val="4"/>
                <w:szCs w:val="4"/>
              </w:rPr>
            </w:r>
          </w:p>
        </w:tc>
      </w:tr>
      <w:tr>
        <w:trPr/>
        <w:tc>
          <w:tcPr>
            <w:tcW w:w="372"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50"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Ian T. Simmonds</w:t>
            </w:r>
          </w:p>
        </w:tc>
      </w:tr>
      <w:tr>
        <w:trPr/>
        <w:tc>
          <w:tcPr>
            <w:tcW w:w="372"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0" w:type="dxa"/>
            <w:tcBorders/>
          </w:tcPr>
          <w:p>
            <w:pPr>
              <w:pStyle w:val="TableContents"/>
              <w:bidi w:val="0"/>
              <w:spacing w:before="0" w:after="283"/>
              <w:jc w:val="left"/>
              <w:rPr/>
            </w:pPr>
            <w:r>
              <w:rPr/>
              <w:t>Name: Ian T. Simmonds</w:t>
            </w:r>
          </w:p>
        </w:tc>
      </w:tr>
      <w:tr>
        <w:trPr/>
        <w:tc>
          <w:tcPr>
            <w:tcW w:w="372"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0" w:type="dxa"/>
            <w:tcBorders/>
          </w:tcPr>
          <w:p>
            <w:pPr>
              <w:pStyle w:val="TableContents"/>
              <w:bidi w:val="0"/>
              <w:spacing w:before="0" w:after="283"/>
              <w:jc w:val="left"/>
              <w:rPr/>
            </w:pPr>
            <w:r>
              <w:rPr/>
              <w:t>Title: Vice President</w:t>
            </w:r>
          </w:p>
        </w:tc>
      </w:tr>
    </w:tbl>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Underwriting Agreement</w:t>
      </w:r>
      <w:r>
        <w:rPr>
          <w:rFonts w:ascii="Times New Roman" w:hAnsi="Times New Roman"/>
          <w:sz w:val="20"/>
        </w:rPr>
        <w:t xml:space="preserve">] </w:t>
      </w:r>
      <w:r>
        <w:br w:type="page"/>
      </w:r>
    </w:p>
    <w:p>
      <w:pPr>
        <w:pStyle w:val="HorizontalLine"/>
        <w:pBdr>
          <w:bottom w:val="double" w:sz="6" w:space="0" w:color="808080"/>
        </w:pBdr>
        <w:bidi w:val="0"/>
        <w:jc w:val="left"/>
        <w:rPr/>
      </w:pPr>
      <w:r>
        <w:rPr/>
      </w:r>
    </w:p>
    <w:tbl>
      <w:tblPr>
        <w:tblW w:w="2000" w:type="pct"/>
        <w:jc w:val="left"/>
        <w:tblInd w:w="0" w:type="dxa"/>
        <w:tblLayout w:type="fixed"/>
        <w:tblCellMar>
          <w:top w:w="0" w:type="dxa"/>
          <w:left w:w="0" w:type="dxa"/>
          <w:bottom w:w="0" w:type="dxa"/>
          <w:right w:w="0" w:type="dxa"/>
        </w:tblCellMar>
      </w:tblPr>
      <w:tblGrid>
        <w:gridCol w:w="398"/>
        <w:gridCol w:w="60"/>
        <w:gridCol w:w="3624"/>
      </w:tblGrid>
      <w:tr>
        <w:trPr/>
        <w:tc>
          <w:tcPr>
            <w:tcW w:w="398"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4"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MORGAN STANLEY &amp; CO. LLC</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Acting on behalf of itself and the several Underwriters listed in Schedule 1 hereto.</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MORGAN STANLEY &amp; CO. LLC</w:t>
            </w:r>
          </w:p>
        </w:tc>
      </w:tr>
      <w:tr>
        <w:trPr>
          <w:trHeight w:val="240" w:hRule="atLeast"/>
        </w:trPr>
        <w:tc>
          <w:tcPr>
            <w:tcW w:w="398" w:type="dxa"/>
            <w:tcBorders/>
            <w:vAlign w:val="center"/>
          </w:tcPr>
          <w:p>
            <w:pPr>
              <w:pStyle w:val="TableContents"/>
              <w:bidi w:val="0"/>
              <w:spacing w:before="0" w:after="283"/>
              <w:jc w:val="left"/>
              <w:rPr>
                <w:sz w:val="4"/>
                <w:szCs w:val="4"/>
              </w:rPr>
            </w:pPr>
            <w:r>
              <w:rPr>
                <w:sz w:val="4"/>
                <w:szCs w:val="4"/>
              </w:rPr>
            </w:r>
          </w:p>
        </w:tc>
        <w:tc>
          <w:tcPr>
            <w:tcW w:w="3684" w:type="dxa"/>
            <w:gridSpan w:val="2"/>
            <w:tcBorders/>
            <w:vAlign w:val="center"/>
          </w:tcPr>
          <w:p>
            <w:pPr>
              <w:pStyle w:val="TableContents"/>
              <w:bidi w:val="0"/>
              <w:spacing w:before="0" w:after="283"/>
              <w:jc w:val="left"/>
              <w:rPr>
                <w:sz w:val="4"/>
                <w:szCs w:val="4"/>
              </w:rPr>
            </w:pPr>
            <w:r>
              <w:rPr>
                <w:sz w:val="4"/>
                <w:szCs w:val="4"/>
              </w:rPr>
            </w:r>
          </w:p>
        </w:tc>
      </w:tr>
      <w:tr>
        <w:trPr/>
        <w:tc>
          <w:tcPr>
            <w:tcW w:w="398"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4"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Jyri Wilska</w:t>
            </w:r>
          </w:p>
        </w:tc>
      </w:tr>
      <w:tr>
        <w:trPr/>
        <w:tc>
          <w:tcPr>
            <w:tcW w:w="398"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4" w:type="dxa"/>
            <w:tcBorders/>
          </w:tcPr>
          <w:p>
            <w:pPr>
              <w:pStyle w:val="TableContents"/>
              <w:bidi w:val="0"/>
              <w:spacing w:before="0" w:after="283"/>
              <w:jc w:val="left"/>
              <w:rPr/>
            </w:pPr>
            <w:r>
              <w:rPr/>
              <w:t>Name: Jyri Wilska</w:t>
            </w:r>
          </w:p>
        </w:tc>
      </w:tr>
      <w:tr>
        <w:trPr/>
        <w:tc>
          <w:tcPr>
            <w:tcW w:w="398"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4" w:type="dxa"/>
            <w:tcBorders/>
          </w:tcPr>
          <w:p>
            <w:pPr>
              <w:pStyle w:val="TableContents"/>
              <w:bidi w:val="0"/>
              <w:spacing w:before="0" w:after="283"/>
              <w:jc w:val="left"/>
              <w:rPr/>
            </w:pPr>
            <w:r>
              <w:rPr/>
              <w:t>Title: Managing Director</w:t>
            </w:r>
          </w:p>
        </w:tc>
      </w:tr>
    </w:tbl>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Underwriting Agreement</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sz w:val="20"/>
        </w:rPr>
      </w:pPr>
      <w:r>
        <w:rPr>
          <w:rFonts w:ascii="Times New Roman" w:hAnsi="Times New Roman"/>
          <w:sz w:val="20"/>
        </w:rPr>
        <w:t xml:space="preserve">Schedule 1 </w:t>
      </w:r>
    </w:p>
    <w:p>
      <w:pPr>
        <w:pStyle w:val="TextBody"/>
        <w:bidi w:val="0"/>
        <w:spacing w:before="240" w:after="0"/>
        <w:jc w:val="left"/>
        <w:rPr>
          <w:rFonts w:ascii="Times New Roman" w:hAnsi="Times New Roman"/>
          <w:sz w:val="20"/>
        </w:rPr>
      </w:pPr>
      <w:r>
        <w:rPr>
          <w:rFonts w:ascii="Times New Roman" w:hAnsi="Times New Roman"/>
          <w:sz w:val="20"/>
        </w:rPr>
        <w:t xml:space="preserve">The public offering price as to each investor shall be the price paid by each investor.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864"/>
        <w:gridCol w:w="1059"/>
        <w:gridCol w:w="241"/>
        <w:gridCol w:w="3978"/>
        <w:gridCol w:w="63"/>
      </w:tblGrid>
      <w:tr>
        <w:trPr/>
        <w:tc>
          <w:tcPr>
            <w:tcW w:w="4864" w:type="dxa"/>
            <w:tcBorders/>
            <w:vAlign w:val="center"/>
          </w:tcPr>
          <w:p>
            <w:pPr>
              <w:pStyle w:val="TableContents"/>
              <w:bidi w:val="0"/>
              <w:spacing w:before="0" w:after="283"/>
              <w:jc w:val="left"/>
              <w:rPr>
                <w:sz w:val="4"/>
                <w:szCs w:val="4"/>
              </w:rPr>
            </w:pPr>
            <w:r>
              <w:rPr>
                <w:sz w:val="4"/>
                <w:szCs w:val="4"/>
              </w:rPr>
            </w:r>
          </w:p>
        </w:tc>
        <w:tc>
          <w:tcPr>
            <w:tcW w:w="1059" w:type="dxa"/>
            <w:tcBorders/>
            <w:vAlign w:val="bottom"/>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3978"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4864" w:type="dxa"/>
            <w:tcBorders/>
            <w:vAlign w:val="bottom"/>
          </w:tcPr>
          <w:p>
            <w:pPr>
              <w:pStyle w:val="TableContents"/>
              <w:pBdr>
                <w:bottom w:val="single" w:sz="8" w:space="1" w:color="000000"/>
              </w:pBdr>
              <w:bidi w:val="0"/>
              <w:spacing w:before="0" w:after="0"/>
              <w:jc w:val="left"/>
              <w:rPr>
                <w:rFonts w:ascii="Times New Roman" w:hAnsi="Times New Roman"/>
                <w:sz w:val="16"/>
              </w:rPr>
            </w:pPr>
            <w:r>
              <w:rPr>
                <w:rFonts w:ascii="Times New Roman" w:hAnsi="Times New Roman"/>
                <w:sz w:val="16"/>
              </w:rPr>
              <w:t>Name of Underwriter</w:t>
            </w:r>
          </w:p>
        </w:tc>
        <w:tc>
          <w:tcPr>
            <w:tcW w:w="1059" w:type="dxa"/>
            <w:tcBorders/>
            <w:vAlign w:val="bottom"/>
          </w:tcPr>
          <w:p>
            <w:pPr>
              <w:pStyle w:val="TableContents"/>
              <w:bidi w:val="0"/>
              <w:spacing w:before="0" w:after="283"/>
              <w:jc w:val="left"/>
              <w:rPr/>
            </w:pPr>
            <w:r>
              <w:rPr/>
              <w:t>  </w:t>
            </w:r>
          </w:p>
        </w:tc>
        <w:tc>
          <w:tcPr>
            <w:tcW w:w="4219" w:type="dxa"/>
            <w:gridSpan w:val="2"/>
            <w:tcBorders>
              <w:bottom w:val="single" w:sz="8" w:space="0" w:color="000000"/>
            </w:tcBorders>
            <w:tcMar>
              <w:bottom w:w="28" w:type="dxa"/>
            </w:tcMar>
            <w:vAlign w:val="bottom"/>
          </w:tcPr>
          <w:p>
            <w:pPr>
              <w:pStyle w:val="TableContents"/>
              <w:bidi w:val="0"/>
              <w:spacing w:before="0" w:after="283"/>
              <w:jc w:val="center"/>
              <w:rPr/>
            </w:pPr>
            <w:r>
              <w:rPr/>
              <w:t>Number of Initial Securities to be Purchased</w:t>
            </w:r>
          </w:p>
        </w:tc>
        <w:tc>
          <w:tcPr>
            <w:tcW w:w="63" w:type="dxa"/>
            <w:tcBorders/>
            <w:vAlign w:val="bottom"/>
          </w:tcPr>
          <w:p>
            <w:pPr>
              <w:pStyle w:val="TableContents"/>
              <w:bidi w:val="0"/>
              <w:spacing w:before="0" w:after="283"/>
              <w:jc w:val="left"/>
              <w:rPr/>
            </w:pPr>
            <w:r>
              <w:rPr/>
              <w:t> </w:t>
            </w:r>
          </w:p>
        </w:tc>
      </w:tr>
      <w:tr>
        <w:trPr/>
        <w:tc>
          <w:tcPr>
            <w:tcW w:w="486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Morgan Stanley &amp; Co. LLC</w:t>
            </w:r>
          </w:p>
        </w:tc>
        <w:tc>
          <w:tcPr>
            <w:tcW w:w="1059"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 </w:t>
            </w:r>
          </w:p>
        </w:tc>
        <w:tc>
          <w:tcPr>
            <w:tcW w:w="3978" w:type="dxa"/>
            <w:tcBorders/>
            <w:shd w:fill="CCEEFF" w:val="clear"/>
            <w:vAlign w:val="bottom"/>
          </w:tcPr>
          <w:p>
            <w:pPr>
              <w:pStyle w:val="TableContents"/>
              <w:bidi w:val="0"/>
              <w:spacing w:before="0" w:after="283"/>
              <w:jc w:val="right"/>
              <w:rPr/>
            </w:pPr>
            <w:r>
              <w:rPr/>
              <w:t>800,000</w:t>
            </w:r>
          </w:p>
        </w:tc>
        <w:tc>
          <w:tcPr>
            <w:tcW w:w="63" w:type="dxa"/>
            <w:tcBorders/>
            <w:shd w:fill="CCEEFF" w:val="clear"/>
            <w:vAlign w:val="bottom"/>
          </w:tcPr>
          <w:p>
            <w:pPr>
              <w:pStyle w:val="TableContents"/>
              <w:bidi w:val="0"/>
              <w:spacing w:before="0" w:after="283"/>
              <w:jc w:val="left"/>
              <w:rPr/>
            </w:pPr>
            <w:r>
              <w:rPr/>
              <w:t> </w:t>
            </w:r>
          </w:p>
        </w:tc>
      </w:tr>
      <w:tr>
        <w:trPr/>
        <w:tc>
          <w:tcPr>
            <w:tcW w:w="4864" w:type="dxa"/>
            <w:tcBorders/>
          </w:tcPr>
          <w:p>
            <w:pPr>
              <w:pStyle w:val="TableContents"/>
              <w:bidi w:val="0"/>
              <w:spacing w:before="0" w:after="0"/>
              <w:jc w:val="left"/>
              <w:rPr>
                <w:rFonts w:ascii="Times New Roman" w:hAnsi="Times New Roman"/>
                <w:sz w:val="20"/>
              </w:rPr>
            </w:pPr>
            <w:r>
              <w:rPr>
                <w:rFonts w:ascii="Times New Roman" w:hAnsi="Times New Roman"/>
                <w:sz w:val="20"/>
              </w:rPr>
              <w:t>Wells Fargo Securities, LLC</w:t>
            </w:r>
          </w:p>
        </w:tc>
        <w:tc>
          <w:tcPr>
            <w:tcW w:w="1059"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3978" w:type="dxa"/>
            <w:tcBorders/>
            <w:vAlign w:val="bottom"/>
          </w:tcPr>
          <w:p>
            <w:pPr>
              <w:pStyle w:val="TableContents"/>
              <w:bidi w:val="0"/>
              <w:spacing w:before="0" w:after="283"/>
              <w:jc w:val="right"/>
              <w:rPr/>
            </w:pPr>
            <w:r>
              <w:rPr/>
              <w:t>800,000</w:t>
            </w:r>
          </w:p>
        </w:tc>
        <w:tc>
          <w:tcPr>
            <w:tcW w:w="63" w:type="dxa"/>
            <w:tcBorders/>
            <w:vAlign w:val="bottom"/>
          </w:tcPr>
          <w:p>
            <w:pPr>
              <w:pStyle w:val="TableContents"/>
              <w:bidi w:val="0"/>
              <w:spacing w:before="0" w:after="283"/>
              <w:jc w:val="left"/>
              <w:rPr/>
            </w:pPr>
            <w:r>
              <w:rPr/>
              <w:t> </w:t>
            </w:r>
          </w:p>
        </w:tc>
      </w:tr>
      <w:tr>
        <w:trPr/>
        <w:tc>
          <w:tcPr>
            <w:tcW w:w="486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BofA Securities, Inc.</w:t>
            </w:r>
          </w:p>
        </w:tc>
        <w:tc>
          <w:tcPr>
            <w:tcW w:w="1059"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 </w:t>
            </w:r>
          </w:p>
        </w:tc>
        <w:tc>
          <w:tcPr>
            <w:tcW w:w="3978" w:type="dxa"/>
            <w:tcBorders/>
            <w:shd w:fill="CCEEFF" w:val="clear"/>
            <w:vAlign w:val="bottom"/>
          </w:tcPr>
          <w:p>
            <w:pPr>
              <w:pStyle w:val="TableContents"/>
              <w:bidi w:val="0"/>
              <w:spacing w:before="0" w:after="283"/>
              <w:jc w:val="right"/>
              <w:rPr/>
            </w:pPr>
            <w:r>
              <w:rPr/>
              <w:t>500,000</w:t>
            </w:r>
          </w:p>
        </w:tc>
        <w:tc>
          <w:tcPr>
            <w:tcW w:w="63" w:type="dxa"/>
            <w:tcBorders/>
            <w:shd w:fill="CCEEFF" w:val="clear"/>
            <w:vAlign w:val="bottom"/>
          </w:tcPr>
          <w:p>
            <w:pPr>
              <w:pStyle w:val="TableContents"/>
              <w:bidi w:val="0"/>
              <w:spacing w:before="0" w:after="283"/>
              <w:jc w:val="left"/>
              <w:rPr/>
            </w:pPr>
            <w:r>
              <w:rPr/>
              <w:t> </w:t>
            </w:r>
          </w:p>
        </w:tc>
      </w:tr>
      <w:tr>
        <w:trPr/>
        <w:tc>
          <w:tcPr>
            <w:tcW w:w="4864" w:type="dxa"/>
            <w:tcBorders/>
          </w:tcPr>
          <w:p>
            <w:pPr>
              <w:pStyle w:val="TableContents"/>
              <w:bidi w:val="0"/>
              <w:spacing w:before="0" w:after="0"/>
              <w:jc w:val="left"/>
              <w:rPr>
                <w:rFonts w:ascii="Times New Roman" w:hAnsi="Times New Roman"/>
                <w:sz w:val="20"/>
              </w:rPr>
            </w:pPr>
            <w:r>
              <w:rPr>
                <w:rFonts w:ascii="Times New Roman" w:hAnsi="Times New Roman"/>
                <w:sz w:val="20"/>
              </w:rPr>
              <w:t>RBC Capital Markets, LLC</w:t>
            </w:r>
          </w:p>
        </w:tc>
        <w:tc>
          <w:tcPr>
            <w:tcW w:w="1059"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3978" w:type="dxa"/>
            <w:tcBorders/>
            <w:vAlign w:val="bottom"/>
          </w:tcPr>
          <w:p>
            <w:pPr>
              <w:pStyle w:val="TableContents"/>
              <w:bidi w:val="0"/>
              <w:spacing w:before="0" w:after="283"/>
              <w:jc w:val="right"/>
              <w:rPr/>
            </w:pPr>
            <w:r>
              <w:rPr/>
              <w:t>500,000</w:t>
            </w:r>
          </w:p>
        </w:tc>
        <w:tc>
          <w:tcPr>
            <w:tcW w:w="63" w:type="dxa"/>
            <w:tcBorders/>
            <w:vAlign w:val="bottom"/>
          </w:tcPr>
          <w:p>
            <w:pPr>
              <w:pStyle w:val="TableContents"/>
              <w:bidi w:val="0"/>
              <w:spacing w:before="0" w:after="283"/>
              <w:jc w:val="left"/>
              <w:rPr/>
            </w:pPr>
            <w:r>
              <w:rPr/>
              <w:t> </w:t>
            </w:r>
          </w:p>
        </w:tc>
      </w:tr>
      <w:tr>
        <w:trPr/>
        <w:tc>
          <w:tcPr>
            <w:tcW w:w="486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Keefe, Bruyette &amp; Woods, Inc.</w:t>
            </w:r>
          </w:p>
        </w:tc>
        <w:tc>
          <w:tcPr>
            <w:tcW w:w="1059"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 </w:t>
            </w:r>
          </w:p>
        </w:tc>
        <w:tc>
          <w:tcPr>
            <w:tcW w:w="3978" w:type="dxa"/>
            <w:tcBorders/>
            <w:shd w:fill="CCEEFF" w:val="clear"/>
            <w:vAlign w:val="bottom"/>
          </w:tcPr>
          <w:p>
            <w:pPr>
              <w:pStyle w:val="TableContents"/>
              <w:bidi w:val="0"/>
              <w:spacing w:before="0" w:after="283"/>
              <w:jc w:val="right"/>
              <w:rPr/>
            </w:pPr>
            <w:r>
              <w:rPr/>
              <w:t>400,000</w:t>
            </w:r>
          </w:p>
        </w:tc>
        <w:tc>
          <w:tcPr>
            <w:tcW w:w="63" w:type="dxa"/>
            <w:tcBorders/>
            <w:shd w:fill="CCEEFF" w:val="clear"/>
            <w:vAlign w:val="bottom"/>
          </w:tcPr>
          <w:p>
            <w:pPr>
              <w:pStyle w:val="TableContents"/>
              <w:bidi w:val="0"/>
              <w:spacing w:before="0" w:after="283"/>
              <w:jc w:val="left"/>
              <w:rPr/>
            </w:pPr>
            <w:r>
              <w:rPr/>
              <w:t> </w:t>
            </w:r>
          </w:p>
        </w:tc>
      </w:tr>
      <w:tr>
        <w:trPr/>
        <w:tc>
          <w:tcPr>
            <w:tcW w:w="4864" w:type="dxa"/>
            <w:tcBorders/>
          </w:tcPr>
          <w:p>
            <w:pPr>
              <w:pStyle w:val="TableContents"/>
              <w:bidi w:val="0"/>
              <w:spacing w:before="0" w:after="0"/>
              <w:jc w:val="left"/>
              <w:rPr>
                <w:rFonts w:ascii="Times New Roman" w:hAnsi="Times New Roman"/>
                <w:sz w:val="20"/>
              </w:rPr>
            </w:pPr>
            <w:r>
              <w:rPr>
                <w:rFonts w:ascii="Times New Roman" w:hAnsi="Times New Roman"/>
                <w:sz w:val="20"/>
              </w:rPr>
              <w:t>Raymond James &amp; Associates, Inc.</w:t>
            </w:r>
          </w:p>
        </w:tc>
        <w:tc>
          <w:tcPr>
            <w:tcW w:w="1059"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3978" w:type="dxa"/>
            <w:tcBorders/>
            <w:vAlign w:val="bottom"/>
          </w:tcPr>
          <w:p>
            <w:pPr>
              <w:pStyle w:val="TableContents"/>
              <w:bidi w:val="0"/>
              <w:spacing w:before="0" w:after="283"/>
              <w:jc w:val="right"/>
              <w:rPr/>
            </w:pPr>
            <w:r>
              <w:rPr/>
              <w:t>400,000</w:t>
            </w:r>
          </w:p>
        </w:tc>
        <w:tc>
          <w:tcPr>
            <w:tcW w:w="63" w:type="dxa"/>
            <w:tcBorders/>
            <w:vAlign w:val="bottom"/>
          </w:tcPr>
          <w:p>
            <w:pPr>
              <w:pStyle w:val="TableContents"/>
              <w:bidi w:val="0"/>
              <w:spacing w:before="0" w:after="283"/>
              <w:jc w:val="left"/>
              <w:rPr/>
            </w:pPr>
            <w:r>
              <w:rPr/>
              <w:t> </w:t>
            </w:r>
          </w:p>
        </w:tc>
      </w:tr>
      <w:tr>
        <w:trPr/>
        <w:tc>
          <w:tcPr>
            <w:tcW w:w="486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Citigroup Global Markets Inc.</w:t>
            </w:r>
          </w:p>
        </w:tc>
        <w:tc>
          <w:tcPr>
            <w:tcW w:w="1059"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 </w:t>
            </w:r>
          </w:p>
        </w:tc>
        <w:tc>
          <w:tcPr>
            <w:tcW w:w="3978" w:type="dxa"/>
            <w:tcBorders/>
            <w:shd w:fill="CCEEFF" w:val="clear"/>
            <w:vAlign w:val="bottom"/>
          </w:tcPr>
          <w:p>
            <w:pPr>
              <w:pStyle w:val="TableContents"/>
              <w:bidi w:val="0"/>
              <w:spacing w:before="0" w:after="283"/>
              <w:jc w:val="right"/>
              <w:rPr/>
            </w:pPr>
            <w:r>
              <w:rPr/>
              <w:t>200,000</w:t>
            </w:r>
          </w:p>
        </w:tc>
        <w:tc>
          <w:tcPr>
            <w:tcW w:w="63" w:type="dxa"/>
            <w:tcBorders/>
            <w:shd w:fill="CCEEFF" w:val="clear"/>
            <w:vAlign w:val="bottom"/>
          </w:tcPr>
          <w:p>
            <w:pPr>
              <w:pStyle w:val="TableContents"/>
              <w:bidi w:val="0"/>
              <w:spacing w:before="0" w:after="283"/>
              <w:jc w:val="left"/>
              <w:rPr/>
            </w:pPr>
            <w:r>
              <w:rPr/>
              <w:t> </w:t>
            </w:r>
          </w:p>
        </w:tc>
      </w:tr>
      <w:tr>
        <w:trPr/>
        <w:tc>
          <w:tcPr>
            <w:tcW w:w="4864" w:type="dxa"/>
            <w:tcBorders/>
          </w:tcPr>
          <w:p>
            <w:pPr>
              <w:pStyle w:val="TableContents"/>
              <w:bidi w:val="0"/>
              <w:spacing w:before="0" w:after="0"/>
              <w:jc w:val="left"/>
              <w:rPr>
                <w:rFonts w:ascii="Times New Roman" w:hAnsi="Times New Roman"/>
                <w:sz w:val="20"/>
              </w:rPr>
            </w:pPr>
            <w:r>
              <w:rPr>
                <w:rFonts w:ascii="Times New Roman" w:hAnsi="Times New Roman"/>
                <w:sz w:val="20"/>
              </w:rPr>
              <w:t>Goldman Sachs &amp; Co. LLC</w:t>
            </w:r>
          </w:p>
        </w:tc>
        <w:tc>
          <w:tcPr>
            <w:tcW w:w="1059"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3978" w:type="dxa"/>
            <w:tcBorders/>
            <w:vAlign w:val="bottom"/>
          </w:tcPr>
          <w:p>
            <w:pPr>
              <w:pStyle w:val="TableContents"/>
              <w:bidi w:val="0"/>
              <w:spacing w:before="0" w:after="283"/>
              <w:jc w:val="right"/>
              <w:rPr/>
            </w:pPr>
            <w:r>
              <w:rPr/>
              <w:t>200,000</w:t>
            </w:r>
          </w:p>
        </w:tc>
        <w:tc>
          <w:tcPr>
            <w:tcW w:w="63" w:type="dxa"/>
            <w:tcBorders/>
            <w:vAlign w:val="bottom"/>
          </w:tcPr>
          <w:p>
            <w:pPr>
              <w:pStyle w:val="TableContents"/>
              <w:bidi w:val="0"/>
              <w:spacing w:before="0" w:after="283"/>
              <w:jc w:val="left"/>
              <w:rPr/>
            </w:pPr>
            <w:r>
              <w:rPr/>
              <w:t> </w:t>
            </w:r>
          </w:p>
        </w:tc>
      </w:tr>
      <w:tr>
        <w:trPr/>
        <w:tc>
          <w:tcPr>
            <w:tcW w:w="486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J.P. Morgan Securities LLC</w:t>
            </w:r>
          </w:p>
        </w:tc>
        <w:tc>
          <w:tcPr>
            <w:tcW w:w="1059"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 </w:t>
            </w:r>
          </w:p>
        </w:tc>
        <w:tc>
          <w:tcPr>
            <w:tcW w:w="3978" w:type="dxa"/>
            <w:tcBorders/>
            <w:shd w:fill="CCEEFF" w:val="clear"/>
            <w:vAlign w:val="bottom"/>
          </w:tcPr>
          <w:p>
            <w:pPr>
              <w:pStyle w:val="TableContents"/>
              <w:bidi w:val="0"/>
              <w:spacing w:before="0" w:after="283"/>
              <w:jc w:val="right"/>
              <w:rPr/>
            </w:pPr>
            <w:r>
              <w:rPr/>
              <w:t>200,000</w:t>
            </w:r>
          </w:p>
        </w:tc>
        <w:tc>
          <w:tcPr>
            <w:tcW w:w="63" w:type="dxa"/>
            <w:tcBorders/>
            <w:shd w:fill="CCEEFF" w:val="clear"/>
            <w:vAlign w:val="bottom"/>
          </w:tcPr>
          <w:p>
            <w:pPr>
              <w:pStyle w:val="TableContents"/>
              <w:bidi w:val="0"/>
              <w:spacing w:before="0" w:after="283"/>
              <w:jc w:val="left"/>
              <w:rPr/>
            </w:pPr>
            <w:r>
              <w:rPr/>
              <w:t> </w:t>
            </w:r>
          </w:p>
        </w:tc>
      </w:tr>
      <w:tr>
        <w:trPr/>
        <w:tc>
          <w:tcPr>
            <w:tcW w:w="4864" w:type="dxa"/>
            <w:tcBorders/>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1059"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3978" w:type="dxa"/>
            <w:tcBorders/>
            <w:vAlign w:val="bottom"/>
          </w:tcPr>
          <w:p>
            <w:pPr>
              <w:pStyle w:val="TableContents"/>
              <w:bidi w:val="0"/>
              <w:spacing w:before="0" w:after="283"/>
              <w:jc w:val="right"/>
              <w:rPr/>
            </w:pPr>
            <w:r>
              <w:rPr/>
              <w:t>4,000,000</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S-1-1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sz w:val="20"/>
        </w:rPr>
      </w:pPr>
      <w:r>
        <w:rPr>
          <w:rFonts w:ascii="Times New Roman" w:hAnsi="Times New Roman"/>
          <w:sz w:val="20"/>
        </w:rPr>
        <w:t xml:space="preserve">Schedule 2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tcPr>
          <w:p>
            <w:pPr>
              <w:pStyle w:val="TableContents"/>
              <w:bidi w:val="0"/>
              <w:spacing w:before="0" w:after="0"/>
              <w:jc w:val="center"/>
              <w:rPr>
                <w:rFonts w:ascii="Times New Roman" w:hAnsi="Times New Roman"/>
                <w:sz w:val="20"/>
              </w:rPr>
            </w:pPr>
            <w:r>
              <w:rPr>
                <w:rFonts w:ascii="Times New Roman" w:hAnsi="Times New Roman"/>
                <w:sz w:val="20"/>
              </w:rPr>
              <w:t>None</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S-2-1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sz w:val="20"/>
        </w:rPr>
      </w:pPr>
      <w:r>
        <w:rPr>
          <w:rFonts w:ascii="Times New Roman" w:hAnsi="Times New Roman"/>
          <w:sz w:val="20"/>
        </w:rPr>
        <w:t xml:space="preserve">Schedule 3 </w:t>
      </w:r>
    </w:p>
    <w:p>
      <w:pPr>
        <w:pStyle w:val="TextBody"/>
        <w:bidi w:val="0"/>
        <w:spacing w:before="240" w:after="0"/>
        <w:jc w:val="center"/>
        <w:rPr>
          <w:rFonts w:ascii="Times New Roman" w:hAnsi="Times New Roman"/>
          <w:sz w:val="20"/>
        </w:rPr>
      </w:pPr>
      <w:r>
        <w:rPr>
          <w:rFonts w:ascii="Times New Roman" w:hAnsi="Times New Roman"/>
          <w:sz w:val="20"/>
        </w:rPr>
        <w:t xml:space="preserve">Subsidiaries of the Company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TC Lending, LLC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Sixth Street SL SPV, LLC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9800"/>
      </w:tblGrid>
      <w:tr>
        <w:trPr/>
        <w:tc>
          <w:tcPr>
            <w:tcW w:w="405" w:type="dxa"/>
            <w:tcBorders/>
          </w:tcPr>
          <w:p>
            <w:pPr>
              <w:pStyle w:val="TableContents"/>
              <w:bidi w:val="0"/>
              <w:spacing w:before="0" w:after="283"/>
              <w:jc w:val="left"/>
              <w:rPr/>
            </w:pPr>
            <w:r>
              <w:rPr/>
              <w:t>3.</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Sixth Street SL Holding, LLC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4.</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Sixth Street Specialty Lending Sub, LLC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S-3-1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sz w:val="20"/>
        </w:rPr>
      </w:pPr>
      <w:r>
        <w:rPr>
          <w:rFonts w:ascii="Times New Roman" w:hAnsi="Times New Roman"/>
          <w:sz w:val="20"/>
        </w:rPr>
        <w:t xml:space="preserve">Schedule 4 </w:t>
      </w:r>
    </w:p>
    <w:p>
      <w:pPr>
        <w:pStyle w:val="TextBody"/>
        <w:bidi w:val="0"/>
        <w:spacing w:before="240" w:after="0"/>
        <w:jc w:val="center"/>
        <w:rPr>
          <w:rFonts w:ascii="Times New Roman" w:hAnsi="Times New Roman"/>
          <w:sz w:val="20"/>
        </w:rPr>
      </w:pPr>
      <w:r>
        <w:rPr>
          <w:rFonts w:ascii="Times New Roman" w:hAnsi="Times New Roman"/>
          <w:sz w:val="20"/>
        </w:rPr>
        <w:t xml:space="preserve">List of Directors and Officers Subject to Lock-Up </w:t>
      </w:r>
    </w:p>
    <w:p>
      <w:pPr>
        <w:pStyle w:val="TextBody"/>
        <w:bidi w:val="0"/>
        <w:spacing w:before="240" w:after="0"/>
        <w:jc w:val="left"/>
        <w:rPr>
          <w:rFonts w:ascii="Times New Roman" w:hAnsi="Times New Roman"/>
          <w:sz w:val="20"/>
        </w:rPr>
      </w:pPr>
      <w:r>
        <w:rPr>
          <w:rFonts w:ascii="Times New Roman" w:hAnsi="Times New Roman"/>
          <w:sz w:val="20"/>
        </w:rPr>
        <w:t xml:space="preserve">Hurley Doddy </w:t>
      </w:r>
    </w:p>
    <w:p>
      <w:pPr>
        <w:pStyle w:val="TextBody"/>
        <w:bidi w:val="0"/>
        <w:spacing w:before="0" w:after="0"/>
        <w:jc w:val="left"/>
        <w:rPr>
          <w:rFonts w:ascii="Times New Roman" w:hAnsi="Times New Roman"/>
          <w:sz w:val="20"/>
        </w:rPr>
      </w:pPr>
      <w:r>
        <w:rPr>
          <w:rFonts w:ascii="Times New Roman" w:hAnsi="Times New Roman"/>
          <w:sz w:val="20"/>
        </w:rPr>
        <w:t xml:space="preserve">Joshua Easterly </w:t>
      </w:r>
    </w:p>
    <w:p>
      <w:pPr>
        <w:pStyle w:val="TextBody"/>
        <w:bidi w:val="0"/>
        <w:spacing w:before="0" w:after="0"/>
        <w:jc w:val="left"/>
        <w:rPr>
          <w:rFonts w:ascii="Times New Roman" w:hAnsi="Times New Roman"/>
          <w:sz w:val="20"/>
        </w:rPr>
      </w:pPr>
      <w:r>
        <w:rPr>
          <w:rFonts w:ascii="Times New Roman" w:hAnsi="Times New Roman"/>
          <w:sz w:val="20"/>
        </w:rPr>
        <w:t xml:space="preserve">Robert (Bo) Stanley </w:t>
      </w:r>
    </w:p>
    <w:p>
      <w:pPr>
        <w:pStyle w:val="TextBody"/>
        <w:bidi w:val="0"/>
        <w:spacing w:before="0" w:after="0"/>
        <w:jc w:val="left"/>
        <w:rPr>
          <w:rFonts w:ascii="Times New Roman" w:hAnsi="Times New Roman"/>
          <w:sz w:val="20"/>
        </w:rPr>
      </w:pPr>
      <w:r>
        <w:rPr>
          <w:rFonts w:ascii="Times New Roman" w:hAnsi="Times New Roman"/>
          <w:sz w:val="20"/>
        </w:rPr>
        <w:t xml:space="preserve">Michael Fishman </w:t>
      </w:r>
    </w:p>
    <w:p>
      <w:pPr>
        <w:pStyle w:val="TextBody"/>
        <w:bidi w:val="0"/>
        <w:spacing w:before="0" w:after="0"/>
        <w:jc w:val="left"/>
        <w:rPr>
          <w:rFonts w:ascii="Times New Roman" w:hAnsi="Times New Roman"/>
          <w:sz w:val="20"/>
        </w:rPr>
      </w:pPr>
      <w:r>
        <w:rPr>
          <w:rFonts w:ascii="Times New Roman" w:hAnsi="Times New Roman"/>
          <w:sz w:val="20"/>
        </w:rPr>
        <w:t xml:space="preserve">Richard Higginbotham </w:t>
      </w:r>
    </w:p>
    <w:p>
      <w:pPr>
        <w:pStyle w:val="TextBody"/>
        <w:bidi w:val="0"/>
        <w:spacing w:before="0" w:after="0"/>
        <w:jc w:val="left"/>
        <w:rPr>
          <w:rFonts w:ascii="Times New Roman" w:hAnsi="Times New Roman"/>
          <w:sz w:val="20"/>
        </w:rPr>
      </w:pPr>
      <w:r>
        <w:rPr>
          <w:rFonts w:ascii="Times New Roman" w:hAnsi="Times New Roman"/>
          <w:sz w:val="20"/>
        </w:rPr>
        <w:t xml:space="preserve">John Ross </w:t>
      </w:r>
    </w:p>
    <w:p>
      <w:pPr>
        <w:pStyle w:val="TextBody"/>
        <w:bidi w:val="0"/>
        <w:spacing w:before="0" w:after="0"/>
        <w:jc w:val="left"/>
        <w:rPr>
          <w:rFonts w:ascii="Times New Roman" w:hAnsi="Times New Roman"/>
          <w:sz w:val="20"/>
        </w:rPr>
      </w:pPr>
      <w:r>
        <w:rPr>
          <w:rFonts w:ascii="Times New Roman" w:hAnsi="Times New Roman"/>
          <w:sz w:val="20"/>
        </w:rPr>
        <w:t xml:space="preserve">Judy Slotkin </w:t>
      </w:r>
    </w:p>
    <w:p>
      <w:pPr>
        <w:pStyle w:val="TextBody"/>
        <w:bidi w:val="0"/>
        <w:spacing w:before="0" w:after="0"/>
        <w:jc w:val="left"/>
        <w:rPr>
          <w:rFonts w:ascii="Times New Roman" w:hAnsi="Times New Roman"/>
          <w:sz w:val="20"/>
        </w:rPr>
      </w:pPr>
      <w:r>
        <w:rPr>
          <w:rFonts w:ascii="Times New Roman" w:hAnsi="Times New Roman"/>
          <w:sz w:val="20"/>
        </w:rPr>
        <w:t xml:space="preserve">Ronald Tanemura </w:t>
      </w:r>
    </w:p>
    <w:p>
      <w:pPr>
        <w:pStyle w:val="TextBody"/>
        <w:bidi w:val="0"/>
        <w:spacing w:before="0" w:after="0"/>
        <w:jc w:val="left"/>
        <w:rPr>
          <w:rFonts w:ascii="Times New Roman" w:hAnsi="Times New Roman"/>
          <w:sz w:val="20"/>
        </w:rPr>
      </w:pPr>
      <w:r>
        <w:rPr>
          <w:rFonts w:ascii="Times New Roman" w:hAnsi="Times New Roman"/>
          <w:sz w:val="20"/>
        </w:rPr>
        <w:t xml:space="preserve">Ian Simmonds </w:t>
      </w:r>
    </w:p>
    <w:p>
      <w:pPr>
        <w:pStyle w:val="TextBody"/>
        <w:bidi w:val="0"/>
        <w:spacing w:before="0" w:after="0"/>
        <w:jc w:val="left"/>
        <w:rPr>
          <w:rFonts w:ascii="Times New Roman" w:hAnsi="Times New Roman"/>
          <w:sz w:val="20"/>
        </w:rPr>
      </w:pPr>
      <w:r>
        <w:rPr>
          <w:rFonts w:ascii="Times New Roman" w:hAnsi="Times New Roman"/>
          <w:sz w:val="20"/>
        </w:rPr>
        <w:t xml:space="preserve">Alan Waxman </w:t>
      </w:r>
    </w:p>
    <w:p>
      <w:pPr>
        <w:pStyle w:val="TextBody"/>
        <w:bidi w:val="0"/>
        <w:spacing w:before="0" w:after="0"/>
        <w:jc w:val="left"/>
        <w:rPr>
          <w:rFonts w:ascii="Times New Roman" w:hAnsi="Times New Roman"/>
          <w:sz w:val="20"/>
        </w:rPr>
      </w:pPr>
      <w:r>
        <w:rPr>
          <w:rFonts w:ascii="Times New Roman" w:hAnsi="Times New Roman"/>
          <w:sz w:val="20"/>
        </w:rPr>
        <w:t xml:space="preserve">David Stiepleman </w:t>
      </w:r>
    </w:p>
    <w:p>
      <w:pPr>
        <w:pStyle w:val="TextBody"/>
        <w:bidi w:val="0"/>
        <w:spacing w:before="0" w:after="0"/>
        <w:jc w:val="left"/>
        <w:rPr>
          <w:rFonts w:ascii="Times New Roman" w:hAnsi="Times New Roman"/>
          <w:sz w:val="20"/>
        </w:rPr>
      </w:pPr>
      <w:r>
        <w:rPr>
          <w:rFonts w:ascii="Times New Roman" w:hAnsi="Times New Roman"/>
          <w:sz w:val="20"/>
        </w:rPr>
        <w:t xml:space="preserve">Steven Pluss </w:t>
      </w:r>
    </w:p>
    <w:p>
      <w:pPr>
        <w:pStyle w:val="TextBody"/>
        <w:bidi w:val="0"/>
        <w:spacing w:before="0" w:after="0"/>
        <w:jc w:val="left"/>
        <w:rPr>
          <w:rFonts w:ascii="Times New Roman" w:hAnsi="Times New Roman"/>
          <w:sz w:val="20"/>
        </w:rPr>
      </w:pPr>
      <w:r>
        <w:rPr>
          <w:rFonts w:ascii="Times New Roman" w:hAnsi="Times New Roman"/>
          <w:sz w:val="20"/>
        </w:rPr>
        <w:t xml:space="preserve">Craig Hamrah </w:t>
      </w:r>
    </w:p>
    <w:p>
      <w:pPr>
        <w:pStyle w:val="TextBody"/>
        <w:bidi w:val="0"/>
        <w:spacing w:before="0" w:after="0"/>
        <w:jc w:val="left"/>
        <w:rPr>
          <w:rFonts w:ascii="Times New Roman" w:hAnsi="Times New Roman"/>
          <w:sz w:val="20"/>
        </w:rPr>
      </w:pPr>
      <w:r>
        <w:rPr>
          <w:rFonts w:ascii="Times New Roman" w:hAnsi="Times New Roman"/>
          <w:sz w:val="20"/>
        </w:rPr>
        <w:t xml:space="preserve">Jennifer Gordon </w:t>
      </w:r>
    </w:p>
    <w:p>
      <w:pPr>
        <w:pStyle w:val="TextBody"/>
        <w:bidi w:val="0"/>
        <w:spacing w:before="0" w:after="0"/>
        <w:jc w:val="left"/>
        <w:rPr>
          <w:rFonts w:ascii="Times New Roman" w:hAnsi="Times New Roman"/>
          <w:sz w:val="20"/>
        </w:rPr>
      </w:pPr>
      <w:r>
        <w:rPr>
          <w:rFonts w:ascii="Times New Roman" w:hAnsi="Times New Roman"/>
          <w:sz w:val="20"/>
        </w:rPr>
        <w:t xml:space="preserve">Michael Graf </w:t>
      </w:r>
    </w:p>
    <w:p>
      <w:pPr>
        <w:pStyle w:val="TextBody"/>
        <w:bidi w:val="0"/>
        <w:spacing w:before="0" w:after="0"/>
        <w:jc w:val="left"/>
        <w:rPr>
          <w:rFonts w:ascii="Times New Roman" w:hAnsi="Times New Roman"/>
          <w:sz w:val="20"/>
        </w:rPr>
      </w:pPr>
      <w:r>
        <w:rPr>
          <w:rFonts w:ascii="Times New Roman" w:hAnsi="Times New Roman"/>
          <w:sz w:val="20"/>
        </w:rPr>
        <w:t xml:space="preserve">Joshua Peck </w:t>
      </w:r>
    </w:p>
    <w:p>
      <w:pPr>
        <w:pStyle w:val="TextBody"/>
        <w:bidi w:val="0"/>
        <w:spacing w:before="0" w:after="0"/>
        <w:jc w:val="left"/>
        <w:rPr>
          <w:rFonts w:ascii="Times New Roman" w:hAnsi="Times New Roman"/>
          <w:sz w:val="20"/>
        </w:rPr>
      </w:pPr>
      <w:r>
        <w:rPr>
          <w:rFonts w:ascii="Times New Roman" w:hAnsi="Times New Roman"/>
          <w:sz w:val="20"/>
        </w:rPr>
        <w:t xml:space="preserve">Anton Brett </w:t>
      </w:r>
    </w:p>
    <w:p>
      <w:pPr>
        <w:pStyle w:val="TextBody"/>
        <w:bidi w:val="0"/>
        <w:spacing w:before="0" w:after="0"/>
        <w:jc w:val="left"/>
        <w:rPr>
          <w:rFonts w:ascii="Times New Roman" w:hAnsi="Times New Roman"/>
          <w:sz w:val="20"/>
        </w:rPr>
      </w:pPr>
      <w:r>
        <w:rPr>
          <w:rFonts w:ascii="Times New Roman" w:hAnsi="Times New Roman"/>
          <w:sz w:val="20"/>
        </w:rPr>
        <w:t xml:space="preserve">P. Emery Covington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sz w:val="20"/>
        </w:rPr>
      </w:pPr>
      <w:r>
        <w:rPr>
          <w:rFonts w:ascii="Times New Roman" w:hAnsi="Times New Roman"/>
          <w:sz w:val="20"/>
        </w:rPr>
        <w:t xml:space="preserve">Exhibit A </w:t>
      </w:r>
    </w:p>
    <w:p>
      <w:pPr>
        <w:pStyle w:val="TextBody"/>
        <w:bidi w:val="0"/>
        <w:spacing w:before="480" w:after="0"/>
        <w:jc w:val="center"/>
        <w:rPr>
          <w:rFonts w:ascii="Times New Roman" w:hAnsi="Times New Roman"/>
          <w:b/>
          <w:sz w:val="20"/>
        </w:rPr>
      </w:pPr>
      <w:r>
        <w:rPr>
          <w:rFonts w:ascii="Times New Roman" w:hAnsi="Times New Roman"/>
          <w:b/>
          <w:sz w:val="20"/>
        </w:rPr>
        <w:t xml:space="preserve">FORM OF LOCK-UP AGREEMENT </w:t>
      </w:r>
    </w:p>
    <w:p>
      <w:pPr>
        <w:pStyle w:val="TextBody"/>
        <w:bidi w:val="0"/>
        <w:spacing w:before="240" w:after="0"/>
        <w:jc w:val="right"/>
        <w:rPr>
          <w:rFonts w:ascii="Times New Roman" w:hAnsi="Times New Roman"/>
          <w:sz w:val="20"/>
        </w:rPr>
      </w:pPr>
      <w:r>
        <w:rPr>
          <w:rFonts w:ascii="Times New Roman" w:hAnsi="Times New Roman"/>
          <w:sz w:val="20"/>
        </w:rPr>
        <w:t xml:space="preserve">February 29, 2024 </w:t>
      </w:r>
    </w:p>
    <w:p>
      <w:pPr>
        <w:pStyle w:val="TextBody"/>
        <w:bidi w:val="0"/>
        <w:spacing w:before="240" w:after="0"/>
        <w:jc w:val="left"/>
        <w:rPr>
          <w:rFonts w:ascii="Times New Roman" w:hAnsi="Times New Roman"/>
          <w:sz w:val="20"/>
        </w:rPr>
      </w:pPr>
      <w:r>
        <w:rPr>
          <w:rFonts w:ascii="Times New Roman" w:hAnsi="Times New Roman"/>
          <w:sz w:val="20"/>
        </w:rPr>
        <w:t xml:space="preserve">Morgan Stanley &amp; Co. LLC </w:t>
      </w:r>
    </w:p>
    <w:p>
      <w:pPr>
        <w:pStyle w:val="TextBody"/>
        <w:bidi w:val="0"/>
        <w:spacing w:before="0" w:after="0"/>
        <w:jc w:val="left"/>
        <w:rPr>
          <w:rFonts w:ascii="Times New Roman" w:hAnsi="Times New Roman"/>
          <w:sz w:val="20"/>
        </w:rPr>
      </w:pPr>
      <w:r>
        <w:rPr>
          <w:rFonts w:ascii="Times New Roman" w:hAnsi="Times New Roman"/>
          <w:sz w:val="20"/>
        </w:rPr>
        <w:t xml:space="preserve">1585 Broadway </w:t>
      </w:r>
    </w:p>
    <w:p>
      <w:pPr>
        <w:pStyle w:val="TextBody"/>
        <w:bidi w:val="0"/>
        <w:spacing w:before="0" w:after="0"/>
        <w:jc w:val="left"/>
        <w:rPr>
          <w:rFonts w:ascii="Times New Roman" w:hAnsi="Times New Roman"/>
          <w:sz w:val="20"/>
        </w:rPr>
      </w:pPr>
      <w:r>
        <w:rPr>
          <w:rFonts w:ascii="Times New Roman" w:hAnsi="Times New Roman"/>
          <w:sz w:val="20"/>
        </w:rPr>
        <w:t xml:space="preserve">New York, NY 10036 </w:t>
      </w:r>
    </w:p>
    <w:p>
      <w:pPr>
        <w:pStyle w:val="TextBody"/>
        <w:bidi w:val="0"/>
        <w:spacing w:before="240" w:after="0"/>
        <w:jc w:val="left"/>
        <w:rPr>
          <w:rFonts w:ascii="Times New Roman" w:hAnsi="Times New Roman"/>
          <w:sz w:val="20"/>
        </w:rPr>
      </w:pPr>
      <w:r>
        <w:rPr>
          <w:rFonts w:ascii="Times New Roman" w:hAnsi="Times New Roman"/>
          <w:sz w:val="20"/>
        </w:rPr>
        <w:t xml:space="preserve">As Representative of the </w:t>
      </w:r>
    </w:p>
    <w:p>
      <w:pPr>
        <w:pStyle w:val="TextBody"/>
        <w:bidi w:val="0"/>
        <w:spacing w:before="0" w:after="0"/>
        <w:jc w:val="left"/>
        <w:rPr>
          <w:rFonts w:ascii="Times New Roman" w:hAnsi="Times New Roman"/>
          <w:sz w:val="20"/>
        </w:rPr>
      </w:pPr>
      <w:r>
        <w:rPr>
          <w:rFonts w:ascii="Times New Roman" w:hAnsi="Times New Roman"/>
          <w:sz w:val="20"/>
        </w:rPr>
        <w:t xml:space="preserve">several Underwriters </w:t>
      </w:r>
    </w:p>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240" w:after="0"/>
        <w:jc w:val="left"/>
        <w:rPr>
          <w:rFonts w:ascii="Times New Roman" w:hAnsi="Times New Roman"/>
          <w:sz w:val="20"/>
        </w:rPr>
      </w:pPr>
      <w:r>
        <w:rPr>
          <w:rFonts w:ascii="Times New Roman" w:hAnsi="Times New Roman"/>
          <w:sz w:val="20"/>
        </w:rPr>
        <w:t xml:space="preserve">The undersigned understands that you, as Representative of the several Underwriters, propose to enter into an Underwriting Agreement (the Underwriting Agreement) with Sixth Street Specialty Lending, Inc., a Delaware corporation (the Company) and Sixth Street Specialty Lending Advisers, LLC, providing for the public offering (the Offering) of shares of the Companys common stock, par value $0.01 per share. Capitalized terms used herein and not otherwise defined shall have the meanings set forth in the Underwriting Agreement. </w:t>
      </w:r>
    </w:p>
    <w:p>
      <w:pPr>
        <w:pStyle w:val="TextBody"/>
        <w:bidi w:val="0"/>
        <w:spacing w:before="240" w:after="0"/>
        <w:jc w:val="left"/>
        <w:rPr>
          <w:rFonts w:ascii="Times New Roman" w:hAnsi="Times New Roman"/>
          <w:sz w:val="20"/>
        </w:rPr>
      </w:pPr>
      <w:r>
        <w:rPr>
          <w:rFonts w:ascii="Times New Roman" w:hAnsi="Times New Roman"/>
          <w:sz w:val="20"/>
        </w:rPr>
        <w:t xml:space="preserve">In consideration of the Underwriters agreement to purchase the Securities, and for other good and valuable consideration receipt of which is hereby acknowledged, the undersigned hereby agrees that, without the prior written consent of Morgan Stanley &amp; Co. LLC, on behalf of the Underwriters, the undersigned will not, during the Lock-Up Period, which term shall mean the period ending 30 days after the date of the prospectus supplement relating to the Offering (the Prospectus Supplement) for all of the undersigneds shares of common stock, $0.01 per share par value, of the Company (the Common Stock), (1) offer, pledge, sell, contract to sell, sell any option or contract to purchase, purchase any option or contract to sell, grant any option, right or warrant to purchase, or otherwise transfer or dispose of, directly or indirectly, any shares of Common Stock or any securities convertible into or exercisable or exchangeable for Common Stock (including without limitation, Common Stock or such other securities which may be deemed to be beneficially owned by the undersigned in accordance with the rules and regulations of the Securities and Exchange Commission (the Commission) and including any Common Stock or other securities which may be issued upon exercise of a stock option or warrant), or publicly disclose the intention to make any offer, sale, pledge or disposition, (2) enter into any swap or other agreement that transfers, in whole or in part, any of the economic consequences of ownership of the Common Stock or such other securities, whether any such transaction described in clause (1) or (2) above is to be settled by delivery of Common Stock or such other securities, in cash or otherwise or (3) make any demand for or exercise any right with respect to the registration of any shares of Common Stock or any security convertible into or exercisable or exchangeable for Common Stock (except for purposes of clause (3) for such demands or exercises as will not require or permit any public filing or other public disclosure to be made in connection therewith until after the expiration of the Lock-Up Period referred to above). The undersigned acknowledges and agrees that the foregoing precludes the undersigned from engaging in any hedging or other transactions designed or intended, or which could reasonably be expected to lead to or result in, a sale or disposition of any shares of Common Stock, or securities convertible into or exercisable or exchangeable for Common Stock, even if any such sale or disposition transaction or transactions would be made or executed by or on behalf of someone other than the undersigned. The foregoing restrictions shall not apply to: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 transfers of shares of Common Stock or such other securities as a bona fide gift or gifts; </w:t>
      </w:r>
    </w:p>
    <w:p>
      <w:pPr>
        <w:pStyle w:val="TextBody"/>
        <w:bidi w:val="0"/>
        <w:spacing w:before="120" w:after="0"/>
        <w:jc w:val="left"/>
        <w:rPr>
          <w:rFonts w:ascii="Times New Roman" w:hAnsi="Times New Roman"/>
          <w:sz w:val="20"/>
        </w:rPr>
      </w:pPr>
      <w:r>
        <w:rPr>
          <w:rFonts w:ascii="Times New Roman" w:hAnsi="Times New Roman"/>
          <w:sz w:val="20"/>
        </w:rPr>
        <w:t xml:space="preserve">(ii) transfers of Common Stock or such other securities as donations to charitable organizations; </w:t>
      </w:r>
    </w:p>
    <w:p>
      <w:pPr>
        <w:pStyle w:val="TextBody"/>
        <w:bidi w:val="0"/>
        <w:spacing w:before="120" w:after="0"/>
        <w:jc w:val="left"/>
        <w:rPr>
          <w:rFonts w:ascii="Times New Roman" w:hAnsi="Times New Roman"/>
          <w:sz w:val="20"/>
        </w:rPr>
      </w:pPr>
      <w:r>
        <w:rPr>
          <w:rFonts w:ascii="Times New Roman" w:hAnsi="Times New Roman"/>
          <w:sz w:val="20"/>
        </w:rPr>
        <w:t xml:space="preserve">(iii) transfers of shares of Common Stock or such other securities as a result of the operation of law, such as estate, other testamentary document or intestate succession; </w:t>
      </w:r>
    </w:p>
    <w:p>
      <w:pPr>
        <w:pStyle w:val="TextBody"/>
        <w:bidi w:val="0"/>
        <w:spacing w:before="120" w:after="0"/>
        <w:jc w:val="left"/>
        <w:rPr>
          <w:rFonts w:ascii="Times New Roman" w:hAnsi="Times New Roman"/>
          <w:sz w:val="20"/>
        </w:rPr>
      </w:pPr>
      <w:r>
        <w:rPr>
          <w:rFonts w:ascii="Times New Roman" w:hAnsi="Times New Roman"/>
          <w:sz w:val="20"/>
        </w:rPr>
        <w:t xml:space="preserve">(iv) transfer of shares of Common Stock or such other securities to any immediate family member of the undersigned or any trust for the direct or indirect benefit of the undersigned or any immediate family member of the undersigned (for purposes of this Letter Agreement, immediate family shall mean any relationship by blood, marriage or adoption, not more remote than first cousin); </w:t>
      </w:r>
    </w:p>
    <w:p>
      <w:pPr>
        <w:pStyle w:val="TextBody"/>
        <w:bidi w:val="0"/>
        <w:spacing w:before="120" w:after="0"/>
        <w:jc w:val="left"/>
        <w:rPr>
          <w:rFonts w:ascii="Times New Roman" w:hAnsi="Times New Roman"/>
          <w:sz w:val="20"/>
        </w:rPr>
      </w:pPr>
      <w:r>
        <w:rPr>
          <w:rFonts w:ascii="Times New Roman" w:hAnsi="Times New Roman"/>
          <w:sz w:val="20"/>
        </w:rPr>
        <w:t xml:space="preserve">(v) if the undersigned is a corporation, partnership or other business entity, transfers or distributions of shares of Common Stock or such other securities to (1) its limited or general partners, members or stockholders or (2) its direct or indirect affiliates or other entities or funds controlled or managed by the undersigned or its affiliates; or </w:t>
      </w:r>
    </w:p>
    <w:p>
      <w:pPr>
        <w:pStyle w:val="TextBody"/>
        <w:bidi w:val="0"/>
        <w:spacing w:before="120" w:after="0"/>
        <w:jc w:val="left"/>
        <w:rPr>
          <w:rFonts w:ascii="Times New Roman" w:hAnsi="Times New Roman"/>
          <w:sz w:val="20"/>
        </w:rPr>
      </w:pPr>
      <w:r>
        <w:rPr>
          <w:rFonts w:ascii="Times New Roman" w:hAnsi="Times New Roman"/>
          <w:sz w:val="20"/>
        </w:rPr>
        <w:t xml:space="preserve">(vi) transactions relating to shares of Common Stock or such other securities acquired in open market transactions or acquired from the Company under its dividend reinvestment plan after the completion of the Offering; </w:t>
      </w:r>
    </w:p>
    <w:p>
      <w:pPr>
        <w:pStyle w:val="TextBody"/>
        <w:bidi w:val="0"/>
        <w:spacing w:before="240" w:after="0"/>
        <w:jc w:val="left"/>
        <w:rPr>
          <w:rFonts w:ascii="Times New Roman" w:hAnsi="Times New Roman"/>
          <w:sz w:val="20"/>
        </w:rPr>
      </w:pPr>
      <w:r>
        <w:rPr>
          <w:rFonts w:ascii="Times New Roman" w:hAnsi="Times New Roman"/>
          <w:sz w:val="20"/>
        </w:rPr>
        <w:t xml:space="preserve">provided that in the case of any transfer or distribution pursuant to clauses (i) through (v), each donee, transferee or distributee shall execute and deliver to the Representative a lock-up letter in the form of this paragraph; and provided, further, that in the case of any transfer or distribution pursuant to clauses (i) through (vi), no filing by any party (donor, donee, transferor or transferee) under the Securities Exchange Act of 1934, as amended (the Exchange Act), or other public announcement shall be required or shall be made voluntarily in connection with such transfer or distribution (other than a filing on a Form 5 made after the expiration of the Lock-Up Period referred to above), unless, in the case of a transfer pursuant to clause (i), such filing indicates in the footnotes thereto that such transfer was made in connection with a bona fide gift. </w:t>
      </w:r>
    </w:p>
    <w:p>
      <w:pPr>
        <w:pStyle w:val="TextBody"/>
        <w:bidi w:val="0"/>
        <w:spacing w:before="240" w:after="0"/>
        <w:jc w:val="left"/>
        <w:rPr>
          <w:rFonts w:ascii="Times New Roman" w:hAnsi="Times New Roman"/>
          <w:sz w:val="20"/>
        </w:rPr>
      </w:pPr>
      <w:r>
        <w:rPr>
          <w:rFonts w:ascii="Times New Roman" w:hAnsi="Times New Roman"/>
          <w:sz w:val="20"/>
        </w:rPr>
        <w:t xml:space="preserve">Furthermore, the undersigned may, if permitted by the Company, establish a written trading plan meeting the requirements of Rule 10b5-1 under the Exchange Act; provided that the establishment of such plan does not give rise to any filing or public announcement and that no sales or other transfers occur under such plan during the Lock-Up Period referred to above. </w:t>
      </w:r>
    </w:p>
    <w:p>
      <w:pPr>
        <w:pStyle w:val="TextBody"/>
        <w:bidi w:val="0"/>
        <w:spacing w:before="240" w:after="0"/>
        <w:jc w:val="left"/>
        <w:rPr>
          <w:rFonts w:ascii="Times New Roman" w:hAnsi="Times New Roman"/>
          <w:sz w:val="20"/>
        </w:rPr>
      </w:pPr>
      <w:r>
        <w:rPr>
          <w:rFonts w:ascii="Times New Roman" w:hAnsi="Times New Roman"/>
          <w:sz w:val="20"/>
        </w:rPr>
        <w:t xml:space="preserve">In furtherance of the foregoing, the Company, and any duly appointed transfer agent for the registration or transfer of the securities described herein, are hereby authorized to decline to make any transfer of securities if such transfer would constitute a violation or breach of this Letter Agreement. </w:t>
      </w:r>
    </w:p>
    <w:p>
      <w:pPr>
        <w:pStyle w:val="TextBody"/>
        <w:bidi w:val="0"/>
        <w:spacing w:before="240" w:after="0"/>
        <w:jc w:val="left"/>
        <w:rPr>
          <w:rFonts w:ascii="Times New Roman" w:hAnsi="Times New Roman"/>
          <w:sz w:val="20"/>
        </w:rPr>
      </w:pPr>
      <w:r>
        <w:rPr>
          <w:rFonts w:ascii="Times New Roman" w:hAnsi="Times New Roman"/>
          <w:sz w:val="20"/>
        </w:rPr>
        <w:t xml:space="preserve">The undersigned hereby represents and warrants that the undersigned has full power and authority to enter into this Letter Agreement. All authority herein conferred or agreed to be conferred and any obligations of the undersigned shall be binding upon the successors, assigns, heirs or personal representatives of the undersigned.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undersigned understands that, if (i) prior to entering into the Underwriting Agreement, the Company notifies the Representative in writing that the Company does not intend to proceed with the Offering of Securities; (ii) the Underwriting Agreement has not been executed by all parties by March 15, 2024; or (iii) the Underwriting Agreement (other than the provisions thereof which survive termination) shall terminate or be terminated prior to payment for and delivery of the Securities to be sold thereunder, the undersigned shall be released from, all obligations under this Letter Agreement. The undersigned understands that the Underwriters are entering into the Underwriting Agreement and proceeding with the Offering in reliance upon this Letter Agreement. </w:t>
      </w:r>
    </w:p>
    <w:p>
      <w:pPr>
        <w:pStyle w:val="TextBody"/>
        <w:bidi w:val="0"/>
        <w:spacing w:before="240" w:after="0"/>
        <w:jc w:val="left"/>
        <w:rPr>
          <w:rFonts w:ascii="Times New Roman" w:hAnsi="Times New Roman"/>
          <w:sz w:val="20"/>
        </w:rPr>
      </w:pPr>
      <w:r>
        <w:rPr>
          <w:rFonts w:ascii="Times New Roman" w:hAnsi="Times New Roman"/>
          <w:sz w:val="20"/>
        </w:rPr>
        <w:t xml:space="preserve">This Letter Agreement and any claim, controversy or dispute arising under or related to this Letter Agreement shall be governed by and construed in accordance with the laws of the State of New York. </w:t>
      </w:r>
    </w:p>
    <w:p>
      <w:pPr>
        <w:pStyle w:val="TextBody"/>
        <w:bidi w:val="0"/>
        <w:spacing w:before="240" w:after="0"/>
        <w:jc w:val="center"/>
        <w:rPr>
          <w:rFonts w:ascii="Times New Roman" w:hAnsi="Times New Roman"/>
          <w:i/>
          <w:sz w:val="20"/>
        </w:rPr>
      </w:pPr>
      <w:r>
        <w:rPr>
          <w:rFonts w:ascii="Times New Roman" w:hAnsi="Times New Roman"/>
          <w:i/>
          <w:sz w:val="20"/>
        </w:rPr>
        <w:t xml:space="preserve">[Signature Page Follows]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384"/>
        <w:gridCol w:w="61"/>
        <w:gridCol w:w="3637"/>
      </w:tblGrid>
      <w:tr>
        <w:trPr/>
        <w:tc>
          <w:tcPr>
            <w:tcW w:w="384"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637"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Very truly yours,</w:t>
            </w:r>
          </w:p>
        </w:tc>
      </w:tr>
      <w:tr>
        <w:trPr>
          <w:trHeight w:val="240" w:hRule="atLeast"/>
        </w:trPr>
        <w:tc>
          <w:tcPr>
            <w:tcW w:w="384" w:type="dxa"/>
            <w:tcBorders/>
            <w:vAlign w:val="center"/>
          </w:tcPr>
          <w:p>
            <w:pPr>
              <w:pStyle w:val="TableContents"/>
              <w:bidi w:val="0"/>
              <w:spacing w:before="0" w:after="283"/>
              <w:jc w:val="left"/>
              <w:rPr>
                <w:sz w:val="4"/>
                <w:szCs w:val="4"/>
              </w:rPr>
            </w:pPr>
            <w:r>
              <w:rPr>
                <w:sz w:val="4"/>
                <w:szCs w:val="4"/>
              </w:rPr>
            </w:r>
          </w:p>
        </w:tc>
        <w:tc>
          <w:tcPr>
            <w:tcW w:w="3698" w:type="dxa"/>
            <w:gridSpan w:val="2"/>
            <w:tcBorders/>
            <w:vAlign w:val="center"/>
          </w:tcPr>
          <w:p>
            <w:pPr>
              <w:pStyle w:val="TableContents"/>
              <w:bidi w:val="0"/>
              <w:spacing w:before="0" w:after="283"/>
              <w:jc w:val="left"/>
              <w:rPr>
                <w:sz w:val="4"/>
                <w:szCs w:val="4"/>
              </w:rPr>
            </w:pPr>
            <w:r>
              <w:rPr>
                <w:sz w:val="4"/>
                <w:szCs w:val="4"/>
              </w:rPr>
            </w:r>
          </w:p>
        </w:tc>
      </w:tr>
      <w:tr>
        <w:trPr/>
        <w:tc>
          <w:tcPr>
            <w:tcW w:w="384" w:type="dxa"/>
            <w:tcBorders/>
          </w:tcPr>
          <w:p>
            <w:pPr>
              <w:pStyle w:val="TableContents"/>
              <w:bidi w:val="0"/>
              <w:spacing w:before="0" w:after="283"/>
              <w:jc w:val="left"/>
              <w:rPr/>
            </w:pPr>
            <w:r>
              <w:rPr/>
              <w:t>By:</w:t>
            </w:r>
          </w:p>
        </w:tc>
        <w:tc>
          <w:tcPr>
            <w:tcW w:w="61" w:type="dxa"/>
            <w:tcBorders/>
            <w:vAlign w:val="bottom"/>
          </w:tcPr>
          <w:p>
            <w:pPr>
              <w:pStyle w:val="TableContents"/>
              <w:bidi w:val="0"/>
              <w:spacing w:before="0" w:after="283"/>
              <w:jc w:val="left"/>
              <w:rPr/>
            </w:pPr>
            <w:r>
              <w:rPr/>
              <w:t> </w:t>
            </w:r>
          </w:p>
        </w:tc>
        <w:tc>
          <w:tcPr>
            <w:tcW w:w="3637" w:type="dxa"/>
            <w:tcBorders/>
          </w:tcPr>
          <w:p>
            <w:pPr>
              <w:pStyle w:val="TableContents"/>
              <w:pBdr>
                <w:bottom w:val="single" w:sz="2" w:space="1" w:color="000000"/>
              </w:pBdr>
              <w:bidi w:val="0"/>
              <w:spacing w:before="0" w:after="20"/>
              <w:jc w:val="left"/>
              <w:rPr/>
            </w:pPr>
            <w:r>
              <w:rPr/>
              <w:t> </w:t>
            </w:r>
          </w:p>
        </w:tc>
      </w:tr>
      <w:tr>
        <w:trPr/>
        <w:tc>
          <w:tcPr>
            <w:tcW w:w="384"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37" w:type="dxa"/>
            <w:tcBorders/>
          </w:tcPr>
          <w:p>
            <w:pPr>
              <w:pStyle w:val="TableContents"/>
              <w:bidi w:val="0"/>
              <w:spacing w:before="0" w:after="283"/>
              <w:jc w:val="left"/>
              <w:rPr/>
            </w:pPr>
            <w:r>
              <w:rPr/>
              <w:t>Name:</w:t>
            </w:r>
          </w:p>
        </w:tc>
      </w:tr>
      <w:tr>
        <w:trPr/>
        <w:tc>
          <w:tcPr>
            <w:tcW w:w="384"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37" w:type="dxa"/>
            <w:tcBorders/>
          </w:tcPr>
          <w:p>
            <w:pPr>
              <w:pStyle w:val="TableContents"/>
              <w:bidi w:val="0"/>
              <w:spacing w:before="0" w:after="283"/>
              <w:jc w:val="left"/>
              <w:rPr/>
            </w:pPr>
            <w:r>
              <w:rPr/>
              <w:t>Title:</w:t>
            </w:r>
          </w:p>
        </w:tc>
      </w:tr>
    </w:tbl>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Lock-Up Agreement</w:t>
      </w:r>
      <w:r>
        <w:rPr>
          <w:rFonts w:ascii="Times New Roman" w:hAnsi="Times New Roman"/>
          <w:sz w:val="20"/>
        </w:rPr>
        <w:t xml:space="preserve">] </w:t>
      </w:r>
    </w:p>
    <w:p>
      <w:pPr>
        <w:pStyle w:val="TextBody"/>
        <w:bidi w:val="0"/>
        <w:spacing w:before="0" w:after="0"/>
        <w:jc w:val="right"/>
        <w:rPr>
          <w:rFonts w:ascii="Times New Roman" w:hAnsi="Times New Roman"/>
          <w:b/>
          <w:i/>
          <w:sz w:val="20"/>
        </w:rPr>
      </w:pPr>
      <w:bookmarkStart w:id="4" w:name="d779379dex51.htm"/>
      <w:bookmarkStart w:id="5" w:name="ksd779379dex51"/>
      <w:bookmarkEnd w:id="4"/>
      <w:bookmarkEnd w:id="5"/>
      <w:r>
        <w:rPr>
          <w:rFonts w:ascii="Times New Roman" w:hAnsi="Times New Roman"/>
          <w:b/>
          <w:i/>
          <w:sz w:val="20"/>
        </w:rPr>
        <w:t xml:space="preserve">Exhibit 5.1 </w:t>
      </w:r>
      <w:r>
        <w:br w:type="page"/>
      </w:r>
    </w:p>
    <w:p>
      <w:pPr>
        <w:pStyle w:val="TextBody"/>
        <w:bidi w:val="0"/>
        <w:spacing w:before="240" w:after="0"/>
        <w:jc w:val="center"/>
        <w:rPr>
          <w:rFonts w:ascii="Times New Roman" w:hAnsi="Times New Roman"/>
          <w:sz w:val="20"/>
        </w:rPr>
      </w:pPr>
      <w:r>
        <w:rPr>
          <w:rFonts w:ascii="Times New Roman" w:hAnsi="Times New Roman"/>
          <w:sz w:val="20"/>
        </w:rPr>
        <w:t xml:space="preserve">Simpson Thacher &amp; Bartlett LLP </w:t>
      </w:r>
    </w:p>
    <w:p>
      <w:pPr>
        <w:pStyle w:val="TextBody"/>
        <w:bidi w:val="0"/>
        <w:spacing w:before="60" w:after="0"/>
        <w:jc w:val="center"/>
        <w:rPr>
          <w:rFonts w:ascii="Times New Roman" w:hAnsi="Times New Roman"/>
          <w:sz w:val="20"/>
        </w:rPr>
      </w:pPr>
      <w:r>
        <w:rPr>
          <w:rFonts w:ascii="Times New Roman" w:hAnsi="Times New Roman"/>
          <w:sz w:val="20"/>
        </w:rPr>
        <w:t xml:space="preserve">900 G STREET, NW </w:t>
      </w:r>
    </w:p>
    <w:p>
      <w:pPr>
        <w:pStyle w:val="TextBody"/>
        <w:bidi w:val="0"/>
        <w:spacing w:before="0" w:after="0"/>
        <w:jc w:val="center"/>
        <w:rPr>
          <w:rFonts w:ascii="Times New Roman" w:hAnsi="Times New Roman"/>
          <w:sz w:val="20"/>
        </w:rPr>
      </w:pPr>
      <w:r>
        <w:rPr>
          <w:rFonts w:ascii="Times New Roman" w:hAnsi="Times New Roman"/>
          <w:sz w:val="20"/>
        </w:rPr>
        <w:t xml:space="preserve">WASHINGTON, D.C. 20001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center"/>
        <w:rPr>
          <w:rFonts w:ascii="Times New Roman" w:hAnsi="Times New Roman"/>
          <w:sz w:val="20"/>
        </w:rPr>
      </w:pPr>
      <w:r>
        <w:rPr>
          <w:rFonts w:ascii="Times New Roman" w:hAnsi="Times New Roman"/>
          <w:sz w:val="20"/>
        </w:rPr>
        <w:t xml:space="preserve">TELEPHONE: +1-202-636-5500 </w:t>
      </w:r>
    </w:p>
    <w:p>
      <w:pPr>
        <w:pStyle w:val="TextBody"/>
        <w:bidi w:val="0"/>
        <w:spacing w:before="0" w:after="0"/>
        <w:jc w:val="center"/>
        <w:rPr>
          <w:rFonts w:ascii="Times New Roman" w:hAnsi="Times New Roman"/>
          <w:sz w:val="20"/>
        </w:rPr>
      </w:pPr>
      <w:r>
        <w:rPr>
          <w:rFonts w:ascii="Times New Roman" w:hAnsi="Times New Roman"/>
          <w:sz w:val="20"/>
        </w:rPr>
        <w:t xml:space="preserve">FACSIMILE: +1-202-636-5502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034"/>
        <w:gridCol w:w="120"/>
        <w:gridCol w:w="5051"/>
      </w:tblGrid>
      <w:tr>
        <w:trPr/>
        <w:tc>
          <w:tcPr>
            <w:tcW w:w="5034"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5051" w:type="dxa"/>
            <w:tcBorders/>
            <w:vAlign w:val="center"/>
          </w:tcPr>
          <w:p>
            <w:pPr>
              <w:pStyle w:val="TableContents"/>
              <w:bidi w:val="0"/>
              <w:spacing w:before="0" w:after="283"/>
              <w:jc w:val="left"/>
              <w:rPr>
                <w:sz w:val="4"/>
                <w:szCs w:val="4"/>
              </w:rPr>
            </w:pPr>
            <w:r>
              <w:rPr>
                <w:sz w:val="4"/>
                <w:szCs w:val="4"/>
              </w:rPr>
            </w:r>
          </w:p>
        </w:tc>
      </w:tr>
      <w:tr>
        <w:trPr/>
        <w:tc>
          <w:tcPr>
            <w:tcW w:w="5034" w:type="dxa"/>
            <w:tcBorders/>
          </w:tcPr>
          <w:p>
            <w:pPr>
              <w:pStyle w:val="TableContents"/>
              <w:bidi w:val="0"/>
              <w:spacing w:before="0" w:after="0"/>
              <w:jc w:val="left"/>
              <w:rPr>
                <w:rFonts w:ascii="Times New Roman" w:hAnsi="Times New Roman"/>
                <w:sz w:val="20"/>
              </w:rPr>
            </w:pPr>
            <w:r>
              <w:rPr>
                <w:rFonts w:ascii="Times New Roman" w:hAnsi="Times New Roman"/>
                <w:sz w:val="20"/>
              </w:rPr>
              <w:t>Direct Dial Number</w:t>
            </w:r>
          </w:p>
          <w:p>
            <w:pPr>
              <w:pStyle w:val="TableContents"/>
              <w:bidi w:val="0"/>
              <w:spacing w:before="0" w:after="20"/>
              <w:jc w:val="left"/>
              <w:rPr>
                <w:rFonts w:ascii="Times New Roman" w:hAnsi="Times New Roman"/>
                <w:sz w:val="20"/>
              </w:rPr>
            </w:pPr>
            <w:r>
              <w:rPr>
                <w:rFonts w:ascii="Times New Roman" w:hAnsi="Times New Roman"/>
                <w:sz w:val="20"/>
              </w:rPr>
              <w:t>+1-202-636-5543</w:t>
            </w:r>
          </w:p>
        </w:tc>
        <w:tc>
          <w:tcPr>
            <w:tcW w:w="120" w:type="dxa"/>
            <w:tcBorders/>
            <w:vAlign w:val="bottom"/>
          </w:tcPr>
          <w:p>
            <w:pPr>
              <w:pStyle w:val="TableContents"/>
              <w:bidi w:val="0"/>
              <w:spacing w:before="0" w:after="283"/>
              <w:jc w:val="left"/>
              <w:rPr/>
            </w:pPr>
            <w:r>
              <w:rPr/>
              <w:t>  </w:t>
            </w:r>
          </w:p>
        </w:tc>
        <w:tc>
          <w:tcPr>
            <w:tcW w:w="5051" w:type="dxa"/>
            <w:tcBorders/>
          </w:tcPr>
          <w:p>
            <w:pPr>
              <w:pStyle w:val="TableContents"/>
              <w:bidi w:val="0"/>
              <w:spacing w:before="0" w:after="0"/>
              <w:jc w:val="right"/>
              <w:rPr>
                <w:rFonts w:ascii="Times New Roman" w:hAnsi="Times New Roman"/>
                <w:sz w:val="20"/>
              </w:rPr>
            </w:pPr>
            <w:r>
              <w:rPr>
                <w:rFonts w:ascii="Times New Roman" w:hAnsi="Times New Roman"/>
                <w:sz w:val="20"/>
              </w:rPr>
              <w:t>E-mail Address</w:t>
            </w:r>
          </w:p>
          <w:p>
            <w:pPr>
              <w:pStyle w:val="TableContents"/>
              <w:bidi w:val="0"/>
              <w:spacing w:before="0" w:after="20"/>
              <w:jc w:val="right"/>
              <w:rPr>
                <w:rFonts w:ascii="Times New Roman" w:hAnsi="Times New Roman"/>
                <w:sz w:val="20"/>
              </w:rPr>
            </w:pPr>
            <w:r>
              <w:rPr>
                <w:rFonts w:ascii="Times New Roman" w:hAnsi="Times New Roman"/>
                <w:sz w:val="20"/>
              </w:rPr>
              <w:t>rajib.chanda@stblaw.com</w:t>
            </w:r>
          </w:p>
        </w:tc>
      </w:tr>
    </w:tbl>
    <w:p>
      <w:pPr>
        <w:pStyle w:val="TextBody"/>
        <w:bidi w:val="0"/>
        <w:spacing w:before="240" w:after="0"/>
        <w:jc w:val="right"/>
        <w:rPr>
          <w:rFonts w:ascii="Times New Roman" w:hAnsi="Times New Roman"/>
          <w:sz w:val="20"/>
        </w:rPr>
      </w:pPr>
      <w:r>
        <w:rPr>
          <w:rFonts w:ascii="Times New Roman" w:hAnsi="Times New Roman"/>
          <w:sz w:val="20"/>
        </w:rPr>
        <w:t xml:space="preserve">March 5, 2024 </w:t>
      </w:r>
    </w:p>
    <w:p>
      <w:pPr>
        <w:pStyle w:val="TextBody"/>
        <w:bidi w:val="0"/>
        <w:spacing w:before="240" w:after="0"/>
        <w:jc w:val="left"/>
        <w:rPr>
          <w:rFonts w:ascii="Times New Roman" w:hAnsi="Times New Roman"/>
          <w:sz w:val="20"/>
        </w:rPr>
      </w:pPr>
      <w:r>
        <w:rPr>
          <w:rFonts w:ascii="Times New Roman" w:hAnsi="Times New Roman"/>
          <w:sz w:val="20"/>
        </w:rPr>
        <w:t xml:space="preserve">Sixth Street Specialty Lending, Inc. </w:t>
      </w:r>
    </w:p>
    <w:p>
      <w:pPr>
        <w:pStyle w:val="TextBody"/>
        <w:bidi w:val="0"/>
        <w:spacing w:before="0" w:after="0"/>
        <w:jc w:val="left"/>
        <w:rPr>
          <w:rFonts w:ascii="Times New Roman" w:hAnsi="Times New Roman"/>
          <w:sz w:val="20"/>
        </w:rPr>
      </w:pPr>
      <w:r>
        <w:rPr>
          <w:rFonts w:ascii="Times New Roman" w:hAnsi="Times New Roman"/>
          <w:sz w:val="20"/>
        </w:rPr>
        <w:t xml:space="preserve">2100 McKinney Avenue </w:t>
      </w:r>
    </w:p>
    <w:p>
      <w:pPr>
        <w:pStyle w:val="TextBody"/>
        <w:bidi w:val="0"/>
        <w:spacing w:before="0" w:after="0"/>
        <w:jc w:val="left"/>
        <w:rPr>
          <w:rFonts w:ascii="Times New Roman" w:hAnsi="Times New Roman"/>
          <w:sz w:val="20"/>
        </w:rPr>
      </w:pPr>
      <w:r>
        <w:rPr>
          <w:rFonts w:ascii="Times New Roman" w:hAnsi="Times New Roman"/>
          <w:sz w:val="20"/>
        </w:rPr>
        <w:t xml:space="preserve">Suite 1500 </w:t>
      </w:r>
    </w:p>
    <w:p>
      <w:pPr>
        <w:pStyle w:val="TextBody"/>
        <w:bidi w:val="0"/>
        <w:spacing w:before="0" w:after="0"/>
        <w:jc w:val="left"/>
        <w:rPr>
          <w:rFonts w:ascii="Times New Roman" w:hAnsi="Times New Roman"/>
          <w:sz w:val="20"/>
        </w:rPr>
      </w:pPr>
      <w:r>
        <w:rPr>
          <w:rFonts w:ascii="Times New Roman" w:hAnsi="Times New Roman"/>
          <w:sz w:val="20"/>
        </w:rPr>
        <w:t xml:space="preserve">Dallas, TX 75201 </w:t>
      </w:r>
    </w:p>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120" w:after="0"/>
        <w:jc w:val="left"/>
        <w:rPr>
          <w:rFonts w:ascii="Times New Roman" w:hAnsi="Times New Roman"/>
          <w:sz w:val="20"/>
        </w:rPr>
      </w:pPr>
      <w:r>
        <w:rPr>
          <w:rFonts w:ascii="Times New Roman" w:hAnsi="Times New Roman"/>
          <w:sz w:val="20"/>
        </w:rPr>
        <w:t xml:space="preserve">We have acted as counsel to Sixth Street Specialty Lending, Inc., a Delaware corporation (the Company), in connection with the Registration Statement on Form N-2 (File No. 333-276252) (the Registration Statement) filed by the Company with the Securities and Exchange Commission (the Commission) under the Securities Act of 1933, as amended, relating to the issuance by the Company of up to 4,000,000 shares of Common Stock, par value $0.01 per share (Common Stock)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We have examined the Registration Statement, the Underwriting Agreement dated February 29, 2024 (the Underwriting Agreement), among the Company, Sixth Street Specialty Lending Advisers, LLC, a Delaware limited liability company (the Adviser) and Morgan Stanley &amp; Co. LLC as representative of the several underwriters named therein pursuant to which such underwriters have agreed to purchase up to 4,000,000 shares of Common Stock issued by the Company (the Shares). In addition, we have examined, and have relied as to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3603"/>
        <w:gridCol w:w="124"/>
        <w:gridCol w:w="3139"/>
        <w:gridCol w:w="124"/>
        <w:gridCol w:w="3215"/>
      </w:tblGrid>
      <w:tr>
        <w:trPr/>
        <w:tc>
          <w:tcPr>
            <w:tcW w:w="3603" w:type="dxa"/>
            <w:tcBorders/>
            <w:vAlign w:val="center"/>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sz w:val="4"/>
                <w:szCs w:val="4"/>
              </w:rPr>
            </w:pPr>
            <w:r>
              <w:rPr>
                <w:sz w:val="4"/>
                <w:szCs w:val="4"/>
              </w:rPr>
            </w:r>
          </w:p>
        </w:tc>
        <w:tc>
          <w:tcPr>
            <w:tcW w:w="3139" w:type="dxa"/>
            <w:tcBorders/>
            <w:vAlign w:val="center"/>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sz w:val="4"/>
                <w:szCs w:val="4"/>
              </w:rPr>
            </w:pPr>
            <w:r>
              <w:rPr>
                <w:sz w:val="4"/>
                <w:szCs w:val="4"/>
              </w:rPr>
            </w:r>
          </w:p>
        </w:tc>
        <w:tc>
          <w:tcPr>
            <w:tcW w:w="3215" w:type="dxa"/>
            <w:tcBorders/>
            <w:vAlign w:val="center"/>
          </w:tcPr>
          <w:p>
            <w:pPr>
              <w:pStyle w:val="TableContents"/>
              <w:bidi w:val="0"/>
              <w:spacing w:before="0" w:after="283"/>
              <w:jc w:val="left"/>
              <w:rPr>
                <w:sz w:val="4"/>
                <w:szCs w:val="4"/>
              </w:rPr>
            </w:pPr>
            <w:r>
              <w:rPr>
                <w:sz w:val="4"/>
                <w:szCs w:val="4"/>
              </w:rPr>
            </w:r>
          </w:p>
        </w:tc>
      </w:tr>
      <w:tr>
        <w:trPr/>
        <w:tc>
          <w:tcPr>
            <w:tcW w:w="3603" w:type="dxa"/>
            <w:tcBorders/>
          </w:tcPr>
          <w:p>
            <w:pPr>
              <w:pStyle w:val="TableContents"/>
              <w:bidi w:val="0"/>
              <w:spacing w:before="0" w:after="283"/>
              <w:jc w:val="left"/>
              <w:rPr/>
            </w:pPr>
            <w:r>
              <w:rPr/>
              <w:t>Sixth Street Specialty Lending, Inc.</w:t>
            </w:r>
          </w:p>
        </w:tc>
        <w:tc>
          <w:tcPr>
            <w:tcW w:w="124" w:type="dxa"/>
            <w:tcBorders/>
            <w:vAlign w:val="bottom"/>
          </w:tcPr>
          <w:p>
            <w:pPr>
              <w:pStyle w:val="TableContents"/>
              <w:bidi w:val="0"/>
              <w:spacing w:before="0" w:after="283"/>
              <w:jc w:val="left"/>
              <w:rPr/>
            </w:pPr>
            <w:r>
              <w:rPr/>
              <w:t>  </w:t>
            </w:r>
          </w:p>
        </w:tc>
        <w:tc>
          <w:tcPr>
            <w:tcW w:w="3139" w:type="dxa"/>
            <w:tcBorders/>
          </w:tcPr>
          <w:p>
            <w:pPr>
              <w:pStyle w:val="TableContents"/>
              <w:bidi w:val="0"/>
              <w:spacing w:before="0" w:after="283"/>
              <w:jc w:val="center"/>
              <w:rPr/>
            </w:pPr>
            <w:r>
              <w:rPr/>
              <w:t>2</w:t>
            </w:r>
          </w:p>
        </w:tc>
        <w:tc>
          <w:tcPr>
            <w:tcW w:w="124" w:type="dxa"/>
            <w:tcBorders/>
            <w:vAlign w:val="bottom"/>
          </w:tcPr>
          <w:p>
            <w:pPr>
              <w:pStyle w:val="TableContents"/>
              <w:bidi w:val="0"/>
              <w:spacing w:before="0" w:after="283"/>
              <w:jc w:val="left"/>
              <w:rPr/>
            </w:pPr>
            <w:r>
              <w:rPr/>
              <w:t>  </w:t>
            </w:r>
          </w:p>
        </w:tc>
        <w:tc>
          <w:tcPr>
            <w:tcW w:w="3215" w:type="dxa"/>
            <w:tcBorders/>
          </w:tcPr>
          <w:p>
            <w:pPr>
              <w:pStyle w:val="TableContents"/>
              <w:bidi w:val="0"/>
              <w:spacing w:before="0" w:after="283"/>
              <w:jc w:val="right"/>
              <w:rPr/>
            </w:pPr>
            <w:r>
              <w:rPr/>
              <w:t>March 5, 2024</w:t>
            </w:r>
          </w:p>
        </w:tc>
      </w:tr>
    </w:tbl>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matters of fact upon, originals, or duplicates or certified or conformed copies, of such records, agreements, documents and other instruments and such certificates or comparable documents of public officials and of officers and representatives of the Company and the Adviser and have made such other investigations as we have deemed relevant and necessary in connection with the opinion hereinafter set forth. </w:t>
      </w:r>
    </w:p>
    <w:p>
      <w:pPr>
        <w:pStyle w:val="TextBody"/>
        <w:bidi w:val="0"/>
        <w:spacing w:before="240" w:after="0"/>
        <w:jc w:val="left"/>
        <w:rPr>
          <w:rFonts w:ascii="Times New Roman" w:hAnsi="Times New Roman"/>
          <w:sz w:val="20"/>
        </w:rPr>
      </w:pPr>
      <w:r>
        <w:rPr>
          <w:rFonts w:ascii="Times New Roman" w:hAnsi="Times New Roman"/>
          <w:sz w:val="20"/>
        </w:rPr>
        <w:t xml:space="preserve">In rendering the opinion set forth below, we have assumed the genuineness of all signatures, the legal capacity of natural persons, the authenticity of all documents submitted to us as originals, the conformity to original documents of all documents submitted to us as duplicates or certified or conformed copies and the authenticity of the originals of such latter documents. </w:t>
      </w:r>
    </w:p>
    <w:p>
      <w:pPr>
        <w:pStyle w:val="TextBody"/>
        <w:bidi w:val="0"/>
        <w:spacing w:before="240" w:after="0"/>
        <w:jc w:val="left"/>
        <w:rPr>
          <w:rFonts w:ascii="Times New Roman" w:hAnsi="Times New Roman"/>
          <w:sz w:val="20"/>
        </w:rPr>
      </w:pPr>
      <w:r>
        <w:rPr>
          <w:rFonts w:ascii="Times New Roman" w:hAnsi="Times New Roman"/>
          <w:sz w:val="20"/>
        </w:rPr>
        <w:t xml:space="preserve">Based upon the foregoing, and subject to the qualifications, assumptions and limitations stated herein, we are of the opinion that, upon payment and delivery in accordance with the provisions of the Underwriting Agreement, the Shares will be validly issued, fully paid and nonassessable. </w:t>
      </w:r>
    </w:p>
    <w:p>
      <w:pPr>
        <w:pStyle w:val="TextBody"/>
        <w:bidi w:val="0"/>
        <w:spacing w:before="240" w:after="0"/>
        <w:jc w:val="left"/>
        <w:rPr>
          <w:rFonts w:ascii="Times New Roman" w:hAnsi="Times New Roman"/>
          <w:sz w:val="20"/>
        </w:rPr>
      </w:pPr>
      <w:r>
        <w:rPr>
          <w:rFonts w:ascii="Times New Roman" w:hAnsi="Times New Roman"/>
          <w:sz w:val="20"/>
        </w:rPr>
        <w:t xml:space="preserve">We do not express any opinion herein concerning any law other than the law of the State of New York and the Delaware General Corporation Law. </w:t>
      </w:r>
    </w:p>
    <w:p>
      <w:pPr>
        <w:pStyle w:val="TextBody"/>
        <w:bidi w:val="0"/>
        <w:spacing w:before="240" w:after="0"/>
        <w:jc w:val="left"/>
        <w:rPr>
          <w:rFonts w:ascii="Times New Roman" w:hAnsi="Times New Roman"/>
          <w:sz w:val="20"/>
        </w:rPr>
      </w:pPr>
      <w:r>
        <w:rPr>
          <w:rFonts w:ascii="Times New Roman" w:hAnsi="Times New Roman"/>
          <w:sz w:val="20"/>
        </w:rPr>
        <w:t xml:space="preserve">We hereby consent to the filing of this opinion letter as Exhibit (l) to the Registration Statement and to the use of our name under the caption </w:t>
      </w:r>
      <w:r>
        <w:rPr>
          <w:rFonts w:ascii="Times New Roman" w:hAnsi="Times New Roman"/>
          <w:i/>
          <w:sz w:val="20"/>
        </w:rPr>
        <w:t xml:space="preserve">Legal Matters </w:t>
      </w:r>
      <w:r>
        <w:rPr>
          <w:rFonts w:ascii="Times New Roman" w:hAnsi="Times New Roman"/>
          <w:sz w:val="20"/>
        </w:rPr>
        <w:t xml:space="preserve">in the prospectus included in the Registration Statement.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Very truly yours,</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/s/ Simpson Thacher &amp; Bartlett LLP</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SIMPSON THACHER &amp; BARTLETT LLP</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48</Pages>
  <Words>22615</Words>
  <Characters>119179</Characters>
  <CharactersWithSpaces>141476</CharactersWithSpaces>
  <Paragraphs>600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EX-5.1</dc:title>
</cp:coreProperties>
</file>