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5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150495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0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60" w:type="dxa"/>
            <w:vAlign w:val="bottom"/>
            <w:gridSpan w:val="3"/>
          </w:tcPr>
          <w:p>
            <w:pPr>
              <w:jc w:val="center"/>
              <w:ind w:lef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b w:val="1"/>
                <w:bCs w:val="1"/>
                <w:color w:val="auto"/>
              </w:rPr>
              <w:t>SCHEDULE 14A</w:t>
            </w:r>
          </w:p>
        </w:tc>
      </w:tr>
      <w:tr>
        <w:trPr>
          <w:trHeight w:val="28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</w:tcPr>
          <w:p>
            <w:pPr>
              <w:jc w:val="center"/>
              <w:ind w:righ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8"/>
              </w:rPr>
              <w:t>(RULE 14a-101)</w:t>
            </w:r>
          </w:p>
        </w:tc>
      </w:tr>
      <w:tr>
        <w:trPr>
          <w:trHeight w:val="23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1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60" w:type="dxa"/>
            <w:vAlign w:val="bottom"/>
            <w:gridSpan w:val="3"/>
          </w:tcPr>
          <w:p>
            <w:pPr>
              <w:jc w:val="center"/>
              <w:ind w:lef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8"/>
              </w:rPr>
              <w:t>Proxy Statement Pursuant to Section 14(a) of the</w:t>
            </w:r>
          </w:p>
        </w:tc>
      </w:tr>
      <w:tr>
        <w:trPr>
          <w:trHeight w:val="28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60" w:type="dxa"/>
            <w:vAlign w:val="bottom"/>
            <w:gridSpan w:val="3"/>
          </w:tcPr>
          <w:p>
            <w:pPr>
              <w:jc w:val="center"/>
              <w:ind w:left="8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8"/>
              </w:rPr>
              <w:t>Securities Exchange Act of 1934</w:t>
            </w:r>
          </w:p>
        </w:tc>
      </w:tr>
      <w:tr>
        <w:trPr>
          <w:trHeight w:val="332"/>
        </w:trPr>
        <w:tc>
          <w:tcPr>
            <w:tcW w:w="230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Filed by the Registrant  </w:t>
            </w: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☒</w:t>
            </w:r>
          </w:p>
        </w:tc>
        <w:tc>
          <w:tcPr>
            <w:tcW w:w="5460" w:type="dxa"/>
            <w:vAlign w:val="bottom"/>
            <w:gridSpan w:val="3"/>
          </w:tcPr>
          <w:p>
            <w:pPr>
              <w:ind w:left="3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Filed by a Party other than the Registrant  </w:t>
            </w: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☐</w:t>
            </w:r>
          </w:p>
        </w:tc>
      </w:tr>
      <w:tr>
        <w:trPr>
          <w:trHeight w:val="304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Check the appropriate box: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664" w:hanging="664"/>
        <w:spacing w:after="0"/>
        <w:tabs>
          <w:tab w:leader="none" w:pos="66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1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64" w:hanging="664"/>
        <w:spacing w:after="0"/>
        <w:tabs>
          <w:tab w:leader="none" w:pos="66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64" w:hanging="664"/>
        <w:spacing w:after="0"/>
        <w:tabs>
          <w:tab w:leader="none" w:pos="66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664" w:hanging="664"/>
        <w:spacing w:after="0"/>
        <w:tabs>
          <w:tab w:leader="none" w:pos="66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664" w:hanging="664"/>
        <w:spacing w:after="0"/>
        <w:tabs>
          <w:tab w:leader="none" w:pos="66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0"/>
          <w:szCs w:val="40"/>
          <w:b w:val="1"/>
          <w:bCs w:val="1"/>
          <w:color w:val="auto"/>
        </w:rPr>
        <w:t>Sixth Street Specialty Lending, Inc.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33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4" w:hanging="664"/>
        <w:spacing w:after="0"/>
        <w:tabs>
          <w:tab w:leader="none" w:pos="66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664" w:hanging="664"/>
        <w:spacing w:after="0"/>
        <w:tabs>
          <w:tab w:leader="none" w:pos="6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64" w:hanging="664"/>
        <w:spacing w:after="0"/>
        <w:tabs>
          <w:tab w:leader="none" w:pos="6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77470</wp:posOffset>
            </wp:positionV>
            <wp:extent cx="699516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120015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403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91897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9189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91897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9189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2022-04-14T07:56:52Z</dcterms:created>
  <dcterms:modified xsi:type="dcterms:W3CDTF">2022-04-14T07:56:52Z</dcterms:modified>
</cp:coreProperties>
</file>